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6C455" w14:textId="77777777" w:rsidR="00E22278" w:rsidRPr="00377A6D" w:rsidRDefault="00E22278" w:rsidP="00781EE3">
      <w:pPr>
        <w:pStyle w:val="Heading1"/>
        <w:rPr>
          <w:color w:val="auto"/>
        </w:rPr>
      </w:pPr>
      <w:bookmarkStart w:id="0" w:name="_GoBack"/>
      <w:bookmarkEnd w:id="0"/>
      <w:r w:rsidRPr="00377A6D">
        <w:rPr>
          <w:color w:val="auto"/>
        </w:rPr>
        <w:t>Improving Literacy and Numeracy National Partnership</w:t>
      </w:r>
    </w:p>
    <w:p w14:paraId="2E8DFA40" w14:textId="77777777" w:rsidR="00E22278" w:rsidRPr="00377A6D" w:rsidRDefault="00D83F94" w:rsidP="00781EE3">
      <w:pPr>
        <w:pStyle w:val="Heading1"/>
        <w:rPr>
          <w:color w:val="auto"/>
        </w:rPr>
      </w:pPr>
      <w:r w:rsidRPr="00377A6D">
        <w:rPr>
          <w:color w:val="auto"/>
        </w:rPr>
        <w:t>New South Wales</w:t>
      </w:r>
    </w:p>
    <w:p w14:paraId="17C6268B" w14:textId="77777777" w:rsidR="00E22278" w:rsidRPr="00377A6D" w:rsidRDefault="00282CBF" w:rsidP="00781EE3">
      <w:pPr>
        <w:pStyle w:val="Heading1"/>
        <w:rPr>
          <w:color w:val="auto"/>
        </w:rPr>
      </w:pPr>
      <w:r w:rsidRPr="00377A6D">
        <w:rPr>
          <w:color w:val="auto"/>
        </w:rPr>
        <w:t>Final Report</w:t>
      </w:r>
      <w:r w:rsidR="00DD3D82" w:rsidRPr="00377A6D">
        <w:rPr>
          <w:color w:val="auto"/>
        </w:rPr>
        <w:t xml:space="preserve"> </w:t>
      </w:r>
    </w:p>
    <w:p w14:paraId="42649C97" w14:textId="77777777" w:rsidR="00E22278" w:rsidRPr="00377A6D" w:rsidRDefault="00282CBF" w:rsidP="00781EE3">
      <w:pPr>
        <w:pStyle w:val="Heading1"/>
        <w:rPr>
          <w:color w:val="auto"/>
        </w:rPr>
      </w:pPr>
      <w:r w:rsidRPr="00377A6D">
        <w:rPr>
          <w:color w:val="auto"/>
        </w:rPr>
        <w:t>February 2014</w:t>
      </w:r>
    </w:p>
    <w:p w14:paraId="28D825CC" w14:textId="77777777" w:rsidR="00E22278" w:rsidRPr="00F64AC4" w:rsidRDefault="00E22278" w:rsidP="002B5791">
      <w:pPr>
        <w:rPr>
          <w:b/>
        </w:rPr>
      </w:pPr>
      <w:r w:rsidRPr="00F64AC4">
        <w:rPr>
          <w:b/>
        </w:rPr>
        <w:br w:type="page"/>
      </w:r>
    </w:p>
    <w:p w14:paraId="2345B023" w14:textId="3091E85E" w:rsidR="00F35C33" w:rsidRPr="00F64AC4" w:rsidRDefault="00F64AC4" w:rsidP="00781EE3">
      <w:pPr>
        <w:pStyle w:val="Heading2"/>
      </w:pPr>
      <w:r w:rsidRPr="00F64AC4">
        <w:lastRenderedPageBreak/>
        <w:t>Contents:</w:t>
      </w:r>
    </w:p>
    <w:p w14:paraId="5E346548" w14:textId="317BBD15" w:rsidR="00906CA5" w:rsidRPr="00F64AC4" w:rsidRDefault="00906CA5" w:rsidP="00781EE3">
      <w:r w:rsidRPr="00F64AC4">
        <w:t xml:space="preserve">Section 1: </w:t>
      </w:r>
      <w:r w:rsidR="00834389" w:rsidRPr="00F64AC4">
        <w:t>Executive Summary</w:t>
      </w:r>
      <w:r w:rsidR="00F64AC4" w:rsidRPr="00F64AC4">
        <w:t xml:space="preserve"> – Page 3</w:t>
      </w:r>
    </w:p>
    <w:p w14:paraId="1B1E5E5D" w14:textId="45399ACE" w:rsidR="00906CA5" w:rsidRPr="00F64AC4" w:rsidRDefault="00906CA5" w:rsidP="00781EE3">
      <w:r w:rsidRPr="00F64AC4">
        <w:t xml:space="preserve">Section 2: </w:t>
      </w:r>
      <w:r w:rsidR="00A641B4" w:rsidRPr="00F64AC4">
        <w:t>Approaches</w:t>
      </w:r>
      <w:r w:rsidR="00F64AC4" w:rsidRPr="00F64AC4">
        <w:t xml:space="preserve"> – Page 7 </w:t>
      </w:r>
    </w:p>
    <w:p w14:paraId="7716DC24" w14:textId="1070C3CC" w:rsidR="00906CA5" w:rsidRPr="00F64AC4" w:rsidRDefault="00906CA5" w:rsidP="00781EE3">
      <w:r w:rsidRPr="00F64AC4">
        <w:t>Section 3:</w:t>
      </w:r>
      <w:r w:rsidR="00462754" w:rsidRPr="00F64AC4">
        <w:t xml:space="preserve"> </w:t>
      </w:r>
      <w:r w:rsidR="00A641B4" w:rsidRPr="00F64AC4">
        <w:t>Analysis of Performance Data</w:t>
      </w:r>
      <w:r w:rsidR="00743CB0" w:rsidRPr="00F64AC4">
        <w:t xml:space="preserve"> </w:t>
      </w:r>
      <w:r w:rsidR="00F64AC4" w:rsidRPr="00F64AC4">
        <w:t xml:space="preserve">– Page 25 </w:t>
      </w:r>
    </w:p>
    <w:p w14:paraId="4308406C" w14:textId="62C919B5" w:rsidR="00906CA5" w:rsidRPr="00F64AC4" w:rsidRDefault="00906CA5" w:rsidP="00781EE3">
      <w:r w:rsidRPr="00F64AC4">
        <w:t>Section 4:</w:t>
      </w:r>
      <w:r w:rsidR="00462754" w:rsidRPr="00F64AC4">
        <w:t xml:space="preserve"> </w:t>
      </w:r>
      <w:r w:rsidR="00A641B4" w:rsidRPr="00F64AC4">
        <w:t>Showcases</w:t>
      </w:r>
      <w:r w:rsidR="00F64AC4" w:rsidRPr="00F64AC4">
        <w:t xml:space="preserve"> – Page 42</w:t>
      </w:r>
    </w:p>
    <w:p w14:paraId="2E9C4614" w14:textId="4FDCB01D" w:rsidR="00906CA5" w:rsidRPr="00F64AC4" w:rsidRDefault="00906CA5" w:rsidP="00781EE3">
      <w:r w:rsidRPr="00F64AC4">
        <w:t xml:space="preserve">Section 5: </w:t>
      </w:r>
      <w:r w:rsidR="00A641B4" w:rsidRPr="00F64AC4">
        <w:t>Sustainability</w:t>
      </w:r>
      <w:r w:rsidR="009C0AA1">
        <w:t xml:space="preserve"> – Page 71</w:t>
      </w:r>
    </w:p>
    <w:p w14:paraId="18871011" w14:textId="6C1129A6" w:rsidR="00F64AC4" w:rsidRPr="00F64AC4" w:rsidRDefault="00F64AC4" w:rsidP="00781EE3">
      <w:r w:rsidRPr="00F64AC4">
        <w:t>Appendix A: List of NSW</w:t>
      </w:r>
      <w:r w:rsidR="009C0AA1">
        <w:t xml:space="preserve"> participating schools – Page 76</w:t>
      </w:r>
    </w:p>
    <w:p w14:paraId="1EBF6A7E" w14:textId="7C38F095" w:rsidR="00F64AC4" w:rsidRPr="00F64AC4" w:rsidRDefault="00F64AC4" w:rsidP="00781EE3">
      <w:r w:rsidRPr="00F64AC4">
        <w:t xml:space="preserve">Appendix B: </w:t>
      </w:r>
      <w:r w:rsidR="00FF5902">
        <w:t>T</w:t>
      </w:r>
      <w:r w:rsidRPr="00F64AC4">
        <w:t>eacher judgement data</w:t>
      </w:r>
      <w:r w:rsidR="00FF5902">
        <w:t>, non-ATSI students</w:t>
      </w:r>
      <w:r w:rsidR="009C0AA1">
        <w:t xml:space="preserve"> – Page 117</w:t>
      </w:r>
    </w:p>
    <w:p w14:paraId="3544955E" w14:textId="4A9EC1E1" w:rsidR="00F64AC4" w:rsidRPr="00F64AC4" w:rsidRDefault="00F64AC4" w:rsidP="00781EE3">
      <w:r w:rsidRPr="00F64AC4">
        <w:t xml:space="preserve">Appendix C: </w:t>
      </w:r>
      <w:r w:rsidR="00FF5902">
        <w:t>T</w:t>
      </w:r>
      <w:r w:rsidRPr="00F64AC4">
        <w:t>eacher judgement data</w:t>
      </w:r>
      <w:r w:rsidR="00FF5902">
        <w:t>, ATSI students</w:t>
      </w:r>
      <w:r w:rsidR="009C0AA1">
        <w:t xml:space="preserve"> – Page 119</w:t>
      </w:r>
    </w:p>
    <w:p w14:paraId="0F6178D9" w14:textId="6F95AFD5" w:rsidR="00F64AC4" w:rsidRPr="00F64AC4" w:rsidRDefault="00F64AC4" w:rsidP="00781EE3">
      <w:r w:rsidRPr="00F64AC4">
        <w:t>Appendix D: LNNP cont</w:t>
      </w:r>
      <w:r w:rsidR="009C0AA1">
        <w:t>inuing schools NAPLAN – Page 121</w:t>
      </w:r>
    </w:p>
    <w:p w14:paraId="45539193" w14:textId="1298438F" w:rsidR="00F64AC4" w:rsidRPr="00F64AC4" w:rsidRDefault="00F64AC4" w:rsidP="00781EE3">
      <w:r w:rsidRPr="00F64AC4">
        <w:t>Appendix E: T</w:t>
      </w:r>
      <w:r w:rsidR="009C0AA1">
        <w:t>eacher survey results – Page 123</w:t>
      </w:r>
    </w:p>
    <w:p w14:paraId="5C9B4910" w14:textId="56976BEB" w:rsidR="00F64AC4" w:rsidRPr="00F64AC4" w:rsidRDefault="00F64AC4" w:rsidP="00781EE3">
      <w:r w:rsidRPr="00F64AC4">
        <w:t>Appendix F: S</w:t>
      </w:r>
      <w:r w:rsidR="009C0AA1">
        <w:t>tudent survey results – Page 126</w:t>
      </w:r>
    </w:p>
    <w:p w14:paraId="163C808D" w14:textId="77777777" w:rsidR="00D446F2" w:rsidRDefault="00D446F2">
      <w:pPr>
        <w:rPr>
          <w:rFonts w:ascii="Arial" w:hAnsi="Arial" w:cs="Arial"/>
          <w:b/>
          <w:color w:val="244061" w:themeColor="accent1" w:themeShade="80"/>
          <w:sz w:val="32"/>
          <w:szCs w:val="24"/>
        </w:rPr>
      </w:pPr>
      <w:r>
        <w:rPr>
          <w:rFonts w:ascii="Arial" w:hAnsi="Arial" w:cs="Arial"/>
          <w:b/>
          <w:color w:val="244061" w:themeColor="accent1" w:themeShade="80"/>
          <w:sz w:val="32"/>
          <w:szCs w:val="24"/>
        </w:rPr>
        <w:br w:type="page"/>
      </w:r>
    </w:p>
    <w:p w14:paraId="39A2A1B5" w14:textId="7AE09EE4" w:rsidR="002D4CCE" w:rsidRPr="00A26807" w:rsidRDefault="0071107E" w:rsidP="00781EE3">
      <w:pPr>
        <w:pStyle w:val="Heading2"/>
        <w:rPr>
          <w:sz w:val="28"/>
        </w:rPr>
      </w:pPr>
      <w:r w:rsidRPr="00870409">
        <w:lastRenderedPageBreak/>
        <w:t>SECTION</w:t>
      </w:r>
      <w:r w:rsidR="00EC535C" w:rsidRPr="00870409">
        <w:t xml:space="preserve"> 1: </w:t>
      </w:r>
      <w:r w:rsidRPr="00870409">
        <w:t>EXECUTIVE SUMMARY</w:t>
      </w:r>
    </w:p>
    <w:p w14:paraId="2F227266" w14:textId="21714DC8" w:rsidR="004A22E3" w:rsidRPr="006A6A01" w:rsidRDefault="00FB6DBD" w:rsidP="00781EE3">
      <w:r>
        <w:t>N</w:t>
      </w:r>
      <w:r w:rsidR="004A22E3" w:rsidRPr="006A6A01">
        <w:t>SW schools educate over 1.1 million students, which accounts for almost one-third</w:t>
      </w:r>
      <w:r w:rsidR="00FE4B8C" w:rsidRPr="006A6A01">
        <w:t xml:space="preserve"> of</w:t>
      </w:r>
      <w:r w:rsidR="0001238E">
        <w:t xml:space="preserve"> the total number of</w:t>
      </w:r>
      <w:r w:rsidR="00FE4B8C" w:rsidRPr="006A6A01">
        <w:t xml:space="preserve"> Australian school students. NSW schools also educate one-third of Aboriginal and Torres Strait Islander students nationwide. </w:t>
      </w:r>
      <w:r w:rsidR="004B637D" w:rsidRPr="006A6A01">
        <w:t xml:space="preserve">More than one-quarter of NSW students attend a non-metropolitan school, and there are more than 265,000 students from a language </w:t>
      </w:r>
      <w:r w:rsidR="00CF7429" w:rsidRPr="006A6A01">
        <w:t>background</w:t>
      </w:r>
      <w:r w:rsidR="004B637D" w:rsidRPr="006A6A01">
        <w:t xml:space="preserve"> other than English. </w:t>
      </w:r>
    </w:p>
    <w:p w14:paraId="578B7E22" w14:textId="140450B6" w:rsidR="0064283A" w:rsidRPr="0064283A" w:rsidRDefault="0064283A" w:rsidP="00781EE3">
      <w:pPr>
        <w:rPr>
          <w:szCs w:val="24"/>
        </w:rPr>
      </w:pPr>
      <w:r w:rsidRPr="0064283A">
        <w:rPr>
          <w:szCs w:val="24"/>
        </w:rPr>
        <w:t>The school selection process for participation in</w:t>
      </w:r>
      <w:r w:rsidR="0001238E">
        <w:rPr>
          <w:szCs w:val="24"/>
        </w:rPr>
        <w:t xml:space="preserve"> the Improving Literacy and Numeracy National Partnership (ILNNP)</w:t>
      </w:r>
      <w:r w:rsidRPr="0064283A">
        <w:rPr>
          <w:szCs w:val="24"/>
        </w:rPr>
        <w:t xml:space="preserve"> was based on the aggregated numbers of test results in the bottom two bands</w:t>
      </w:r>
      <w:r w:rsidR="00832C2E">
        <w:rPr>
          <w:szCs w:val="24"/>
        </w:rPr>
        <w:t xml:space="preserve"> of NAPLAN test results</w:t>
      </w:r>
      <w:r w:rsidRPr="0064283A">
        <w:rPr>
          <w:szCs w:val="24"/>
        </w:rPr>
        <w:t xml:space="preserve"> in reading and numeracy in Years 3, 5, 7 and 9 in 2010 and 2011. This approach was chosen in order to provide</w:t>
      </w:r>
      <w:r w:rsidR="003E5D4F">
        <w:rPr>
          <w:szCs w:val="24"/>
        </w:rPr>
        <w:t xml:space="preserve"> more accurate data for smaller schools.</w:t>
      </w:r>
    </w:p>
    <w:p w14:paraId="1D72B858" w14:textId="4A373A67" w:rsidR="0064283A" w:rsidRPr="0064283A" w:rsidRDefault="0064283A" w:rsidP="00781EE3">
      <w:pPr>
        <w:rPr>
          <w:szCs w:val="24"/>
        </w:rPr>
      </w:pPr>
      <w:r w:rsidRPr="0064283A">
        <w:rPr>
          <w:szCs w:val="24"/>
        </w:rPr>
        <w:t xml:space="preserve">For each school the percentage of test results in the bottom two bands was calculated and used as the ‘index of need’ for </w:t>
      </w:r>
      <w:r w:rsidR="003E5D4F">
        <w:rPr>
          <w:szCs w:val="24"/>
        </w:rPr>
        <w:t>determining schools involvement in</w:t>
      </w:r>
      <w:r w:rsidR="00B134CD">
        <w:rPr>
          <w:szCs w:val="24"/>
        </w:rPr>
        <w:t xml:space="preserve"> the ILNNP program. </w:t>
      </w:r>
      <w:r w:rsidRPr="0064283A">
        <w:rPr>
          <w:szCs w:val="24"/>
        </w:rPr>
        <w:t>(The non-government sectors used the ‘index of need’ as a guide only to inform their selection processes.)</w:t>
      </w:r>
    </w:p>
    <w:p w14:paraId="5516C137" w14:textId="77777777" w:rsidR="0064283A" w:rsidRPr="0064283A" w:rsidRDefault="0064283A" w:rsidP="00781EE3">
      <w:pPr>
        <w:rPr>
          <w:szCs w:val="24"/>
        </w:rPr>
      </w:pPr>
      <w:r w:rsidRPr="0064283A">
        <w:rPr>
          <w:szCs w:val="24"/>
        </w:rPr>
        <w:t>Schools already participating in the Low SES School Communities National Partnership, the Literacy and Numeracy Action Plan and the Investing in Focus Schools Project Agreement were excluded so that ILNNP could increase the reach of literacy and numeracy support</w:t>
      </w:r>
      <w:r w:rsidR="0001238E">
        <w:rPr>
          <w:szCs w:val="24"/>
        </w:rPr>
        <w:t xml:space="preserve"> across the state. </w:t>
      </w:r>
      <w:r w:rsidRPr="0064283A">
        <w:rPr>
          <w:szCs w:val="24"/>
        </w:rPr>
        <w:t xml:space="preserve">The only exceptions were schools that were identified as having a demonstrated need to be part of this partnership whether or not they were in existing </w:t>
      </w:r>
      <w:r w:rsidR="0001238E">
        <w:rPr>
          <w:szCs w:val="24"/>
        </w:rPr>
        <w:t>programs, for reasons such as needing extra support for Aboriginal students, or evidence of a decline across multiple indicators.</w:t>
      </w:r>
    </w:p>
    <w:p w14:paraId="64FF2C20" w14:textId="1994951B" w:rsidR="00E9183D" w:rsidRPr="006A6A01" w:rsidRDefault="00150758" w:rsidP="00781EE3">
      <w:r>
        <w:t xml:space="preserve">There were </w:t>
      </w:r>
      <w:r w:rsidR="00F714FE">
        <w:t>593</w:t>
      </w:r>
      <w:r w:rsidR="007301EC">
        <w:t xml:space="preserve"> </w:t>
      </w:r>
      <w:r w:rsidR="00E9183D" w:rsidRPr="006A6A01">
        <w:t xml:space="preserve">schools </w:t>
      </w:r>
      <w:r w:rsidR="00EF5CC6">
        <w:t>that</w:t>
      </w:r>
      <w:r w:rsidR="00E9183D" w:rsidRPr="006A6A01">
        <w:t xml:space="preserve"> participated in the Improving Literacy and Numeracy National Partnership (ILNNP) in New South Wales. The sector representation was as follows:</w:t>
      </w:r>
    </w:p>
    <w:p w14:paraId="2C4CBCF7" w14:textId="1C321C15" w:rsidR="00E9183D" w:rsidRPr="006A6A01" w:rsidRDefault="00150758" w:rsidP="00756999">
      <w:pPr>
        <w:pStyle w:val="ListParagraph"/>
        <w:numPr>
          <w:ilvl w:val="0"/>
          <w:numId w:val="7"/>
        </w:numPr>
      </w:pPr>
      <w:r>
        <w:t>402</w:t>
      </w:r>
      <w:r w:rsidR="00E9183D" w:rsidRPr="006A6A01">
        <w:t xml:space="preserve"> Government schools</w:t>
      </w:r>
      <w:r w:rsidR="00F714FE">
        <w:t xml:space="preserve"> (174 Secondary, 213 Primary and 15 Combined)</w:t>
      </w:r>
    </w:p>
    <w:p w14:paraId="16FA1471" w14:textId="0F3524C8" w:rsidR="00E9183D" w:rsidRPr="006A6A01" w:rsidRDefault="00F714FE" w:rsidP="00756999">
      <w:pPr>
        <w:pStyle w:val="ListParagraph"/>
        <w:numPr>
          <w:ilvl w:val="0"/>
          <w:numId w:val="7"/>
        </w:numPr>
      </w:pPr>
      <w:r>
        <w:t>173</w:t>
      </w:r>
      <w:r w:rsidR="007301EC">
        <w:t xml:space="preserve"> </w:t>
      </w:r>
      <w:r w:rsidR="00E9183D" w:rsidRPr="006A6A01">
        <w:t>Catholic Schools</w:t>
      </w:r>
      <w:r>
        <w:t xml:space="preserve"> (23 Secondary, 139 Primary, 11 Combined and 1 Infants school)</w:t>
      </w:r>
    </w:p>
    <w:p w14:paraId="12EEFC2F" w14:textId="16DF2449" w:rsidR="00E9183D" w:rsidRPr="006A6A01" w:rsidRDefault="00E9183D" w:rsidP="00756999">
      <w:pPr>
        <w:pStyle w:val="ListParagraph"/>
        <w:numPr>
          <w:ilvl w:val="0"/>
          <w:numId w:val="7"/>
        </w:numPr>
      </w:pPr>
      <w:r w:rsidRPr="006A6A01">
        <w:t>18 Independent Schools</w:t>
      </w:r>
      <w:r w:rsidR="00F714FE">
        <w:t xml:space="preserve"> (2 secondary, 2 Primary and 14 Combined) </w:t>
      </w:r>
    </w:p>
    <w:p w14:paraId="754D5556" w14:textId="6A55A556" w:rsidR="00E9183D" w:rsidRPr="006A6A01" w:rsidRDefault="00254432" w:rsidP="00756999">
      <w:pPr>
        <w:pStyle w:val="ListParagraph"/>
        <w:numPr>
          <w:ilvl w:val="0"/>
          <w:numId w:val="7"/>
        </w:numPr>
      </w:pPr>
      <w:r w:rsidRPr="006A6A01">
        <w:t xml:space="preserve">Participating schools were </w:t>
      </w:r>
      <w:r w:rsidR="00253C6F" w:rsidRPr="006A6A01">
        <w:t>identified as either Primary</w:t>
      </w:r>
      <w:r w:rsidRPr="006A6A01">
        <w:t xml:space="preserve"> schools, Secondary schools or combined</w:t>
      </w:r>
      <w:r w:rsidR="00253C6F" w:rsidRPr="006A6A01">
        <w:t xml:space="preserve"> schools</w:t>
      </w:r>
      <w:r w:rsidR="000A2C00">
        <w:t xml:space="preserve"> (central or community)</w:t>
      </w:r>
      <w:r w:rsidR="00253C6F" w:rsidRPr="006A6A01">
        <w:t>, in the following proportions:</w:t>
      </w:r>
    </w:p>
    <w:p w14:paraId="32CFC246" w14:textId="467ABF94" w:rsidR="00254432" w:rsidRPr="006A6A01" w:rsidRDefault="00922A5B" w:rsidP="00756999">
      <w:pPr>
        <w:pStyle w:val="ListParagraph"/>
        <w:numPr>
          <w:ilvl w:val="0"/>
          <w:numId w:val="7"/>
        </w:numPr>
      </w:pPr>
      <w:r>
        <w:t>3</w:t>
      </w:r>
      <w:r w:rsidR="008D52A4">
        <w:t>54</w:t>
      </w:r>
      <w:r w:rsidR="00254432" w:rsidRPr="006A6A01">
        <w:t xml:space="preserve"> Primary schools</w:t>
      </w:r>
      <w:r w:rsidR="008D52A4">
        <w:t xml:space="preserve"> (including 1 Infants schools) (60</w:t>
      </w:r>
      <w:r w:rsidR="00254432" w:rsidRPr="006A6A01">
        <w:t>%)</w:t>
      </w:r>
    </w:p>
    <w:p w14:paraId="675CBEFC" w14:textId="697FC1CE" w:rsidR="00254432" w:rsidRPr="006A6A01" w:rsidRDefault="008F4C02" w:rsidP="00756999">
      <w:pPr>
        <w:pStyle w:val="ListParagraph"/>
        <w:numPr>
          <w:ilvl w:val="0"/>
          <w:numId w:val="7"/>
        </w:numPr>
      </w:pPr>
      <w:r>
        <w:t>199 Secondary schools (33</w:t>
      </w:r>
      <w:r w:rsidR="00254432" w:rsidRPr="006A6A01">
        <w:t>%)</w:t>
      </w:r>
    </w:p>
    <w:p w14:paraId="6C17B54B" w14:textId="5574D3B7" w:rsidR="00254432" w:rsidRPr="006A6A01" w:rsidRDefault="00922A5B" w:rsidP="00756999">
      <w:pPr>
        <w:pStyle w:val="ListParagraph"/>
        <w:numPr>
          <w:ilvl w:val="0"/>
          <w:numId w:val="7"/>
        </w:numPr>
      </w:pPr>
      <w:r>
        <w:t>40</w:t>
      </w:r>
      <w:r w:rsidR="008D52A4">
        <w:t xml:space="preserve"> Combined schools (7</w:t>
      </w:r>
      <w:r w:rsidR="00254432" w:rsidRPr="006A6A01">
        <w:t>%)</w:t>
      </w:r>
    </w:p>
    <w:p w14:paraId="6492DFBA" w14:textId="670B5C7B" w:rsidR="00CF7429" w:rsidRPr="006A6A01" w:rsidRDefault="00CF7429" w:rsidP="00781EE3">
      <w:r w:rsidRPr="006A6A01">
        <w:t xml:space="preserve">Within schools across New South Wales almost </w:t>
      </w:r>
      <w:r w:rsidR="007301EC">
        <w:t>162,000</w:t>
      </w:r>
      <w:r w:rsidRPr="006A6A01">
        <w:t xml:space="preserve"> students were part of the </w:t>
      </w:r>
      <w:r w:rsidR="00396D8F" w:rsidRPr="006A6A01">
        <w:t>ILNNP</w:t>
      </w:r>
      <w:r w:rsidRPr="006A6A01">
        <w:t xml:space="preserve">. NSW Government schools accounted for </w:t>
      </w:r>
      <w:r w:rsidR="007301EC">
        <w:t>101,364</w:t>
      </w:r>
      <w:r w:rsidRPr="006A6A01">
        <w:t xml:space="preserve">, or </w:t>
      </w:r>
      <w:r w:rsidR="007301EC">
        <w:t>62.6</w:t>
      </w:r>
      <w:r w:rsidRPr="006A6A01">
        <w:t xml:space="preserve">% of all students; In the Catholic sector </w:t>
      </w:r>
      <w:r w:rsidR="007301EC">
        <w:t>53,534 students participated, which was 33.1</w:t>
      </w:r>
      <w:r w:rsidRPr="006A6A01">
        <w:t xml:space="preserve">% of all students; and in the 18 participating Independent schools there were approximately </w:t>
      </w:r>
      <w:r w:rsidR="007301EC">
        <w:t>7,077 students involved, or 4.4</w:t>
      </w:r>
      <w:r w:rsidRPr="006A6A01">
        <w:t>%</w:t>
      </w:r>
      <w:r w:rsidR="003A10D7" w:rsidRPr="006A6A01">
        <w:t xml:space="preserve"> of students in the Partnership</w:t>
      </w:r>
      <w:r w:rsidRPr="006A6A01">
        <w:t xml:space="preserve">. </w:t>
      </w:r>
    </w:p>
    <w:p w14:paraId="719DC88C" w14:textId="77777777" w:rsidR="00553568" w:rsidRPr="006A6A01" w:rsidRDefault="00145BC4" w:rsidP="00781EE3">
      <w:r w:rsidRPr="006A6A01">
        <w:t>Across Government, Catholic and Independent sectors in New South Wales, school</w:t>
      </w:r>
      <w:r w:rsidR="003A10D7" w:rsidRPr="006A6A01">
        <w:t>s that</w:t>
      </w:r>
      <w:r w:rsidRPr="006A6A01">
        <w:t xml:space="preserve"> participated in the ILNNP were located in the following areas:</w:t>
      </w:r>
    </w:p>
    <w:p w14:paraId="4D2384DD" w14:textId="4B984280" w:rsidR="00145BC4" w:rsidRPr="006A6A01" w:rsidRDefault="00145BC4" w:rsidP="00756999">
      <w:pPr>
        <w:pStyle w:val="ListParagraph"/>
        <w:numPr>
          <w:ilvl w:val="0"/>
          <w:numId w:val="7"/>
        </w:numPr>
      </w:pPr>
      <w:r w:rsidRPr="006A6A01">
        <w:t>Metropolitan –</w:t>
      </w:r>
      <w:r w:rsidR="00F714FE">
        <w:t xml:space="preserve"> 334</w:t>
      </w:r>
      <w:r w:rsidRPr="006A6A01">
        <w:t xml:space="preserve"> schools</w:t>
      </w:r>
    </w:p>
    <w:p w14:paraId="66AD029A" w14:textId="2A8C55FA" w:rsidR="00145BC4" w:rsidRPr="006A6A01" w:rsidRDefault="00145BC4" w:rsidP="00756999">
      <w:pPr>
        <w:pStyle w:val="ListParagraph"/>
        <w:numPr>
          <w:ilvl w:val="0"/>
          <w:numId w:val="7"/>
        </w:numPr>
      </w:pPr>
      <w:r w:rsidRPr="006A6A01">
        <w:t>Provincial –</w:t>
      </w:r>
      <w:r w:rsidR="00F714FE">
        <w:t xml:space="preserve"> 252</w:t>
      </w:r>
      <w:r w:rsidRPr="006A6A01">
        <w:t xml:space="preserve"> schools</w:t>
      </w:r>
    </w:p>
    <w:p w14:paraId="1649B280" w14:textId="77777777" w:rsidR="00145BC4" w:rsidRPr="006A6A01" w:rsidRDefault="00145BC4" w:rsidP="00756999">
      <w:pPr>
        <w:pStyle w:val="ListParagraph"/>
        <w:numPr>
          <w:ilvl w:val="0"/>
          <w:numId w:val="7"/>
        </w:numPr>
      </w:pPr>
      <w:r w:rsidRPr="006A6A01">
        <w:t>Remote – 6 schools</w:t>
      </w:r>
    </w:p>
    <w:p w14:paraId="2451A933" w14:textId="77777777" w:rsidR="00145BC4" w:rsidRPr="006A6A01" w:rsidRDefault="00145BC4" w:rsidP="00756999">
      <w:pPr>
        <w:pStyle w:val="ListParagraph"/>
        <w:numPr>
          <w:ilvl w:val="0"/>
          <w:numId w:val="7"/>
        </w:numPr>
      </w:pPr>
      <w:r w:rsidRPr="006A6A01">
        <w:t xml:space="preserve">Very remote – 1 school </w:t>
      </w:r>
    </w:p>
    <w:p w14:paraId="6BD4D50D" w14:textId="27741B0D" w:rsidR="00553568" w:rsidRPr="006A6A01" w:rsidRDefault="00711884" w:rsidP="00781EE3">
      <w:r>
        <w:lastRenderedPageBreak/>
        <w:t>342</w:t>
      </w:r>
      <w:r w:rsidR="00F714FE">
        <w:t xml:space="preserve"> of the 593</w:t>
      </w:r>
      <w:r w:rsidR="008F3000" w:rsidRPr="006A6A01">
        <w:t xml:space="preserve"> participating schools focussed on improving student learning in literacy, </w:t>
      </w:r>
      <w:r>
        <w:t>202</w:t>
      </w:r>
      <w:r w:rsidR="00F714FE">
        <w:t xml:space="preserve"> were numeracy schools and the remaining 49</w:t>
      </w:r>
      <w:r w:rsidR="008F3000" w:rsidRPr="006A6A01">
        <w:t xml:space="preserve"> </w:t>
      </w:r>
      <w:r w:rsidR="00F714FE">
        <w:t xml:space="preserve">were schools that combined their approach toward both literacy and numeracy. </w:t>
      </w:r>
      <w:r w:rsidR="008F3000" w:rsidRPr="006A6A01">
        <w:t xml:space="preserve"> </w:t>
      </w:r>
    </w:p>
    <w:p w14:paraId="14AAC1D5" w14:textId="69CFD98F" w:rsidR="00150758" w:rsidRDefault="00150758" w:rsidP="00781EE3">
      <w:r>
        <w:t>Independent S</w:t>
      </w:r>
      <w:r w:rsidR="00711884">
        <w:t>chools: Numeracy 3, Literacy 15</w:t>
      </w:r>
    </w:p>
    <w:p w14:paraId="7428FC88" w14:textId="1C6AEFC3" w:rsidR="00F714FE" w:rsidRDefault="00F714FE" w:rsidP="00781EE3">
      <w:r>
        <w:t>Catholic Schools: Nu</w:t>
      </w:r>
      <w:r w:rsidR="00EF28AC">
        <w:t>meracy 90, Literacy 34, b</w:t>
      </w:r>
      <w:r w:rsidR="00711884">
        <w:t>oth 49</w:t>
      </w:r>
    </w:p>
    <w:p w14:paraId="636CD16F" w14:textId="244DC973" w:rsidR="00F714FE" w:rsidRDefault="00711884" w:rsidP="00781EE3">
      <w:r>
        <w:t xml:space="preserve">Government Schools: Numeracy 109, </w:t>
      </w:r>
      <w:r w:rsidR="00F714FE">
        <w:t>Literacy</w:t>
      </w:r>
      <w:r>
        <w:t xml:space="preserve"> 293</w:t>
      </w:r>
    </w:p>
    <w:p w14:paraId="6A7BEB99" w14:textId="39C8EBBB" w:rsidR="007301EC" w:rsidRDefault="007301EC" w:rsidP="00781EE3">
      <w:r>
        <w:t>The proportion of Aboriginal and Torres Strait Islander (ATSI) students who participated in the Partnership in New South Wales was 7%. ATSI proportions across the NSW schooling sectors were as follows:</w:t>
      </w:r>
    </w:p>
    <w:p w14:paraId="75DAB5A2" w14:textId="301DFC64" w:rsidR="00150758" w:rsidRDefault="007301EC" w:rsidP="00756999">
      <w:pPr>
        <w:pStyle w:val="ListParagraph"/>
        <w:numPr>
          <w:ilvl w:val="0"/>
          <w:numId w:val="6"/>
        </w:numPr>
      </w:pPr>
      <w:r w:rsidRPr="007301EC">
        <w:t xml:space="preserve">10% of Government school </w:t>
      </w:r>
      <w:r>
        <w:t xml:space="preserve">students </w:t>
      </w:r>
    </w:p>
    <w:p w14:paraId="3FEE32C1" w14:textId="6371AC5D" w:rsidR="007301EC" w:rsidRDefault="007301EC" w:rsidP="00756999">
      <w:pPr>
        <w:pStyle w:val="ListParagraph"/>
        <w:numPr>
          <w:ilvl w:val="0"/>
          <w:numId w:val="6"/>
        </w:numPr>
      </w:pPr>
      <w:r>
        <w:t>5% of Independent school students</w:t>
      </w:r>
    </w:p>
    <w:p w14:paraId="09685FD9" w14:textId="5EBF8A3C" w:rsidR="007301EC" w:rsidRPr="00FB6DBD" w:rsidRDefault="007301EC" w:rsidP="00756999">
      <w:pPr>
        <w:pStyle w:val="ListParagraph"/>
        <w:numPr>
          <w:ilvl w:val="0"/>
          <w:numId w:val="6"/>
        </w:numPr>
      </w:pPr>
      <w:r w:rsidRPr="00FB6DBD">
        <w:t>3% of Catholic school students</w:t>
      </w:r>
    </w:p>
    <w:p w14:paraId="5EFE5785" w14:textId="77777777" w:rsidR="00104347" w:rsidRPr="006A6A01" w:rsidRDefault="00104347" w:rsidP="00781EE3">
      <w:r w:rsidRPr="006A6A01">
        <w:t xml:space="preserve">The whole-school approach </w:t>
      </w:r>
      <w:r w:rsidR="008F3000" w:rsidRPr="006A6A01">
        <w:t xml:space="preserve">that was central to New South Wales’ efforts under the ILNNP </w:t>
      </w:r>
      <w:r w:rsidRPr="006A6A01">
        <w:t xml:space="preserve">recognises the critical role </w:t>
      </w:r>
      <w:r w:rsidR="0001238E">
        <w:t xml:space="preserve">of </w:t>
      </w:r>
      <w:r w:rsidRPr="006A6A01">
        <w:t>shared responsibility for student outcomes, greater teacher collaboration, principals taking an instructional leadership role in the</w:t>
      </w:r>
      <w:r w:rsidR="00CD761C">
        <w:t xml:space="preserve"> explicit</w:t>
      </w:r>
      <w:r w:rsidRPr="006A6A01">
        <w:t xml:space="preserve"> delivery of literacy and numeracy teaching, and </w:t>
      </w:r>
      <w:r w:rsidR="008153EE" w:rsidRPr="006A6A01">
        <w:t xml:space="preserve">the better use of data to inform school planning, professional learning and student development. </w:t>
      </w:r>
    </w:p>
    <w:p w14:paraId="5E7076A3" w14:textId="76C5A9AC" w:rsidR="00D00BA5" w:rsidRDefault="00542AA5" w:rsidP="00781EE3">
      <w:r>
        <w:t>There have been numerous highlights and achievements</w:t>
      </w:r>
      <w:r w:rsidR="009B68A3">
        <w:t xml:space="preserve"> at the school level that have been</w:t>
      </w:r>
      <w:r>
        <w:t xml:space="preserve"> reported acro</w:t>
      </w:r>
      <w:r w:rsidR="00CD761C">
        <w:t>ss Government, Independent and C</w:t>
      </w:r>
      <w:r>
        <w:t>atholic schools in</w:t>
      </w:r>
      <w:r w:rsidR="004361BE">
        <w:t>cluding:</w:t>
      </w:r>
    </w:p>
    <w:p w14:paraId="1B842595" w14:textId="0091026D" w:rsidR="009B68A3" w:rsidRPr="00077168" w:rsidRDefault="004361BE" w:rsidP="00756999">
      <w:pPr>
        <w:pStyle w:val="ListParagraph"/>
        <w:numPr>
          <w:ilvl w:val="0"/>
          <w:numId w:val="8"/>
        </w:numPr>
      </w:pPr>
      <w:r>
        <w:t>S</w:t>
      </w:r>
      <w:r w:rsidR="0099175F" w:rsidRPr="00077168">
        <w:t>ignificant improvement in student performance in both literacy and numeracy</w:t>
      </w:r>
      <w:r w:rsidR="00CD761C">
        <w:t xml:space="preserve"> </w:t>
      </w:r>
      <w:r w:rsidR="0099175F" w:rsidRPr="00077168">
        <w:t xml:space="preserve">which occurred across all participating cohorts from kindergarten through to Year 8. </w:t>
      </w:r>
    </w:p>
    <w:p w14:paraId="37A27ADA" w14:textId="32D69EA9" w:rsidR="0099175F" w:rsidRPr="00077168" w:rsidRDefault="00CD761C" w:rsidP="00756999">
      <w:pPr>
        <w:pStyle w:val="ListParagraph"/>
        <w:numPr>
          <w:ilvl w:val="0"/>
          <w:numId w:val="8"/>
        </w:numPr>
      </w:pPr>
      <w:r>
        <w:t>Significant</w:t>
      </w:r>
      <w:r w:rsidR="00720685" w:rsidRPr="00077168">
        <w:t xml:space="preserve"> improvement </w:t>
      </w:r>
      <w:r>
        <w:t>for</w:t>
      </w:r>
      <w:r w:rsidR="0099175F" w:rsidRPr="00077168">
        <w:t xml:space="preserve"> students</w:t>
      </w:r>
      <w:r w:rsidR="00720685" w:rsidRPr="00077168">
        <w:t xml:space="preserve"> whom the Partnership was specifically designed to assist,</w:t>
      </w:r>
      <w:r>
        <w:t xml:space="preserve"> namely</w:t>
      </w:r>
      <w:r w:rsidR="00720685" w:rsidRPr="00077168">
        <w:t xml:space="preserve"> those whose performance at the commencement of the year had been assessed as “well below expectation”. </w:t>
      </w:r>
      <w:r w:rsidR="00BD53F6" w:rsidRPr="00077168">
        <w:t>The proportion of students identified in this category fell by over 50% betw</w:t>
      </w:r>
      <w:r w:rsidR="004361BE">
        <w:t>een the May and November student</w:t>
      </w:r>
      <w:r w:rsidR="00BD53F6" w:rsidRPr="00077168">
        <w:t xml:space="preserve"> assessment</w:t>
      </w:r>
      <w:r>
        <w:t>s</w:t>
      </w:r>
      <w:r w:rsidR="00BD53F6" w:rsidRPr="00077168">
        <w:t xml:space="preserve">. </w:t>
      </w:r>
    </w:p>
    <w:p w14:paraId="6F4FE019" w14:textId="2C95D93F" w:rsidR="00720685" w:rsidRPr="00077168" w:rsidRDefault="00720685" w:rsidP="00756999">
      <w:pPr>
        <w:pStyle w:val="ListParagraph"/>
        <w:numPr>
          <w:ilvl w:val="0"/>
          <w:numId w:val="8"/>
        </w:numPr>
      </w:pPr>
      <w:r w:rsidRPr="00077168">
        <w:t xml:space="preserve">Aboriginal and Torres Strait Islander students </w:t>
      </w:r>
      <w:r w:rsidR="00CD761C">
        <w:t>displaying</w:t>
      </w:r>
      <w:r w:rsidR="00075615" w:rsidRPr="00077168">
        <w:t xml:space="preserve"> a significant </w:t>
      </w:r>
      <w:r w:rsidR="005A4716">
        <w:t>improvement</w:t>
      </w:r>
      <w:r w:rsidR="00075615" w:rsidRPr="00077168">
        <w:t xml:space="preserve"> in student learning outcomes in both literacy and numeracy. </w:t>
      </w:r>
    </w:p>
    <w:p w14:paraId="6655164A" w14:textId="77777777" w:rsidR="00BD53F6" w:rsidRPr="00077168" w:rsidRDefault="00BD53F6" w:rsidP="00781EE3">
      <w:r w:rsidRPr="00077168">
        <w:t>The</w:t>
      </w:r>
      <w:r w:rsidR="00077168">
        <w:t xml:space="preserve"> establishment of</w:t>
      </w:r>
      <w:r w:rsidRPr="00077168">
        <w:t xml:space="preserve"> Year 6 transition to high school student information</w:t>
      </w:r>
      <w:r w:rsidR="00077168">
        <w:t>,</w:t>
      </w:r>
      <w:r w:rsidRPr="00077168">
        <w:t xml:space="preserve"> which will be available to teachers as students enter secondary education. This has the capacity to enhance the transition process and ensure that secondary teachers are aware of the individual learning needs of students.</w:t>
      </w:r>
    </w:p>
    <w:p w14:paraId="694514C9" w14:textId="77777777" w:rsidR="00077168" w:rsidRPr="00077168" w:rsidRDefault="00077168" w:rsidP="00781EE3">
      <w:r w:rsidRPr="00077168">
        <w:t>A strong focus on professional learning and mentoring, with teachers across all sectors collaborating to develop classroom programs that address the identified needs of students.</w:t>
      </w:r>
    </w:p>
    <w:p w14:paraId="1A3B3F2F" w14:textId="4081E7AC" w:rsidR="00077168" w:rsidRPr="00077168" w:rsidRDefault="00077168" w:rsidP="00781EE3">
      <w:r w:rsidRPr="00077168">
        <w:t>The instructional leadership undertaken by many principals in p</w:t>
      </w:r>
      <w:r w:rsidR="004361BE">
        <w:t>articipating schools has strengthened</w:t>
      </w:r>
      <w:r w:rsidRPr="00077168">
        <w:t xml:space="preserve"> the trialling of innovations </w:t>
      </w:r>
      <w:r w:rsidRPr="00077168">
        <w:rPr>
          <w:color w:val="000000" w:themeColor="text1"/>
        </w:rPr>
        <w:t>with the potential to improve literacy and/or numeracy.</w:t>
      </w:r>
    </w:p>
    <w:p w14:paraId="6DF3B195" w14:textId="06ABBD5B" w:rsidR="00077168" w:rsidRPr="00332108" w:rsidRDefault="00077168" w:rsidP="00781EE3">
      <w:r w:rsidRPr="00077168">
        <w:t>The establishment and m</w:t>
      </w:r>
      <w:r w:rsidR="005A4716">
        <w:t>aintenance of an ILNNP website (</w:t>
      </w:r>
      <w:r w:rsidR="005A4716" w:rsidRPr="005A4716">
        <w:rPr>
          <w:u w:val="single"/>
        </w:rPr>
        <w:t>www.ilnnp.nsw.edu.au</w:t>
      </w:r>
      <w:r w:rsidR="005A4716">
        <w:t xml:space="preserve">) </w:t>
      </w:r>
      <w:r w:rsidRPr="00077168">
        <w:t xml:space="preserve">has provided timely support to </w:t>
      </w:r>
      <w:r w:rsidR="008078CA">
        <w:t xml:space="preserve">Government </w:t>
      </w:r>
      <w:r w:rsidRPr="00077168">
        <w:t xml:space="preserve">schools. The website has operated as a medium to share good </w:t>
      </w:r>
      <w:r w:rsidRPr="00332108">
        <w:t xml:space="preserve">practice with over 20,000 page views since </w:t>
      </w:r>
      <w:r w:rsidR="00CD761C">
        <w:t>its</w:t>
      </w:r>
      <w:r w:rsidRPr="00332108">
        <w:t xml:space="preserve"> inception in April 2013.</w:t>
      </w:r>
    </w:p>
    <w:p w14:paraId="38F09438" w14:textId="77777777" w:rsidR="00BA63BC" w:rsidRPr="00332108" w:rsidRDefault="00332108" w:rsidP="00781EE3">
      <w:pPr>
        <w:rPr>
          <w:highlight w:val="yellow"/>
        </w:rPr>
      </w:pPr>
      <w:r w:rsidRPr="00332108">
        <w:t xml:space="preserve">Some benefits of the program </w:t>
      </w:r>
      <w:r w:rsidR="00CD761C">
        <w:t>experienced by schools which</w:t>
      </w:r>
      <w:r w:rsidRPr="00332108">
        <w:t xml:space="preserve"> participated in the ILNNP include:</w:t>
      </w:r>
    </w:p>
    <w:p w14:paraId="00730230" w14:textId="77777777" w:rsidR="006B467B" w:rsidRPr="00332108" w:rsidRDefault="00332108" w:rsidP="00756999">
      <w:pPr>
        <w:pStyle w:val="ListParagraph"/>
        <w:numPr>
          <w:ilvl w:val="0"/>
          <w:numId w:val="9"/>
        </w:numPr>
      </w:pPr>
      <w:r w:rsidRPr="00332108">
        <w:lastRenderedPageBreak/>
        <w:t>The opportunity for s</w:t>
      </w:r>
      <w:r w:rsidR="006B467B" w:rsidRPr="00332108">
        <w:t>chools</w:t>
      </w:r>
      <w:r w:rsidRPr="00332108">
        <w:t xml:space="preserve"> to undertake</w:t>
      </w:r>
      <w:r w:rsidR="006B467B" w:rsidRPr="00332108">
        <w:t xml:space="preserve"> a situational </w:t>
      </w:r>
      <w:r w:rsidRPr="00332108">
        <w:t>analysis, analyse</w:t>
      </w:r>
      <w:r w:rsidR="006B467B" w:rsidRPr="00332108">
        <w:t xml:space="preserve"> student data and </w:t>
      </w:r>
      <w:r w:rsidRPr="00332108">
        <w:t>make</w:t>
      </w:r>
      <w:r w:rsidR="00BA7CB9" w:rsidRPr="00332108">
        <w:t xml:space="preserve"> </w:t>
      </w:r>
      <w:r w:rsidR="006B467B" w:rsidRPr="00332108">
        <w:t xml:space="preserve">decisions </w:t>
      </w:r>
      <w:r w:rsidR="007A5298" w:rsidRPr="00332108">
        <w:t xml:space="preserve">relevant </w:t>
      </w:r>
      <w:r w:rsidR="006B467B" w:rsidRPr="00332108">
        <w:t xml:space="preserve">to the school’s own unique context. </w:t>
      </w:r>
    </w:p>
    <w:p w14:paraId="572796BF" w14:textId="77777777" w:rsidR="00976B6E" w:rsidRPr="00332108" w:rsidRDefault="00976B6E" w:rsidP="00756999">
      <w:pPr>
        <w:pStyle w:val="ListParagraph"/>
        <w:numPr>
          <w:ilvl w:val="0"/>
          <w:numId w:val="9"/>
        </w:numPr>
      </w:pPr>
      <w:r w:rsidRPr="00332108">
        <w:t xml:space="preserve">The focus of either literacy or numeracy </w:t>
      </w:r>
      <w:r w:rsidR="00BA7CB9" w:rsidRPr="00332108">
        <w:t>enabl</w:t>
      </w:r>
      <w:r w:rsidRPr="00332108">
        <w:t xml:space="preserve">ed schools to apply intense </w:t>
      </w:r>
      <w:r w:rsidR="00BA7CB9" w:rsidRPr="00332108">
        <w:t xml:space="preserve">and directed </w:t>
      </w:r>
      <w:r w:rsidRPr="00332108">
        <w:t xml:space="preserve">support to the </w:t>
      </w:r>
      <w:r w:rsidR="00BA7CB9" w:rsidRPr="00332108">
        <w:t>field</w:t>
      </w:r>
      <w:r w:rsidRPr="00332108">
        <w:t xml:space="preserve"> </w:t>
      </w:r>
      <w:r w:rsidR="006B467B" w:rsidRPr="00332108">
        <w:t xml:space="preserve">identified </w:t>
      </w:r>
      <w:r w:rsidR="00756C4F" w:rsidRPr="00332108">
        <w:t>as the school’s area of need</w:t>
      </w:r>
      <w:r w:rsidR="006B467B" w:rsidRPr="00332108">
        <w:t xml:space="preserve"> at the commencement of the ILNNP</w:t>
      </w:r>
      <w:r w:rsidR="007A5298" w:rsidRPr="00332108">
        <w:t>,</w:t>
      </w:r>
      <w:r w:rsidR="00BA7CB9" w:rsidRPr="00332108">
        <w:t xml:space="preserve"> via their situational analysis</w:t>
      </w:r>
      <w:r w:rsidRPr="00332108">
        <w:t>.</w:t>
      </w:r>
    </w:p>
    <w:p w14:paraId="24CEF6C8" w14:textId="77777777" w:rsidR="00BA7CB9" w:rsidRPr="00332108" w:rsidRDefault="0056156B" w:rsidP="00756999">
      <w:pPr>
        <w:pStyle w:val="ListParagraph"/>
        <w:numPr>
          <w:ilvl w:val="0"/>
          <w:numId w:val="9"/>
        </w:numPr>
      </w:pPr>
      <w:r w:rsidRPr="00332108">
        <w:t>The ILN</w:t>
      </w:r>
      <w:r w:rsidR="00BA7CB9" w:rsidRPr="00332108">
        <w:t xml:space="preserve">NP requirement that </w:t>
      </w:r>
      <w:r w:rsidRPr="00332108">
        <w:t>funds</w:t>
      </w:r>
      <w:r w:rsidR="00CD761C">
        <w:t xml:space="preserve"> in Government schools</w:t>
      </w:r>
      <w:r w:rsidRPr="00332108">
        <w:t xml:space="preserve"> be spent </w:t>
      </w:r>
      <w:r w:rsidR="00346F20" w:rsidRPr="00332108">
        <w:t>in line with</w:t>
      </w:r>
      <w:r w:rsidRPr="00332108">
        <w:t xml:space="preserve"> the Professional Learning Policy </w:t>
      </w:r>
      <w:r w:rsidR="00756C4F" w:rsidRPr="00332108">
        <w:t>has led to a</w:t>
      </w:r>
      <w:r w:rsidRPr="00332108">
        <w:t xml:space="preserve"> </w:t>
      </w:r>
      <w:r w:rsidR="00756C4F" w:rsidRPr="00332108">
        <w:t xml:space="preserve">significant </w:t>
      </w:r>
      <w:r w:rsidR="002B64EF" w:rsidRPr="00332108">
        <w:t>focus on professional learnin</w:t>
      </w:r>
      <w:r w:rsidRPr="00332108">
        <w:t xml:space="preserve">g, </w:t>
      </w:r>
      <w:r w:rsidR="00756C4F" w:rsidRPr="00332108">
        <w:t>leading to enhanced</w:t>
      </w:r>
      <w:r w:rsidRPr="00332108">
        <w:t xml:space="preserve"> teacher quality</w:t>
      </w:r>
      <w:r w:rsidR="002B64EF" w:rsidRPr="00332108">
        <w:t>.</w:t>
      </w:r>
      <w:r w:rsidR="00ED1B35" w:rsidRPr="00332108">
        <w:t xml:space="preserve"> </w:t>
      </w:r>
      <w:r w:rsidR="00BA7CB9" w:rsidRPr="00332108">
        <w:t>T</w:t>
      </w:r>
      <w:r w:rsidR="00ED1B35" w:rsidRPr="00332108">
        <w:t>his</w:t>
      </w:r>
      <w:r w:rsidR="00BA7CB9" w:rsidRPr="00332108">
        <w:t xml:space="preserve"> building of teacher capacity has been identified by schools as the major sustainable benefit of the ILNNP. </w:t>
      </w:r>
    </w:p>
    <w:p w14:paraId="32DE09FC" w14:textId="77777777" w:rsidR="002B64EF" w:rsidRPr="00332108" w:rsidRDefault="002B64EF" w:rsidP="00756999">
      <w:pPr>
        <w:pStyle w:val="ListParagraph"/>
        <w:numPr>
          <w:ilvl w:val="0"/>
          <w:numId w:val="9"/>
        </w:numPr>
      </w:pPr>
      <w:r w:rsidRPr="00332108">
        <w:t xml:space="preserve">A number of schools chose to appoint a literacy or numeracy leader to coordinate the </w:t>
      </w:r>
      <w:r w:rsidR="00A5128E" w:rsidRPr="00332108">
        <w:t xml:space="preserve">ILNNP initiative </w:t>
      </w:r>
      <w:r w:rsidRPr="00332108">
        <w:t>in the school</w:t>
      </w:r>
      <w:r w:rsidR="00A5128E" w:rsidRPr="00332108">
        <w:t>, thereby developing the leadership skills of excellent classroom practitioners</w:t>
      </w:r>
      <w:r w:rsidRPr="00332108">
        <w:t>.</w:t>
      </w:r>
    </w:p>
    <w:p w14:paraId="0B31CC49" w14:textId="77777777" w:rsidR="00332108" w:rsidRPr="00332108" w:rsidRDefault="0031306E" w:rsidP="00756999">
      <w:pPr>
        <w:pStyle w:val="ListParagraph"/>
        <w:numPr>
          <w:ilvl w:val="0"/>
          <w:numId w:val="9"/>
        </w:numPr>
      </w:pPr>
      <w:r w:rsidRPr="00332108">
        <w:t>The inclusion of schools that had not previously received additional funding</w:t>
      </w:r>
      <w:r w:rsidR="00A5128E" w:rsidRPr="00332108">
        <w:t xml:space="preserve"> was </w:t>
      </w:r>
      <w:r w:rsidR="00332108" w:rsidRPr="00332108">
        <w:t>highly valued by the schools inv</w:t>
      </w:r>
      <w:r w:rsidR="00A5128E" w:rsidRPr="00332108">
        <w:t>olved, allowing schools to accelerate and extend existing plans</w:t>
      </w:r>
      <w:r w:rsidR="00332108" w:rsidRPr="00332108">
        <w:t>.</w:t>
      </w:r>
    </w:p>
    <w:p w14:paraId="1076C7CB" w14:textId="0CFC9765" w:rsidR="00332108" w:rsidRPr="00332108" w:rsidRDefault="00C634DB" w:rsidP="00756999">
      <w:pPr>
        <w:pStyle w:val="ListParagraph"/>
        <w:numPr>
          <w:ilvl w:val="0"/>
          <w:numId w:val="9"/>
        </w:numPr>
      </w:pPr>
      <w:r w:rsidRPr="00332108">
        <w:t>The</w:t>
      </w:r>
      <w:r w:rsidR="00BA63BC" w:rsidRPr="00332108">
        <w:t xml:space="preserve"> use of student data to monitor, inform and progress learning at </w:t>
      </w:r>
      <w:r w:rsidR="00B459F7">
        <w:t>whole-school</w:t>
      </w:r>
      <w:r w:rsidR="00BA63BC" w:rsidRPr="00332108">
        <w:t>,</w:t>
      </w:r>
      <w:r w:rsidR="00332108" w:rsidRPr="00332108">
        <w:t xml:space="preserve"> classroom and individual level.</w:t>
      </w:r>
    </w:p>
    <w:p w14:paraId="52A18D7F" w14:textId="651FA851" w:rsidR="004361BE" w:rsidRPr="004B187F" w:rsidRDefault="00917771" w:rsidP="00376D75">
      <w:pPr>
        <w:pStyle w:val="Heading3"/>
      </w:pPr>
      <w:r w:rsidRPr="004B187F">
        <w:t>Lessons Learned</w:t>
      </w:r>
    </w:p>
    <w:p w14:paraId="75AC93B7" w14:textId="77777777" w:rsidR="003C418E" w:rsidRPr="003C418E" w:rsidRDefault="000260D5" w:rsidP="00376D75">
      <w:r w:rsidRPr="003C418E">
        <w:t xml:space="preserve">The importance of planning sustainable structures and </w:t>
      </w:r>
      <w:r w:rsidR="003C418E" w:rsidRPr="003C418E">
        <w:t>programs and t</w:t>
      </w:r>
      <w:r w:rsidR="006B467B" w:rsidRPr="003C418E">
        <w:t>he value of local meas</w:t>
      </w:r>
      <w:r w:rsidR="003C418E" w:rsidRPr="003C418E">
        <w:t>ures to assess student progress were just two of many important lessons learned throughout the ILNNP.</w:t>
      </w:r>
      <w:r w:rsidR="003C418E">
        <w:t xml:space="preserve"> Schools from all sectors reported on </w:t>
      </w:r>
      <w:r w:rsidR="003C418E" w:rsidRPr="003C418E">
        <w:t>the i</w:t>
      </w:r>
      <w:r w:rsidR="003C418E">
        <w:t>mportance of</w:t>
      </w:r>
      <w:r w:rsidR="003C418E" w:rsidRPr="003C418E">
        <w:t xml:space="preserve"> ensuring</w:t>
      </w:r>
      <w:r w:rsidR="003C418E">
        <w:t xml:space="preserve"> that sufficient</w:t>
      </w:r>
      <w:r w:rsidR="003C418E" w:rsidRPr="003C418E">
        <w:t xml:space="preserve"> time</w:t>
      </w:r>
      <w:r w:rsidR="003C418E">
        <w:t xml:space="preserve"> was </w:t>
      </w:r>
      <w:r w:rsidR="003C418E" w:rsidRPr="003C418E">
        <w:t xml:space="preserve">provided for the school leadership team </w:t>
      </w:r>
      <w:r w:rsidR="003C418E">
        <w:t>to meet in order to plan and</w:t>
      </w:r>
      <w:r w:rsidR="003C418E" w:rsidRPr="003C418E">
        <w:t xml:space="preserve"> monitor </w:t>
      </w:r>
      <w:r w:rsidR="003C418E">
        <w:t>implementation, and importantly</w:t>
      </w:r>
      <w:r w:rsidR="003C418E" w:rsidRPr="003C418E">
        <w:t xml:space="preserve"> to participate actively in the professional learning that is included in the plan</w:t>
      </w:r>
      <w:r w:rsidR="00087873">
        <w:t>.</w:t>
      </w:r>
    </w:p>
    <w:p w14:paraId="78ABC8AA" w14:textId="77777777" w:rsidR="006B467B" w:rsidRPr="003C418E" w:rsidRDefault="003C418E" w:rsidP="00376D75">
      <w:pPr>
        <w:rPr>
          <w:szCs w:val="24"/>
        </w:rPr>
      </w:pPr>
      <w:r w:rsidRPr="003C418E">
        <w:rPr>
          <w:color w:val="000000" w:themeColor="text1"/>
        </w:rPr>
        <w:t>The role of the Principal</w:t>
      </w:r>
      <w:r>
        <w:rPr>
          <w:color w:val="000000" w:themeColor="text1"/>
        </w:rPr>
        <w:t xml:space="preserve"> and school leadership team</w:t>
      </w:r>
      <w:r w:rsidRPr="003C418E">
        <w:rPr>
          <w:color w:val="000000" w:themeColor="text1"/>
        </w:rPr>
        <w:t xml:space="preserve"> proved critical</w:t>
      </w:r>
      <w:r>
        <w:rPr>
          <w:color w:val="000000" w:themeColor="text1"/>
        </w:rPr>
        <w:t xml:space="preserve"> in achieving success during the</w:t>
      </w:r>
      <w:r w:rsidR="0052454A">
        <w:rPr>
          <w:color w:val="000000" w:themeColor="text1"/>
        </w:rPr>
        <w:t xml:space="preserve"> </w:t>
      </w:r>
      <w:r>
        <w:rPr>
          <w:color w:val="000000" w:themeColor="text1"/>
        </w:rPr>
        <w:t>ILNNP. Principals</w:t>
      </w:r>
      <w:r w:rsidRPr="003C418E">
        <w:rPr>
          <w:color w:val="000000" w:themeColor="text1"/>
        </w:rPr>
        <w:t xml:space="preserve"> needed to be actively involved as instructional leaders</w:t>
      </w:r>
      <w:r>
        <w:rPr>
          <w:color w:val="000000" w:themeColor="text1"/>
        </w:rPr>
        <w:t xml:space="preserve"> in literacy and numeracy.</w:t>
      </w:r>
      <w:r w:rsidRPr="003C418E">
        <w:rPr>
          <w:color w:val="000000" w:themeColor="text1"/>
        </w:rPr>
        <w:t xml:space="preserve"> </w:t>
      </w:r>
      <w:r>
        <w:rPr>
          <w:color w:val="000000" w:themeColor="text1"/>
        </w:rPr>
        <w:t>Some schools reported that where</w:t>
      </w:r>
      <w:r w:rsidRPr="003C418E">
        <w:rPr>
          <w:color w:val="000000" w:themeColor="text1"/>
        </w:rPr>
        <w:t xml:space="preserve"> there was a principal change during the period of the intervention it proved difficult to maintain momentum.</w:t>
      </w:r>
    </w:p>
    <w:p w14:paraId="713E2541" w14:textId="77777777" w:rsidR="00AB37BC" w:rsidRPr="003C418E" w:rsidRDefault="003C418E" w:rsidP="00376D75">
      <w:pPr>
        <w:rPr>
          <w:color w:val="000000" w:themeColor="text1"/>
        </w:rPr>
      </w:pPr>
      <w:r w:rsidRPr="003C418E">
        <w:rPr>
          <w:color w:val="000000" w:themeColor="text1"/>
        </w:rPr>
        <w:t>Some smaller rural and remote schools reported that casual staff were</w:t>
      </w:r>
      <w:r w:rsidR="00014DB5">
        <w:rPr>
          <w:color w:val="000000" w:themeColor="text1"/>
        </w:rPr>
        <w:t xml:space="preserve"> often</w:t>
      </w:r>
      <w:r w:rsidR="00AB37BC" w:rsidRPr="003C418E">
        <w:rPr>
          <w:color w:val="000000" w:themeColor="text1"/>
        </w:rPr>
        <w:t xml:space="preserve"> not readily avai</w:t>
      </w:r>
      <w:r w:rsidRPr="003C418E">
        <w:rPr>
          <w:color w:val="000000" w:themeColor="text1"/>
        </w:rPr>
        <w:t>lable</w:t>
      </w:r>
      <w:r w:rsidR="007E692F">
        <w:rPr>
          <w:color w:val="000000" w:themeColor="text1"/>
        </w:rPr>
        <w:t>.</w:t>
      </w:r>
      <w:r w:rsidR="00014DB5">
        <w:rPr>
          <w:color w:val="000000" w:themeColor="text1"/>
        </w:rPr>
        <w:t xml:space="preserve"> This</w:t>
      </w:r>
      <w:r w:rsidR="00B41DDA">
        <w:rPr>
          <w:color w:val="000000" w:themeColor="text1"/>
        </w:rPr>
        <w:t xml:space="preserve"> impacted on the </w:t>
      </w:r>
      <w:r w:rsidR="00014DB5">
        <w:rPr>
          <w:color w:val="000000" w:themeColor="text1"/>
        </w:rPr>
        <w:t xml:space="preserve">effective </w:t>
      </w:r>
      <w:r w:rsidR="00B41DDA">
        <w:rPr>
          <w:color w:val="000000" w:themeColor="text1"/>
        </w:rPr>
        <w:t>provision of</w:t>
      </w:r>
      <w:r w:rsidRPr="003C418E">
        <w:rPr>
          <w:color w:val="000000" w:themeColor="text1"/>
        </w:rPr>
        <w:t xml:space="preserve"> relief time</w:t>
      </w:r>
      <w:r w:rsidR="00B41DDA">
        <w:rPr>
          <w:color w:val="000000" w:themeColor="text1"/>
        </w:rPr>
        <w:t xml:space="preserve"> in order</w:t>
      </w:r>
      <w:r w:rsidRPr="003C418E">
        <w:rPr>
          <w:color w:val="000000" w:themeColor="text1"/>
        </w:rPr>
        <w:t xml:space="preserve"> for teachers to be involved in the necessary professional learning and mentoring. </w:t>
      </w:r>
    </w:p>
    <w:p w14:paraId="7828266C" w14:textId="206572EF" w:rsidR="00AB37BC" w:rsidRPr="003C418E" w:rsidRDefault="003C418E" w:rsidP="00376D75">
      <w:pPr>
        <w:rPr>
          <w:color w:val="000000" w:themeColor="text1"/>
        </w:rPr>
      </w:pPr>
      <w:r w:rsidRPr="003C418E">
        <w:rPr>
          <w:color w:val="000000" w:themeColor="text1"/>
        </w:rPr>
        <w:t>T</w:t>
      </w:r>
      <w:r w:rsidR="00AB37BC" w:rsidRPr="003C418E">
        <w:rPr>
          <w:color w:val="000000" w:themeColor="text1"/>
        </w:rPr>
        <w:t xml:space="preserve">he importance of data collection and analysis in context proved critical as did the establishment of Learning Intentions/Success criteria. Staff trained in new intervention programs </w:t>
      </w:r>
      <w:r w:rsidR="00392976">
        <w:rPr>
          <w:color w:val="000000" w:themeColor="text1"/>
        </w:rPr>
        <w:t xml:space="preserve">will </w:t>
      </w:r>
      <w:r w:rsidR="00AB37BC" w:rsidRPr="003C418E">
        <w:rPr>
          <w:color w:val="000000" w:themeColor="text1"/>
        </w:rPr>
        <w:t>require sustained training and continued opportunities to consolidate skills. Professional learning therefore ne</w:t>
      </w:r>
      <w:r w:rsidR="00D50D64">
        <w:rPr>
          <w:color w:val="000000" w:themeColor="text1"/>
        </w:rPr>
        <w:t>eds to be embedded through long-</w:t>
      </w:r>
      <w:r w:rsidR="00AB37BC" w:rsidRPr="003C418E">
        <w:rPr>
          <w:color w:val="000000" w:themeColor="text1"/>
        </w:rPr>
        <w:t>term, practical, classroom support in order to maintain the</w:t>
      </w:r>
      <w:r w:rsidR="00AB37BC" w:rsidRPr="003C418E">
        <w:rPr>
          <w:iCs/>
          <w:color w:val="000000" w:themeColor="text1"/>
          <w:lang w:val="en-US"/>
        </w:rPr>
        <w:t xml:space="preserve"> capacity of teachers.</w:t>
      </w:r>
    </w:p>
    <w:p w14:paraId="31329E9F" w14:textId="77777777" w:rsidR="00B61CE2" w:rsidRDefault="00B61CE2">
      <w:pPr>
        <w:rPr>
          <w:rFonts w:ascii="Arial" w:hAnsi="Arial" w:cs="Arial"/>
          <w:b/>
          <w:color w:val="1F497D" w:themeColor="text2"/>
          <w:sz w:val="32"/>
          <w:szCs w:val="32"/>
        </w:rPr>
      </w:pPr>
      <w:r>
        <w:rPr>
          <w:rFonts w:ascii="Arial" w:hAnsi="Arial" w:cs="Arial"/>
          <w:b/>
          <w:color w:val="1F497D" w:themeColor="text2"/>
          <w:sz w:val="32"/>
          <w:szCs w:val="32"/>
        </w:rPr>
        <w:br w:type="page"/>
      </w:r>
    </w:p>
    <w:p w14:paraId="15C1BC98" w14:textId="65782E81" w:rsidR="003C6B11" w:rsidRPr="0065537F" w:rsidRDefault="003C6B11" w:rsidP="00376D75">
      <w:pPr>
        <w:pStyle w:val="Heading2"/>
      </w:pPr>
      <w:r w:rsidRPr="001F2729">
        <w:lastRenderedPageBreak/>
        <w:t>SECTION 2: APPROACHES</w:t>
      </w:r>
    </w:p>
    <w:p w14:paraId="446CDDB3" w14:textId="77777777" w:rsidR="003C6B11" w:rsidRPr="001F2729" w:rsidRDefault="003C6B11" w:rsidP="00376D75">
      <w:pPr>
        <w:pStyle w:val="Heading3"/>
      </w:pPr>
      <w:r w:rsidRPr="001F2729">
        <w:t>Summary of each approach</w:t>
      </w:r>
    </w:p>
    <w:p w14:paraId="1F81E4A3" w14:textId="77777777" w:rsidR="003C6B11" w:rsidRPr="00B16E52" w:rsidRDefault="003C6B11" w:rsidP="00376D75">
      <w:r w:rsidRPr="00B16E52">
        <w:t>New South Wales adopted a whole-school approach to improve the performance of students falling behind in literacy and numeracy, including students from disadvantaged backgrounds and Aboriginal students. The five elements</w:t>
      </w:r>
      <w:r>
        <w:t xml:space="preserve"> of this approach</w:t>
      </w:r>
      <w:r w:rsidRPr="00B16E52">
        <w:t xml:space="preserve"> employed across </w:t>
      </w:r>
      <w:r>
        <w:t>t</w:t>
      </w:r>
      <w:r w:rsidRPr="00B16E52">
        <w:t>he NSW Department of Education and Communities, the Association of Independent Schools of NSW, and the Catholic Education Commission of NSW were:</w:t>
      </w:r>
    </w:p>
    <w:p w14:paraId="552CF510" w14:textId="77777777" w:rsidR="003C6B11" w:rsidRPr="00B16E52" w:rsidRDefault="003C6B11" w:rsidP="00756999">
      <w:pPr>
        <w:pStyle w:val="ListParagraph"/>
        <w:numPr>
          <w:ilvl w:val="0"/>
          <w:numId w:val="10"/>
        </w:numPr>
      </w:pPr>
      <w:r w:rsidRPr="00B16E52">
        <w:t>Principals and school leaders modelling good practice in the delivery of literacy and numeracy teaching</w:t>
      </w:r>
    </w:p>
    <w:p w14:paraId="38C25B54" w14:textId="77777777" w:rsidR="003C6B11" w:rsidRPr="00B16E52" w:rsidRDefault="003C6B11" w:rsidP="00756999">
      <w:pPr>
        <w:pStyle w:val="ListParagraph"/>
        <w:numPr>
          <w:ilvl w:val="0"/>
          <w:numId w:val="10"/>
        </w:numPr>
      </w:pPr>
      <w:r w:rsidRPr="00B16E52">
        <w:t>Best practice professional learning of principals and teachers leading to observable changes in the classroom</w:t>
      </w:r>
    </w:p>
    <w:p w14:paraId="13366A4E" w14:textId="77777777" w:rsidR="003C6B11" w:rsidRPr="00B16E52" w:rsidRDefault="003C6B11" w:rsidP="00756999">
      <w:pPr>
        <w:pStyle w:val="ListParagraph"/>
        <w:numPr>
          <w:ilvl w:val="0"/>
          <w:numId w:val="10"/>
        </w:numPr>
      </w:pPr>
      <w:r w:rsidRPr="00B16E52">
        <w:t>School leaders and teachers working together to identify school-wide and individual student learning needs</w:t>
      </w:r>
    </w:p>
    <w:p w14:paraId="2998DC13" w14:textId="77777777" w:rsidR="003C6B11" w:rsidRPr="00B16E52" w:rsidRDefault="003C6B11" w:rsidP="00756999">
      <w:pPr>
        <w:pStyle w:val="ListParagraph"/>
        <w:numPr>
          <w:ilvl w:val="0"/>
          <w:numId w:val="10"/>
        </w:numPr>
      </w:pPr>
      <w:r w:rsidRPr="00B16E52">
        <w:t>Effective data analysis to drive learning effort through the tracking of student progress and the identification of learning needs</w:t>
      </w:r>
    </w:p>
    <w:p w14:paraId="683F7F0B" w14:textId="77777777" w:rsidR="003C6B11" w:rsidRPr="00B16E52" w:rsidRDefault="003C6B11" w:rsidP="00756999">
      <w:pPr>
        <w:pStyle w:val="ListParagraph"/>
        <w:numPr>
          <w:ilvl w:val="0"/>
          <w:numId w:val="10"/>
        </w:numPr>
      </w:pPr>
      <w:r w:rsidRPr="00B16E52">
        <w:t>Explicit teaching methods to promote greater student engagement.</w:t>
      </w:r>
    </w:p>
    <w:p w14:paraId="17637E4E" w14:textId="77777777" w:rsidR="003C6B11" w:rsidRPr="001F2729" w:rsidRDefault="003C6B11" w:rsidP="00376D75">
      <w:pPr>
        <w:pStyle w:val="Heading2"/>
      </w:pPr>
      <w:r w:rsidRPr="001F2729">
        <w:t>Reasoning behind the approaches selected at the state and sector level</w:t>
      </w:r>
    </w:p>
    <w:p w14:paraId="5EF13F8A" w14:textId="77777777" w:rsidR="003C6B11" w:rsidRPr="00B16E52" w:rsidRDefault="003C6B11" w:rsidP="00376D75">
      <w:r>
        <w:t xml:space="preserve">The three NSW school sectors </w:t>
      </w:r>
      <w:r w:rsidRPr="00B16E52">
        <w:t>developed this initiative in keeping with professional best-practice for principals and teachers, and infor</w:t>
      </w:r>
      <w:r w:rsidR="002C5BE3">
        <w:t xml:space="preserve">med by a strong research base. </w:t>
      </w:r>
    </w:p>
    <w:p w14:paraId="681F7CBA" w14:textId="77777777" w:rsidR="003C6B11" w:rsidRPr="00B16E52" w:rsidRDefault="003C6B11" w:rsidP="00376D75">
      <w:r w:rsidRPr="00B16E52">
        <w:t>The central role of principals and teachers in driving cultural change in participating schools was recognised from the beginning</w:t>
      </w:r>
      <w:r>
        <w:t xml:space="preserve">. </w:t>
      </w:r>
      <w:r w:rsidRPr="00B16E52">
        <w:t>Professional best practice for principals is detailed in the National Professional Standard for Principals and those aspects most closely aligned with this initiative were the following:</w:t>
      </w:r>
    </w:p>
    <w:p w14:paraId="1B00E57B" w14:textId="77777777" w:rsidR="003C6B11" w:rsidRPr="00B16E52" w:rsidRDefault="003C6B11" w:rsidP="00376D75">
      <w:r w:rsidRPr="00B16E52">
        <w:t>Standard 1</w:t>
      </w:r>
      <w:r>
        <w:t xml:space="preserve"> - Leading teaching and learning</w:t>
      </w:r>
    </w:p>
    <w:p w14:paraId="0C706778" w14:textId="77777777" w:rsidR="003C6B11" w:rsidRPr="00B16E52" w:rsidRDefault="003C6B11" w:rsidP="00376D75">
      <w:r>
        <w:t>Standard 2 - Developing self and others</w:t>
      </w:r>
    </w:p>
    <w:p w14:paraId="4F3E1A85" w14:textId="77777777" w:rsidR="003C6B11" w:rsidRPr="00B16E52" w:rsidRDefault="003C6B11" w:rsidP="00376D75">
      <w:r>
        <w:t xml:space="preserve">Standard 3 - </w:t>
      </w:r>
      <w:r w:rsidRPr="00B16E52">
        <w:t>Leading impr</w:t>
      </w:r>
      <w:r>
        <w:t>ovement, innovation and change.</w:t>
      </w:r>
    </w:p>
    <w:p w14:paraId="1C8C3570" w14:textId="77777777" w:rsidR="003C6B11" w:rsidRPr="00B16E52" w:rsidRDefault="003C6B11" w:rsidP="00376D75">
      <w:r w:rsidRPr="00B16E52">
        <w:t xml:space="preserve">Best-practice in teaching is detailed in the National Professional Standards for Teachers. Particularly aligned with this initiative are the following Professional Standards, although all are relevant: </w:t>
      </w:r>
    </w:p>
    <w:p w14:paraId="49EACA5A" w14:textId="77777777" w:rsidR="003C6B11" w:rsidRPr="00B16E52" w:rsidRDefault="003C6B11" w:rsidP="00376D75">
      <w:r w:rsidRPr="00B16E52">
        <w:t>Standard 1</w:t>
      </w:r>
      <w:r>
        <w:t xml:space="preserve"> </w:t>
      </w:r>
      <w:r w:rsidRPr="00B16E52">
        <w:t>- K</w:t>
      </w:r>
      <w:r>
        <w:t>now students and how they learn</w:t>
      </w:r>
    </w:p>
    <w:p w14:paraId="4F61AF2B" w14:textId="77777777" w:rsidR="003C6B11" w:rsidRPr="00B16E52" w:rsidRDefault="003C6B11" w:rsidP="00376D75">
      <w:r w:rsidRPr="00B16E52">
        <w:t>Standard 3</w:t>
      </w:r>
      <w:r>
        <w:t xml:space="preserve"> </w:t>
      </w:r>
      <w:r w:rsidRPr="00B16E52">
        <w:t xml:space="preserve">- Plan for and implement </w:t>
      </w:r>
      <w:r>
        <w:t>effective teaching and learning</w:t>
      </w:r>
    </w:p>
    <w:p w14:paraId="7189E19B" w14:textId="77777777" w:rsidR="003C6B11" w:rsidRPr="00B16E52" w:rsidRDefault="003C6B11" w:rsidP="00376D75">
      <w:r w:rsidRPr="00B16E52">
        <w:t>Standard 5</w:t>
      </w:r>
      <w:r>
        <w:t xml:space="preserve"> </w:t>
      </w:r>
      <w:r w:rsidRPr="00B16E52">
        <w:t xml:space="preserve">- Engage in professional learning. </w:t>
      </w:r>
    </w:p>
    <w:p w14:paraId="51A0E11B" w14:textId="77777777" w:rsidR="003C6B11" w:rsidRPr="00916122" w:rsidRDefault="003C6B11" w:rsidP="00376D75">
      <w:pPr>
        <w:pStyle w:val="Heading3"/>
      </w:pPr>
      <w:r w:rsidRPr="00916122">
        <w:t>Research base</w:t>
      </w:r>
    </w:p>
    <w:p w14:paraId="23E8B4EF" w14:textId="77777777" w:rsidR="003C6B11" w:rsidRPr="00B16E52" w:rsidRDefault="003C6B11" w:rsidP="00376D75">
      <w:r w:rsidRPr="00B16E52">
        <w:t xml:space="preserve">The approach used in this </w:t>
      </w:r>
      <w:r>
        <w:t>partnership</w:t>
      </w:r>
      <w:r w:rsidRPr="00B16E52">
        <w:t xml:space="preserve"> was informed by research which indicates that a whole-school approach is a key component of improving literacy and numeracy outcomes. Studies have indicated that whole-school engagement is associated with schools achieving excellent results, and improvements across the entire student body (Busatto, 2005; Crevola and Hill, 1998; Hayes, 2004).</w:t>
      </w:r>
    </w:p>
    <w:p w14:paraId="3171EC6C" w14:textId="2F7A0AFF" w:rsidR="003C6B11" w:rsidRPr="00B16E52" w:rsidRDefault="003C6B11" w:rsidP="00376D75">
      <w:r w:rsidRPr="00B16E52">
        <w:t xml:space="preserve">Teacher quality is one of the most significant factors within the control of schools which can positively influence the learning outcomes of students. The instructional quality provided to students has been shown </w:t>
      </w:r>
      <w:r w:rsidRPr="00B16E52">
        <w:lastRenderedPageBreak/>
        <w:t xml:space="preserve">to have a significant and positive effect on student performance, accounting for as much as 30% of the variance in student achievement (Hattie, 2003). Quality teaching through particular high-quality instructional and assessment practices also has a role in improving equity in classrooms by being able to reduce the performance gap between Indigenous and non-Indigenous, </w:t>
      </w:r>
      <w:r w:rsidR="00725513">
        <w:t>and high and l</w:t>
      </w:r>
      <w:r w:rsidRPr="00B16E52">
        <w:t xml:space="preserve">ow SES students (Amosa, Ladwig, Griffiths and Gore, 2008). </w:t>
      </w:r>
    </w:p>
    <w:p w14:paraId="7A87BC87" w14:textId="77777777" w:rsidR="003C6B11" w:rsidRPr="00B16E52" w:rsidRDefault="003C6B11" w:rsidP="00376D75">
      <w:r w:rsidRPr="00B16E52">
        <w:t xml:space="preserve">The role of principals and leadership teams in the initiative required the development of their instructional leadership capacity. Research consistently indicates that, both directly and indirectly, principals have a significant effect on the learning outcomes of students, the efficacy of teachers, and the school environment (Huber and Muijs 2010; Robinson, Lloyd and Rowe, 2008). </w:t>
      </w:r>
    </w:p>
    <w:p w14:paraId="44588A51" w14:textId="77777777" w:rsidR="003C6B11" w:rsidRPr="00B16E52" w:rsidRDefault="003C6B11" w:rsidP="00376D75">
      <w:r w:rsidRPr="00B16E52">
        <w:t xml:space="preserve">Data analysis to plan for student development, to identify students in need of additional support, and to track student and cohort progress was another key component. It is essential that teachers are able to understand the information available to them through data and to respond appropriately to student need (Matters, 2006; Timperley, 2009). </w:t>
      </w:r>
    </w:p>
    <w:p w14:paraId="277835DC" w14:textId="77777777" w:rsidR="003C6B11" w:rsidRPr="001F2729" w:rsidRDefault="003C6B11" w:rsidP="00376D75">
      <w:pPr>
        <w:pStyle w:val="Heading2"/>
      </w:pPr>
      <w:r w:rsidRPr="001F2729">
        <w:t>Contribution of approaches to outcomes</w:t>
      </w:r>
    </w:p>
    <w:p w14:paraId="49B6F025" w14:textId="7424D3CE" w:rsidR="003C6B11" w:rsidRDefault="003C6B11" w:rsidP="00376D75">
      <w:r>
        <w:t>Evidence detailing</w:t>
      </w:r>
      <w:r w:rsidRPr="00B16E52">
        <w:t xml:space="preserve"> student improvements in literacy and/or numeracy for all </w:t>
      </w:r>
      <w:r w:rsidR="00725513">
        <w:t>593</w:t>
      </w:r>
      <w:r w:rsidRPr="00B16E52">
        <w:t xml:space="preserve"> NSW schools participating in the ILNNP is provided in Section 3 of this report.</w:t>
      </w:r>
    </w:p>
    <w:p w14:paraId="0A279044" w14:textId="77777777" w:rsidR="003C6B11" w:rsidRPr="00B16E52" w:rsidRDefault="003C6B11" w:rsidP="00376D75">
      <w:r w:rsidRPr="00B16E52">
        <w:t xml:space="preserve">Examples provided below, drawn from participating Government, Independent and Catholic schools, illustrate the </w:t>
      </w:r>
      <w:r>
        <w:t xml:space="preserve">combined </w:t>
      </w:r>
      <w:r w:rsidRPr="00B16E52">
        <w:t xml:space="preserve">contribution of the five elements to achieving improved outcomes for NSW </w:t>
      </w:r>
      <w:r>
        <w:t>students over the life of this p</w:t>
      </w:r>
      <w:r w:rsidRPr="00B16E52">
        <w:t>artnership.</w:t>
      </w:r>
      <w:r>
        <w:t xml:space="preserve"> In particular, the three outcomes addressed are:</w:t>
      </w:r>
    </w:p>
    <w:p w14:paraId="2AD6257F" w14:textId="2A867755" w:rsidR="003C6B11" w:rsidRPr="006740B1" w:rsidRDefault="003C6B11" w:rsidP="00756999">
      <w:pPr>
        <w:pStyle w:val="ListParagraph"/>
        <w:numPr>
          <w:ilvl w:val="0"/>
          <w:numId w:val="2"/>
        </w:numPr>
      </w:pPr>
      <w:r w:rsidRPr="006740B1">
        <w:t>Improved student performance in target groups in participating schools.</w:t>
      </w:r>
    </w:p>
    <w:p w14:paraId="746933BA" w14:textId="2E5A1B47" w:rsidR="003C6B11" w:rsidRPr="006740B1" w:rsidRDefault="003C6B11" w:rsidP="00756999">
      <w:pPr>
        <w:pStyle w:val="ListParagraph"/>
        <w:numPr>
          <w:ilvl w:val="0"/>
          <w:numId w:val="2"/>
        </w:numPr>
      </w:pPr>
      <w:r w:rsidRPr="006740B1">
        <w:t>Effective identification of areas needing support in participating schools and subsequent improvement, through monitoring and analysis of literacy and numeracy performance.</w:t>
      </w:r>
    </w:p>
    <w:p w14:paraId="21D165CE" w14:textId="417F7227" w:rsidR="007629DA" w:rsidRPr="00376D75" w:rsidRDefault="003C6B11" w:rsidP="00756999">
      <w:pPr>
        <w:pStyle w:val="ListParagraph"/>
        <w:numPr>
          <w:ilvl w:val="0"/>
          <w:numId w:val="2"/>
        </w:numPr>
      </w:pPr>
      <w:r w:rsidRPr="006740B1">
        <w:t>Improved capability and effectiveness of literacy and / or numeracy teaching in participating schools.</w:t>
      </w:r>
    </w:p>
    <w:p w14:paraId="793B52D2" w14:textId="6C203217" w:rsidR="003C6B11" w:rsidRPr="001F2729" w:rsidRDefault="003C6B11" w:rsidP="00756999">
      <w:pPr>
        <w:pStyle w:val="Heading2"/>
        <w:numPr>
          <w:ilvl w:val="0"/>
          <w:numId w:val="3"/>
        </w:numPr>
        <w:ind w:left="426" w:hanging="426"/>
      </w:pPr>
      <w:r w:rsidRPr="001F2729">
        <w:t>Improved student performance in target groups in participating schools</w:t>
      </w:r>
    </w:p>
    <w:p w14:paraId="73E52AF6" w14:textId="0E19EEC1" w:rsidR="003C6B11" w:rsidRPr="00050BD7" w:rsidRDefault="003C6B11" w:rsidP="00376D75">
      <w:r>
        <w:t xml:space="preserve">Improved student performance in target groups in participating schools has been achieved through a combination of the five elements of the NSW </w:t>
      </w:r>
      <w:r w:rsidR="00B459F7">
        <w:t>whole-school</w:t>
      </w:r>
      <w:r>
        <w:t xml:space="preserve"> approach: strong leadership, teachers combining and sharing th</w:t>
      </w:r>
      <w:r w:rsidR="00B459F7">
        <w:t xml:space="preserve">eir efforts, including through </w:t>
      </w:r>
      <w:r>
        <w:t xml:space="preserve">professional learning, rigorous data analysis and finally through delivery of targeted explicit teaching. </w:t>
      </w:r>
    </w:p>
    <w:p w14:paraId="6693C614" w14:textId="77777777" w:rsidR="003C6B11" w:rsidRPr="00D15646" w:rsidRDefault="003C6B11" w:rsidP="00376D75">
      <w:pPr>
        <w:pStyle w:val="Heading3"/>
      </w:pPr>
      <w:r>
        <w:t>Examples of p</w:t>
      </w:r>
      <w:r w:rsidRPr="00D15646">
        <w:t>rincipals and school leaders modelling good practice</w:t>
      </w:r>
    </w:p>
    <w:p w14:paraId="4E22E227" w14:textId="3DA99EBE" w:rsidR="003C6B11" w:rsidRPr="00D84E78" w:rsidRDefault="00DC2900" w:rsidP="00376D75">
      <w:r>
        <w:t xml:space="preserve">The leadership team at Morisset High School were trained in using the continuum and developing strategies to support literacy. The </w:t>
      </w:r>
      <w:r w:rsidR="00F62E6C">
        <w:t xml:space="preserve">leadership </w:t>
      </w:r>
      <w:r>
        <w:t>team</w:t>
      </w:r>
      <w:r w:rsidR="00F62E6C">
        <w:t xml:space="preserve"> then</w:t>
      </w:r>
      <w:r>
        <w:t xml:space="preserve"> provided this training to staff and were able to coach and demonstrate practical teaching ideas that support reading and comprehending texts. </w:t>
      </w:r>
    </w:p>
    <w:p w14:paraId="2B4AD9CC" w14:textId="77777777" w:rsidR="003C6B11" w:rsidRPr="00D84E78" w:rsidRDefault="003C6B11" w:rsidP="00376D75">
      <w:r w:rsidRPr="00D84E78">
        <w:t xml:space="preserve">Bankstown Girls High School provided support for its executive to work with a literacy specialist to build their capacity to support staff to improve literacy outcomes in the school. </w:t>
      </w:r>
    </w:p>
    <w:p w14:paraId="7192229A" w14:textId="6F8C57EC" w:rsidR="003C6B11" w:rsidRPr="00D84E78" w:rsidRDefault="003C6B11" w:rsidP="00376D75">
      <w:r w:rsidRPr="00D84E78">
        <w:t xml:space="preserve">At Kearns Public School a </w:t>
      </w:r>
      <w:r w:rsidR="00B459F7">
        <w:t>whole-school</w:t>
      </w:r>
      <w:r w:rsidRPr="00D84E78">
        <w:t xml:space="preserve"> approach to reading comprehension was led by two Assistant Principals who developed a mentoring program for all staff focusing on explicit teaching of reading comprehension strategies.</w:t>
      </w:r>
    </w:p>
    <w:p w14:paraId="0E465054" w14:textId="77777777" w:rsidR="003C6B11" w:rsidRPr="00D84E78" w:rsidRDefault="003C6B11" w:rsidP="00376D75">
      <w:r w:rsidRPr="00D84E78">
        <w:lastRenderedPageBreak/>
        <w:t xml:space="preserve">In the Diocese of Wilcannia / Forbes, Literacy and Numeracy Coordinating Teams were formed to lead implementation and delivery of the initiative. Driven by a focus on continued improvement and high expectations for all learners, opportunities for greater teacher collaboration, collaborative planning and focussed professional dialogue were created. This resulted in more systematic, integrated, whole-school approaches to personalise student learning. </w:t>
      </w:r>
    </w:p>
    <w:p w14:paraId="3A846D06" w14:textId="77777777" w:rsidR="003C6B11" w:rsidRPr="00D84E78" w:rsidRDefault="003C6B11" w:rsidP="00376D75">
      <w:r w:rsidRPr="00D84E78">
        <w:t>The Learning Support Coordinator at St Phillips Christian College, Cessnock through in class support, observation and mentoring was able to monitor and adjust the intervention and support being provided to high-needs students. At the same time, support was provided enabling class teachers to further develop a repertoire of strategies to meet the needs of the at risk students in their class.</w:t>
      </w:r>
    </w:p>
    <w:p w14:paraId="0557561A" w14:textId="77777777" w:rsidR="003C6B11" w:rsidRDefault="003C6B11" w:rsidP="00376D75">
      <w:r w:rsidRPr="00D84E78">
        <w:t>In the Parramatta Diocese school principals, curriculum leaders and experienced teachers attended the EMU (Extending Mathematical Understanding) Leaders Program.  This six-day, university accredited course helped improve their capacity to lead mathematics in their schools and  included training in the use of the clinical mathematics assessment instrument (MAI).</w:t>
      </w:r>
    </w:p>
    <w:p w14:paraId="3B230110" w14:textId="77777777" w:rsidR="003C6B11" w:rsidRPr="00D15646" w:rsidRDefault="003C6B11" w:rsidP="00376D75">
      <w:pPr>
        <w:pStyle w:val="Heading3"/>
      </w:pPr>
      <w:r w:rsidRPr="00D15646">
        <w:t>Professional learning</w:t>
      </w:r>
    </w:p>
    <w:p w14:paraId="48ECA8CB" w14:textId="77777777" w:rsidR="003C6B11" w:rsidRPr="00D84E78" w:rsidRDefault="003C6B11" w:rsidP="00376D75">
      <w:r w:rsidRPr="00D84E78">
        <w:t xml:space="preserve">Independent schools provided highly focussed professional learning to ensure that targeted student needs were being met more effectively in the classroom. This was delivered through a range of approaches including: employment of or extending the hours of specialist teachers, classroom teachers participating in training provided for the delivery of intervention programs, professional learning for all staff in direct and explicit instruction in phonics, comprehension and understanding the literacy or numeracy demands across the Key Learning Areas and the teaching and learning cycle and programming for literacy. </w:t>
      </w:r>
    </w:p>
    <w:p w14:paraId="3A144665" w14:textId="77777777" w:rsidR="003C6B11" w:rsidRPr="00D84E78" w:rsidRDefault="003C6B11" w:rsidP="00376D75">
      <w:r w:rsidRPr="00D84E78">
        <w:t xml:space="preserve">Birrong Girls High School developed a professional learning plan that addressed the findings of the school’s situational analysis. This professional learning focussed on analysing and responding to student data through the use of numeracy activities across Key Learning Areas (KLAs).  Faculties identified the numeracy requirements of their subjects and the school provided professional learning and resources to support programming for the implementation of the NSW Syllabus for the Australian Curriculum Mathematics K-10. </w:t>
      </w:r>
    </w:p>
    <w:p w14:paraId="36DD5195" w14:textId="77777777" w:rsidR="003C6B11" w:rsidRPr="00D84E78" w:rsidRDefault="003C6B11" w:rsidP="00376D75">
      <w:r w:rsidRPr="00D84E78">
        <w:t>The Wollongong Diocese targeted student improvements in both literacy and numeracy through professional learning around Focus in Reading and Taking Off with Numeracy (TOWN). Data collected from local assessments across all participating primary schools on students’ reading and numeracy achievements provided clear evidence that these initiatives had produced greater teacher quality and improved student performance.</w:t>
      </w:r>
    </w:p>
    <w:p w14:paraId="1333DC11" w14:textId="77777777" w:rsidR="003C6B11" w:rsidRPr="00D15646" w:rsidRDefault="003C6B11" w:rsidP="00376D75">
      <w:pPr>
        <w:pStyle w:val="Heading3"/>
      </w:pPr>
      <w:r w:rsidRPr="00D15646">
        <w:t xml:space="preserve">Leaders and teachers working together </w:t>
      </w:r>
    </w:p>
    <w:p w14:paraId="478E3CBC" w14:textId="77777777" w:rsidR="003C6B11" w:rsidRPr="00D84E78" w:rsidRDefault="003C6B11" w:rsidP="00376D75">
      <w:r w:rsidRPr="00D84E78">
        <w:t>In the Wilcannia / Forbes Diocese, ILNNP funding enabled greater teacher collaboration and the development of professional learning communities. Learning teams were goal driven and linked their collaborative planning and professional dialogue directly to classroom practice.</w:t>
      </w:r>
    </w:p>
    <w:p w14:paraId="36BCD9DB" w14:textId="77777777" w:rsidR="003C6B11" w:rsidRPr="00D84E78" w:rsidRDefault="003C6B11" w:rsidP="00376D75">
      <w:r w:rsidRPr="00D84E78">
        <w:t>Following data analysis undertaken at Menai Public School, executive and school leaders identified students in Stage 2 (Years 3 and 4) as the target group for the ILNNP. Teachers then worked collectively to develop their understanding of:</w:t>
      </w:r>
    </w:p>
    <w:p w14:paraId="05FE6D12" w14:textId="77777777" w:rsidR="003C6B11" w:rsidRPr="00D84E78" w:rsidRDefault="003C6B11" w:rsidP="00756999">
      <w:pPr>
        <w:pStyle w:val="ListParagraph"/>
        <w:numPr>
          <w:ilvl w:val="0"/>
          <w:numId w:val="4"/>
        </w:numPr>
      </w:pPr>
      <w:r w:rsidRPr="00D84E78">
        <w:t>the structure of the literacy continuum</w:t>
      </w:r>
    </w:p>
    <w:p w14:paraId="0CAAFC19" w14:textId="77777777" w:rsidR="003C6B11" w:rsidRPr="00D84E78" w:rsidRDefault="003C6B11" w:rsidP="00756999">
      <w:pPr>
        <w:pStyle w:val="ListParagraph"/>
        <w:numPr>
          <w:ilvl w:val="0"/>
          <w:numId w:val="4"/>
        </w:numPr>
      </w:pPr>
      <w:r w:rsidRPr="00D84E78">
        <w:t xml:space="preserve">how to assess and plot students using the literacy continuum and monitor student progress </w:t>
      </w:r>
    </w:p>
    <w:p w14:paraId="1695F32C" w14:textId="77777777" w:rsidR="003C6B11" w:rsidRPr="00D84E78" w:rsidRDefault="003C6B11" w:rsidP="00756999">
      <w:pPr>
        <w:pStyle w:val="ListParagraph"/>
        <w:numPr>
          <w:ilvl w:val="0"/>
          <w:numId w:val="4"/>
        </w:numPr>
      </w:pPr>
      <w:r w:rsidRPr="00D84E78">
        <w:lastRenderedPageBreak/>
        <w:t>how to plan for quality teaching and learning using the continuum and</w:t>
      </w:r>
    </w:p>
    <w:p w14:paraId="394291FC" w14:textId="77777777" w:rsidR="00BB2CEF" w:rsidRDefault="003C6B11" w:rsidP="00756999">
      <w:pPr>
        <w:pStyle w:val="ListParagraph"/>
        <w:numPr>
          <w:ilvl w:val="0"/>
          <w:numId w:val="4"/>
        </w:numPr>
      </w:pPr>
      <w:r w:rsidRPr="00D84E78">
        <w:t>the alignment of the continuum to the syllabus.</w:t>
      </w:r>
    </w:p>
    <w:p w14:paraId="0C6B1EC6" w14:textId="49E7437E" w:rsidR="003C6B11" w:rsidRPr="00BB2CEF" w:rsidRDefault="003C6B11" w:rsidP="00376D75">
      <w:r w:rsidRPr="00BB2CEF">
        <w:t>As a consequence of the subsequent changes to teaching and learning, the school achieved a striking increase in the numbers of students achieving at or above expectations with a similar decrease in the percentage of students achieving below expectations.</w:t>
      </w:r>
    </w:p>
    <w:p w14:paraId="04884D94" w14:textId="77777777" w:rsidR="003C6B11" w:rsidRPr="00D84E78" w:rsidRDefault="003C6B11" w:rsidP="00376D75">
      <w:r w:rsidRPr="00D84E78">
        <w:t>Systematic collaboration was an expectation at several Independent schools. Teachers at Carinya Tamworth were provided with half day release every term for collaboration and to observe their colleagues.  All junior and middle school teachers at Coffs Harbour Christian Community School were provided with release one day per term for collaborative planning, team teaching and collegial observation.</w:t>
      </w:r>
    </w:p>
    <w:p w14:paraId="7C14CA5A" w14:textId="77777777" w:rsidR="003C6B11" w:rsidRPr="00D84E78" w:rsidRDefault="003C6B11" w:rsidP="00376D75">
      <w:r w:rsidRPr="00D84E78">
        <w:t>In order to support the transition of students from Stage 3 to Stage 4, teachers at Oak Flats High School liaised with teachers from their partner primary schools in the use of the numeracy continuum to develop a shared understanding of grade expectations. Collectively, Stage 3 and Stage 4 teachers shared resources and strategies for the target group which comprised all Year 7 and 8 students.</w:t>
      </w:r>
    </w:p>
    <w:p w14:paraId="5F45FCE2" w14:textId="77777777" w:rsidR="003C6B11" w:rsidRPr="00D84E78" w:rsidRDefault="003C6B11" w:rsidP="00376D75">
      <w:pPr>
        <w:pStyle w:val="Heading3"/>
      </w:pPr>
      <w:r w:rsidRPr="00D84E78">
        <w:t xml:space="preserve">Effective data analysis </w:t>
      </w:r>
    </w:p>
    <w:p w14:paraId="1B034392" w14:textId="77777777" w:rsidR="003C6B11" w:rsidRPr="00D84E78" w:rsidRDefault="003C6B11" w:rsidP="00376D75">
      <w:r w:rsidRPr="00D84E78">
        <w:t>All Catholic ILNNP schools adopted a whole-school focus on improving data literacy. The schools adopted systematic approaches for collection, analysis, interpretation and tracking of student performance data (test data and curriculum-based assessment). There was a strong focus on analysis of school trend data and the use of data to tailor interventions and professional learning was undertaken to improve pedagogical strength in focus areas. All schools reported that students in target groups demonstrated accelerated growth in the student assessment data and there was an observed improvement in student engagement, participation and confidence.</w:t>
      </w:r>
    </w:p>
    <w:p w14:paraId="6743E6DE" w14:textId="77777777" w:rsidR="003C6B11" w:rsidRDefault="003C6B11" w:rsidP="00376D75">
      <w:r w:rsidRPr="00D84E78">
        <w:t>As a complement to whole-school data analysis, Independent schools used more specific and detailed assessments to identify the specific areas of intervention required by students whose learning needs were not being fully met in the classroom. Schools typically developed short responsive cycles of intervention, monitoring and program adjustment to track and respond to students being provided with Tier2/3 interventions.</w:t>
      </w:r>
    </w:p>
    <w:p w14:paraId="791DE4F0" w14:textId="59260740" w:rsidR="00BB1170" w:rsidRPr="00BB1170" w:rsidRDefault="00BB1170" w:rsidP="00376D75">
      <w:r w:rsidRPr="00BB1170">
        <w:t>The analysis of data underpinned the approach taken by Government schools. Schools began with data analysis t the situational analysis to inform planning. Teachers assessed students and analysed data in relation to the continuums using the Planning Literacy and Numeracy (PLAN) software and used a variety of assessment information, including NAPLAN, to build consistency of teacher judgement. Two-hundred and seventy-one schools undertook professional learning on the use of data (including item analysis) in teaching and learning, with 144 schools requiring evidence of data analysis in teachers’ programs. The diagnostic information provided by a range of curriculum-based assessments and ongoing tracking and monitoring enabled teachers to differentiate learning experiences to suit the needs of students.</w:t>
      </w:r>
    </w:p>
    <w:p w14:paraId="32FCC0A5" w14:textId="77777777" w:rsidR="003C6B11" w:rsidRPr="00D84E78" w:rsidRDefault="003C6B11" w:rsidP="00376D75">
      <w:r w:rsidRPr="00D84E78">
        <w:t xml:space="preserve">At Bankstown Girls High School, targeted students were identified using initial baseline data assessments mapped to the literacy continuum. The data identified the need for targeted students to be explicitly taught grammatical features that shape meaning. These skills were then incorporated into individual student learning plans and the literacy coordinator demonstrated lessons and facilitated discussions on strategies that could be used to build and reinforce student literacy capacity. </w:t>
      </w:r>
    </w:p>
    <w:p w14:paraId="2577464C" w14:textId="77777777" w:rsidR="003C6B11" w:rsidRPr="00D84E78" w:rsidRDefault="003C6B11" w:rsidP="00376D75">
      <w:r w:rsidRPr="00D84E78">
        <w:lastRenderedPageBreak/>
        <w:t>The Archdiocese of Sydney used a recognised standardised test across its whole system of schools and used that information to identify priority targets at the system level.</w:t>
      </w:r>
    </w:p>
    <w:p w14:paraId="6BD0889B" w14:textId="77777777" w:rsidR="003C6B11" w:rsidRPr="00D84E78" w:rsidRDefault="003C6B11" w:rsidP="00376D75">
      <w:pPr>
        <w:rPr>
          <w:b/>
        </w:rPr>
      </w:pPr>
      <w:r w:rsidRPr="00D84E78">
        <w:t xml:space="preserve">The focus of the initial professional learning at Comleroy Road Public School was data analysis of Best Start, Literacy Continuum, NAPLAN and curriculum-based assessments to inform the setting of school targets. All Kindergarten students were identified as the target group for the ILNNP and the Language, Learning and Literacy (L3) professional learning program was implemented. </w:t>
      </w:r>
    </w:p>
    <w:p w14:paraId="3A158896" w14:textId="77777777" w:rsidR="003C6B11" w:rsidRPr="00D84E78" w:rsidRDefault="003C6B11" w:rsidP="00376D75">
      <w:pPr>
        <w:rPr>
          <w:b/>
        </w:rPr>
      </w:pPr>
      <w:r w:rsidRPr="00D84E78">
        <w:t>In the Wagga Wagga Diocese, data collection and the formulation of an action plan for improvement in each school has proven to be invaluable in supporting teachers to set appropriate goals for their students.</w:t>
      </w:r>
    </w:p>
    <w:p w14:paraId="6EAAC3E4" w14:textId="77777777" w:rsidR="003C6B11" w:rsidRPr="00401880" w:rsidRDefault="003C6B11" w:rsidP="00376D75">
      <w:pPr>
        <w:pStyle w:val="Heading3"/>
      </w:pPr>
      <w:r w:rsidRPr="00401880">
        <w:t>Explicit teaching</w:t>
      </w:r>
    </w:p>
    <w:p w14:paraId="2829EB2E" w14:textId="7DA3AB1F" w:rsidR="003C6B11" w:rsidRPr="00D84E78" w:rsidRDefault="003C6B11" w:rsidP="00376D75">
      <w:r w:rsidRPr="00D84E78">
        <w:t xml:space="preserve">All Independent schools implemented or refined their current delivery of a three-tiered </w:t>
      </w:r>
      <w:r w:rsidR="00B459F7">
        <w:t>whole-school</w:t>
      </w:r>
      <w:r w:rsidRPr="00D84E78">
        <w:t xml:space="preserve"> approach to improve student outcomes. Literacy Tier 2/3 evidence based intervention approaches were used across 15 independent school</w:t>
      </w:r>
      <w:r w:rsidR="00C635BB">
        <w:t xml:space="preserve">s included PreLit: 7 schools, </w:t>
      </w:r>
      <w:r w:rsidRPr="00D84E78">
        <w:t xml:space="preserve">MiniLit: 9 </w:t>
      </w:r>
      <w:r w:rsidR="00C635BB">
        <w:t>schools,</w:t>
      </w:r>
      <w:r w:rsidR="00761B55">
        <w:t xml:space="preserve"> MULTILIT</w:t>
      </w:r>
      <w:r w:rsidR="00C635BB">
        <w:t xml:space="preserve">: 12 schools, </w:t>
      </w:r>
      <w:r w:rsidR="00761B55">
        <w:t>MULTILIT</w:t>
      </w:r>
      <w:r w:rsidRPr="00D84E78">
        <w:t xml:space="preserve"> Extension: 2 schools.</w:t>
      </w:r>
    </w:p>
    <w:p w14:paraId="6B30062C" w14:textId="233BBB3C" w:rsidR="003C6B11" w:rsidRPr="00D84E78" w:rsidRDefault="003C6B11" w:rsidP="00376D75">
      <w:r w:rsidRPr="00D84E78">
        <w:t xml:space="preserve">Independent schools also used a range of direct and explicit instruction approaches or programs at Tier 2 and whole class level </w:t>
      </w:r>
      <w:r w:rsidR="00C635BB" w:rsidRPr="00D84E78">
        <w:t>e.g.</w:t>
      </w:r>
      <w:r w:rsidRPr="00D84E78">
        <w:t xml:space="preserve"> Jolly Phonics (and other phonics programs), SRA Corrective Reading and  Decoding, SRA Comprehension, SRA Reading Success, Understanding Words,  Sounds Write, Cars and Stars, Strategic Steps to Reading Success </w:t>
      </w:r>
      <w:r w:rsidR="00C635BB" w:rsidRPr="00D84E78">
        <w:t>Program. Two</w:t>
      </w:r>
      <w:r w:rsidRPr="00D84E78">
        <w:t xml:space="preserve"> of the three schools focussing on Numeracy introduced or extended the use of </w:t>
      </w:r>
      <w:r w:rsidR="004704BD" w:rsidRPr="00D84E78">
        <w:t>Quicksmart</w:t>
      </w:r>
      <w:r w:rsidRPr="00D84E78">
        <w:t xml:space="preserve"> to provide Tier 3 intervention. </w:t>
      </w:r>
    </w:p>
    <w:p w14:paraId="2C69A43F" w14:textId="77777777" w:rsidR="003C6B11" w:rsidRPr="00D84E78" w:rsidRDefault="003C6B11" w:rsidP="00376D75">
      <w:pPr>
        <w:rPr>
          <w:b/>
          <w:caps/>
          <w:u w:val="single"/>
          <w14:reflection w14:blurRad="12700" w14:stA="28000" w14:stPos="0" w14:endA="0" w14:endPos="45000" w14:dist="1003" w14:dir="5400000" w14:fadeDir="5400000" w14:sx="100000" w14:sy="-100000" w14:kx="0" w14:ky="0" w14:algn="bl"/>
          <w14:textOutline w14:w="4495" w14:cap="flat" w14:cmpd="sng" w14:algn="ctr">
            <w14:noFill/>
            <w14:prstDash w14:val="solid"/>
            <w14:round/>
          </w14:textOutline>
        </w:rPr>
      </w:pPr>
      <w:r w:rsidRPr="00D84E78">
        <w:t xml:space="preserve">In Government schools the approaches included evidenced-based teaching initiatives, individual student identification and support, fluid and flexible groupings and explicit teaching of differentiated classroom strategies. Among other strategies, teachers provided varied levels of scaffolding according to identified student needs, led small group tutorials and increased the use of discussion to clarify student understanding. </w:t>
      </w:r>
    </w:p>
    <w:p w14:paraId="6BCECBD7" w14:textId="77777777" w:rsidR="003C6B11" w:rsidRPr="00D84E78" w:rsidRDefault="003C6B11" w:rsidP="00376D75">
      <w:r w:rsidRPr="00D84E78">
        <w:rPr>
          <w:color w:val="000000" w:themeColor="text1"/>
        </w:rPr>
        <w:t>In Catholic schools, teams have recognised the value of establishing child-centred learning communities where explicit teaching coupled with carefully scaffolded learning tasks facilitate opportunities for students to share expertise with others, learn alongside others and engage in independent learning opportunities. Teachers have recognised the value of greater flexibility to more effectively personalise the learning – providing authentic learning opportunities in individual, paired, small group and whole class settings.</w:t>
      </w:r>
    </w:p>
    <w:p w14:paraId="05D736AF" w14:textId="2C598D99" w:rsidR="003C6B11" w:rsidRPr="004E18AA" w:rsidRDefault="00567A3E" w:rsidP="00567A3E">
      <w:pPr>
        <w:rPr>
          <w:rFonts w:ascii="Arial" w:hAnsi="Arial" w:cs="Arial"/>
        </w:rPr>
      </w:pPr>
      <w:r>
        <w:rPr>
          <w:rFonts w:ascii="Arial" w:hAnsi="Arial" w:cs="Arial"/>
        </w:rPr>
        <w:br w:type="page"/>
      </w:r>
    </w:p>
    <w:p w14:paraId="7726829D" w14:textId="4D49B00A" w:rsidR="003C6B11" w:rsidRPr="00376D75" w:rsidRDefault="003C6B11" w:rsidP="00756999">
      <w:pPr>
        <w:pStyle w:val="Heading2"/>
        <w:numPr>
          <w:ilvl w:val="0"/>
          <w:numId w:val="3"/>
        </w:numPr>
        <w:ind w:left="426"/>
      </w:pPr>
      <w:r w:rsidRPr="00376D75">
        <w:lastRenderedPageBreak/>
        <w:t>Effective identification of areas needing support in participating schools and subsequent improvement, through monitoring and analysis of literacy and numeracy performance.</w:t>
      </w:r>
    </w:p>
    <w:p w14:paraId="5A50AD4A" w14:textId="77777777" w:rsidR="003C6B11" w:rsidRPr="00B16E52" w:rsidRDefault="003C6B11" w:rsidP="00376D75">
      <w:r w:rsidRPr="00B16E52">
        <w:t>Effective identification of areas needing support was a core requirement for all</w:t>
      </w:r>
      <w:r>
        <w:t xml:space="preserve"> schools participating in this p</w:t>
      </w:r>
      <w:r w:rsidRPr="00B16E52">
        <w:t xml:space="preserve">artnership.  In all cases this was achieved by schools conducting a situational analysis, developing a school plan, and then supporting teachers to tailor their professional practice to improve student learning outcomes. </w:t>
      </w:r>
    </w:p>
    <w:p w14:paraId="6414CCF1" w14:textId="77777777" w:rsidR="003C6B11" w:rsidRDefault="003C6B11" w:rsidP="00376D75">
      <w:r>
        <w:t>In addition to a whole-school strategic analysis and formal testing, schools used c</w:t>
      </w:r>
      <w:r w:rsidRPr="00B16E52">
        <w:t xml:space="preserve">urriculum-based assessments </w:t>
      </w:r>
      <w:r>
        <w:t xml:space="preserve">to </w:t>
      </w:r>
      <w:r w:rsidRPr="00B16E52">
        <w:t>provide diagnostic information abou</w:t>
      </w:r>
      <w:r>
        <w:t>t what students know</w:t>
      </w:r>
      <w:r w:rsidRPr="00B16E52">
        <w:t xml:space="preserve"> and can do. The assessments relate</w:t>
      </w:r>
      <w:r>
        <w:t>d</w:t>
      </w:r>
      <w:r w:rsidRPr="00B16E52">
        <w:t xml:space="preserve"> to the classroom program and the curriculum</w:t>
      </w:r>
      <w:r>
        <w:t xml:space="preserve"> and arose</w:t>
      </w:r>
      <w:r w:rsidRPr="00B16E52">
        <w:t xml:space="preserve"> out of the lesson. The information provided is generally immediate and individual, and can involve interactions between teachers and students related to the task. </w:t>
      </w:r>
    </w:p>
    <w:p w14:paraId="0D072A52" w14:textId="1396C1FA" w:rsidR="003C6B11" w:rsidRPr="00B16E52" w:rsidRDefault="00FA49BE" w:rsidP="00376D75">
      <w:r>
        <w:t>Government s</w:t>
      </w:r>
      <w:r w:rsidR="003C6B11" w:rsidRPr="00B16E52">
        <w:t>chools identified a range of advantages</w:t>
      </w:r>
      <w:r w:rsidR="003C6B11">
        <w:t xml:space="preserve"> of using curriculum-based assessments</w:t>
      </w:r>
      <w:r w:rsidR="003C6B11" w:rsidRPr="00B16E52">
        <w:t>, including teachers being better placed to support the learning needs of students:</w:t>
      </w:r>
    </w:p>
    <w:p w14:paraId="66EF4D6D" w14:textId="77777777" w:rsidR="003C6B11" w:rsidRPr="00D84E78" w:rsidRDefault="003C6B11" w:rsidP="00376D75">
      <w:pPr>
        <w:rPr>
          <w:i/>
        </w:rPr>
      </w:pPr>
      <w:r w:rsidRPr="00D84E78">
        <w:rPr>
          <w:i/>
        </w:rPr>
        <w:t>When teachers are fully informed about their students, they are better prepared to make appropriate instructional and curriculum decisions, and adapt, as necessary, their teaching practice to ensure success for all students. (Horsley Park Public School)</w:t>
      </w:r>
    </w:p>
    <w:p w14:paraId="057A2CF0" w14:textId="77777777" w:rsidR="003C6B11" w:rsidRPr="00D84E78" w:rsidRDefault="003C6B11" w:rsidP="00376D75">
      <w:pPr>
        <w:rPr>
          <w:i/>
        </w:rPr>
      </w:pPr>
      <w:r w:rsidRPr="00D84E78">
        <w:rPr>
          <w:i/>
        </w:rPr>
        <w:t>Teachers developed a greater understanding of how their students think mathematically. They were able to group students according to their placement on the numeracy continuum. Continuum behaviours and skills were aligned with syllabus outcomes and teachers were able to plan focused activities based on the individual needs of the students in their class. (Chester Hill Public School)</w:t>
      </w:r>
    </w:p>
    <w:p w14:paraId="3B1A9A9A" w14:textId="77777777" w:rsidR="003C6B11" w:rsidRPr="00D84E78" w:rsidRDefault="003C6B11" w:rsidP="00376D75">
      <w:pPr>
        <w:rPr>
          <w:i/>
        </w:rPr>
      </w:pPr>
      <w:r w:rsidRPr="00D84E78">
        <w:rPr>
          <w:i/>
        </w:rPr>
        <w:t>The assessments provide teachers with individualised and current information about students and their learning. If the assessment is tracked and monitored using the literacy continuum then it can measure student growth. (Binalong Public School)</w:t>
      </w:r>
    </w:p>
    <w:p w14:paraId="3B5A51F4" w14:textId="77777777" w:rsidR="003C6B11" w:rsidRPr="003C2DC2" w:rsidRDefault="003C6B11" w:rsidP="00376D75">
      <w:pPr>
        <w:pStyle w:val="Heading3"/>
      </w:pPr>
      <w:r>
        <w:t xml:space="preserve">Examples of </w:t>
      </w:r>
      <w:r w:rsidRPr="003C2DC2">
        <w:t>Principals and school leaders modelling good practice</w:t>
      </w:r>
    </w:p>
    <w:p w14:paraId="1306DC47" w14:textId="4C563CBD" w:rsidR="003C6B11" w:rsidRPr="00D84E78" w:rsidRDefault="003C6B11" w:rsidP="00376D75">
      <w:r w:rsidRPr="00D84E78">
        <w:t xml:space="preserve">The first action of the school leaders of all Independent schools in this partnership was to create a team to conduct a detailed situational analysis to identify the area(s) needing improvement. A school plan, which clearly articulated the focus and direction of the </w:t>
      </w:r>
      <w:r w:rsidR="00B459F7">
        <w:t>whole-school</w:t>
      </w:r>
      <w:r w:rsidRPr="00D84E78">
        <w:t xml:space="preserve"> priority, was developed after a close analysis of the literacy and numeracy performance. The literacy /numeracy performance data analysed included: NAPLAN data, whole cohort diagnostic and standardised testing results, classroom / curriculum based assessments, individual/small group diagnostic testing data and where needed data related to student attendance and particular cohort characteristics. The school plans included targets and indicators to assist the school leaders in the implementation, monitoring and evaluation of the actions/interventions planned. </w:t>
      </w:r>
    </w:p>
    <w:p w14:paraId="093D5315" w14:textId="605D7E26" w:rsidR="003C6B11" w:rsidRPr="003C2DC2" w:rsidRDefault="003C6B11" w:rsidP="00376D75">
      <w:pPr>
        <w:rPr>
          <w:b/>
        </w:rPr>
      </w:pPr>
      <w:r w:rsidRPr="003C2DC2">
        <w:t xml:space="preserve">In the Broken Bay Diocese </w:t>
      </w:r>
      <w:r>
        <w:t xml:space="preserve">school leaders used </w:t>
      </w:r>
      <w:r w:rsidRPr="003C2DC2">
        <w:t xml:space="preserve">the collection of baseline data </w:t>
      </w:r>
      <w:r>
        <w:t xml:space="preserve">for </w:t>
      </w:r>
      <w:r w:rsidRPr="003C2DC2">
        <w:t>the effective identification of areas for improvement. Education officers played a very important role in helping schools to analyse their data accurately and insightfully, and to develop a plan to respond to such data. Instructional walks and talks and Collaborative Analysis of Student Learning (CASL) meetings also provided important data on teaching practice. Professional learning responded directly to what was identified through the walks and talks and CASLs.</w:t>
      </w:r>
    </w:p>
    <w:p w14:paraId="448AB8C9" w14:textId="77777777" w:rsidR="00F835D8" w:rsidRDefault="003C6B11" w:rsidP="00376D75">
      <w:r w:rsidRPr="00B16E52">
        <w:t>Rouse Hill Anglican College report</w:t>
      </w:r>
      <w:r>
        <w:t>ed</w:t>
      </w:r>
      <w:r w:rsidRPr="00B16E52">
        <w:t xml:space="preserve"> that the school leaders actively leading a </w:t>
      </w:r>
      <w:r w:rsidR="00B459F7">
        <w:t>whole-school</w:t>
      </w:r>
      <w:r w:rsidRPr="00B16E52">
        <w:t xml:space="preserve"> analysis of data has been very helpful, particularly in establishing an expectation that teachers will collect and analyse data </w:t>
      </w:r>
      <w:r w:rsidRPr="00B16E52">
        <w:lastRenderedPageBreak/>
        <w:t>to inform their teaching decisions.  In the junior sc</w:t>
      </w:r>
      <w:r>
        <w:t>hool a three week cycle was</w:t>
      </w:r>
      <w:r w:rsidRPr="00B16E52">
        <w:t xml:space="preserve"> established as a normal, school wide practice to monitor students’ literacy skill progression.</w:t>
      </w:r>
    </w:p>
    <w:p w14:paraId="6DEA9F88" w14:textId="46F52EFC" w:rsidR="00F835D8" w:rsidRPr="00F835D8" w:rsidRDefault="00F835D8" w:rsidP="00376D75">
      <w:r>
        <w:t xml:space="preserve">The </w:t>
      </w:r>
      <w:r w:rsidRPr="00F835D8">
        <w:t>principal and execu</w:t>
      </w:r>
      <w:r>
        <w:t>tive at Chatham Public School</w:t>
      </w:r>
      <w:r w:rsidRPr="00F835D8">
        <w:t xml:space="preserve"> played a key role in leading the use of data to inform teaching and learning in the school. Components included training and mentoring teachers on learning to use assessment to gather data and identify students with specific issues/needs leading to the creation of programs for individual learning. The professional learning also addressed the collation of data, improving programming, explicit and systematic teaching practices and reflection.</w:t>
      </w:r>
    </w:p>
    <w:p w14:paraId="46B28EBB" w14:textId="77777777" w:rsidR="003C6B11" w:rsidRPr="003C2DC2" w:rsidRDefault="003C6B11" w:rsidP="00376D75">
      <w:pPr>
        <w:pStyle w:val="Heading3"/>
      </w:pPr>
      <w:r w:rsidRPr="003C2DC2">
        <w:t xml:space="preserve">Professional learning </w:t>
      </w:r>
    </w:p>
    <w:p w14:paraId="4B1A7FE3" w14:textId="0663827B" w:rsidR="003C6B11" w:rsidRPr="00B16E52" w:rsidRDefault="003C6B11" w:rsidP="00376D75">
      <w:r w:rsidRPr="00B16E52">
        <w:t>Analysis of student assessment data provide</w:t>
      </w:r>
      <w:r w:rsidR="0018155E">
        <w:t>d</w:t>
      </w:r>
      <w:r w:rsidRPr="00B16E52">
        <w:t xml:space="preserve"> dire</w:t>
      </w:r>
      <w:r w:rsidR="0018155E">
        <w:t>ction for professional learning in many participating Government schools:</w:t>
      </w:r>
    </w:p>
    <w:p w14:paraId="52A90D24" w14:textId="77777777" w:rsidR="003C6B11" w:rsidRPr="00D84E78" w:rsidRDefault="003C6B11" w:rsidP="00376D75">
      <w:pPr>
        <w:rPr>
          <w:i/>
        </w:rPr>
      </w:pPr>
      <w:r w:rsidRPr="00D84E78">
        <w:rPr>
          <w:i/>
        </w:rPr>
        <w:t>The assessment identified number knowledge, strategies used as well as future directions for planning, programming and teacher professional learning (Camdenville Public School)</w:t>
      </w:r>
    </w:p>
    <w:p w14:paraId="3A6A0A93" w14:textId="77777777" w:rsidR="003C6B11" w:rsidRPr="00D84E78" w:rsidRDefault="003C6B11" w:rsidP="00376D75">
      <w:pPr>
        <w:rPr>
          <w:i/>
        </w:rPr>
      </w:pPr>
      <w:r w:rsidRPr="00D84E78">
        <w:rPr>
          <w:i/>
        </w:rPr>
        <w:t>Teachers individually and in team meetings analyse the progress of their students against the literacy continuum statements for both comprehension and reading texts. Information gathered drives the next teaching and learning cycle and provides for professional learning of staff. (Green Valley Public School)</w:t>
      </w:r>
    </w:p>
    <w:p w14:paraId="112483D8" w14:textId="77777777" w:rsidR="003C6B11" w:rsidRPr="00D84E78" w:rsidRDefault="003C6B11" w:rsidP="00376D75">
      <w:pPr>
        <w:rPr>
          <w:i/>
        </w:rPr>
      </w:pPr>
      <w:r w:rsidRPr="00D84E78">
        <w:rPr>
          <w:i/>
        </w:rPr>
        <w:t>The information showed us that considerable numbers of students were situated below benchmark levels in reading and comprehension with spelling another area of concern. The information provided highlighted a need to expand professional learning in teaching reading strategies to staff. (Cardiff High School)</w:t>
      </w:r>
    </w:p>
    <w:p w14:paraId="40E2B229" w14:textId="52AC7756" w:rsidR="003C6B11" w:rsidRPr="00B16E52" w:rsidRDefault="003C6B11" w:rsidP="00376D75">
      <w:r w:rsidRPr="00B16E52">
        <w:t>A common approach established through professional learning</w:t>
      </w:r>
      <w:r w:rsidR="0018155E">
        <w:t xml:space="preserve"> in Government schools helped build</w:t>
      </w:r>
      <w:r w:rsidRPr="00B16E52">
        <w:t xml:space="preserve"> professional dialogue:</w:t>
      </w:r>
    </w:p>
    <w:p w14:paraId="53D9ADAE" w14:textId="77777777" w:rsidR="003C6B11" w:rsidRPr="00D84E78" w:rsidRDefault="003C6B11" w:rsidP="00376D75">
      <w:pPr>
        <w:rPr>
          <w:i/>
        </w:rPr>
      </w:pPr>
      <w:r w:rsidRPr="00D84E78">
        <w:rPr>
          <w:i/>
        </w:rPr>
        <w:t>Monitoring student achievement over time and across a stage or target group gives greater consistency of assessment tasks, deepens professional understanding and provides sound professional dialogue on individual students and class/stage groups. (Boambee Public School)</w:t>
      </w:r>
    </w:p>
    <w:p w14:paraId="60E8BD6E" w14:textId="77777777" w:rsidR="003C6B11" w:rsidRPr="00D84E78" w:rsidRDefault="003C6B11" w:rsidP="00376D75">
      <w:pPr>
        <w:rPr>
          <w:i/>
        </w:rPr>
      </w:pPr>
      <w:r w:rsidRPr="00D84E78">
        <w:rPr>
          <w:i/>
        </w:rPr>
        <w:t>Placement of students on the literacy continuum enabled staff to discuss the needs of students, teaching strategies, assessment methods and strategies for student improvement. Teacher engagement in the literacy continuum also took place when having the discussions at staff/faculty meetings. All areas of the continuum and test design led to valuable discussions which highlighted staff reflection on their teaching and assessment practice, which included test design. (Gundagai High School)</w:t>
      </w:r>
    </w:p>
    <w:p w14:paraId="5BB82144" w14:textId="77777777" w:rsidR="003C6B11" w:rsidRPr="00D84E78" w:rsidRDefault="003C6B11" w:rsidP="00376D75">
      <w:pPr>
        <w:rPr>
          <w:i/>
        </w:rPr>
      </w:pPr>
      <w:r w:rsidRPr="00D84E78">
        <w:rPr>
          <w:i/>
        </w:rPr>
        <w:t>The assessments allowed us to identify students functioning below level 3 on the continuum for this aspect. The assessments enabled us to focus discussions on what actions were required to ensure the success of all students. (Ambarvale High School)</w:t>
      </w:r>
    </w:p>
    <w:p w14:paraId="41E114A8" w14:textId="77777777" w:rsidR="003C6B11" w:rsidRPr="00D84E78" w:rsidRDefault="003C6B11" w:rsidP="00376D75">
      <w:r w:rsidRPr="00D84E78">
        <w:t xml:space="preserve">In the Archdiocese of Canberra and Goulburn audits were implemented at the commencement of the intervention and in the schools where literacy coaches were present, an interview process was undertaken with each staff member. This interview process provided very rich data to drive the </w:t>
      </w:r>
      <w:r w:rsidR="00D84E78" w:rsidRPr="00D84E78">
        <w:t>inquiry. Questions</w:t>
      </w:r>
      <w:r w:rsidRPr="00D84E78">
        <w:t xml:space="preserve"> included:</w:t>
      </w:r>
    </w:p>
    <w:p w14:paraId="72E23A88" w14:textId="77777777" w:rsidR="003C6B11" w:rsidRPr="00B16E52" w:rsidRDefault="003C6B11" w:rsidP="00376D75">
      <w:r w:rsidRPr="0072110B">
        <w:rPr>
          <w:i/>
        </w:rPr>
        <w:t>When you think about the kind of reading and writing (numeracy) you want your students to do, the kind of literate (numerate) lives you want students to have, the kind of classroom you want to have, the kind of teaching you want to be able to do, what gets in your way?</w:t>
      </w:r>
      <w:r w:rsidRPr="00B16E52">
        <w:t xml:space="preserve">  (Toll, 2005).</w:t>
      </w:r>
    </w:p>
    <w:p w14:paraId="6BEC7AE0" w14:textId="2140C772" w:rsidR="003C6B11" w:rsidRPr="00B16E52" w:rsidRDefault="0018155E" w:rsidP="00376D75">
      <w:r>
        <w:lastRenderedPageBreak/>
        <w:t xml:space="preserve">In Independent schools teachers conducted a situational analysis of the literacy or numeracy skills of their class. At Coffs Harbour Christian School closely analysed literacy data, such as NAPLAN, PAT test results and classroom assessments and developed a map of their students’ skill ranges. They used this during collaborative planning and professional learning sessions with the literacy teacher. </w:t>
      </w:r>
    </w:p>
    <w:p w14:paraId="6A32CCCC" w14:textId="77777777" w:rsidR="003C6B11" w:rsidRPr="003C2DC2" w:rsidRDefault="003C6B11" w:rsidP="00376D75">
      <w:pPr>
        <w:rPr>
          <w:i/>
        </w:rPr>
      </w:pPr>
      <w:r w:rsidRPr="003C2DC2">
        <w:rPr>
          <w:i/>
        </w:rPr>
        <w:t xml:space="preserve">Leaders and teachers working together </w:t>
      </w:r>
    </w:p>
    <w:p w14:paraId="39E79DD4" w14:textId="77777777" w:rsidR="003C6B11" w:rsidRPr="00CD7A4B" w:rsidRDefault="003C6B11" w:rsidP="00376D75">
      <w:r w:rsidRPr="00B16E52">
        <w:t>More specific and detailed assessments were used in participating Independent schools in order to identify the specific areas of intervention required by students whose learning needs were not being fully met in the classroom. Schools typically developed short responsive cycles of intervention, monitoring and program adjustment to track and respond to students being provided with Ti</w:t>
      </w:r>
      <w:r>
        <w:t xml:space="preserve">er 2 (group) and Tier </w:t>
      </w:r>
      <w:r w:rsidRPr="00B16E52">
        <w:t>3</w:t>
      </w:r>
      <w:r>
        <w:t xml:space="preserve"> (individual)</w:t>
      </w:r>
      <w:r w:rsidRPr="00B16E52">
        <w:t xml:space="preserve"> interventions.</w:t>
      </w:r>
    </w:p>
    <w:p w14:paraId="059EA131" w14:textId="77777777" w:rsidR="003C6B11" w:rsidRPr="00CD7A4B" w:rsidRDefault="003C6B11" w:rsidP="00376D75">
      <w:r w:rsidRPr="003C2DC2">
        <w:t>In Government secondary schools, sharing curriculum-based assessments and noting similarities across the school provided the motiv</w:t>
      </w:r>
      <w:r>
        <w:t xml:space="preserve">ation to develop a whole-school </w:t>
      </w:r>
      <w:r w:rsidRPr="003C2DC2">
        <w:t xml:space="preserve">approach to classroom teaching across a range of key learning areas, and involved teachers and school leaders working collaboratively across the school. </w:t>
      </w:r>
    </w:p>
    <w:p w14:paraId="319A79BE" w14:textId="77777777" w:rsidR="003C6B11" w:rsidRPr="00CD7A4B" w:rsidRDefault="003C6B11" w:rsidP="00376D75">
      <w:r w:rsidRPr="003C2DC2">
        <w:t>At Birrong Boys High School the assessment provided teachers w</w:t>
      </w:r>
      <w:r>
        <w:t>ith information that enabled</w:t>
      </w:r>
      <w:r w:rsidRPr="003C2DC2">
        <w:t xml:space="preserve"> teaching and learning to be adapted and modified to support the students. The student’s ability to understand and apply metacognitive comprehension strategies appropriately and be able to access information across all subject areas enabled teachers to recognise and acknowledge growth in performance. The performance growth was measured against the literacy continuum and the ability to complete a variety of tasks across subject areas. </w:t>
      </w:r>
    </w:p>
    <w:p w14:paraId="0E3D368F" w14:textId="77777777" w:rsidR="003C6B11" w:rsidRPr="00D040FA" w:rsidRDefault="003C6B11" w:rsidP="00376D75">
      <w:pPr>
        <w:rPr>
          <w:b/>
        </w:rPr>
      </w:pPr>
      <w:r w:rsidRPr="00D040FA">
        <w:t>In the Broken Bay Diocese the collection of baseline data enabled the effective identification of areas for improvement. Education officers played a very important role in helping schools to analyse their data accurately and insightfully, and to develop a plan to respond to such data. Instructional walks and talks and Collaborative Analysis of Student Learning (CASL) meetings also provided important data on teaching practice. Professional learning responded directly to what was identified through the walks and talks and CASLs.</w:t>
      </w:r>
    </w:p>
    <w:p w14:paraId="2F5995A7" w14:textId="77777777" w:rsidR="003C6B11" w:rsidRPr="00D040FA" w:rsidRDefault="003C6B11" w:rsidP="00376D75">
      <w:r w:rsidRPr="00D040FA">
        <w:t xml:space="preserve">For example, teachers at Chester Hill Public School developed a greater understanding of how their students think mathematically. They were able to group students according to their placement on the numeracy continuum. Continuum behaviours and skills were aligned with syllabus outcomes and teachers were able to plan focused activities based on the individual needs of the students in their class. </w:t>
      </w:r>
    </w:p>
    <w:p w14:paraId="1ACEEC15" w14:textId="77777777" w:rsidR="003C6B11" w:rsidRPr="00D040FA" w:rsidRDefault="003C6B11" w:rsidP="00376D75">
      <w:r w:rsidRPr="00D040FA">
        <w:t xml:space="preserve">At Carinya Gunnedah, an Independent school, there has been an increased focus on gathering and sharing measureable data. This shift in culture supported ongoing and effective communication between teachers, parents and the principal. Through this data sharing teachers are now more effectively modifying the teaching programs.  </w:t>
      </w:r>
    </w:p>
    <w:p w14:paraId="2DCD6937" w14:textId="77777777" w:rsidR="003C6B11" w:rsidRPr="00D040FA" w:rsidRDefault="003C6B11" w:rsidP="00376D75">
      <w:pPr>
        <w:pStyle w:val="Heading3"/>
      </w:pPr>
      <w:r w:rsidRPr="00D040FA">
        <w:t xml:space="preserve">Explicit teaching </w:t>
      </w:r>
    </w:p>
    <w:p w14:paraId="3C4A3926" w14:textId="77777777" w:rsidR="003C6B11" w:rsidRPr="00D84E78" w:rsidRDefault="003C6B11" w:rsidP="00376D75">
      <w:r w:rsidRPr="00D84E78">
        <w:t xml:space="preserve">Wollongong Diocese emphasised the analysis of data to inform the designing of individual intervention plans (literacy/numeracy) in participating schools, and teacher professional learning in administering assessment tools and analysing data to inform decision making around learning and teaching programs to meet students’ learning needs. </w:t>
      </w:r>
    </w:p>
    <w:p w14:paraId="067F3C4D" w14:textId="77777777" w:rsidR="003C6B11" w:rsidRPr="00D84E78" w:rsidRDefault="003C6B11" w:rsidP="00376D75">
      <w:r w:rsidRPr="00D84E78">
        <w:t xml:space="preserve">At Prairiewood High School, teachers were consulted and their observations and anecdotal recordings from a variety of classroom tasks and activities were used as supplementary material alongside previous testing </w:t>
      </w:r>
      <w:r w:rsidRPr="00D84E78">
        <w:lastRenderedPageBreak/>
        <w:t xml:space="preserve">to validate placement of students on the literacy continuum. Teachers also used this information to guide their literacy teaching practices and personalise the learning of their students, meeting their needs. </w:t>
      </w:r>
    </w:p>
    <w:p w14:paraId="5A39131D" w14:textId="77777777" w:rsidR="003C6B11" w:rsidRPr="00D84E78" w:rsidRDefault="003C6B11" w:rsidP="00376D75">
      <w:r w:rsidRPr="00D84E78">
        <w:t xml:space="preserve">At Colyton High School, a numeracy skill was identified for explicit teaching throughout the term for all Year 7 and 8 students. Students completed three quizzes on the identified skill at the beginning, mid-term and end of term. Each quiz consisted of 40 questions, including written questions. Students were given five minutes to quickly and accurately answer as many questions as possible. Following the program, there was a significant reduction in the numbers of targeted students of students achieving well-below expectations in Year 8 numeracy. </w:t>
      </w:r>
    </w:p>
    <w:p w14:paraId="5A9F21C4" w14:textId="77777777" w:rsidR="003C6B11" w:rsidRPr="00D84E78" w:rsidRDefault="003C6B11" w:rsidP="00376D75">
      <w:r w:rsidRPr="00D84E78">
        <w:t>The teachers at Wollondilly Anglican College are not only analysing and using data to adjust their teaching programs but are also finding that using data provides them with more informed language to discuss students.</w:t>
      </w:r>
    </w:p>
    <w:p w14:paraId="25DF3B10" w14:textId="6C26BD03" w:rsidR="003C6B11" w:rsidRPr="00D84E78" w:rsidRDefault="003C6B11" w:rsidP="00376D75">
      <w:r w:rsidRPr="00D84E78">
        <w:t>Student growth point dat</w:t>
      </w:r>
      <w:r w:rsidR="00942C6E">
        <w:t xml:space="preserve">a gathered through the Learning in Numeracy (LIN) and the Learning in Early Numeracy (LIEN) </w:t>
      </w:r>
      <w:r w:rsidRPr="00D84E78">
        <w:t>assessments has allowed the teachers at Minimbah Aboriginal Primary School to better understand the skill level of students, to identify students’ areas of need and to structure groups and activities accordingly.</w:t>
      </w:r>
    </w:p>
    <w:p w14:paraId="7FE9AD00" w14:textId="77777777" w:rsidR="003C6B11" w:rsidRPr="00B16E52" w:rsidRDefault="003C6B11" w:rsidP="00376D75">
      <w:r w:rsidRPr="00B16E52">
        <w:t xml:space="preserve">The data derived from curriculum-based assessments can also complement and, perhaps, confirm analysis of other more formal types of assessments, often adding detail and clarifying optimum teaching directions. </w:t>
      </w:r>
    </w:p>
    <w:p w14:paraId="429ED12F" w14:textId="77777777" w:rsidR="003C6B11" w:rsidRPr="00D84E78" w:rsidRDefault="003C6B11" w:rsidP="00376D75">
      <w:pPr>
        <w:rPr>
          <w:i/>
        </w:rPr>
      </w:pPr>
      <w:r w:rsidRPr="00D84E78">
        <w:rPr>
          <w:i/>
        </w:rPr>
        <w:t xml:space="preserve">Observation and anecdotal records, while not as formal, were ongoing and systematic. These observations allowed teachers to collect information such as reading behaviours and the incremental demonstration of cluster markers to complement the more formal assessments. NAPLAN results from 2013 will be used to further analyse the areas which students need to develop, so that teachers in all years are providing opportunities for students to experience and can explicitly focus on skill development. (Matraville Public School) </w:t>
      </w:r>
    </w:p>
    <w:p w14:paraId="0E32D540" w14:textId="6392A7B1" w:rsidR="00AC6641" w:rsidRPr="00376D75" w:rsidRDefault="003C6B11" w:rsidP="00376D75">
      <w:pPr>
        <w:rPr>
          <w:i/>
        </w:rPr>
      </w:pPr>
      <w:r w:rsidRPr="00D84E78">
        <w:rPr>
          <w:i/>
        </w:rPr>
        <w:t>We sought to confirm teachers' assessment of the impact of the implementation of the explicit teaching of literacy skills articulated by the literacy continuum by retesting the targeted cohort using round 2 of the Educational Measurement and School Accountability Directorate (EMSAD) online test. Results revealed an improvement of 5% in the mean scores in the online literacy assessment and approximately one NAPLAN band. (Chifley College Shalvey Campus)</w:t>
      </w:r>
    </w:p>
    <w:p w14:paraId="4850C9A6" w14:textId="5E54BD45" w:rsidR="00AC6641" w:rsidRPr="00B16E52" w:rsidRDefault="00567A3E" w:rsidP="00567A3E">
      <w:pPr>
        <w:rPr>
          <w:rFonts w:ascii="Arial" w:hAnsi="Arial" w:cs="Arial"/>
          <w:b/>
          <w:color w:val="244061" w:themeColor="accent1" w:themeShade="80"/>
          <w:u w:val="single"/>
        </w:rPr>
      </w:pPr>
      <w:r>
        <w:rPr>
          <w:rFonts w:ascii="Arial" w:hAnsi="Arial" w:cs="Arial"/>
          <w:b/>
          <w:color w:val="244061" w:themeColor="accent1" w:themeShade="80"/>
          <w:u w:val="single"/>
        </w:rPr>
        <w:br w:type="page"/>
      </w:r>
    </w:p>
    <w:p w14:paraId="51EE93EB" w14:textId="466B2BA3" w:rsidR="003C6B11" w:rsidRPr="001F2729" w:rsidRDefault="003C6B11" w:rsidP="00756999">
      <w:pPr>
        <w:pStyle w:val="Heading2"/>
        <w:numPr>
          <w:ilvl w:val="0"/>
          <w:numId w:val="3"/>
        </w:numPr>
        <w:ind w:left="426"/>
      </w:pPr>
      <w:r w:rsidRPr="001F2729">
        <w:lastRenderedPageBreak/>
        <w:t>Improved capability and effectiveness of literacy and / or numeracy teaching in participating schools.</w:t>
      </w:r>
    </w:p>
    <w:p w14:paraId="48AD89AB" w14:textId="77777777" w:rsidR="003C6B11" w:rsidRPr="00B16E52" w:rsidRDefault="003C6B11" w:rsidP="00376D75">
      <w:r w:rsidRPr="009B7556">
        <w:t xml:space="preserve">The improved capability and effectiveness of literacy and numeracy teaching </w:t>
      </w:r>
      <w:r>
        <w:t>throughout this</w:t>
      </w:r>
      <w:r w:rsidRPr="009B7556">
        <w:t xml:space="preserve"> partnership has been clearly evidenced by the improvement in the students’ results and in the positive survey responses from the teachers in the participating schools. </w:t>
      </w:r>
    </w:p>
    <w:p w14:paraId="14282DCD" w14:textId="77777777" w:rsidR="003C6B11" w:rsidRPr="00D84E78" w:rsidRDefault="003C6B11" w:rsidP="00376D75">
      <w:pPr>
        <w:pStyle w:val="Heading3"/>
      </w:pPr>
      <w:r w:rsidRPr="0088671C">
        <w:t>Principals and school leaders modelling good practice</w:t>
      </w:r>
    </w:p>
    <w:p w14:paraId="6471C3E6" w14:textId="77777777" w:rsidR="003C6B11" w:rsidRPr="00D84E78" w:rsidRDefault="003C6B11" w:rsidP="00376D75">
      <w:r w:rsidRPr="00D84E78">
        <w:t>The approaches implemented by principals and leaders of the Independent schools centred on some common themes of:</w:t>
      </w:r>
    </w:p>
    <w:p w14:paraId="7B7531C2" w14:textId="09C66262" w:rsidR="003C6B11" w:rsidRPr="00D84E78" w:rsidRDefault="003C6B11" w:rsidP="00756999">
      <w:pPr>
        <w:pStyle w:val="ListParagraph"/>
        <w:numPr>
          <w:ilvl w:val="0"/>
          <w:numId w:val="11"/>
        </w:numPr>
      </w:pPr>
      <w:r w:rsidRPr="00D84E78">
        <w:t xml:space="preserve">A three tier </w:t>
      </w:r>
      <w:r w:rsidR="00B459F7">
        <w:t>whole-school</w:t>
      </w:r>
      <w:r w:rsidRPr="00D84E78">
        <w:t xml:space="preserve"> approach which provided a clear structure to investigate and  address the learning needs of the at risk students (Tier 2/3) and a focus on improving the efficacy of the literacy and numeracy teaching at whole class level (Tier 1).</w:t>
      </w:r>
    </w:p>
    <w:p w14:paraId="5A02CC32" w14:textId="77777777" w:rsidR="003C6B11" w:rsidRPr="00D84E78" w:rsidRDefault="003C6B11" w:rsidP="00756999">
      <w:pPr>
        <w:pStyle w:val="ListParagraph"/>
        <w:numPr>
          <w:ilvl w:val="0"/>
          <w:numId w:val="11"/>
        </w:numPr>
      </w:pPr>
      <w:r w:rsidRPr="00D84E78">
        <w:t xml:space="preserve">Professional learning for all teachers K-8 supported by specific strategies being implemented to provide for teacher mentoring, collaborative planning and monitoring to ensure the transfer of new approaches and teacher understanding into classroom practice. </w:t>
      </w:r>
    </w:p>
    <w:p w14:paraId="38608995" w14:textId="77777777" w:rsidR="003C6B11" w:rsidRPr="00D84E78" w:rsidRDefault="003C6B11" w:rsidP="00756999">
      <w:pPr>
        <w:pStyle w:val="ListParagraph"/>
        <w:numPr>
          <w:ilvl w:val="0"/>
          <w:numId w:val="11"/>
        </w:numPr>
      </w:pPr>
      <w:r w:rsidRPr="00D84E78">
        <w:t xml:space="preserve">Increased hours or employment of specialist teachers were an important element in contributing to the improvement in teaching practice in many schools through increasing the classroom teachers’ and targeted students  access to teachers with specialised literacy or numeracy understandings and skills. </w:t>
      </w:r>
    </w:p>
    <w:p w14:paraId="6A8AF6C9" w14:textId="7C66D573" w:rsidR="003C6B11" w:rsidRPr="00D84E78" w:rsidRDefault="003C6B11" w:rsidP="00376D75">
      <w:pPr>
        <w:rPr>
          <w:color w:val="000000" w:themeColor="text1"/>
        </w:rPr>
      </w:pPr>
      <w:r w:rsidRPr="00D84E78">
        <w:rPr>
          <w:color w:val="000000" w:themeColor="text1"/>
        </w:rPr>
        <w:t xml:space="preserve">School leaders in the Archdiocese of Canberra/Goulburn were provided with system-based professional learning which includes </w:t>
      </w:r>
      <w:r w:rsidRPr="00D84E78">
        <w:rPr>
          <w:i/>
          <w:color w:val="000000" w:themeColor="text1"/>
        </w:rPr>
        <w:t>Principals as Literacy Leaders</w:t>
      </w:r>
      <w:r w:rsidRPr="00D84E78">
        <w:rPr>
          <w:color w:val="000000" w:themeColor="text1"/>
        </w:rPr>
        <w:t xml:space="preserve">, </w:t>
      </w:r>
      <w:r w:rsidRPr="00D84E78">
        <w:rPr>
          <w:i/>
          <w:color w:val="000000" w:themeColor="text1"/>
        </w:rPr>
        <w:t>SILOAM</w:t>
      </w:r>
      <w:r w:rsidR="004C4EAD">
        <w:rPr>
          <w:i/>
          <w:color w:val="000000" w:themeColor="text1"/>
        </w:rPr>
        <w:t xml:space="preserve"> </w:t>
      </w:r>
      <w:r w:rsidRPr="00D84E78">
        <w:rPr>
          <w:i/>
          <w:color w:val="000000" w:themeColor="text1"/>
        </w:rPr>
        <w:t>(</w:t>
      </w:r>
      <w:r w:rsidR="004C4EAD">
        <w:rPr>
          <w:i/>
          <w:color w:val="000000" w:themeColor="text1"/>
        </w:rPr>
        <w:t xml:space="preserve">a spiritual and educational leadership program for Principals) </w:t>
      </w:r>
      <w:r w:rsidRPr="00D84E78">
        <w:rPr>
          <w:color w:val="000000" w:themeColor="text1"/>
        </w:rPr>
        <w:t xml:space="preserve">and </w:t>
      </w:r>
      <w:r w:rsidRPr="00D84E78">
        <w:rPr>
          <w:i/>
          <w:color w:val="000000" w:themeColor="text1"/>
        </w:rPr>
        <w:t>Transforming Teaching and Learning</w:t>
      </w:r>
      <w:r w:rsidRPr="00D84E78">
        <w:rPr>
          <w:color w:val="000000" w:themeColor="text1"/>
        </w:rPr>
        <w:t xml:space="preserve">. These programs were conducted by Catholic Education Officers and investigate areas of the curriculum, effective approaches to </w:t>
      </w:r>
      <w:r w:rsidR="00B459F7">
        <w:rPr>
          <w:color w:val="000000" w:themeColor="text1"/>
        </w:rPr>
        <w:t>whole-school</w:t>
      </w:r>
      <w:r w:rsidRPr="00D84E78">
        <w:rPr>
          <w:color w:val="000000" w:themeColor="text1"/>
        </w:rPr>
        <w:t xml:space="preserve"> change in literacy and ways to maximise teacher expertise and support teacher learning. This approach assisted principals to place effective staff in key literacy positions, support professional learning, develop effective literacy plans and promote effective literacy approaches in programming, </w:t>
      </w:r>
      <w:r w:rsidR="005A4716">
        <w:rPr>
          <w:color w:val="000000" w:themeColor="text1"/>
        </w:rPr>
        <w:t>assessment and teaching</w:t>
      </w:r>
      <w:r w:rsidRPr="00D84E78">
        <w:rPr>
          <w:color w:val="000000" w:themeColor="text1"/>
        </w:rPr>
        <w:t>, implementation of literacy blocks, parent workshops and good models in use of support teacher staffing.</w:t>
      </w:r>
    </w:p>
    <w:p w14:paraId="295D8205" w14:textId="3A17F055" w:rsidR="003C6B11" w:rsidRPr="00755807" w:rsidRDefault="003C6B11" w:rsidP="00376D75">
      <w:r w:rsidRPr="00D84E78">
        <w:t xml:space="preserve">Leumeah High School established an ILNNP team to coordinate professional learning in literacy across all faculties. The professional learning included a local primary school principal developing teacher understanding on the literacy continuum. The ILNNP team built the capacity of all teachers to improve student reading comprehension skills through the Focus on Reading program. Students’ reading progress was monitored against the literacy continuum and parent information workshops on the literacy continuum and the Super Six comprehension strategies were conducted to support learning at home. To date, there has been a marked decrease in the numbers of students achieving well-below expectations. </w:t>
      </w:r>
    </w:p>
    <w:p w14:paraId="0351B4CA" w14:textId="77777777" w:rsidR="003C6B11" w:rsidRPr="00DB0683" w:rsidRDefault="003C6B11" w:rsidP="00376D75">
      <w:pPr>
        <w:pStyle w:val="Heading3"/>
      </w:pPr>
      <w:r w:rsidRPr="00DB0683">
        <w:t xml:space="preserve">Professional learning </w:t>
      </w:r>
    </w:p>
    <w:p w14:paraId="70915AFC" w14:textId="77777777" w:rsidR="003C6B11" w:rsidRPr="00D84E78" w:rsidRDefault="003C6B11" w:rsidP="00F96EEA">
      <w:r w:rsidRPr="00D84E78">
        <w:t xml:space="preserve">The Diocese of Wilcannia and Forbes reported that through participation in professional learning cycles teachers incorporated evidence-based principles of effective teaching in literacy and numeracy into classroom practice. Examples of effective pedagogical practice include: explicit and systematic instruction; using process-oriented approaches were modelled (contextually relevant demonstrations), shared, guided and independent learning opportunities are provided; carefully scaffolding learning tasks to enable adequate time for students to develop competence; deep learning - providing multiple opportunities to </w:t>
      </w:r>
      <w:r w:rsidRPr="00D84E78">
        <w:lastRenderedPageBreak/>
        <w:t>practise in authentic and meaningful ways; effective diagnostic assessment; giving appropriate attention to the critical elements of literacy learning- concepts about print, alphabetic knowledge, phonics, phonemic awareness, fluent oral reading, vocabulary knowledge, comprehension and writing; promoting the development of different aspects of number sense; instruction in the use of the metacognitive process-reflecting, representing and reporting.</w:t>
      </w:r>
    </w:p>
    <w:p w14:paraId="135C58D5" w14:textId="1F2E78B7" w:rsidR="003C6B11" w:rsidRPr="00D84E78" w:rsidRDefault="003C6B11" w:rsidP="00F96EEA">
      <w:r w:rsidRPr="00D84E78">
        <w:t xml:space="preserve">At St Narsai, a NSW Independent school, the </w:t>
      </w:r>
      <w:r w:rsidR="00B459F7">
        <w:t>whole-school</w:t>
      </w:r>
      <w:r w:rsidRPr="00D84E78">
        <w:t xml:space="preserve"> professional learning plan focussed on changing some important aspects of the school’s culture of teaching and learning. A cyclical delivery of professional learning focussing on the ESL learners’ language and literacy needs was designed and delivered by an AIS consultant to meet the schools specific needs. This included allocated professional learning days, for input, planning and teacher collaboration.  </w:t>
      </w:r>
    </w:p>
    <w:p w14:paraId="58C8A158" w14:textId="77777777" w:rsidR="003C6B11" w:rsidRPr="00D84E78" w:rsidRDefault="003C6B11" w:rsidP="00F96EEA">
      <w:r w:rsidRPr="00D84E78">
        <w:t xml:space="preserve">At St Phillip’s Christian College, Cessnock the success at the school was facilitated by a range of complementary strategies which included ongoing professional learning, mentoring, lesson observations and program monitoring targeted to the curriculum and needs of the teachers in the classroom. The literacy focus was never allowed to diminish with at least 50% of staff meeting time devoted to the teaching of reading and writing. </w:t>
      </w:r>
    </w:p>
    <w:p w14:paraId="45999684" w14:textId="5A35CD46" w:rsidR="003C6B11" w:rsidRPr="002C6D11" w:rsidRDefault="003C6B11" w:rsidP="00F96EEA">
      <w:r w:rsidRPr="00D84E78">
        <w:t>Sarah Redfern Public School maximised professional learning opportunities i</w:t>
      </w:r>
      <w:r w:rsidR="002C6D11">
        <w:t>n the Focus on Reading program by identifying</w:t>
      </w:r>
      <w:r w:rsidRPr="00D84E78">
        <w:t xml:space="preserve"> three teachers to</w:t>
      </w:r>
      <w:r w:rsidR="002C6D11">
        <w:t xml:space="preserve"> be trained in and</w:t>
      </w:r>
      <w:r w:rsidRPr="00D84E78">
        <w:t xml:space="preserve"> coordinate the program across the </w:t>
      </w:r>
      <w:r w:rsidR="002C6D11">
        <w:t xml:space="preserve">school. </w:t>
      </w:r>
      <w:r w:rsidRPr="00D84E78">
        <w:t>The coordinators facilitated the scho</w:t>
      </w:r>
      <w:r w:rsidR="002C6D11">
        <w:t>ol-based professional learning and i</w:t>
      </w:r>
      <w:r w:rsidRPr="002C6D11">
        <w:t xml:space="preserve">n addition to these activities, the school’s executive and coordinators </w:t>
      </w:r>
      <w:r w:rsidR="002C6D11">
        <w:t xml:space="preserve">built </w:t>
      </w:r>
      <w:r w:rsidRPr="002C6D11">
        <w:t xml:space="preserve">their capacity to support teachers in the explicit teaching of key aspects of reading texts, comprehension, vocabulary and reading text fluency. Teachers in cross-stage teams </w:t>
      </w:r>
      <w:r w:rsidR="002C6D11">
        <w:t>met regularly</w:t>
      </w:r>
      <w:r w:rsidRPr="002C6D11">
        <w:t xml:space="preserve"> to collaboratively plan and map students on the literacy continuum.  A lesson study approach was utilised to support teacher learning in which teachers observed each other in the classroom followed by reflection sessions. Initial feedback indicated that the program was having an impact on the teaching of reading in classrooms.</w:t>
      </w:r>
    </w:p>
    <w:p w14:paraId="419F5C27" w14:textId="77777777" w:rsidR="003C6B11" w:rsidRPr="00DB0683" w:rsidRDefault="003C6B11" w:rsidP="00F96EEA">
      <w:pPr>
        <w:pStyle w:val="Heading3"/>
      </w:pPr>
      <w:r w:rsidRPr="00DB0683">
        <w:t xml:space="preserve">Leaders and teachers working together </w:t>
      </w:r>
    </w:p>
    <w:p w14:paraId="199F08A8" w14:textId="77777777" w:rsidR="003C6B11" w:rsidRPr="00B16E52" w:rsidRDefault="003C6B11" w:rsidP="00F96EEA">
      <w:pPr>
        <w:rPr>
          <w:b/>
        </w:rPr>
      </w:pPr>
      <w:r w:rsidRPr="00B16E52">
        <w:t xml:space="preserve">The professional learning provided in NSW Government schools was delivered in a variety of formats to maximise effectiveness and suit the needs of teachers and the school context. Of particular note was the dominance of in-school professional learning that valued and shared the knowledge and skills of practising teachers. Schools have built leadership skills and teacher capacity through professional learning initiatives such as: </w:t>
      </w:r>
    </w:p>
    <w:p w14:paraId="051BC943" w14:textId="77777777" w:rsidR="003C6B11" w:rsidRPr="00B16E52" w:rsidRDefault="003C6B11" w:rsidP="00756999">
      <w:pPr>
        <w:pStyle w:val="ListParagraph"/>
        <w:numPr>
          <w:ilvl w:val="0"/>
          <w:numId w:val="12"/>
        </w:numPr>
      </w:pPr>
      <w:r w:rsidRPr="00B16E52">
        <w:t>collaborative planning (226 schools)</w:t>
      </w:r>
    </w:p>
    <w:p w14:paraId="1604B39C" w14:textId="77777777" w:rsidR="003C6B11" w:rsidRPr="00B16E52" w:rsidRDefault="003C6B11" w:rsidP="00756999">
      <w:pPr>
        <w:pStyle w:val="ListParagraph"/>
        <w:numPr>
          <w:ilvl w:val="0"/>
          <w:numId w:val="12"/>
        </w:numPr>
      </w:pPr>
      <w:r w:rsidRPr="00B16E52">
        <w:t>coordinating the ILNNP in their school and/or through coaching and mentoring (109 schools)</w:t>
      </w:r>
    </w:p>
    <w:p w14:paraId="4D6B17DA" w14:textId="77777777" w:rsidR="003C6B11" w:rsidRPr="00B16E52" w:rsidRDefault="003C6B11" w:rsidP="00756999">
      <w:pPr>
        <w:pStyle w:val="ListParagraph"/>
        <w:numPr>
          <w:ilvl w:val="0"/>
          <w:numId w:val="12"/>
        </w:numPr>
      </w:pPr>
      <w:r w:rsidRPr="00B16E52">
        <w:t xml:space="preserve">modelling and demonstration (94 schools) </w:t>
      </w:r>
    </w:p>
    <w:p w14:paraId="207ED82B" w14:textId="77777777" w:rsidR="003C6B11" w:rsidRPr="00B16E52" w:rsidRDefault="003C6B11" w:rsidP="00756999">
      <w:pPr>
        <w:pStyle w:val="ListParagraph"/>
        <w:numPr>
          <w:ilvl w:val="0"/>
          <w:numId w:val="12"/>
        </w:numPr>
      </w:pPr>
      <w:r w:rsidRPr="00B16E52">
        <w:t xml:space="preserve">team teaching (93 schools) </w:t>
      </w:r>
    </w:p>
    <w:p w14:paraId="3D37B885" w14:textId="77777777" w:rsidR="003C6B11" w:rsidRPr="00B16E52" w:rsidRDefault="003C6B11" w:rsidP="00756999">
      <w:pPr>
        <w:pStyle w:val="ListParagraph"/>
        <w:numPr>
          <w:ilvl w:val="0"/>
          <w:numId w:val="12"/>
        </w:numPr>
      </w:pPr>
      <w:r w:rsidRPr="00B16E52">
        <w:t xml:space="preserve">reflection (51 schools) and </w:t>
      </w:r>
    </w:p>
    <w:p w14:paraId="1DAEAA6C" w14:textId="77777777" w:rsidR="003C6B11" w:rsidRPr="00B16E52" w:rsidRDefault="003C6B11" w:rsidP="00756999">
      <w:pPr>
        <w:pStyle w:val="ListParagraph"/>
        <w:numPr>
          <w:ilvl w:val="0"/>
          <w:numId w:val="12"/>
        </w:numPr>
      </w:pPr>
      <w:r w:rsidRPr="00B16E52">
        <w:t>lesson study (48 schools).</w:t>
      </w:r>
    </w:p>
    <w:p w14:paraId="50CCBE7C" w14:textId="77777777" w:rsidR="003C6B11" w:rsidRPr="00B16E52" w:rsidRDefault="003C6B11" w:rsidP="00F96EEA">
      <w:r w:rsidRPr="00B16E52">
        <w:t>As part of the ILNNP, schools were asked to report on the progress of targeted students, including Aboriginal and non-Aboriginal students. A number of NSW Government schools undertook professional learning regarding supporting Aboriginal students through in-school and external courses, community of schools events or through conferences. The professional learning undertaken included:</w:t>
      </w:r>
    </w:p>
    <w:p w14:paraId="59B47F4D" w14:textId="77777777" w:rsidR="003C6B11" w:rsidRPr="00B16E52" w:rsidRDefault="003C6B11" w:rsidP="00756999">
      <w:pPr>
        <w:pStyle w:val="ListParagraph"/>
        <w:numPr>
          <w:ilvl w:val="0"/>
          <w:numId w:val="12"/>
        </w:numPr>
      </w:pPr>
      <w:r w:rsidRPr="00B16E52">
        <w:t>Aboriginal cultural learning and developing student centred project based learning</w:t>
      </w:r>
    </w:p>
    <w:p w14:paraId="7C848828" w14:textId="77777777" w:rsidR="003C6B11" w:rsidRPr="00B16E52" w:rsidRDefault="003C6B11" w:rsidP="00756999">
      <w:pPr>
        <w:pStyle w:val="ListParagraph"/>
        <w:numPr>
          <w:ilvl w:val="0"/>
          <w:numId w:val="12"/>
        </w:numPr>
      </w:pPr>
      <w:r w:rsidRPr="00B16E52">
        <w:lastRenderedPageBreak/>
        <w:t xml:space="preserve">No Gap, No Excuse No Gap, an Aboriginal Education Smart Notebook Resource. </w:t>
      </w:r>
    </w:p>
    <w:p w14:paraId="036868E9" w14:textId="77777777" w:rsidR="003C6B11" w:rsidRPr="00B16E52" w:rsidRDefault="003C6B11" w:rsidP="00756999">
      <w:pPr>
        <w:pStyle w:val="ListParagraph"/>
        <w:numPr>
          <w:ilvl w:val="0"/>
          <w:numId w:val="12"/>
        </w:numPr>
      </w:pPr>
      <w:r w:rsidRPr="00B16E52">
        <w:t>Identifying and benchmarking students on the numeracy continuum.</w:t>
      </w:r>
    </w:p>
    <w:p w14:paraId="578D6838" w14:textId="77777777" w:rsidR="003C6B11" w:rsidRPr="00B16E52" w:rsidRDefault="003C6B11" w:rsidP="00756999">
      <w:pPr>
        <w:pStyle w:val="ListParagraph"/>
        <w:numPr>
          <w:ilvl w:val="0"/>
          <w:numId w:val="12"/>
        </w:numPr>
      </w:pPr>
      <w:r w:rsidRPr="00B16E52">
        <w:t>The identification of appropriate staff to mentor Aboriginal students.</w:t>
      </w:r>
    </w:p>
    <w:p w14:paraId="66E4014F" w14:textId="77777777" w:rsidR="003C6B11" w:rsidRPr="00B16E52" w:rsidRDefault="003C6B11" w:rsidP="00756999">
      <w:pPr>
        <w:pStyle w:val="ListParagraph"/>
        <w:numPr>
          <w:ilvl w:val="0"/>
          <w:numId w:val="12"/>
        </w:numPr>
      </w:pPr>
      <w:r w:rsidRPr="00B16E52">
        <w:t xml:space="preserve">8 Ways of Learning – a </w:t>
      </w:r>
      <w:r w:rsidRPr="00A24353">
        <w:t>pedagogy framework that allows teachers to include Aboriginal perspectives by using Aboriginal learning techniques</w:t>
      </w:r>
    </w:p>
    <w:p w14:paraId="54133327" w14:textId="77777777" w:rsidR="003C6B11" w:rsidRPr="00F51FC2" w:rsidRDefault="003C6B11" w:rsidP="00756999">
      <w:pPr>
        <w:pStyle w:val="ListParagraph"/>
        <w:numPr>
          <w:ilvl w:val="0"/>
          <w:numId w:val="12"/>
        </w:numPr>
      </w:pPr>
      <w:r w:rsidRPr="00B16E52">
        <w:t xml:space="preserve">Literacy courses such as Write It Right and elements of Focus on Reading particularly relevant in relation to teaching Aboriginal students. </w:t>
      </w:r>
    </w:p>
    <w:p w14:paraId="7F9E37E1" w14:textId="77777777" w:rsidR="003C6B11" w:rsidRPr="00DB0683" w:rsidRDefault="003C6B11" w:rsidP="00F96EEA">
      <w:r w:rsidRPr="00DB0683">
        <w:t>Participation in the ILNNP program increased the capacity of tutors and teachers in the Lismore Diocese to collaborate in their planning and implementation of learning programs. It also assisted them to share responsibility for improved literacy and numeracy learning outcomes. The QuickSmart program professional development process assists this with six days of training. A supervising teacher was also appoin</w:t>
      </w:r>
      <w:r>
        <w:t>ted to support and supervise a</w:t>
      </w:r>
      <w:r w:rsidRPr="00DB0683">
        <w:t xml:space="preserve"> tutor </w:t>
      </w:r>
      <w:r>
        <w:t xml:space="preserve">in the effective implementation </w:t>
      </w:r>
      <w:r w:rsidRPr="00DB0683">
        <w:t>of the program at each school.</w:t>
      </w:r>
    </w:p>
    <w:p w14:paraId="73D2B556" w14:textId="76DC84AF" w:rsidR="003C6B11" w:rsidRDefault="003C6B11" w:rsidP="00F96EEA">
      <w:r w:rsidRPr="00DB0683">
        <w:t>Ensuring that collaboration was a systematic and a structured expectation was a feature of the approaches implemented b</w:t>
      </w:r>
      <w:r w:rsidR="004C4EAD">
        <w:t xml:space="preserve">y several Independent schools. </w:t>
      </w:r>
      <w:r w:rsidRPr="00DB0683">
        <w:t xml:space="preserve">Teachers at Carinya Tamworth were provided with half day release every term for collaboration and to observe their colleagues. The secondary teachers at Rouse Hill Anglican College were released for collaborative planning while the primary school staff implemented cycles of team teaching and collegial observation.  </w:t>
      </w:r>
    </w:p>
    <w:p w14:paraId="75839528" w14:textId="77777777" w:rsidR="003C6B11" w:rsidRDefault="003C6B11" w:rsidP="00F96EEA">
      <w:r w:rsidRPr="00DB0683">
        <w:t xml:space="preserve">18 primary teachers and 17 secondary teachers at Richard Johnson Anglican School participated in mentoring and collaborating sessions with a nominated mentor at least weekly.  </w:t>
      </w:r>
    </w:p>
    <w:p w14:paraId="53FE158B" w14:textId="1AB4A7A1" w:rsidR="003C6B11" w:rsidRDefault="003C6B11" w:rsidP="00F96EEA">
      <w:r w:rsidRPr="00DB0683">
        <w:t xml:space="preserve">Coffs Harbour Christian Community School </w:t>
      </w:r>
      <w:r w:rsidR="00B4742D">
        <w:t xml:space="preserve">allocated </w:t>
      </w:r>
      <w:r w:rsidRPr="00DB0683">
        <w:t>regular time (40 mins for junior school, 1 lesson middle school) each week to collaborate and to monitor the impacts of their practice on students’ literacy learning.</w:t>
      </w:r>
    </w:p>
    <w:p w14:paraId="558D52A2" w14:textId="77777777" w:rsidR="003C6B11" w:rsidRPr="00DB0683" w:rsidRDefault="003C6B11" w:rsidP="00F96EEA">
      <w:r>
        <w:t>Armidale Diocese took the opportunity to build better communication between feeder schools and to share improved understanding of data for the identification of student needs.</w:t>
      </w:r>
    </w:p>
    <w:p w14:paraId="289E8897" w14:textId="77777777" w:rsidR="003C6B11" w:rsidRPr="00DB0683" w:rsidRDefault="003C6B11" w:rsidP="00F96EEA">
      <w:pPr>
        <w:pStyle w:val="Heading3"/>
      </w:pPr>
      <w:r w:rsidRPr="00DB0683">
        <w:t xml:space="preserve">Effective data analysis </w:t>
      </w:r>
    </w:p>
    <w:p w14:paraId="64EAC133" w14:textId="77777777" w:rsidR="003C6B11" w:rsidRPr="00D84E78" w:rsidRDefault="003C6B11" w:rsidP="00F96EEA">
      <w:r w:rsidRPr="00D84E78">
        <w:t>The Diocese of Wagga has reported that principals and teachers are generally demonstrating a higher level of understanding and ability to analyse data and to plan according to the needs of students. Overall the pedagogical shift for teachers has been to focus on individual student needs and set goals and strategies to improve the learning of all students.</w:t>
      </w:r>
    </w:p>
    <w:p w14:paraId="1D02B226" w14:textId="77777777" w:rsidR="003C6B11" w:rsidRPr="00D84E78" w:rsidRDefault="003C6B11" w:rsidP="00F96EEA">
      <w:r w:rsidRPr="00D84E78">
        <w:t>The professional learning for Tamworth High School’s numeracy project explored teacher knowledge and current practices and introduced effective practices across the Key Learning Areas. This resulted in more explicit teaching of numeracy across the curriculum and the development of intervention strategies to identify and evaluate students’ progression on the numeracy continuum. Teachers were introduced to Newman’s Error Analysis to assist them in identifying the types of errors made by students, and they incorporated strategies to address the errors in teaching programs. Between the May and November data collections there was a substantial increase in the number of students achieving above expectations.</w:t>
      </w:r>
    </w:p>
    <w:p w14:paraId="3E54AE71" w14:textId="77777777" w:rsidR="003C6B11" w:rsidRPr="00DB0683" w:rsidRDefault="003C6B11" w:rsidP="00F96EEA">
      <w:pPr>
        <w:pStyle w:val="Heading3"/>
      </w:pPr>
      <w:r>
        <w:t>Explicit teaching</w:t>
      </w:r>
    </w:p>
    <w:p w14:paraId="51B4F214" w14:textId="77777777" w:rsidR="003C6B11" w:rsidRPr="00D84E78" w:rsidRDefault="003C6B11" w:rsidP="00F96EEA">
      <w:r w:rsidRPr="00D84E78">
        <w:t xml:space="preserve">All Catholic Dioceses have reported improved teacher capacity and this is validated through the very positive response to the teacher survey. Greater than 90 % of teachers report that as an outcome of </w:t>
      </w:r>
      <w:r w:rsidRPr="00D84E78">
        <w:lastRenderedPageBreak/>
        <w:t xml:space="preserve">involvement, they now have a deeper understanding of the teaching of literacy and/or numeracy skills and a greater range of strategies to explicitly address students’ literacy and/or numeracy needs. </w:t>
      </w:r>
    </w:p>
    <w:p w14:paraId="25B7B89E" w14:textId="77777777" w:rsidR="003C6B11" w:rsidRPr="00D84E78" w:rsidRDefault="003C6B11" w:rsidP="00F96EEA">
      <w:r w:rsidRPr="00D84E78">
        <w:t xml:space="preserve">In terms of professional learning in numeracy and its impact on explicit teaching practices, several government schools acknowledged the value of the Taking off with Numeracy (TOWN) program. At Merrylands Public School the ongoing professional learning led to a greater understanding of the numeracy continuum and the need to assess students learning on a more regular basis. It has also ensured that staff are planning differentiated teaching and learning experiences. The program is ensuring that teachers are providing explicit support for students. </w:t>
      </w:r>
    </w:p>
    <w:p w14:paraId="1F3B5EA4" w14:textId="2BC6F0A3" w:rsidR="00B61CE2" w:rsidRPr="00F96EEA" w:rsidRDefault="003C6B11" w:rsidP="00F96EEA">
      <w:r w:rsidRPr="00D84E78">
        <w:t>In Independent schools, explicit instruction was a key focus to ensure that targeted student needs were being addressed more effectively in the classroom. For example, teachers participated in training on the delivery of the intervention programs and there was professional learning for all staff on phonics, comprehension, the teaching and learning cycle and programming for literacy.</w:t>
      </w:r>
    </w:p>
    <w:p w14:paraId="15AEA7EA" w14:textId="77777777" w:rsidR="00B61CE2" w:rsidRDefault="00B61CE2">
      <w:pPr>
        <w:rPr>
          <w:rFonts w:ascii="Arial" w:hAnsi="Arial" w:cs="Arial"/>
          <w:b/>
          <w:color w:val="244061" w:themeColor="accent1" w:themeShade="80"/>
          <w:sz w:val="32"/>
          <w:szCs w:val="24"/>
        </w:rPr>
      </w:pPr>
      <w:r>
        <w:rPr>
          <w:rFonts w:ascii="Arial" w:hAnsi="Arial" w:cs="Arial"/>
          <w:b/>
          <w:color w:val="244061" w:themeColor="accent1" w:themeShade="80"/>
          <w:sz w:val="32"/>
          <w:szCs w:val="24"/>
        </w:rPr>
        <w:br w:type="page"/>
      </w:r>
    </w:p>
    <w:p w14:paraId="44C51E5E" w14:textId="38E07328" w:rsidR="00EC535C" w:rsidRPr="00F96EEA" w:rsidRDefault="0071107E" w:rsidP="00F96EEA">
      <w:pPr>
        <w:pStyle w:val="Heading2"/>
        <w:rPr>
          <w:sz w:val="28"/>
          <w:szCs w:val="28"/>
        </w:rPr>
      </w:pPr>
      <w:r w:rsidRPr="00F96EEA">
        <w:rPr>
          <w:sz w:val="28"/>
          <w:szCs w:val="28"/>
        </w:rPr>
        <w:lastRenderedPageBreak/>
        <w:t>SECTION</w:t>
      </w:r>
      <w:r w:rsidR="009301A4" w:rsidRPr="00F96EEA">
        <w:rPr>
          <w:sz w:val="28"/>
          <w:szCs w:val="28"/>
        </w:rPr>
        <w:t xml:space="preserve"> 3</w:t>
      </w:r>
      <w:r w:rsidR="00EC535C" w:rsidRPr="00F96EEA">
        <w:rPr>
          <w:sz w:val="28"/>
          <w:szCs w:val="28"/>
        </w:rPr>
        <w:t xml:space="preserve">: </w:t>
      </w:r>
      <w:r w:rsidRPr="00F96EEA">
        <w:rPr>
          <w:sz w:val="28"/>
          <w:szCs w:val="28"/>
        </w:rPr>
        <w:t>ANALYSIS OF PERFORMANCE DATA</w:t>
      </w:r>
    </w:p>
    <w:p w14:paraId="592AE439" w14:textId="77777777" w:rsidR="00616488" w:rsidRDefault="0065181E" w:rsidP="00F96EEA">
      <w:pPr>
        <w:pStyle w:val="Heading2"/>
        <w:rPr>
          <w:sz w:val="28"/>
        </w:rPr>
      </w:pPr>
      <w:r w:rsidRPr="00ED724A">
        <w:rPr>
          <w:sz w:val="28"/>
        </w:rPr>
        <w:t>NSW ILNNP Teacher Judgement of Student Progress</w:t>
      </w:r>
    </w:p>
    <w:p w14:paraId="5D824402" w14:textId="77777777" w:rsidR="0065181E" w:rsidRPr="00F96EEA" w:rsidRDefault="0065181E" w:rsidP="00F96EEA">
      <w:pPr>
        <w:rPr>
          <w:color w:val="244061" w:themeColor="accent1" w:themeShade="80"/>
          <w:sz w:val="28"/>
        </w:rPr>
      </w:pPr>
      <w:r w:rsidRPr="00F96EEA">
        <w:t xml:space="preserve">Due to the use of numerous measures across school sectors in New South Wales, a compilation methodology was </w:t>
      </w:r>
      <w:r w:rsidR="00D41B61" w:rsidRPr="00F96EEA">
        <w:t xml:space="preserve">developed for </w:t>
      </w:r>
      <w:r w:rsidRPr="00F96EEA">
        <w:t xml:space="preserve">teachers </w:t>
      </w:r>
      <w:r w:rsidR="00756507" w:rsidRPr="00F96EEA">
        <w:t>to make judgements about the progress of</w:t>
      </w:r>
      <w:r w:rsidRPr="00F96EEA">
        <w:t xml:space="preserve"> all students receiving additional support under the Improving Literacy and Numeracy National Partnership (ILNNP). Teachers conducted </w:t>
      </w:r>
      <w:r w:rsidR="00144434" w:rsidRPr="00F96EEA">
        <w:t>curriculum-based assessment at the commencement</w:t>
      </w:r>
      <w:r w:rsidRPr="00F96EEA">
        <w:t xml:space="preserve"> of the Partnership in May </w:t>
      </w:r>
      <w:r w:rsidR="00616488" w:rsidRPr="00F96EEA">
        <w:t>2013</w:t>
      </w:r>
      <w:r w:rsidRPr="00F96EEA">
        <w:t xml:space="preserve"> and </w:t>
      </w:r>
      <w:r w:rsidR="00144434" w:rsidRPr="00F96EEA">
        <w:t>then again</w:t>
      </w:r>
      <w:r w:rsidRPr="00F96EEA">
        <w:t xml:space="preserve"> in November 2013</w:t>
      </w:r>
      <w:r w:rsidR="00144434" w:rsidRPr="00F96EEA">
        <w:t>,</w:t>
      </w:r>
      <w:r w:rsidRPr="00F96EEA">
        <w:t xml:space="preserve"> using the same methodology (assessment, measure and/or scale) to make the judgement </w:t>
      </w:r>
      <w:r w:rsidR="00144434" w:rsidRPr="00F96EEA">
        <w:t xml:space="preserve">at each point. </w:t>
      </w:r>
    </w:p>
    <w:p w14:paraId="6977F0BE" w14:textId="60049082" w:rsidR="0065181E" w:rsidRPr="00F96EEA" w:rsidRDefault="0065181E" w:rsidP="00F96EEA">
      <w:r w:rsidRPr="00F96EEA">
        <w:t>Teachers were asked to provide judgment as to the relative development of student</w:t>
      </w:r>
      <w:r w:rsidR="00A04C48" w:rsidRPr="00F96EEA">
        <w:t>s in the 593</w:t>
      </w:r>
      <w:r w:rsidR="00144434" w:rsidRPr="00F96EEA">
        <w:t xml:space="preserve"> participating schools who were</w:t>
      </w:r>
      <w:r w:rsidRPr="00F96EEA">
        <w:t xml:space="preserve"> receiving additional </w:t>
      </w:r>
      <w:r w:rsidR="00144434" w:rsidRPr="00F96EEA">
        <w:t xml:space="preserve">support </w:t>
      </w:r>
      <w:r w:rsidRPr="00F96EEA">
        <w:t xml:space="preserve">in </w:t>
      </w:r>
      <w:r w:rsidR="00295FE3" w:rsidRPr="00F96EEA">
        <w:t>reading, numeracy or both</w:t>
      </w:r>
      <w:r w:rsidRPr="00F96EEA">
        <w:t xml:space="preserve">. The judgement was based on the student’s development (age and </w:t>
      </w:r>
      <w:r w:rsidR="001358E3" w:rsidRPr="00F96EEA">
        <w:t xml:space="preserve">performance in </w:t>
      </w:r>
      <w:r w:rsidRPr="00F96EEA">
        <w:t>curriculum based measures) against a five point scale as shown below:</w:t>
      </w:r>
    </w:p>
    <w:p w14:paraId="395B9811" w14:textId="77777777" w:rsidR="0065181E" w:rsidRPr="00F96EEA" w:rsidRDefault="0065181E" w:rsidP="00756999">
      <w:pPr>
        <w:pStyle w:val="ListParagraph"/>
        <w:numPr>
          <w:ilvl w:val="0"/>
          <w:numId w:val="13"/>
        </w:numPr>
      </w:pPr>
      <w:r w:rsidRPr="00F96EEA">
        <w:t xml:space="preserve">Student well above expectation </w:t>
      </w:r>
    </w:p>
    <w:p w14:paraId="09E5A55D" w14:textId="77777777" w:rsidR="0065181E" w:rsidRPr="00F96EEA" w:rsidRDefault="0065181E" w:rsidP="00756999">
      <w:pPr>
        <w:pStyle w:val="ListParagraph"/>
        <w:numPr>
          <w:ilvl w:val="0"/>
          <w:numId w:val="13"/>
        </w:numPr>
      </w:pPr>
      <w:r w:rsidRPr="00F96EEA">
        <w:t xml:space="preserve">Student above expectation </w:t>
      </w:r>
    </w:p>
    <w:p w14:paraId="4A058473" w14:textId="77777777" w:rsidR="0065181E" w:rsidRPr="00F96EEA" w:rsidRDefault="0065181E" w:rsidP="00756999">
      <w:pPr>
        <w:pStyle w:val="ListParagraph"/>
        <w:numPr>
          <w:ilvl w:val="0"/>
          <w:numId w:val="13"/>
        </w:numPr>
      </w:pPr>
      <w:r w:rsidRPr="00F96EEA">
        <w:t xml:space="preserve">Student at expectation </w:t>
      </w:r>
    </w:p>
    <w:p w14:paraId="50B71B4C" w14:textId="77777777" w:rsidR="0065181E" w:rsidRPr="00F96EEA" w:rsidRDefault="0065181E" w:rsidP="00756999">
      <w:pPr>
        <w:pStyle w:val="ListParagraph"/>
        <w:numPr>
          <w:ilvl w:val="0"/>
          <w:numId w:val="13"/>
        </w:numPr>
      </w:pPr>
      <w:r w:rsidRPr="00F96EEA">
        <w:t>Student below expectation</w:t>
      </w:r>
      <w:r w:rsidR="00AC67E9" w:rsidRPr="00F96EEA">
        <w:t> </w:t>
      </w:r>
    </w:p>
    <w:p w14:paraId="1B9F258D" w14:textId="77777777" w:rsidR="0065181E" w:rsidRPr="00F96EEA" w:rsidRDefault="0065181E" w:rsidP="00756999">
      <w:pPr>
        <w:pStyle w:val="ListParagraph"/>
        <w:numPr>
          <w:ilvl w:val="0"/>
          <w:numId w:val="13"/>
        </w:numPr>
      </w:pPr>
      <w:r w:rsidRPr="00F96EEA">
        <w:t xml:space="preserve">Student well below expectation </w:t>
      </w:r>
    </w:p>
    <w:p w14:paraId="43705E20" w14:textId="77777777" w:rsidR="002F11C2" w:rsidRPr="00F96EEA" w:rsidRDefault="0065181E" w:rsidP="00F96EEA">
      <w:r w:rsidRPr="00F96EEA">
        <w:t>Judgement for individual students against the five point scale was aggregated by A</w:t>
      </w:r>
      <w:r w:rsidR="00D679B0" w:rsidRPr="00F96EEA">
        <w:t>boriginal and Torres Strait Is</w:t>
      </w:r>
      <w:r w:rsidRPr="00F96EEA">
        <w:t>lander (ATSI) student</w:t>
      </w:r>
      <w:r w:rsidR="009D6464" w:rsidRPr="00F96EEA">
        <w:t>s</w:t>
      </w:r>
      <w:r w:rsidRPr="00F96EEA">
        <w:t xml:space="preserve"> and non-ATSI students within each level of the scale for s</w:t>
      </w:r>
      <w:r w:rsidR="00616488" w:rsidRPr="00F96EEA">
        <w:t xml:space="preserve">tudents involved in the ILNNP. </w:t>
      </w:r>
      <w:r w:rsidR="00FB2474" w:rsidRPr="00F96EEA">
        <w:t>From the aggregated data the following conclusions can be drawn:</w:t>
      </w:r>
      <w:r w:rsidR="002F11C2" w:rsidRPr="00F96EEA">
        <w:t xml:space="preserve"> </w:t>
      </w:r>
    </w:p>
    <w:p w14:paraId="48D7CB8A" w14:textId="77777777" w:rsidR="002F11C2" w:rsidRPr="00F96EEA" w:rsidRDefault="002F11C2" w:rsidP="00F96EEA">
      <w:r w:rsidRPr="00F96EEA">
        <w:t>All cohorts in all areas showed improvement.</w:t>
      </w:r>
    </w:p>
    <w:p w14:paraId="19A845C7" w14:textId="77777777" w:rsidR="002F11C2" w:rsidRPr="00F96EEA" w:rsidRDefault="002F11C2" w:rsidP="00F96EEA">
      <w:r w:rsidRPr="00F96EEA">
        <w:t>Overall, numeracy showed greater improvement than literacy.</w:t>
      </w:r>
    </w:p>
    <w:p w14:paraId="67899232" w14:textId="77777777" w:rsidR="002F11C2" w:rsidRPr="00F96EEA" w:rsidRDefault="002F11C2" w:rsidP="00F96EEA">
      <w:r w:rsidRPr="00F96EEA">
        <w:t>Literacy showed greatest improvement in the early years as opposed to numeracy which showed greatest improvement in Years 7 and 8.</w:t>
      </w:r>
    </w:p>
    <w:p w14:paraId="23BA7D21" w14:textId="77777777" w:rsidR="002F11C2" w:rsidRPr="00F96EEA" w:rsidRDefault="002F11C2" w:rsidP="00F96EEA">
      <w:r w:rsidRPr="00F96EEA">
        <w:t>In both literacy and numeracy ATSI students showed greater improvement when compared to all students engaged in the NP.</w:t>
      </w:r>
    </w:p>
    <w:p w14:paraId="445F2338" w14:textId="77777777" w:rsidR="00616488" w:rsidRPr="00F96EEA" w:rsidRDefault="002F11C2" w:rsidP="00F96EEA">
      <w:r w:rsidRPr="00F96EEA">
        <w:t>In general terms the number of students displaying the lowest level of achievement halved in the period.</w:t>
      </w:r>
    </w:p>
    <w:p w14:paraId="221E5706" w14:textId="77777777" w:rsidR="00FB2474" w:rsidRPr="00F96EEA" w:rsidRDefault="00FB2474" w:rsidP="00F96EEA">
      <w:pPr>
        <w:rPr>
          <w:sz w:val="28"/>
        </w:rPr>
      </w:pPr>
      <w:r w:rsidRPr="00F96EEA">
        <w:t>Complete results of the teacher evaluation from May and November of non-ATSI students can be found at Appendix B, with ATSI student results located at Appendix C.</w:t>
      </w:r>
    </w:p>
    <w:p w14:paraId="00FD4418" w14:textId="77777777" w:rsidR="0065181E" w:rsidRPr="00ED724A" w:rsidRDefault="00285206" w:rsidP="00F96EEA">
      <w:pPr>
        <w:pStyle w:val="Heading3"/>
      </w:pPr>
      <w:r w:rsidRPr="00ED724A">
        <w:t>Local Measure (i</w:t>
      </w:r>
      <w:r w:rsidR="0080066B" w:rsidRPr="00ED724A">
        <w:t xml:space="preserve">) </w:t>
      </w:r>
      <w:r w:rsidR="00F92362" w:rsidRPr="00ED724A">
        <w:t>Local school level data demonstrating change in literacy and / or numeracy performance for the t</w:t>
      </w:r>
      <w:r w:rsidR="0080066B" w:rsidRPr="00ED724A">
        <w:t>arget</w:t>
      </w:r>
      <w:r w:rsidR="007119A3" w:rsidRPr="00ED724A">
        <w:t xml:space="preserve"> student group </w:t>
      </w:r>
    </w:p>
    <w:p w14:paraId="0F2A0811" w14:textId="0C31AEE9" w:rsidR="00CB6329" w:rsidRPr="00ED724A" w:rsidRDefault="00CB6329" w:rsidP="00F96EEA">
      <w:pPr>
        <w:pStyle w:val="Heading3"/>
        <w:rPr>
          <w:color w:val="244061" w:themeColor="accent1" w:themeShade="80"/>
        </w:rPr>
      </w:pPr>
      <w:r w:rsidRPr="00ED724A">
        <w:t>Non-Aboriginal and Tor</w:t>
      </w:r>
      <w:r w:rsidR="00F96EEA">
        <w:t>res Strait Islander students</w:t>
      </w:r>
    </w:p>
    <w:p w14:paraId="1A231828" w14:textId="173A4F71" w:rsidR="004B2AA2" w:rsidRPr="0086194F" w:rsidRDefault="00F111FB" w:rsidP="00E01290">
      <w:pPr>
        <w:spacing w:before="120" w:after="240" w:line="360" w:lineRule="auto"/>
      </w:pPr>
      <w:r w:rsidRPr="00F96EEA">
        <w:t>T</w:t>
      </w:r>
      <w:r w:rsidR="000A3BCB" w:rsidRPr="00F96EEA">
        <w:t xml:space="preserve">hese charts aggregate all NSW non-ATSI students that were assessed across Government, Independent and Catholic schools; and across all participating school years (Years K – 8). The raw student numbers are presented as the proportion of total students, according to teacher judgement, that are located within each </w:t>
      </w:r>
      <w:r w:rsidR="000A3BCB" w:rsidRPr="00F96EEA">
        <w:lastRenderedPageBreak/>
        <w:t>category of the five-point scale</w:t>
      </w:r>
      <w:r w:rsidR="009D5096" w:rsidRPr="00F96EEA">
        <w:t>.</w:t>
      </w:r>
      <w:r w:rsidR="0086194F">
        <w:rPr>
          <w:rFonts w:ascii="Arial" w:hAnsi="Arial" w:cs="Arial"/>
          <w:noProof/>
          <w:szCs w:val="24"/>
          <w:lang w:eastAsia="en-AU"/>
        </w:rPr>
        <w:drawing>
          <wp:inline distT="0" distB="0" distL="0" distR="0" wp14:anchorId="1D8D2AD4" wp14:editId="4C955D85">
            <wp:extent cx="6084570" cy="3249295"/>
            <wp:effectExtent l="0" t="0" r="0" b="8255"/>
            <wp:docPr id="5" name="Picture 5" descr="Graph of non-ATSI students: Literacy. Graph includes data on the number of students well above expection, number of students at above expectation, number of students at expectation, number of students below expectation, number of students well below expec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4570" cy="3249295"/>
                    </a:xfrm>
                    <a:prstGeom prst="rect">
                      <a:avLst/>
                    </a:prstGeom>
                    <a:noFill/>
                  </pic:spPr>
                </pic:pic>
              </a:graphicData>
            </a:graphic>
          </wp:inline>
        </w:drawing>
      </w:r>
    </w:p>
    <w:p w14:paraId="787BD429" w14:textId="3E77E2EE" w:rsidR="00E01290" w:rsidRPr="0086194F" w:rsidRDefault="0086194F" w:rsidP="0086194F">
      <w:pPr>
        <w:spacing w:before="120" w:after="240" w:line="360" w:lineRule="auto"/>
        <w:rPr>
          <w:rFonts w:ascii="Arial" w:hAnsi="Arial" w:cs="Arial"/>
          <w:szCs w:val="24"/>
        </w:rPr>
      </w:pPr>
      <w:r>
        <w:rPr>
          <w:rFonts w:ascii="Arial" w:hAnsi="Arial" w:cs="Arial"/>
          <w:noProof/>
          <w:szCs w:val="24"/>
          <w:lang w:eastAsia="en-AU"/>
        </w:rPr>
        <w:drawing>
          <wp:inline distT="0" distB="0" distL="0" distR="0" wp14:anchorId="224498E2" wp14:editId="1F5B81AB">
            <wp:extent cx="6127115" cy="3420110"/>
            <wp:effectExtent l="0" t="0" r="6985" b="8890"/>
            <wp:docPr id="10" name="Picture 10" descr="Non-ATSI students: Numeracy. Graph includes data on the number of students well above expection, number of students at above expectation, number of students at expectation, number of students below expectation, number of students well below expec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7115" cy="3420110"/>
                    </a:xfrm>
                    <a:prstGeom prst="rect">
                      <a:avLst/>
                    </a:prstGeom>
                    <a:noFill/>
                  </pic:spPr>
                </pic:pic>
              </a:graphicData>
            </a:graphic>
          </wp:inline>
        </w:drawing>
      </w:r>
    </w:p>
    <w:p w14:paraId="4D297759" w14:textId="184994B6" w:rsidR="0086194F" w:rsidRDefault="00BD2CCE" w:rsidP="00553A41">
      <w:r w:rsidRPr="00ED724A">
        <w:t>There</w:t>
      </w:r>
      <w:r w:rsidR="00BA42B7">
        <w:t xml:space="preserve"> has been a marked</w:t>
      </w:r>
      <w:r>
        <w:t xml:space="preserve"> decrease</w:t>
      </w:r>
      <w:r w:rsidRPr="00ED724A">
        <w:t xml:space="preserve"> in the numbers of </w:t>
      </w:r>
      <w:r>
        <w:t xml:space="preserve">non-ATSI </w:t>
      </w:r>
      <w:r w:rsidRPr="00ED724A">
        <w:t>students assessed according to teacher</w:t>
      </w:r>
      <w:r>
        <w:t xml:space="preserve"> judgement as “well below expectation” in literacy. </w:t>
      </w:r>
    </w:p>
    <w:p w14:paraId="1F9C605C" w14:textId="59DAD232" w:rsidR="0086194F" w:rsidRPr="00916D09" w:rsidRDefault="0086194F" w:rsidP="00553A41">
      <w:r>
        <w:rPr>
          <w:noProof/>
          <w:lang w:eastAsia="en-AU"/>
        </w:rPr>
        <w:lastRenderedPageBreak/>
        <w:drawing>
          <wp:inline distT="0" distB="0" distL="0" distR="0" wp14:anchorId="0C361FE9" wp14:editId="6A2A7833">
            <wp:extent cx="5956300" cy="3755390"/>
            <wp:effectExtent l="0" t="0" r="6350" b="0"/>
            <wp:docPr id="11" name="Picture 11" descr="Proportion of non-ATSI students at &quot;well below expecation: Literacy. Graph includes data on the number of students in Kindergarten, Year 1, Year 2, Year 3, Year 4, Year 5, Year 6, Year 7, and Ye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6300" cy="3755390"/>
                    </a:xfrm>
                    <a:prstGeom prst="rect">
                      <a:avLst/>
                    </a:prstGeom>
                    <a:noFill/>
                  </pic:spPr>
                </pic:pic>
              </a:graphicData>
            </a:graphic>
          </wp:inline>
        </w:drawing>
      </w:r>
    </w:p>
    <w:p w14:paraId="78DC537F" w14:textId="1C554D66" w:rsidR="00B61CE2" w:rsidRDefault="00BD2CCE">
      <w:pPr>
        <w:rPr>
          <w:rFonts w:ascii="Corbel" w:hAnsi="Corbel"/>
          <w:sz w:val="20"/>
          <w:szCs w:val="24"/>
        </w:rPr>
      </w:pPr>
      <w:r w:rsidRPr="00ED724A">
        <w:t>There has also been a significant decrease in the numbers of</w:t>
      </w:r>
      <w:r>
        <w:t xml:space="preserve"> non-ATSI</w:t>
      </w:r>
      <w:r w:rsidRPr="00ED724A">
        <w:t xml:space="preserve"> students assessed according to teacher judgeme</w:t>
      </w:r>
      <w:r>
        <w:t>nt as “well below expectation” in numeracy.</w:t>
      </w:r>
      <w:r w:rsidR="00273D45">
        <w:rPr>
          <w:rFonts w:ascii="Corbel" w:hAnsi="Corbel"/>
          <w:sz w:val="20"/>
          <w:szCs w:val="24"/>
        </w:rPr>
        <w:t xml:space="preserve"> </w:t>
      </w:r>
    </w:p>
    <w:p w14:paraId="3CFCA315" w14:textId="45FF0903" w:rsidR="0086194F" w:rsidRDefault="0086194F">
      <w:pPr>
        <w:rPr>
          <w:rFonts w:ascii="Corbel" w:hAnsi="Corbel"/>
          <w:sz w:val="20"/>
          <w:szCs w:val="24"/>
        </w:rPr>
      </w:pPr>
      <w:r>
        <w:rPr>
          <w:rFonts w:ascii="Corbel" w:hAnsi="Corbel"/>
          <w:noProof/>
          <w:sz w:val="20"/>
          <w:szCs w:val="24"/>
          <w:lang w:eastAsia="en-AU"/>
        </w:rPr>
        <w:drawing>
          <wp:inline distT="0" distB="0" distL="0" distR="0" wp14:anchorId="615C7826" wp14:editId="6FAD7F50">
            <wp:extent cx="5958840" cy="3830048"/>
            <wp:effectExtent l="0" t="0" r="3810" b="0"/>
            <wp:docPr id="12" name="Picture 12" descr="Proportion of non-ATSI students at &quot;well below expectation&quot; Numeracy. Graph includes data on the number of students in Kindergarten, Year 1, Year 2, Year 3, Year 4, Year 5, Year 6, Year 7, and Ye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300" cy="3828415"/>
                    </a:xfrm>
                    <a:prstGeom prst="rect">
                      <a:avLst/>
                    </a:prstGeom>
                    <a:noFill/>
                  </pic:spPr>
                </pic:pic>
              </a:graphicData>
            </a:graphic>
          </wp:inline>
        </w:drawing>
      </w:r>
    </w:p>
    <w:p w14:paraId="43093438" w14:textId="77777777" w:rsidR="0086194F" w:rsidRDefault="0086194F">
      <w:pPr>
        <w:rPr>
          <w:rFonts w:ascii="Corbel" w:hAnsi="Corbel"/>
          <w:sz w:val="20"/>
          <w:szCs w:val="24"/>
        </w:rPr>
      </w:pPr>
    </w:p>
    <w:p w14:paraId="2FB5EE39" w14:textId="77777777" w:rsidR="0086194F" w:rsidRPr="00612775" w:rsidRDefault="0086194F">
      <w:pPr>
        <w:rPr>
          <w:rFonts w:ascii="Corbel" w:hAnsi="Corbel"/>
          <w:sz w:val="20"/>
          <w:szCs w:val="24"/>
        </w:rPr>
        <w:sectPr w:rsidR="0086194F" w:rsidRPr="00612775" w:rsidSect="009231B2">
          <w:footerReference w:type="default" r:id="rId13"/>
          <w:pgSz w:w="11906" w:h="16838" w:code="9"/>
          <w:pgMar w:top="1134" w:right="1134" w:bottom="1134" w:left="1134" w:header="709" w:footer="709" w:gutter="0"/>
          <w:cols w:space="708"/>
          <w:docGrid w:linePitch="360"/>
        </w:sectPr>
      </w:pPr>
    </w:p>
    <w:p w14:paraId="18F84A7F" w14:textId="77777777" w:rsidR="00BB4AF7" w:rsidRPr="006A209D" w:rsidRDefault="00BB4AF7" w:rsidP="00553A41">
      <w:pPr>
        <w:pStyle w:val="Heading3"/>
      </w:pPr>
      <w:r w:rsidRPr="006A209D">
        <w:lastRenderedPageBreak/>
        <w:t>Local Measure (ii) Local school level data demonstrating change in literacy and / or numeracy performance for the t</w:t>
      </w:r>
      <w:r w:rsidR="007119A3" w:rsidRPr="006A209D">
        <w:t xml:space="preserve">arget student group </w:t>
      </w:r>
    </w:p>
    <w:p w14:paraId="084EB2F9" w14:textId="77777777" w:rsidR="006F71D0" w:rsidRDefault="007119A3" w:rsidP="00553A41">
      <w:pPr>
        <w:pStyle w:val="Heading3"/>
      </w:pPr>
      <w:r w:rsidRPr="00ED724A">
        <w:t>Aboriginal and T</w:t>
      </w:r>
      <w:r w:rsidR="006F71D0">
        <w:t xml:space="preserve">orres Strait Islander students </w:t>
      </w:r>
    </w:p>
    <w:p w14:paraId="4E349CD9" w14:textId="77777777" w:rsidR="000A3BCB" w:rsidRDefault="000A3BCB" w:rsidP="00553A41">
      <w:r w:rsidRPr="00ED724A">
        <w:t>These charts aggregate all NSW ATSI students that were assessed across Government, Independent and Catholic schools; and across all participating school years (Years K – 8). The raw student numbers are presented as the proportion of total students, according to teacher judgement, that are located within each category of the five-point scale</w:t>
      </w:r>
      <w:r w:rsidR="006F71D0">
        <w:t>.</w:t>
      </w:r>
    </w:p>
    <w:p w14:paraId="5B354174" w14:textId="4E242CA9" w:rsidR="00BD2CCE" w:rsidRDefault="0086194F" w:rsidP="00254C36">
      <w:pPr>
        <w:rPr>
          <w:b/>
          <w:sz w:val="28"/>
          <w:u w:val="single"/>
        </w:rPr>
      </w:pPr>
      <w:r>
        <w:rPr>
          <w:b/>
          <w:noProof/>
          <w:sz w:val="28"/>
          <w:u w:val="single"/>
          <w:lang w:eastAsia="en-AU"/>
        </w:rPr>
        <w:drawing>
          <wp:inline distT="0" distB="0" distL="0" distR="0" wp14:anchorId="30454BFB" wp14:editId="21AB950C">
            <wp:extent cx="6224270" cy="3030220"/>
            <wp:effectExtent l="0" t="0" r="5080" b="0"/>
            <wp:docPr id="13" name="Picture 13" descr="ATSI students: Literacy. Graph includes data on the number of students well above expection, number of students at above expectation, number of students at expectation, number of students below expectation, number of students well below expec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4270" cy="3030220"/>
                    </a:xfrm>
                    <a:prstGeom prst="rect">
                      <a:avLst/>
                    </a:prstGeom>
                    <a:noFill/>
                  </pic:spPr>
                </pic:pic>
              </a:graphicData>
            </a:graphic>
          </wp:inline>
        </w:drawing>
      </w:r>
    </w:p>
    <w:p w14:paraId="070D64A2" w14:textId="47005C4B" w:rsidR="0086194F" w:rsidRPr="0086194F" w:rsidRDefault="0086194F" w:rsidP="00254C36">
      <w:pPr>
        <w:rPr>
          <w:b/>
          <w:sz w:val="28"/>
          <w:u w:val="single"/>
        </w:rPr>
      </w:pPr>
      <w:r>
        <w:rPr>
          <w:b/>
          <w:noProof/>
          <w:sz w:val="28"/>
          <w:u w:val="single"/>
          <w:lang w:eastAsia="en-AU"/>
        </w:rPr>
        <w:drawing>
          <wp:inline distT="0" distB="0" distL="0" distR="0" wp14:anchorId="376F7737" wp14:editId="59239D4C">
            <wp:extent cx="6132830" cy="3145790"/>
            <wp:effectExtent l="0" t="0" r="1270" b="0"/>
            <wp:docPr id="14" name="Picture 14" descr="ATSI students: Numeracy. Graph includes data on the number of students well above expection, number of students at above expectation, number of students at expectation, number of students below expectation, number of students well below expec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2830" cy="3145790"/>
                    </a:xfrm>
                    <a:prstGeom prst="rect">
                      <a:avLst/>
                    </a:prstGeom>
                    <a:noFill/>
                  </pic:spPr>
                </pic:pic>
              </a:graphicData>
            </a:graphic>
          </wp:inline>
        </w:drawing>
      </w:r>
    </w:p>
    <w:p w14:paraId="760B8C92" w14:textId="1F55B3E7" w:rsidR="00BA42B7" w:rsidRDefault="00BA42B7" w:rsidP="00BA42B7">
      <w:pPr>
        <w:spacing w:before="120" w:after="240"/>
        <w:rPr>
          <w:rFonts w:ascii="Arial" w:hAnsi="Arial" w:cs="Arial"/>
          <w:szCs w:val="24"/>
        </w:rPr>
      </w:pPr>
    </w:p>
    <w:p w14:paraId="4EFA115E" w14:textId="02126674" w:rsidR="006F71D0" w:rsidRDefault="00BA42B7" w:rsidP="00553A41">
      <w:r>
        <w:br w:type="page"/>
      </w:r>
      <w:r w:rsidR="006F71D0" w:rsidRPr="00ED724A">
        <w:lastRenderedPageBreak/>
        <w:t>There</w:t>
      </w:r>
      <w:r w:rsidR="00F418EC">
        <w:t xml:space="preserve"> has been a </w:t>
      </w:r>
      <w:r>
        <w:t>marked</w:t>
      </w:r>
      <w:r w:rsidR="00F418EC">
        <w:t xml:space="preserve"> decrease</w:t>
      </w:r>
      <w:r w:rsidR="006F71D0" w:rsidRPr="00ED724A">
        <w:t xml:space="preserve"> in the numbers of Aboriginal students assessed according to teacher</w:t>
      </w:r>
      <w:r w:rsidR="003874BF">
        <w:t xml:space="preserve"> judgement as “well below expectation” in literacy. </w:t>
      </w:r>
    </w:p>
    <w:p w14:paraId="464825D4" w14:textId="7802C32A" w:rsidR="006F71D0" w:rsidRPr="0086194F" w:rsidRDefault="0086194F" w:rsidP="0086194F">
      <w:r>
        <w:rPr>
          <w:noProof/>
          <w:lang w:eastAsia="en-AU"/>
        </w:rPr>
        <w:drawing>
          <wp:inline distT="0" distB="0" distL="0" distR="0" wp14:anchorId="045CDBCB" wp14:editId="01E5258E">
            <wp:extent cx="5956300" cy="3663950"/>
            <wp:effectExtent l="0" t="0" r="6350" b="0"/>
            <wp:docPr id="15" name="Picture 15" descr="Proportion of ATSI students at &quot;well below expectation&quot; Literacy. Graph includes data on the number of students in Kindergarten, Year 1, Year 2, Year 3, Year 4, Year 5, Year 6, Year 7, and Ye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6300" cy="3663950"/>
                    </a:xfrm>
                    <a:prstGeom prst="rect">
                      <a:avLst/>
                    </a:prstGeom>
                    <a:noFill/>
                  </pic:spPr>
                </pic:pic>
              </a:graphicData>
            </a:graphic>
          </wp:inline>
        </w:drawing>
      </w:r>
    </w:p>
    <w:p w14:paraId="58E00DFB" w14:textId="659C3E81" w:rsidR="006F71D0" w:rsidRDefault="00BA42B7" w:rsidP="00553A41">
      <w:r>
        <w:t>There has also been a substantial</w:t>
      </w:r>
      <w:r w:rsidR="006F71D0" w:rsidRPr="00ED724A">
        <w:t xml:space="preserve"> decrease in the numbers of Aboriginal students assessed according to teacher judgeme</w:t>
      </w:r>
      <w:r w:rsidR="003874BF">
        <w:t xml:space="preserve">nt as “well below expectation” in numeracy. </w:t>
      </w:r>
    </w:p>
    <w:p w14:paraId="26853977" w14:textId="4F6005E4" w:rsidR="006F71D0" w:rsidRPr="0086194F" w:rsidRDefault="0086194F" w:rsidP="0086194F">
      <w:r>
        <w:rPr>
          <w:noProof/>
          <w:lang w:eastAsia="en-AU"/>
        </w:rPr>
        <w:drawing>
          <wp:inline distT="0" distB="0" distL="0" distR="0" wp14:anchorId="305F0AF1" wp14:editId="2B6A2E7A">
            <wp:extent cx="5956300" cy="3566160"/>
            <wp:effectExtent l="0" t="0" r="6350" b="0"/>
            <wp:docPr id="16" name="Picture 16" descr="Porportion of ATSI students at &quot;well below expectation&quot; Numeracy. Graph includes data on the number of students in Kindergarten, Year 1, Year 2, Year 3, Year 4, Year 5, Year 6, Year 7, and Ye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56300" cy="3566160"/>
                    </a:xfrm>
                    <a:prstGeom prst="rect">
                      <a:avLst/>
                    </a:prstGeom>
                    <a:noFill/>
                  </pic:spPr>
                </pic:pic>
              </a:graphicData>
            </a:graphic>
          </wp:inline>
        </w:drawing>
      </w:r>
    </w:p>
    <w:p w14:paraId="5FFA578E" w14:textId="77777777" w:rsidR="000A3BCB" w:rsidRDefault="000A3BCB" w:rsidP="002B4B35">
      <w:pPr>
        <w:spacing w:before="120" w:after="240"/>
        <w:rPr>
          <w:rFonts w:ascii="Corbel" w:hAnsi="Corbel"/>
          <w:sz w:val="20"/>
          <w:szCs w:val="24"/>
        </w:rPr>
      </w:pPr>
    </w:p>
    <w:p w14:paraId="5BB61379" w14:textId="77777777" w:rsidR="00E01290" w:rsidRPr="002636F1" w:rsidRDefault="00E01290" w:rsidP="002B4B35">
      <w:pPr>
        <w:spacing w:before="120" w:after="240"/>
        <w:rPr>
          <w:rFonts w:ascii="Corbel" w:hAnsi="Corbel"/>
          <w:sz w:val="20"/>
          <w:szCs w:val="24"/>
        </w:rPr>
        <w:sectPr w:rsidR="00E01290" w:rsidRPr="002636F1" w:rsidSect="00201EDF">
          <w:pgSz w:w="11906" w:h="16838"/>
          <w:pgMar w:top="1134" w:right="851" w:bottom="1134" w:left="1418" w:header="709" w:footer="709" w:gutter="0"/>
          <w:cols w:space="708"/>
          <w:docGrid w:linePitch="360"/>
        </w:sectPr>
      </w:pPr>
    </w:p>
    <w:p w14:paraId="21FDCDCF" w14:textId="77777777" w:rsidR="00F2743B" w:rsidRPr="00FC30BA" w:rsidRDefault="00C33058" w:rsidP="00553A41">
      <w:pPr>
        <w:pStyle w:val="Heading3"/>
      </w:pPr>
      <w:r w:rsidRPr="00ED724A">
        <w:lastRenderedPageBreak/>
        <w:t xml:space="preserve">Local Measure </w:t>
      </w:r>
      <w:r w:rsidR="0079572C" w:rsidRPr="00ED724A">
        <w:t>(vi)</w:t>
      </w:r>
      <w:r w:rsidR="00DB19CD" w:rsidRPr="00ED724A">
        <w:t xml:space="preserve"> </w:t>
      </w:r>
      <w:r w:rsidR="0079572C" w:rsidRPr="00ED724A">
        <w:t>Local school</w:t>
      </w:r>
      <w:r w:rsidR="00FC30BA">
        <w:t xml:space="preserve"> level data collection measures</w:t>
      </w:r>
    </w:p>
    <w:p w14:paraId="20CD5545" w14:textId="77777777" w:rsidR="00CA716A" w:rsidRPr="00ED724A" w:rsidRDefault="00CA716A" w:rsidP="00553A41">
      <w:pPr>
        <w:pStyle w:val="Heading3"/>
      </w:pPr>
      <w:r w:rsidRPr="00ED724A">
        <w:t>NSW Government Schools</w:t>
      </w:r>
    </w:p>
    <w:p w14:paraId="004CEE18" w14:textId="77777777" w:rsidR="0014388D" w:rsidRPr="00ED724A" w:rsidRDefault="0014388D" w:rsidP="00553A41">
      <w:r w:rsidRPr="00ED724A">
        <w:t xml:space="preserve">Teachers in NSW Government schools reported on the progress of targeted students by collecting data in May </w:t>
      </w:r>
      <w:r w:rsidR="004A07D9" w:rsidRPr="00ED724A">
        <w:t xml:space="preserve">and November </w:t>
      </w:r>
      <w:r w:rsidRPr="00ED724A">
        <w:t xml:space="preserve">2013 against the </w:t>
      </w:r>
      <w:r w:rsidR="00932045" w:rsidRPr="00ED724A">
        <w:t xml:space="preserve">local measure of </w:t>
      </w:r>
      <w:r w:rsidR="0058104F" w:rsidRPr="00ED724A">
        <w:t xml:space="preserve">either </w:t>
      </w:r>
      <w:r w:rsidR="00932045" w:rsidRPr="00ED724A">
        <w:t xml:space="preserve">the </w:t>
      </w:r>
      <w:r w:rsidR="00854F65" w:rsidRPr="00ED724A">
        <w:t>NSW Department of Education and Communities (DEC)</w:t>
      </w:r>
      <w:r w:rsidRPr="00ED724A">
        <w:t xml:space="preserve"> Literacy </w:t>
      </w:r>
      <w:r w:rsidR="00A66E1B" w:rsidRPr="00ED724A">
        <w:t xml:space="preserve">Continuum K-10 </w:t>
      </w:r>
      <w:r w:rsidRPr="00ED724A">
        <w:t>or Numeracy Continuum K-10.</w:t>
      </w:r>
      <w:r w:rsidR="00932045" w:rsidRPr="00ED724A">
        <w:t xml:space="preserve"> </w:t>
      </w:r>
    </w:p>
    <w:p w14:paraId="2256C0C6" w14:textId="77777777" w:rsidR="0014388D" w:rsidRPr="00ED724A" w:rsidRDefault="004A07D9" w:rsidP="00553A41">
      <w:r w:rsidRPr="00ED724A">
        <w:t xml:space="preserve">The Literacy Continuum K-10 </w:t>
      </w:r>
      <w:r w:rsidR="0014388D" w:rsidRPr="00ED724A">
        <w:t>identifies the literacy skills and understandings regarded as critical to literacy success. It maps how critical aspects develop through the years of schooling by describing key markers of expected student achievement. The continuum focuses on capturing the literacy connections that are critical to success, are applicable to all key learning areas and cannot be left to chance. It has been informed by an extensive range of international and Australian studies, reports and research.</w:t>
      </w:r>
    </w:p>
    <w:p w14:paraId="752E2C4B" w14:textId="77777777" w:rsidR="0014388D" w:rsidRPr="00ED724A" w:rsidRDefault="0014388D" w:rsidP="00553A41">
      <w:r w:rsidRPr="00ED724A">
        <w:t xml:space="preserve">The </w:t>
      </w:r>
      <w:r w:rsidR="004A07D9" w:rsidRPr="00ED724A">
        <w:t>l</w:t>
      </w:r>
      <w:r w:rsidRPr="00ED724A">
        <w:t xml:space="preserve">iteracy continuum is a powerful tool which all teachers can use to strengthen their knowledge of literacy and so deliver a quality </w:t>
      </w:r>
      <w:r w:rsidR="00B06F7F" w:rsidRPr="00ED724A">
        <w:t xml:space="preserve">teaching </w:t>
      </w:r>
      <w:r w:rsidRPr="00ED724A">
        <w:t>program with a strong literacy focus to enhance learning opportunities for their students. In conjunction with the NSW syllabuses, the continuum assists teachers to integrate literacy into all key learning areas.</w:t>
      </w:r>
    </w:p>
    <w:p w14:paraId="07662299" w14:textId="77777777" w:rsidR="0014388D" w:rsidRDefault="0014388D" w:rsidP="00553A41">
      <w:r w:rsidRPr="00ED724A">
        <w:t xml:space="preserve">Government schools selecting a literacy focus were asked to report on the combination of two critical aspects: </w:t>
      </w:r>
    </w:p>
    <w:p w14:paraId="744A0A0A" w14:textId="77777777" w:rsidR="004A60D0" w:rsidRDefault="004A60D0" w:rsidP="00553A41">
      <w:r>
        <w:t>Reading texts</w:t>
      </w:r>
    </w:p>
    <w:p w14:paraId="57702641" w14:textId="77777777" w:rsidR="004A60D0" w:rsidRPr="004A60D0" w:rsidRDefault="004A60D0" w:rsidP="00553A41">
      <w:r>
        <w:t>Comprehension</w:t>
      </w:r>
    </w:p>
    <w:p w14:paraId="047878F0" w14:textId="77777777" w:rsidR="0014388D" w:rsidRPr="00ED724A" w:rsidRDefault="004A07D9" w:rsidP="00553A41">
      <w:r w:rsidRPr="00ED724A">
        <w:t xml:space="preserve">The Numeracy Continuum K-10 </w:t>
      </w:r>
      <w:r w:rsidR="0014388D" w:rsidRPr="00ED724A">
        <w:t xml:space="preserve">describes how </w:t>
      </w:r>
      <w:r w:rsidR="00DB19CD" w:rsidRPr="00ED724A">
        <w:t>students’</w:t>
      </w:r>
      <w:r w:rsidR="0014388D" w:rsidRPr="00ED724A">
        <w:t xml:space="preserve"> progress from using simple to increasingly sophisticated strategies in order to solve number and measurement problems. It supports teachers’ understanding of how students develop numeracy concepts by providing an explicit framework of students’ strategies and understandings across critical aspects of numeracy.</w:t>
      </w:r>
    </w:p>
    <w:p w14:paraId="1CC44331" w14:textId="77777777" w:rsidR="0014388D" w:rsidRPr="00ED724A" w:rsidRDefault="0014388D" w:rsidP="00553A41">
      <w:r w:rsidRPr="00ED724A">
        <w:t xml:space="preserve">The </w:t>
      </w:r>
      <w:r w:rsidR="004A07D9" w:rsidRPr="00ED724A">
        <w:t>n</w:t>
      </w:r>
      <w:r w:rsidRPr="00ED724A">
        <w:t>umeracy continuum represents the synthesis of extensive national and international research over the past 20 years and underpins State developed numeracy programs including, Best Start, Targeted Early Numeracy (TEN), Count Me In Too (CMIT) and Taking Off With Numeracy (TOWN). The continuum also provides a base for the implementation of the NSW</w:t>
      </w:r>
      <w:r w:rsidR="00B06F7F" w:rsidRPr="00ED724A">
        <w:t xml:space="preserve"> Syllabus for the Australian Curriculum Mathematics K-10</w:t>
      </w:r>
      <w:r w:rsidRPr="00ED724A">
        <w:t>.</w:t>
      </w:r>
    </w:p>
    <w:p w14:paraId="30526487" w14:textId="77777777" w:rsidR="0014388D" w:rsidRPr="00ED724A" w:rsidRDefault="0014388D" w:rsidP="00553A41">
      <w:r w:rsidRPr="00ED724A">
        <w:t>Schools wi</w:t>
      </w:r>
      <w:r w:rsidR="00FC30BA">
        <w:t>th a numeracy focus reported on:</w:t>
      </w:r>
    </w:p>
    <w:p w14:paraId="3B4B8A57" w14:textId="72C77257" w:rsidR="0014388D" w:rsidRPr="00FC30BA" w:rsidRDefault="0014388D" w:rsidP="00553A41">
      <w:r w:rsidRPr="00FC30BA">
        <w:t>Counting as a problem solving process - E</w:t>
      </w:r>
      <w:r w:rsidR="00A24353">
        <w:t xml:space="preserve">arly Arithmetic Strategies and </w:t>
      </w:r>
      <w:r w:rsidRPr="00FC30BA">
        <w:t>Place Value.</w:t>
      </w:r>
    </w:p>
    <w:p w14:paraId="5C070512" w14:textId="77777777" w:rsidR="0014388D" w:rsidRPr="00ED724A" w:rsidRDefault="0014388D" w:rsidP="00553A41">
      <w:r w:rsidRPr="00ED724A">
        <w:t>Each</w:t>
      </w:r>
      <w:r w:rsidR="004A07D9" w:rsidRPr="00ED724A">
        <w:t xml:space="preserve"> of the</w:t>
      </w:r>
      <w:r w:rsidRPr="00ED724A">
        <w:t xml:space="preserve"> continuum</w:t>
      </w:r>
      <w:r w:rsidR="004A07D9" w:rsidRPr="00ED724A">
        <w:t>s</w:t>
      </w:r>
      <w:r w:rsidRPr="00ED724A">
        <w:t xml:space="preserve"> can be used flexibly for a variety of purposes which include:</w:t>
      </w:r>
    </w:p>
    <w:p w14:paraId="145A58BC" w14:textId="77777777" w:rsidR="0014388D" w:rsidRPr="00FC30BA" w:rsidRDefault="0014388D" w:rsidP="00756999">
      <w:pPr>
        <w:pStyle w:val="ListParagraph"/>
        <w:numPr>
          <w:ilvl w:val="0"/>
          <w:numId w:val="14"/>
        </w:numPr>
      </w:pPr>
      <w:r w:rsidRPr="00FC30BA">
        <w:t>gathering assessment information when observing students working on mathematics problems</w:t>
      </w:r>
      <w:r w:rsidR="002C64FF" w:rsidRPr="00FC30BA">
        <w:t xml:space="preserve"> to provide data</w:t>
      </w:r>
    </w:p>
    <w:p w14:paraId="690AEBED" w14:textId="77777777" w:rsidR="0014388D" w:rsidRPr="00FC30BA" w:rsidRDefault="0014388D" w:rsidP="00756999">
      <w:pPr>
        <w:pStyle w:val="ListParagraph"/>
        <w:numPr>
          <w:ilvl w:val="0"/>
          <w:numId w:val="14"/>
        </w:numPr>
      </w:pPr>
      <w:r w:rsidRPr="00FC30BA">
        <w:t>tracking and monitoring student progress and setting progress targets</w:t>
      </w:r>
    </w:p>
    <w:p w14:paraId="6309D5D0" w14:textId="77777777" w:rsidR="0014388D" w:rsidRPr="00FC30BA" w:rsidRDefault="0014388D" w:rsidP="00756999">
      <w:pPr>
        <w:pStyle w:val="ListParagraph"/>
        <w:numPr>
          <w:ilvl w:val="0"/>
          <w:numId w:val="14"/>
        </w:numPr>
      </w:pPr>
      <w:r w:rsidRPr="00FC30BA">
        <w:t>guiding future learning for students</w:t>
      </w:r>
    </w:p>
    <w:p w14:paraId="0B5C69ED" w14:textId="77777777" w:rsidR="0014388D" w:rsidRPr="00FC30BA" w:rsidRDefault="0014388D" w:rsidP="00756999">
      <w:pPr>
        <w:pStyle w:val="ListParagraph"/>
        <w:numPr>
          <w:ilvl w:val="0"/>
          <w:numId w:val="14"/>
        </w:numPr>
      </w:pPr>
      <w:r w:rsidRPr="00FC30BA">
        <w:t>assisting in the development of differentiated programs</w:t>
      </w:r>
    </w:p>
    <w:p w14:paraId="73586902" w14:textId="047AE96D" w:rsidR="00932045" w:rsidRPr="00ED724A" w:rsidRDefault="00A66E1B" w:rsidP="00553A41">
      <w:r w:rsidRPr="00ED724A">
        <w:t xml:space="preserve">In primary schools </w:t>
      </w:r>
      <w:r w:rsidR="0058104F" w:rsidRPr="00ED724A">
        <w:t xml:space="preserve">the </w:t>
      </w:r>
      <w:r w:rsidR="00932045" w:rsidRPr="00ED724A">
        <w:t xml:space="preserve">use of </w:t>
      </w:r>
      <w:r w:rsidR="0058104F" w:rsidRPr="00ED724A">
        <w:t xml:space="preserve">the </w:t>
      </w:r>
      <w:r w:rsidR="00932045" w:rsidRPr="00ED724A">
        <w:t>local measures,</w:t>
      </w:r>
      <w:r w:rsidR="0058104F" w:rsidRPr="00ED724A">
        <w:t xml:space="preserve"> involving </w:t>
      </w:r>
      <w:r w:rsidR="00932045" w:rsidRPr="00ED724A">
        <w:t>the DEC Literacy Continuum K-10 and/or Numeracy Continuums K-10</w:t>
      </w:r>
      <w:r w:rsidRPr="00ED724A">
        <w:t>, for</w:t>
      </w:r>
      <w:r w:rsidR="00932045" w:rsidRPr="00ED724A">
        <w:t xml:space="preserve"> assessing, planning and programming was </w:t>
      </w:r>
      <w:r w:rsidRPr="00ED724A">
        <w:t xml:space="preserve">strengthened. </w:t>
      </w:r>
      <w:r w:rsidR="00932045" w:rsidRPr="00ED724A">
        <w:t xml:space="preserve">In secondary </w:t>
      </w:r>
      <w:r w:rsidR="00932045" w:rsidRPr="00ED724A">
        <w:lastRenderedPageBreak/>
        <w:t xml:space="preserve">schools, the continuums were introduced and are being utilised to support teaching and learning in literacy and numeracy across a range of </w:t>
      </w:r>
      <w:r w:rsidRPr="00ED724A">
        <w:t>l</w:t>
      </w:r>
      <w:r w:rsidR="00932045" w:rsidRPr="00ED724A">
        <w:t xml:space="preserve">earning </w:t>
      </w:r>
      <w:r w:rsidRPr="00ED724A">
        <w:t>a</w:t>
      </w:r>
      <w:r w:rsidR="00932045" w:rsidRPr="00ED724A">
        <w:t xml:space="preserve">reas. All </w:t>
      </w:r>
      <w:r w:rsidR="00D321A1" w:rsidRPr="00ED724A">
        <w:t xml:space="preserve">Government </w:t>
      </w:r>
      <w:r w:rsidR="00932045" w:rsidRPr="00ED724A">
        <w:t xml:space="preserve">schools </w:t>
      </w:r>
      <w:r w:rsidR="00FF2FB6">
        <w:t xml:space="preserve">participating in the ILNNP </w:t>
      </w:r>
      <w:r w:rsidR="00932045" w:rsidRPr="00ED724A">
        <w:t>are using the continuums to assess student achievement in literacy and/or numeracy</w:t>
      </w:r>
      <w:r w:rsidR="0024155A">
        <w:t>.</w:t>
      </w:r>
    </w:p>
    <w:p w14:paraId="21C16F9C" w14:textId="0B7DD29C" w:rsidR="007A6150" w:rsidRPr="00ED724A" w:rsidRDefault="007A6150" w:rsidP="00553A41">
      <w:r w:rsidRPr="00ED724A">
        <w:t xml:space="preserve">Teachers assessed student achievement </w:t>
      </w:r>
      <w:r w:rsidR="0058104F" w:rsidRPr="00ED724A">
        <w:t>using</w:t>
      </w:r>
      <w:r w:rsidRPr="00ED724A">
        <w:t xml:space="preserve"> a range of evidence such as observations, work samples and interactions with students. Teachers matched this evidence to the relevant continuums in order to plan </w:t>
      </w:r>
      <w:r w:rsidR="002C64FF" w:rsidRPr="00ED724A">
        <w:t xml:space="preserve">explicit short and </w:t>
      </w:r>
      <w:r w:rsidR="000A2C00">
        <w:t>long-term</w:t>
      </w:r>
      <w:r w:rsidRPr="00ED724A">
        <w:t xml:space="preserve"> teaching</w:t>
      </w:r>
      <w:r w:rsidR="002C64FF" w:rsidRPr="00ED724A">
        <w:t xml:space="preserve"> directions</w:t>
      </w:r>
      <w:r w:rsidRPr="00ED724A">
        <w:t>. Throughout the year, teachers referred to continuum markers to track and monitor student progress and utilised this information to strengthen a whole-school cohesive approach to literacy</w:t>
      </w:r>
      <w:r w:rsidR="00A66E1B" w:rsidRPr="00ED724A">
        <w:t xml:space="preserve"> and/or numeracy</w:t>
      </w:r>
      <w:r w:rsidRPr="00ED724A">
        <w:t>.</w:t>
      </w:r>
    </w:p>
    <w:p w14:paraId="3B1BA470" w14:textId="2E8039FA" w:rsidR="00AD3ABF" w:rsidRPr="00ED724A" w:rsidRDefault="007A6150" w:rsidP="00553A41">
      <w:r w:rsidRPr="00ED724A">
        <w:t>The types of assessments and the numbers of schools undertaking each type are detailed below.</w:t>
      </w:r>
    </w:p>
    <w:tbl>
      <w:tblPr>
        <w:tblStyle w:val="TableGrid"/>
        <w:tblW w:w="5000" w:type="pct"/>
        <w:tblLook w:val="04A0" w:firstRow="1" w:lastRow="0" w:firstColumn="1" w:lastColumn="0" w:noHBand="0" w:noVBand="1"/>
        <w:tblCaption w:val="Types of assessments and numbers of schools"/>
        <w:tblDescription w:val="Table outlining the types of assessment and the numbers of schools undertaking each assessment."/>
      </w:tblPr>
      <w:tblGrid>
        <w:gridCol w:w="2165"/>
        <w:gridCol w:w="1898"/>
        <w:gridCol w:w="3033"/>
        <w:gridCol w:w="2757"/>
      </w:tblGrid>
      <w:tr w:rsidR="007A6150" w:rsidRPr="00ED724A" w14:paraId="525D5784" w14:textId="77777777" w:rsidTr="00AD3ABF">
        <w:trPr>
          <w:trHeight w:val="1299"/>
          <w:tblHeader/>
        </w:trPr>
        <w:tc>
          <w:tcPr>
            <w:tcW w:w="1099" w:type="pct"/>
          </w:tcPr>
          <w:p w14:paraId="48E2AEF6"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Type of Assessment</w:t>
            </w:r>
          </w:p>
        </w:tc>
        <w:tc>
          <w:tcPr>
            <w:tcW w:w="963" w:type="pct"/>
          </w:tcPr>
          <w:p w14:paraId="3B5EFFA4"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Number of assessments</w:t>
            </w:r>
          </w:p>
        </w:tc>
        <w:tc>
          <w:tcPr>
            <w:tcW w:w="1539" w:type="pct"/>
          </w:tcPr>
          <w:p w14:paraId="4681FC1D"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Number of Government schools undertaking this type of assessment</w:t>
            </w:r>
          </w:p>
        </w:tc>
        <w:tc>
          <w:tcPr>
            <w:tcW w:w="1400" w:type="pct"/>
          </w:tcPr>
          <w:p w14:paraId="03B1AD98"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Percentage of schools undertaking this form of assessment</w:t>
            </w:r>
          </w:p>
        </w:tc>
      </w:tr>
      <w:tr w:rsidR="007A6150" w:rsidRPr="00ED724A" w14:paraId="28947D06" w14:textId="77777777" w:rsidTr="00AD3ABF">
        <w:trPr>
          <w:trHeight w:val="170"/>
          <w:tblHeader/>
        </w:trPr>
        <w:tc>
          <w:tcPr>
            <w:tcW w:w="1099" w:type="pct"/>
          </w:tcPr>
          <w:p w14:paraId="61F33EBD"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Observation</w:t>
            </w:r>
          </w:p>
        </w:tc>
        <w:tc>
          <w:tcPr>
            <w:tcW w:w="963" w:type="pct"/>
          </w:tcPr>
          <w:p w14:paraId="4BBAC60E"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1103</w:t>
            </w:r>
          </w:p>
        </w:tc>
        <w:tc>
          <w:tcPr>
            <w:tcW w:w="1539" w:type="pct"/>
          </w:tcPr>
          <w:p w14:paraId="574CE86B"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317</w:t>
            </w:r>
          </w:p>
        </w:tc>
        <w:tc>
          <w:tcPr>
            <w:tcW w:w="1400" w:type="pct"/>
          </w:tcPr>
          <w:p w14:paraId="3C7D28D6"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78.9%</w:t>
            </w:r>
          </w:p>
        </w:tc>
      </w:tr>
      <w:tr w:rsidR="007A6150" w:rsidRPr="00ED724A" w14:paraId="7A47503B" w14:textId="77777777" w:rsidTr="00AD3ABF">
        <w:trPr>
          <w:trHeight w:val="170"/>
          <w:tblHeader/>
        </w:trPr>
        <w:tc>
          <w:tcPr>
            <w:tcW w:w="1099" w:type="pct"/>
          </w:tcPr>
          <w:p w14:paraId="638D1C81"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Work sample</w:t>
            </w:r>
          </w:p>
        </w:tc>
        <w:tc>
          <w:tcPr>
            <w:tcW w:w="963" w:type="pct"/>
          </w:tcPr>
          <w:p w14:paraId="378B6C16"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974</w:t>
            </w:r>
          </w:p>
        </w:tc>
        <w:tc>
          <w:tcPr>
            <w:tcW w:w="1539" w:type="pct"/>
          </w:tcPr>
          <w:p w14:paraId="7ABE5F0E"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285</w:t>
            </w:r>
          </w:p>
        </w:tc>
        <w:tc>
          <w:tcPr>
            <w:tcW w:w="1400" w:type="pct"/>
          </w:tcPr>
          <w:p w14:paraId="74519ED5"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70.9%</w:t>
            </w:r>
          </w:p>
        </w:tc>
      </w:tr>
      <w:tr w:rsidR="007A6150" w:rsidRPr="00ED724A" w14:paraId="2C4E5B34" w14:textId="77777777" w:rsidTr="00AD3ABF">
        <w:trPr>
          <w:trHeight w:val="170"/>
          <w:tblHeader/>
        </w:trPr>
        <w:tc>
          <w:tcPr>
            <w:tcW w:w="1099" w:type="pct"/>
          </w:tcPr>
          <w:p w14:paraId="1CDDD535"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Standardised Testing</w:t>
            </w:r>
          </w:p>
        </w:tc>
        <w:tc>
          <w:tcPr>
            <w:tcW w:w="963" w:type="pct"/>
          </w:tcPr>
          <w:p w14:paraId="054909C8"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241</w:t>
            </w:r>
          </w:p>
        </w:tc>
        <w:tc>
          <w:tcPr>
            <w:tcW w:w="1539" w:type="pct"/>
          </w:tcPr>
          <w:p w14:paraId="5E08E19F"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114</w:t>
            </w:r>
          </w:p>
        </w:tc>
        <w:tc>
          <w:tcPr>
            <w:tcW w:w="1400" w:type="pct"/>
          </w:tcPr>
          <w:p w14:paraId="15C471CC"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28.4%</w:t>
            </w:r>
          </w:p>
        </w:tc>
      </w:tr>
      <w:tr w:rsidR="007A6150" w:rsidRPr="00ED724A" w14:paraId="2468A044" w14:textId="77777777" w:rsidTr="00AD3ABF">
        <w:trPr>
          <w:trHeight w:val="170"/>
          <w:tblHeader/>
        </w:trPr>
        <w:tc>
          <w:tcPr>
            <w:tcW w:w="1099" w:type="pct"/>
          </w:tcPr>
          <w:p w14:paraId="550DA74A"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NAPLAN</w:t>
            </w:r>
          </w:p>
        </w:tc>
        <w:tc>
          <w:tcPr>
            <w:tcW w:w="963" w:type="pct"/>
          </w:tcPr>
          <w:p w14:paraId="07D7B414"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62</w:t>
            </w:r>
          </w:p>
        </w:tc>
        <w:tc>
          <w:tcPr>
            <w:tcW w:w="1539" w:type="pct"/>
          </w:tcPr>
          <w:p w14:paraId="79240FD8"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52</w:t>
            </w:r>
          </w:p>
        </w:tc>
        <w:tc>
          <w:tcPr>
            <w:tcW w:w="1400" w:type="pct"/>
          </w:tcPr>
          <w:p w14:paraId="7780D497"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12.9%</w:t>
            </w:r>
          </w:p>
        </w:tc>
      </w:tr>
      <w:tr w:rsidR="007A6150" w:rsidRPr="00ED724A" w14:paraId="57B5E53F" w14:textId="77777777" w:rsidTr="00AD3ABF">
        <w:trPr>
          <w:trHeight w:val="170"/>
          <w:tblHeader/>
        </w:trPr>
        <w:tc>
          <w:tcPr>
            <w:tcW w:w="1099" w:type="pct"/>
          </w:tcPr>
          <w:p w14:paraId="5CD90A79"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Interaction</w:t>
            </w:r>
          </w:p>
        </w:tc>
        <w:tc>
          <w:tcPr>
            <w:tcW w:w="963" w:type="pct"/>
          </w:tcPr>
          <w:p w14:paraId="0D739F86"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61</w:t>
            </w:r>
          </w:p>
        </w:tc>
        <w:tc>
          <w:tcPr>
            <w:tcW w:w="1539" w:type="pct"/>
          </w:tcPr>
          <w:p w14:paraId="27BB89CF"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42</w:t>
            </w:r>
          </w:p>
        </w:tc>
        <w:tc>
          <w:tcPr>
            <w:tcW w:w="1400" w:type="pct"/>
          </w:tcPr>
          <w:p w14:paraId="60A29187"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10.4%</w:t>
            </w:r>
          </w:p>
        </w:tc>
      </w:tr>
      <w:tr w:rsidR="007A6150" w:rsidRPr="00ED724A" w14:paraId="1F7030F7" w14:textId="77777777" w:rsidTr="00AD3ABF">
        <w:trPr>
          <w:trHeight w:val="170"/>
          <w:tblHeader/>
        </w:trPr>
        <w:tc>
          <w:tcPr>
            <w:tcW w:w="1099" w:type="pct"/>
          </w:tcPr>
          <w:p w14:paraId="78288FBA" w14:textId="77777777" w:rsidR="007A6150" w:rsidRPr="00ED724A" w:rsidRDefault="0024155A" w:rsidP="0024155A">
            <w:pPr>
              <w:spacing w:before="120" w:after="240" w:line="360" w:lineRule="auto"/>
              <w:rPr>
                <w:rFonts w:ascii="Arial" w:hAnsi="Arial" w:cs="Arial"/>
                <w:b/>
              </w:rPr>
            </w:pPr>
            <w:r w:rsidRPr="0024155A">
              <w:rPr>
                <w:rFonts w:ascii="Arial" w:hAnsi="Arial" w:cs="Arial"/>
                <w:b/>
              </w:rPr>
              <w:t>Self-assessment</w:t>
            </w:r>
          </w:p>
        </w:tc>
        <w:tc>
          <w:tcPr>
            <w:tcW w:w="963" w:type="pct"/>
          </w:tcPr>
          <w:p w14:paraId="471EDDB6"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52</w:t>
            </w:r>
          </w:p>
        </w:tc>
        <w:tc>
          <w:tcPr>
            <w:tcW w:w="1539" w:type="pct"/>
          </w:tcPr>
          <w:p w14:paraId="062C74CC"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38</w:t>
            </w:r>
          </w:p>
        </w:tc>
        <w:tc>
          <w:tcPr>
            <w:tcW w:w="1400" w:type="pct"/>
          </w:tcPr>
          <w:p w14:paraId="72897C3D" w14:textId="77777777" w:rsidR="007A6150" w:rsidRPr="00ED724A" w:rsidRDefault="007A6150" w:rsidP="0024155A">
            <w:pPr>
              <w:spacing w:before="120" w:after="240" w:line="360" w:lineRule="auto"/>
              <w:rPr>
                <w:rFonts w:ascii="Arial" w:hAnsi="Arial" w:cs="Arial"/>
                <w:b/>
              </w:rPr>
            </w:pPr>
            <w:r w:rsidRPr="00ED724A">
              <w:rPr>
                <w:rFonts w:ascii="Arial" w:hAnsi="Arial" w:cs="Arial"/>
                <w:b/>
              </w:rPr>
              <w:t>9.5%</w:t>
            </w:r>
          </w:p>
        </w:tc>
      </w:tr>
    </w:tbl>
    <w:p w14:paraId="2E133080" w14:textId="77777777" w:rsidR="004A07D9" w:rsidRPr="00ED724A" w:rsidRDefault="004A07D9" w:rsidP="00524B8C">
      <w:r w:rsidRPr="00ED724A">
        <w:t>A total of 2,493 assessments were used to assess and monitor student progress in literacy or numeracy across Kindergarten to Year 8 (an average of 6.2 assessments per school) revealing that schools are integrating a wide range of evidence from which to make an on-balance judgement regarding student achievement accor</w:t>
      </w:r>
      <w:r w:rsidR="00DB19CD" w:rsidRPr="00ED724A">
        <w:t>ding to the relevant continuum.</w:t>
      </w:r>
    </w:p>
    <w:p w14:paraId="5A76C0EE" w14:textId="77777777" w:rsidR="00CA716A" w:rsidRPr="00ED724A" w:rsidRDefault="00CA716A" w:rsidP="00524B8C">
      <w:pPr>
        <w:pStyle w:val="Heading3"/>
      </w:pPr>
      <w:r w:rsidRPr="00ED724A">
        <w:t>NSW Independent Schools</w:t>
      </w:r>
    </w:p>
    <w:p w14:paraId="18D440C8" w14:textId="77777777" w:rsidR="006D736C" w:rsidRPr="00ED724A" w:rsidRDefault="00DB19CD" w:rsidP="00524B8C">
      <w:r w:rsidRPr="00ED724A">
        <w:t xml:space="preserve">Independent </w:t>
      </w:r>
      <w:r w:rsidR="00F77180" w:rsidRPr="00ED724A">
        <w:t xml:space="preserve">schools </w:t>
      </w:r>
      <w:r w:rsidR="00CD1F8E" w:rsidRPr="00ED724A">
        <w:t>in New South Wales implement s</w:t>
      </w:r>
      <w:r w:rsidR="00F77180" w:rsidRPr="00ED724A">
        <w:t>yllabuses prepared by the NSW Board of Studies. These documents contain curriculum based measures which teachers use to monitor student progress. While continuing to refine the use</w:t>
      </w:r>
      <w:r w:rsidR="00AD5085" w:rsidRPr="00ED724A">
        <w:t xml:space="preserve"> of</w:t>
      </w:r>
      <w:r w:rsidR="00F77180" w:rsidRPr="00ED724A">
        <w:t xml:space="preserve"> a range of curriculum based  measures, diagnostic and standardised testing, data from classroom activities and teacher judgements, all 18</w:t>
      </w:r>
      <w:r w:rsidR="00AD5085" w:rsidRPr="00ED724A">
        <w:t xml:space="preserve"> participating</w:t>
      </w:r>
      <w:r w:rsidR="00F77180" w:rsidRPr="00ED724A">
        <w:t xml:space="preserve"> Independent schools have extended or initiated the use of data to identify students who are falling behind in literacy or numeracy and to design and monitor tier two or thr</w:t>
      </w:r>
      <w:r w:rsidR="006D736C" w:rsidRPr="00ED724A">
        <w:t xml:space="preserve">ee interventions as required.  </w:t>
      </w:r>
    </w:p>
    <w:p w14:paraId="21C5F5BA" w14:textId="77777777" w:rsidR="00F77180" w:rsidRPr="00ED724A" w:rsidRDefault="00DB19CD" w:rsidP="00524B8C">
      <w:r w:rsidRPr="00ED724A">
        <w:t>The I</w:t>
      </w:r>
      <w:r w:rsidR="00F77180" w:rsidRPr="00ED724A">
        <w:t xml:space="preserve">ndependent schools participating in this partnership report that the impact of the two by two day workshops provided early in the project, together with </w:t>
      </w:r>
      <w:r w:rsidR="00F77180" w:rsidRPr="00ED724A">
        <w:rPr>
          <w:lang w:val="en-US"/>
        </w:rPr>
        <w:t xml:space="preserve">the support of an AIS coordinator and or consultant </w:t>
      </w:r>
      <w:r w:rsidR="00F77180" w:rsidRPr="00ED724A">
        <w:rPr>
          <w:lang w:val="en-US"/>
        </w:rPr>
        <w:lastRenderedPageBreak/>
        <w:t xml:space="preserve">to determine two and three tier interventions was a significant step in supporting schools </w:t>
      </w:r>
      <w:r w:rsidR="00F77180" w:rsidRPr="00ED724A">
        <w:t xml:space="preserve"> to build or improve a cycle of data use</w:t>
      </w:r>
      <w:r w:rsidR="00BE1975" w:rsidRPr="00ED724A">
        <w:t>. The collected data assisted in making</w:t>
      </w:r>
      <w:r w:rsidR="00F77180" w:rsidRPr="00ED724A">
        <w:t xml:space="preserve"> evidence based decisions regarding students’ learning needs, the effectiveness of current programs and the identification of areas of </w:t>
      </w:r>
      <w:r w:rsidR="004F2FDC" w:rsidRPr="00ED724A">
        <w:t>professional learning</w:t>
      </w:r>
      <w:r w:rsidR="00F77180" w:rsidRPr="00ED724A">
        <w:t xml:space="preserve"> for teaching staff.</w:t>
      </w:r>
      <w:r w:rsidR="004F2FDC" w:rsidRPr="00ED724A">
        <w:t xml:space="preserve"> S</w:t>
      </w:r>
      <w:r w:rsidR="00F77180" w:rsidRPr="00ED724A">
        <w:t xml:space="preserve">chools were provided with current research regarding explicit teaching, the effective teaching of reading and structuring a three tiered intervention model.  </w:t>
      </w:r>
    </w:p>
    <w:p w14:paraId="620D2840" w14:textId="6B30D7F6" w:rsidR="00EC7988" w:rsidRPr="00E01290" w:rsidRDefault="00F77180" w:rsidP="00524B8C">
      <w:r w:rsidRPr="00ED724A">
        <w:t xml:space="preserve">Over the life of the partnership schools report that teachers’ decision making regarding responses to student learning needs in literacy and numeracy are now more specific, </w:t>
      </w:r>
      <w:r w:rsidR="0021088F" w:rsidRPr="00ED724A">
        <w:t>focussed and targeted. This has resulted both from</w:t>
      </w:r>
      <w:r w:rsidRPr="00ED724A">
        <w:t xml:space="preserve"> teachers having an increased understanding of the literacy or numeracy demands of the curriculum </w:t>
      </w:r>
      <w:r w:rsidR="0021088F" w:rsidRPr="00ED724A">
        <w:t>and concurrently</w:t>
      </w:r>
      <w:r w:rsidRPr="00ED724A">
        <w:t xml:space="preserve"> improving their skills in collecting data about the impact of their teaching on student learning as a part of their classroom practice.  </w:t>
      </w:r>
    </w:p>
    <w:p w14:paraId="0EC65ED5" w14:textId="77777777" w:rsidR="00E01290" w:rsidRDefault="00E01290" w:rsidP="00EF411B">
      <w:pPr>
        <w:spacing w:before="120" w:after="240"/>
        <w:rPr>
          <w:rFonts w:ascii="Arial" w:hAnsi="Arial" w:cs="Arial"/>
          <w:b/>
          <w:u w:val="single"/>
        </w:rPr>
      </w:pPr>
      <w:r>
        <w:rPr>
          <w:rFonts w:ascii="Arial" w:hAnsi="Arial" w:cs="Arial"/>
          <w:b/>
          <w:u w:val="single"/>
        </w:rPr>
        <w:br w:type="page"/>
      </w:r>
    </w:p>
    <w:p w14:paraId="7DB38237" w14:textId="515A42ED" w:rsidR="002143D1" w:rsidRPr="002143D1" w:rsidRDefault="00C77D7F" w:rsidP="00524B8C">
      <w:pPr>
        <w:pStyle w:val="Heading3"/>
      </w:pPr>
      <w:r w:rsidRPr="00ED724A">
        <w:lastRenderedPageBreak/>
        <w:t>NSW Catholic Schools</w:t>
      </w:r>
    </w:p>
    <w:p w14:paraId="3ECA5BD7" w14:textId="77777777" w:rsidR="00AD3ABF" w:rsidRDefault="002143D1" w:rsidP="00AD3ABF">
      <w:r w:rsidRPr="002143D1">
        <w:t>The eleven Catholic Dioceses used over forty data collection methods in this partnership.</w:t>
      </w:r>
    </w:p>
    <w:p w14:paraId="73CAAB10" w14:textId="77777777" w:rsidR="00AD3ABF" w:rsidRDefault="00AD3ABF" w:rsidP="00EA79B1">
      <w:pPr>
        <w:pStyle w:val="Heading3"/>
      </w:pPr>
      <w:r w:rsidRPr="002143D1">
        <w:t>ARMIDALE</w:t>
      </w:r>
    </w:p>
    <w:p w14:paraId="55BB8958" w14:textId="41117FFF" w:rsidR="00AD3ABF" w:rsidRPr="00AD3ABF" w:rsidRDefault="00AD3ABF" w:rsidP="00EA79B1">
      <w:r w:rsidRPr="002143D1">
        <w:t>Armidale Diocese collects PM Benchmark and Sena data to assist in their work with schools on strategies to improve student performance in the early years.</w:t>
      </w:r>
    </w:p>
    <w:p w14:paraId="1690DF72" w14:textId="77777777" w:rsidR="00AD3ABF" w:rsidRPr="002143D1" w:rsidRDefault="00AD3ABF" w:rsidP="00EA79B1">
      <w:r w:rsidRPr="002143D1">
        <w:t xml:space="preserve">The Diocese also uses Progressive Achievement Tests (PAT) Maths in Years 3-10 to assist schools identify student learning needs for the purposes of planning at </w:t>
      </w:r>
      <w:r>
        <w:t>whole-school</w:t>
      </w:r>
      <w:r w:rsidRPr="002143D1">
        <w:t xml:space="preserve"> and class levels.</w:t>
      </w:r>
    </w:p>
    <w:p w14:paraId="723786F9" w14:textId="77777777" w:rsidR="00AD3ABF" w:rsidRDefault="00AD3ABF" w:rsidP="00EA79B1">
      <w:pPr>
        <w:pStyle w:val="Heading3"/>
      </w:pPr>
      <w:r>
        <w:t>BATHURST</w:t>
      </w:r>
    </w:p>
    <w:p w14:paraId="4ED8DBA0" w14:textId="5741FB49" w:rsidR="00AD3ABF" w:rsidRPr="002143D1" w:rsidRDefault="00AD3ABF" w:rsidP="00EA79B1">
      <w:r w:rsidRPr="002143D1">
        <w:t>Bathurst Diocese schools use a range of student performance data including:</w:t>
      </w:r>
    </w:p>
    <w:p w14:paraId="706E6057" w14:textId="77777777" w:rsidR="00AD3ABF" w:rsidRPr="002143D1" w:rsidRDefault="00AD3ABF" w:rsidP="00EA79B1">
      <w:r w:rsidRPr="002143D1">
        <w:t>NAPLAN</w:t>
      </w:r>
    </w:p>
    <w:p w14:paraId="5572D3EE" w14:textId="77777777" w:rsidR="00AD3ABF" w:rsidRPr="002143D1" w:rsidRDefault="00AD3ABF" w:rsidP="00EA79B1">
      <w:r w:rsidRPr="002143D1">
        <w:t>Year 1 Numeracy Assessment</w:t>
      </w:r>
    </w:p>
    <w:p w14:paraId="313921B6" w14:textId="77777777" w:rsidR="00AD3ABF" w:rsidRPr="002143D1" w:rsidRDefault="00AD3ABF" w:rsidP="00EA79B1">
      <w:r w:rsidRPr="002143D1">
        <w:t xml:space="preserve">Australian Early Development Index (AEDI) </w:t>
      </w:r>
    </w:p>
    <w:p w14:paraId="77CF0B32" w14:textId="77777777" w:rsidR="00AD3ABF" w:rsidRPr="002143D1" w:rsidRDefault="00AD3ABF" w:rsidP="00EA79B1">
      <w:r w:rsidRPr="002143D1">
        <w:t xml:space="preserve">Dynamic Indicators of Basic Early Literacy (DIBELS) </w:t>
      </w:r>
    </w:p>
    <w:p w14:paraId="5CED7353" w14:textId="77777777" w:rsidR="00AD3ABF" w:rsidRPr="002143D1" w:rsidRDefault="00AD3ABF" w:rsidP="00EA79B1">
      <w:r w:rsidRPr="002143D1">
        <w:t>PATMaths</w:t>
      </w:r>
    </w:p>
    <w:p w14:paraId="1C6E223A" w14:textId="77777777" w:rsidR="00AD3ABF" w:rsidRPr="002143D1" w:rsidRDefault="00AD3ABF" w:rsidP="00EA79B1">
      <w:r w:rsidRPr="002143D1">
        <w:t>PreLit, MiniLit and MultiLit.</w:t>
      </w:r>
    </w:p>
    <w:p w14:paraId="5E133914" w14:textId="77777777" w:rsidR="00EA79B1" w:rsidRDefault="00AD3ABF" w:rsidP="00EA79B1">
      <w:pPr>
        <w:pStyle w:val="Heading3"/>
      </w:pPr>
      <w:r w:rsidRPr="002143D1">
        <w:t>BROKEN BAY</w:t>
      </w:r>
    </w:p>
    <w:p w14:paraId="4823D433" w14:textId="22818A23" w:rsidR="00AD3ABF" w:rsidRPr="002143D1" w:rsidRDefault="00AD3ABF" w:rsidP="00EA79B1">
      <w:r w:rsidRPr="002143D1">
        <w:t>The main assessment instruments used in Broken Bay are:</w:t>
      </w:r>
    </w:p>
    <w:p w14:paraId="57C59870" w14:textId="77777777" w:rsidR="00EA79B1" w:rsidRDefault="00EA79B1" w:rsidP="00EA79B1">
      <w:r>
        <w:t>For Literacy:</w:t>
      </w:r>
    </w:p>
    <w:p w14:paraId="21908D29" w14:textId="5275DD73" w:rsidR="00AD3ABF" w:rsidRPr="002143D1" w:rsidRDefault="00AD3ABF" w:rsidP="00EA79B1">
      <w:r w:rsidRPr="002143D1">
        <w:t xml:space="preserve">Best Start, Running Records, PAT-R and Observation Survey </w:t>
      </w:r>
    </w:p>
    <w:p w14:paraId="77193024" w14:textId="77777777" w:rsidR="00EA79B1" w:rsidRDefault="00EA79B1" w:rsidP="00EA79B1">
      <w:r>
        <w:t>For Numeracy:</w:t>
      </w:r>
    </w:p>
    <w:p w14:paraId="41840F33" w14:textId="1C58D74E" w:rsidR="00AD3ABF" w:rsidRPr="002143D1" w:rsidRDefault="00AD3ABF" w:rsidP="00EA79B1">
      <w:r w:rsidRPr="002143D1">
        <w:t>Mathematical Assessment Interview (MAI) and PAT-M.</w:t>
      </w:r>
    </w:p>
    <w:p w14:paraId="0247DEF0" w14:textId="77777777" w:rsidR="00AD3ABF" w:rsidRPr="002143D1" w:rsidRDefault="00AD3ABF" w:rsidP="00EA79B1">
      <w:r w:rsidRPr="002143D1">
        <w:t xml:space="preserve">In each instance, the assessments are aligned to continua of learning based on expected standards and progression. </w:t>
      </w:r>
    </w:p>
    <w:p w14:paraId="1A4054A3" w14:textId="4762A072" w:rsidR="00AD3ABF" w:rsidRPr="002143D1" w:rsidRDefault="00AD3ABF" w:rsidP="00EA79B1">
      <w:r w:rsidRPr="002143D1">
        <w:t>By linking assessment data to progressions of learning, teachers become more knowledgeable about areas of learning need. Professional Learning on the various continua (Growth Point Framework, K-6 Literacy Continuum, Reading levels) has been essential and is an ar</w:t>
      </w:r>
      <w:r w:rsidR="00EA79B1">
        <w:t>ea of ongoing teacher learning.</w:t>
      </w:r>
    </w:p>
    <w:p w14:paraId="045256B6" w14:textId="77777777" w:rsidR="00AD3ABF" w:rsidRDefault="00AD3ABF" w:rsidP="00EA79B1">
      <w:pPr>
        <w:pStyle w:val="Heading3"/>
      </w:pPr>
      <w:r w:rsidRPr="00AD3ABF">
        <w:t>PARRAMATTA</w:t>
      </w:r>
    </w:p>
    <w:p w14:paraId="30FBB494" w14:textId="65D54407" w:rsidR="00AD3ABF" w:rsidRPr="00AD3ABF" w:rsidRDefault="00AD3ABF" w:rsidP="00EA79B1">
      <w:r w:rsidRPr="00AD3ABF">
        <w:t>School level data is drawn annually from the Mathematics Assessment Interview (MAI). A particular focus is on Year 1 and 7, and as required for identified students.</w:t>
      </w:r>
    </w:p>
    <w:p w14:paraId="7C8A133A" w14:textId="64E490EA" w:rsidR="00AD3ABF" w:rsidRDefault="00AD3ABF" w:rsidP="00EA79B1">
      <w:r>
        <w:t>A</w:t>
      </w:r>
      <w:r w:rsidRPr="002143D1">
        <w:t xml:space="preserve">t the school level, the MAI data and the associated growth point framework in the key domains of number, space and measurement are used to identify student strengths and areas of vulnerability. It also </w:t>
      </w:r>
      <w:r w:rsidRPr="002143D1">
        <w:lastRenderedPageBreak/>
        <w:t>identifies those students to be part of the accelerated numeracy intervention program which focuses on Year 2 and Year 7.</w:t>
      </w:r>
    </w:p>
    <w:p w14:paraId="0C336F45" w14:textId="77777777" w:rsidR="00AD3ABF" w:rsidRDefault="00AD3ABF" w:rsidP="00EA79B1">
      <w:pPr>
        <w:pStyle w:val="Heading3"/>
      </w:pPr>
      <w:r w:rsidRPr="002143D1">
        <w:t>SYDNEY</w:t>
      </w:r>
    </w:p>
    <w:p w14:paraId="3ED0B1F7" w14:textId="2C406F9A" w:rsidR="00AD3ABF" w:rsidRPr="002143D1" w:rsidRDefault="00AD3ABF" w:rsidP="00EA79B1">
      <w:r w:rsidRPr="002143D1">
        <w:t xml:space="preserve">All data from schools within the Archdiocese is analysed at the local level. Standardised tests are also used across all schools. Ongoing regular assessments are undertaken, requiring students to master a skill before moving to the next level. </w:t>
      </w:r>
    </w:p>
    <w:p w14:paraId="7AC1CB85" w14:textId="77777777" w:rsidR="00EA79B1" w:rsidRDefault="00AD3ABF" w:rsidP="00EA79B1">
      <w:pPr>
        <w:pStyle w:val="Heading3"/>
      </w:pPr>
      <w:r w:rsidRPr="002143D1">
        <w:t>WAGGA</w:t>
      </w:r>
    </w:p>
    <w:p w14:paraId="6748227A" w14:textId="37479D38" w:rsidR="00AD3ABF" w:rsidRPr="002143D1" w:rsidRDefault="00AD3ABF" w:rsidP="00EA79B1">
      <w:r w:rsidRPr="002143D1">
        <w:t>Schools use Best Start, AEDI, SENA testing and Observation Surveys, and NAPLAN to inform school planning. The data is also analysed at diocesan level. Other data collection approaches include PAT testing, SA spelling, Burt word tests, First Steps Map of Development, teacher observation an</w:t>
      </w:r>
      <w:r w:rsidR="00EA79B1">
        <w:t>d judgement, and A-E reporting.</w:t>
      </w:r>
    </w:p>
    <w:p w14:paraId="5C7FB59C" w14:textId="77777777" w:rsidR="00EA79B1" w:rsidRDefault="00AD3ABF" w:rsidP="00EA79B1">
      <w:pPr>
        <w:pStyle w:val="Heading3"/>
      </w:pPr>
      <w:r w:rsidRPr="002143D1">
        <w:t>WOLLONGONG</w:t>
      </w:r>
    </w:p>
    <w:p w14:paraId="555F82AD" w14:textId="2A67154A" w:rsidR="00AD3ABF" w:rsidRPr="002143D1" w:rsidRDefault="00AD3ABF" w:rsidP="00EA79B1">
      <w:r w:rsidRPr="002143D1">
        <w:t>Literacy and Numeracy continuums are used to design learning and teaching experiences, assessment and planning for guided groups and individual students.</w:t>
      </w:r>
    </w:p>
    <w:p w14:paraId="4C251751" w14:textId="77777777" w:rsidR="00AD3ABF" w:rsidRPr="002143D1" w:rsidRDefault="00AD3ABF" w:rsidP="00EA79B1">
      <w:r w:rsidRPr="002143D1">
        <w:t>Local Reading and Numeracy assessments are used in Years 3, 4, 5 &amp; 6 across all NP schools.</w:t>
      </w:r>
    </w:p>
    <w:p w14:paraId="45FC4A8E" w14:textId="77777777" w:rsidR="00AD3ABF" w:rsidRPr="002143D1" w:rsidRDefault="00AD3ABF" w:rsidP="00EA79B1">
      <w:r w:rsidRPr="002143D1">
        <w:t xml:space="preserve">Data Walls established in each NP school encourages a </w:t>
      </w:r>
      <w:r>
        <w:t>whole-school</w:t>
      </w:r>
      <w:r w:rsidRPr="002143D1">
        <w:t xml:space="preserve"> focus on improving learning outcomes for all students.</w:t>
      </w:r>
    </w:p>
    <w:p w14:paraId="7E3342E8" w14:textId="77777777" w:rsidR="00EA79B1" w:rsidRDefault="00AD3ABF" w:rsidP="00EA79B1">
      <w:pPr>
        <w:pStyle w:val="Heading3"/>
      </w:pPr>
      <w:r w:rsidRPr="002143D1">
        <w:t>WILCANNIA/ FORBES</w:t>
      </w:r>
    </w:p>
    <w:p w14:paraId="7AC4F20A" w14:textId="0F9AC096" w:rsidR="00AD3ABF" w:rsidRPr="002143D1" w:rsidRDefault="00AD3ABF" w:rsidP="00EA79B1">
      <w:r w:rsidRPr="002143D1">
        <w:t xml:space="preserve">To promote the use of data for informed decision making and enhancing student outcomes, schools select a range of data collection tools: </w:t>
      </w:r>
    </w:p>
    <w:p w14:paraId="70865C45" w14:textId="77777777" w:rsidR="00AD3ABF" w:rsidRPr="002143D1" w:rsidRDefault="00AD3ABF" w:rsidP="00EA79B1">
      <w:pPr>
        <w:rPr>
          <w:u w:val="single"/>
        </w:rPr>
      </w:pPr>
      <w:r w:rsidRPr="002143D1">
        <w:rPr>
          <w:u w:val="single"/>
        </w:rPr>
        <w:t>Literacy</w:t>
      </w:r>
    </w:p>
    <w:p w14:paraId="6D8EBFD2" w14:textId="77777777" w:rsidR="00AD3ABF" w:rsidRPr="002143D1" w:rsidRDefault="00AD3ABF" w:rsidP="00EA79B1">
      <w:r w:rsidRPr="002143D1">
        <w:t>ACER Comprehension R on-line test</w:t>
      </w:r>
    </w:p>
    <w:p w14:paraId="1861C5C4" w14:textId="77777777" w:rsidR="00AD3ABF" w:rsidRPr="002143D1" w:rsidRDefault="00AD3ABF" w:rsidP="00EA79B1">
      <w:r w:rsidRPr="002143D1">
        <w:t>Benchmark Running Records</w:t>
      </w:r>
    </w:p>
    <w:p w14:paraId="79ECA806" w14:textId="77777777" w:rsidR="00AD3ABF" w:rsidRPr="002143D1" w:rsidRDefault="00AD3ABF" w:rsidP="00EA79B1">
      <w:r w:rsidRPr="002143D1">
        <w:t xml:space="preserve">First Steps Reading Map of Development </w:t>
      </w:r>
    </w:p>
    <w:p w14:paraId="06F6D463" w14:textId="77777777" w:rsidR="00AD3ABF" w:rsidRPr="002143D1" w:rsidRDefault="00AD3ABF" w:rsidP="00EA79B1">
      <w:r w:rsidRPr="002143D1">
        <w:t>TORCH Comprehension (ACER)</w:t>
      </w:r>
    </w:p>
    <w:p w14:paraId="463E8426" w14:textId="77777777" w:rsidR="00AD3ABF" w:rsidRPr="002143D1" w:rsidRDefault="00AD3ABF" w:rsidP="00EA79B1">
      <w:r w:rsidRPr="002143D1">
        <w:t>PROBE Comprehension (ACER)</w:t>
      </w:r>
    </w:p>
    <w:p w14:paraId="676089C2" w14:textId="77777777" w:rsidR="00AD3ABF" w:rsidRPr="002143D1" w:rsidRDefault="00AD3ABF" w:rsidP="00EA79B1">
      <w:r w:rsidRPr="002143D1">
        <w:t xml:space="preserve">An Observation Survey of Early Literacy Achievement </w:t>
      </w:r>
    </w:p>
    <w:p w14:paraId="7D91BD27" w14:textId="77777777" w:rsidR="00AD3ABF" w:rsidRPr="002143D1" w:rsidRDefault="00AD3ABF" w:rsidP="00EA79B1">
      <w:pPr>
        <w:rPr>
          <w:u w:val="single"/>
        </w:rPr>
      </w:pPr>
      <w:r w:rsidRPr="002143D1">
        <w:rPr>
          <w:u w:val="single"/>
        </w:rPr>
        <w:t>Numeracy</w:t>
      </w:r>
    </w:p>
    <w:p w14:paraId="5B126DAA" w14:textId="77777777" w:rsidR="00AD3ABF" w:rsidRPr="002143D1" w:rsidRDefault="00AD3ABF" w:rsidP="00EA79B1">
      <w:r w:rsidRPr="002143D1">
        <w:t>First Steps in Mathematics</w:t>
      </w:r>
    </w:p>
    <w:p w14:paraId="6D05ED32" w14:textId="77777777" w:rsidR="00AD3ABF" w:rsidRPr="002143D1" w:rsidRDefault="00AD3ABF" w:rsidP="00EA79B1">
      <w:r w:rsidRPr="002143D1">
        <w:t>Scaffold Maths Assessments</w:t>
      </w:r>
    </w:p>
    <w:p w14:paraId="17697A39" w14:textId="77777777" w:rsidR="00AD3ABF" w:rsidRPr="002143D1" w:rsidRDefault="00AD3ABF" w:rsidP="00EA79B1">
      <w:r w:rsidRPr="002143D1">
        <w:t>SENA 1 &amp; 2</w:t>
      </w:r>
    </w:p>
    <w:p w14:paraId="44829521" w14:textId="77777777" w:rsidR="00AD3ABF" w:rsidRPr="002143D1" w:rsidRDefault="00AD3ABF" w:rsidP="00EA79B1">
      <w:r w:rsidRPr="002143D1">
        <w:lastRenderedPageBreak/>
        <w:t>ACER PAT Maths on-line test.</w:t>
      </w:r>
    </w:p>
    <w:p w14:paraId="609FE435" w14:textId="77777777" w:rsidR="00AD3ABF" w:rsidRPr="002143D1" w:rsidRDefault="00AD3ABF" w:rsidP="00EA79B1">
      <w:r w:rsidRPr="002143D1">
        <w:t xml:space="preserve">Pre and post testing using the above tools listed enable teachers to monitor literacy and numeracy performance and progress and group students according to learning needs.  Class teachers in collaboration with ILNNP instructional leaders analyse and interpret data so that instructional approaches are strategic, informed and responsive to the learning needs of the students.  </w:t>
      </w:r>
    </w:p>
    <w:p w14:paraId="36A54AE6" w14:textId="77777777" w:rsidR="00EA79B1" w:rsidRDefault="00AD3ABF" w:rsidP="00EA79B1">
      <w:pPr>
        <w:pStyle w:val="Heading3"/>
      </w:pPr>
      <w:r w:rsidRPr="002143D1">
        <w:t>LISMORE</w:t>
      </w:r>
    </w:p>
    <w:p w14:paraId="7102C18F" w14:textId="7E372AD9" w:rsidR="00AD3ABF" w:rsidRPr="002143D1" w:rsidRDefault="00AD3ABF" w:rsidP="00EA79B1">
      <w:r w:rsidRPr="002143D1">
        <w:t>Lismore Diocese is assisting school leadership teams to facilitate staff in professional learning in the use of data to plan student learning and to track the performance of individual students and cohorts over time. QuickSmart reports provide additional data to school NAPLAN results, standardised assessments, common assessment tasks and continuum mapping.</w:t>
      </w:r>
    </w:p>
    <w:p w14:paraId="11C871E7" w14:textId="20F59B59" w:rsidR="00AD3ABF" w:rsidRPr="002143D1" w:rsidRDefault="00EA79B1" w:rsidP="00EA79B1">
      <w:pPr>
        <w:pStyle w:val="Heading3"/>
      </w:pPr>
      <w:r>
        <w:t>CANBERRA</w:t>
      </w:r>
    </w:p>
    <w:p w14:paraId="2F1C56BF" w14:textId="77777777" w:rsidR="00EA79B1" w:rsidRDefault="00AD3ABF" w:rsidP="00EA79B1">
      <w:pPr>
        <w:pStyle w:val="Heading3"/>
      </w:pPr>
      <w:r w:rsidRPr="002143D1">
        <w:t>GOULBURN</w:t>
      </w:r>
    </w:p>
    <w:p w14:paraId="51C6746C" w14:textId="6D389EF2" w:rsidR="00AD3ABF" w:rsidRPr="002143D1" w:rsidRDefault="00AD3ABF" w:rsidP="00EA79B1">
      <w:r w:rsidRPr="002143D1">
        <w:t>Key literacy data collection measures include:</w:t>
      </w:r>
    </w:p>
    <w:p w14:paraId="456D3457" w14:textId="77777777" w:rsidR="00AD3ABF" w:rsidRPr="002143D1" w:rsidRDefault="00AD3ABF" w:rsidP="00756999">
      <w:pPr>
        <w:pStyle w:val="ListParagraph"/>
        <w:numPr>
          <w:ilvl w:val="0"/>
          <w:numId w:val="15"/>
        </w:numPr>
      </w:pPr>
      <w:r w:rsidRPr="002143D1">
        <w:t>NAPLAN Smart data</w:t>
      </w:r>
    </w:p>
    <w:p w14:paraId="097DD709" w14:textId="77777777" w:rsidR="00AD3ABF" w:rsidRPr="002143D1" w:rsidRDefault="00AD3ABF" w:rsidP="00756999">
      <w:pPr>
        <w:pStyle w:val="ListParagraph"/>
        <w:numPr>
          <w:ilvl w:val="0"/>
          <w:numId w:val="15"/>
        </w:numPr>
      </w:pPr>
      <w:r w:rsidRPr="002143D1">
        <w:t>Running Records</w:t>
      </w:r>
    </w:p>
    <w:p w14:paraId="3BAF1730" w14:textId="77777777" w:rsidR="00AD3ABF" w:rsidRPr="002143D1" w:rsidRDefault="00AD3ABF" w:rsidP="00756999">
      <w:pPr>
        <w:pStyle w:val="ListParagraph"/>
        <w:numPr>
          <w:ilvl w:val="0"/>
          <w:numId w:val="15"/>
        </w:numPr>
      </w:pPr>
      <w:r w:rsidRPr="002143D1">
        <w:t>student reading levels</w:t>
      </w:r>
    </w:p>
    <w:p w14:paraId="471958A4" w14:textId="77777777" w:rsidR="00AD3ABF" w:rsidRPr="002143D1" w:rsidRDefault="00AD3ABF" w:rsidP="00756999">
      <w:pPr>
        <w:pStyle w:val="ListParagraph"/>
        <w:numPr>
          <w:ilvl w:val="0"/>
          <w:numId w:val="15"/>
        </w:numPr>
      </w:pPr>
      <w:r w:rsidRPr="002143D1">
        <w:t xml:space="preserve">PAT Reading Comprehension standardised data </w:t>
      </w:r>
    </w:p>
    <w:p w14:paraId="326A5B01" w14:textId="77777777" w:rsidR="00AD3ABF" w:rsidRPr="002143D1" w:rsidRDefault="00AD3ABF" w:rsidP="00756999">
      <w:pPr>
        <w:pStyle w:val="ListParagraph"/>
        <w:numPr>
          <w:ilvl w:val="0"/>
          <w:numId w:val="15"/>
        </w:numPr>
      </w:pPr>
      <w:r w:rsidRPr="002143D1">
        <w:t>Student, parent and teacher surveys.</w:t>
      </w:r>
    </w:p>
    <w:p w14:paraId="3531FD85" w14:textId="77777777" w:rsidR="00AD3ABF" w:rsidRPr="002143D1" w:rsidRDefault="00AD3ABF" w:rsidP="00EA79B1">
      <w:r w:rsidRPr="002143D1">
        <w:t xml:space="preserve">System mandated assessments using </w:t>
      </w:r>
      <w:r w:rsidRPr="002143D1">
        <w:rPr>
          <w:i/>
        </w:rPr>
        <w:t>Kindergarten Assessment</w:t>
      </w:r>
      <w:r w:rsidRPr="002143D1">
        <w:t xml:space="preserve"> Terms 1 and 4, and </w:t>
      </w:r>
      <w:r w:rsidRPr="002143D1">
        <w:rPr>
          <w:i/>
        </w:rPr>
        <w:t>Year One Observation Surveys</w:t>
      </w:r>
      <w:r w:rsidRPr="002143D1">
        <w:t xml:space="preserve"> in Year 1, Term 1 were used to identify students in the early years considered ‘at risk’ in their reading development. These students were targeted for inclusion in the intensive Reading Recovery program. Teaching Reading Levels were used to continue to track students who have been discontinued from Reading Recovery.</w:t>
      </w:r>
    </w:p>
    <w:p w14:paraId="59D7AE15" w14:textId="77777777" w:rsidR="00AD3ABF" w:rsidRPr="002143D1" w:rsidRDefault="00AD3ABF" w:rsidP="00EA79B1">
      <w:r w:rsidRPr="002143D1">
        <w:t>Key numeracy data collection measures include:</w:t>
      </w:r>
    </w:p>
    <w:p w14:paraId="423E4281" w14:textId="77777777" w:rsidR="00AD3ABF" w:rsidRPr="002143D1" w:rsidRDefault="00AD3ABF" w:rsidP="00756999">
      <w:pPr>
        <w:pStyle w:val="ListParagraph"/>
        <w:numPr>
          <w:ilvl w:val="0"/>
          <w:numId w:val="16"/>
        </w:numPr>
      </w:pPr>
      <w:r w:rsidRPr="002143D1">
        <w:t>PAT Maths testing for Years 3 to 6</w:t>
      </w:r>
    </w:p>
    <w:p w14:paraId="698A37C3" w14:textId="77777777" w:rsidR="00AD3ABF" w:rsidRPr="002143D1" w:rsidRDefault="00AD3ABF" w:rsidP="00756999">
      <w:pPr>
        <w:pStyle w:val="ListParagraph"/>
        <w:numPr>
          <w:ilvl w:val="0"/>
          <w:numId w:val="16"/>
        </w:numPr>
      </w:pPr>
      <w:r w:rsidRPr="002143D1">
        <w:t xml:space="preserve">SENA 1 interviews for Years K-to 2 </w:t>
      </w:r>
    </w:p>
    <w:p w14:paraId="768A1911" w14:textId="77777777" w:rsidR="00AD3ABF" w:rsidRPr="002143D1" w:rsidRDefault="00AD3ABF" w:rsidP="00756999">
      <w:pPr>
        <w:pStyle w:val="ListParagraph"/>
        <w:numPr>
          <w:ilvl w:val="0"/>
          <w:numId w:val="16"/>
        </w:numPr>
      </w:pPr>
      <w:r w:rsidRPr="002143D1">
        <w:t>Weekly or bi-term reports from Numeracy Contact Teachers</w:t>
      </w:r>
    </w:p>
    <w:p w14:paraId="2AF08A3A" w14:textId="77777777" w:rsidR="00AD3ABF" w:rsidRPr="002143D1" w:rsidRDefault="00AD3ABF" w:rsidP="00756999">
      <w:pPr>
        <w:pStyle w:val="ListParagraph"/>
        <w:numPr>
          <w:ilvl w:val="0"/>
          <w:numId w:val="16"/>
        </w:numPr>
      </w:pPr>
      <w:r w:rsidRPr="002143D1">
        <w:t>Nelson Assessment Kit interviews</w:t>
      </w:r>
    </w:p>
    <w:p w14:paraId="68F39FDF" w14:textId="77777777" w:rsidR="00AD3ABF" w:rsidRPr="002143D1" w:rsidRDefault="00AD3ABF" w:rsidP="00756999">
      <w:pPr>
        <w:pStyle w:val="ListParagraph"/>
        <w:numPr>
          <w:ilvl w:val="0"/>
          <w:numId w:val="16"/>
        </w:numPr>
      </w:pPr>
      <w:r w:rsidRPr="002143D1">
        <w:t>Individual student profiles containing qualitative data.</w:t>
      </w:r>
      <w:r w:rsidRPr="00335885">
        <w:rPr>
          <w:i/>
        </w:rPr>
        <w:t xml:space="preserve"> </w:t>
      </w:r>
    </w:p>
    <w:p w14:paraId="1FBA95C8" w14:textId="77777777" w:rsidR="006B7014" w:rsidRDefault="006B7014" w:rsidP="006B7014">
      <w:pPr>
        <w:rPr>
          <w:rFonts w:ascii="Corbel" w:hAnsi="Corbel"/>
        </w:rPr>
        <w:sectPr w:rsidR="006B7014" w:rsidSect="0078270C">
          <w:pgSz w:w="11906" w:h="16838"/>
          <w:pgMar w:top="1134" w:right="851" w:bottom="1134" w:left="1418" w:header="709" w:footer="709" w:gutter="0"/>
          <w:cols w:space="708"/>
          <w:docGrid w:linePitch="360"/>
        </w:sectPr>
      </w:pPr>
    </w:p>
    <w:p w14:paraId="3B43F01B" w14:textId="77777777" w:rsidR="00A87560" w:rsidRPr="00ED724A" w:rsidRDefault="00C33058" w:rsidP="00524B8C">
      <w:pPr>
        <w:pStyle w:val="Heading3"/>
      </w:pPr>
      <w:r w:rsidRPr="00ED724A">
        <w:lastRenderedPageBreak/>
        <w:t>Local Measure</w:t>
      </w:r>
      <w:r w:rsidR="00DB19CD" w:rsidRPr="00ED724A">
        <w:t xml:space="preserve"> (vii) </w:t>
      </w:r>
      <w:r w:rsidR="00A87560" w:rsidRPr="00ED724A">
        <w:t>Approaches used to improve teacher capability and the effectiveness of literacy and/or numeracy teaching</w:t>
      </w:r>
    </w:p>
    <w:p w14:paraId="385F0218" w14:textId="77777777" w:rsidR="00DB19CD" w:rsidRPr="00ED724A" w:rsidRDefault="00DB19CD" w:rsidP="00524B8C">
      <w:pPr>
        <w:pStyle w:val="Heading3"/>
      </w:pPr>
      <w:r w:rsidRPr="00ED724A">
        <w:t>NSW Government Schools</w:t>
      </w:r>
    </w:p>
    <w:p w14:paraId="2FE014BB" w14:textId="77777777" w:rsidR="00615CC6" w:rsidRPr="00ED724A" w:rsidRDefault="00326D88" w:rsidP="00524B8C">
      <w:r w:rsidRPr="00ED724A">
        <w:t xml:space="preserve">In order to build teacher capacity, </w:t>
      </w:r>
      <w:r w:rsidR="00CA490B" w:rsidRPr="00ED724A">
        <w:t xml:space="preserve">Government schools were required to </w:t>
      </w:r>
      <w:r w:rsidR="0058104F" w:rsidRPr="00ED724A">
        <w:t>commit</w:t>
      </w:r>
      <w:r w:rsidR="00CA490B" w:rsidRPr="00ED724A">
        <w:t xml:space="preserve"> </w:t>
      </w:r>
      <w:r w:rsidR="00744F4F" w:rsidRPr="00ED724A">
        <w:t xml:space="preserve">ILNNP </w:t>
      </w:r>
      <w:r w:rsidR="00CA490B" w:rsidRPr="00ED724A">
        <w:t xml:space="preserve">funding </w:t>
      </w:r>
      <w:r w:rsidR="00744F4F" w:rsidRPr="00ED724A">
        <w:t xml:space="preserve">in accordance with the </w:t>
      </w:r>
      <w:r w:rsidR="00744F4F" w:rsidRPr="00ED724A">
        <w:rPr>
          <w:i/>
        </w:rPr>
        <w:t xml:space="preserve">Professional </w:t>
      </w:r>
      <w:r w:rsidR="00CA490B" w:rsidRPr="00ED724A">
        <w:rPr>
          <w:i/>
        </w:rPr>
        <w:t>l</w:t>
      </w:r>
      <w:r w:rsidR="00744F4F" w:rsidRPr="00ED724A">
        <w:rPr>
          <w:i/>
        </w:rPr>
        <w:t xml:space="preserve">earning </w:t>
      </w:r>
      <w:r w:rsidR="00CA490B" w:rsidRPr="00ED724A">
        <w:rPr>
          <w:i/>
        </w:rPr>
        <w:t>p</w:t>
      </w:r>
      <w:r w:rsidR="00744F4F" w:rsidRPr="00ED724A">
        <w:rPr>
          <w:i/>
        </w:rPr>
        <w:t>olicy</w:t>
      </w:r>
      <w:r w:rsidR="00CA490B" w:rsidRPr="00ED724A">
        <w:rPr>
          <w:i/>
        </w:rPr>
        <w:t xml:space="preserve"> for schools</w:t>
      </w:r>
      <w:r w:rsidR="00CA490B" w:rsidRPr="00ED724A">
        <w:t xml:space="preserve">. </w:t>
      </w:r>
      <w:r w:rsidR="006F1FE3" w:rsidRPr="00ED724A">
        <w:t>Schools reported 3,289 professional learning activities undertaken as part of the ILNNP, an average of 8.18 per school.</w:t>
      </w:r>
      <w:r w:rsidR="00F2743B" w:rsidRPr="00ED724A">
        <w:t xml:space="preserve"> </w:t>
      </w:r>
      <w:r w:rsidR="00615CC6" w:rsidRPr="00ED724A">
        <w:t xml:space="preserve">Much of the professional learning was structured according to the needs of the school and included whole-staff, faculty, stage or grade based meetings. </w:t>
      </w:r>
    </w:p>
    <w:p w14:paraId="428824BF" w14:textId="77777777" w:rsidR="00615CC6" w:rsidRPr="00ED724A" w:rsidRDefault="00615CC6" w:rsidP="00524B8C">
      <w:r w:rsidRPr="00ED724A">
        <w:t>Some schools reported a large number of professional learning activities, reflecting the fact that the professional learning often involved small numbers of teachers. These small</w:t>
      </w:r>
      <w:r w:rsidR="00A104AF" w:rsidRPr="00ED724A">
        <w:t>,</w:t>
      </w:r>
      <w:r w:rsidRPr="00ED724A">
        <w:t xml:space="preserve"> focused groups allowed schools to specifically address the expertise and experience of each teacher, in order to</w:t>
      </w:r>
      <w:r w:rsidR="00D2182F" w:rsidRPr="00ED724A">
        <w:t xml:space="preserve"> meet</w:t>
      </w:r>
      <w:r w:rsidRPr="00ED724A">
        <w:t xml:space="preserve"> </w:t>
      </w:r>
      <w:r w:rsidR="00D2182F" w:rsidRPr="00ED724A">
        <w:t xml:space="preserve">individual </w:t>
      </w:r>
      <w:r w:rsidRPr="00ED724A">
        <w:t xml:space="preserve">needs and build capacity in a sustainable way. </w:t>
      </w:r>
    </w:p>
    <w:p w14:paraId="7BF692EB" w14:textId="77777777" w:rsidR="00615CC6" w:rsidRPr="00ED724A" w:rsidRDefault="00F2743B" w:rsidP="00524B8C">
      <w:r w:rsidRPr="00ED724A">
        <w:t>Schools commented on the value and efficacy of the professional learning activities.</w:t>
      </w:r>
      <w:r w:rsidR="00615CC6" w:rsidRPr="00ED724A">
        <w:t xml:space="preserve"> T</w:t>
      </w:r>
      <w:r w:rsidRPr="00ED724A">
        <w:t>his</w:t>
      </w:r>
      <w:r w:rsidR="00615CC6" w:rsidRPr="00ED724A">
        <w:t xml:space="preserve"> success</w:t>
      </w:r>
      <w:r w:rsidRPr="00ED724A">
        <w:t xml:space="preserve"> reflect</w:t>
      </w:r>
      <w:r w:rsidR="00615CC6" w:rsidRPr="00ED724A">
        <w:t>s the quality of the presentations but also the careful planning and selection of the professional learning seq</w:t>
      </w:r>
      <w:r w:rsidR="00D2182F" w:rsidRPr="00ED724A">
        <w:t xml:space="preserve">uence to match the needs of </w:t>
      </w:r>
      <w:r w:rsidR="00615CC6" w:rsidRPr="00ED724A">
        <w:t>staff. Schools analysed data from student outcomes, focus groups, teacher and student surveys and individual professional learning plans</w:t>
      </w:r>
      <w:r w:rsidR="0058104F" w:rsidRPr="00ED724A">
        <w:t xml:space="preserve"> to</w:t>
      </w:r>
      <w:r w:rsidR="00615CC6" w:rsidRPr="00ED724A">
        <w:t xml:space="preserve"> </w:t>
      </w:r>
      <w:r w:rsidR="00326D88" w:rsidRPr="00ED724A">
        <w:t>i</w:t>
      </w:r>
      <w:r w:rsidR="00615CC6" w:rsidRPr="00ED724A">
        <w:t xml:space="preserve">nform the design and selection of </w:t>
      </w:r>
      <w:r w:rsidR="00326D88" w:rsidRPr="00ED724A">
        <w:t xml:space="preserve">the </w:t>
      </w:r>
      <w:r w:rsidR="00615CC6" w:rsidRPr="00ED724A">
        <w:t xml:space="preserve">professional </w:t>
      </w:r>
      <w:r w:rsidR="00326D88" w:rsidRPr="00ED724A">
        <w:t>learning</w:t>
      </w:r>
      <w:r w:rsidR="0058104F" w:rsidRPr="00ED724A">
        <w:t>. This</w:t>
      </w:r>
      <w:r w:rsidR="00326D88" w:rsidRPr="00ED724A">
        <w:t xml:space="preserve"> </w:t>
      </w:r>
      <w:r w:rsidR="00615CC6" w:rsidRPr="00ED724A">
        <w:t>ensure</w:t>
      </w:r>
      <w:r w:rsidR="0058104F" w:rsidRPr="00ED724A">
        <w:t>d</w:t>
      </w:r>
      <w:r w:rsidR="00615CC6" w:rsidRPr="00ED724A">
        <w:t xml:space="preserve"> the building of capacity of all staff, including early career teachers.</w:t>
      </w:r>
    </w:p>
    <w:p w14:paraId="3D6F31EA" w14:textId="77777777" w:rsidR="00BE24B5" w:rsidRPr="00ED724A" w:rsidRDefault="006F1FE3" w:rsidP="00524B8C">
      <w:r w:rsidRPr="00ED724A">
        <w:t xml:space="preserve">External consultants were accessed </w:t>
      </w:r>
      <w:r w:rsidR="00430559" w:rsidRPr="00ED724A">
        <w:t xml:space="preserve">by a number of schools and schools reported that they were able </w:t>
      </w:r>
      <w:r w:rsidRPr="00ED724A">
        <w:t>to prov</w:t>
      </w:r>
      <w:r w:rsidR="00430559" w:rsidRPr="00ED724A">
        <w:t>ide new knowledge and an</w:t>
      </w:r>
      <w:r w:rsidRPr="00ED724A">
        <w:t xml:space="preserve"> external perspective. In-school professional learning was favoured with schools noting advantages such as the building of leadership skills, the c</w:t>
      </w:r>
      <w:r w:rsidR="00430559" w:rsidRPr="00ED724A">
        <w:t>reation</w:t>
      </w:r>
      <w:r w:rsidRPr="00ED724A">
        <w:t xml:space="preserve"> of a culture of learning in the school and the </w:t>
      </w:r>
      <w:r w:rsidR="00BE24B5" w:rsidRPr="00ED724A">
        <w:t>recognition and increase in confidence of highly skilled, but previously unheralded teachers.</w:t>
      </w:r>
      <w:r w:rsidRPr="00ED724A">
        <w:t xml:space="preserve">  </w:t>
      </w:r>
    </w:p>
    <w:p w14:paraId="6DDAB140" w14:textId="77777777" w:rsidR="00430559" w:rsidRPr="00ED724A" w:rsidRDefault="006F1FE3" w:rsidP="00524B8C">
      <w:r w:rsidRPr="00ED724A">
        <w:t xml:space="preserve">One hundred and forty-seven </w:t>
      </w:r>
      <w:r w:rsidR="00E11607" w:rsidRPr="00ED724A">
        <w:t xml:space="preserve">Government </w:t>
      </w:r>
      <w:r w:rsidRPr="00ED724A">
        <w:t>schools were identified as undertaking innovativ</w:t>
      </w:r>
      <w:r w:rsidR="00E11607" w:rsidRPr="00ED724A">
        <w:t xml:space="preserve">e activities that build capacity, including: </w:t>
      </w:r>
    </w:p>
    <w:p w14:paraId="79CEDCE2" w14:textId="77777777" w:rsidR="00430559" w:rsidRPr="00ED724A" w:rsidRDefault="00326D88" w:rsidP="00756999">
      <w:pPr>
        <w:pStyle w:val="ListParagraph"/>
        <w:numPr>
          <w:ilvl w:val="0"/>
          <w:numId w:val="17"/>
        </w:numPr>
      </w:pPr>
      <w:r w:rsidRPr="00ED724A">
        <w:t>team teaching</w:t>
      </w:r>
    </w:p>
    <w:p w14:paraId="0FFCB507" w14:textId="77777777" w:rsidR="00430559" w:rsidRPr="00ED724A" w:rsidRDefault="00326D88" w:rsidP="00756999">
      <w:pPr>
        <w:pStyle w:val="ListParagraph"/>
        <w:numPr>
          <w:ilvl w:val="0"/>
          <w:numId w:val="17"/>
        </w:numPr>
      </w:pPr>
      <w:r w:rsidRPr="00ED724A">
        <w:t>community of schools activities (e.g. shared school development days, planning, transition, leadership)</w:t>
      </w:r>
    </w:p>
    <w:p w14:paraId="6CB988CF" w14:textId="77777777" w:rsidR="00430559" w:rsidRPr="00ED724A" w:rsidRDefault="00326D88" w:rsidP="00756999">
      <w:pPr>
        <w:pStyle w:val="ListParagraph"/>
        <w:numPr>
          <w:ilvl w:val="0"/>
          <w:numId w:val="17"/>
        </w:numPr>
      </w:pPr>
      <w:r w:rsidRPr="00ED724A">
        <w:t>mentoring and coaching</w:t>
      </w:r>
    </w:p>
    <w:p w14:paraId="24C2610A" w14:textId="77777777" w:rsidR="00326D88" w:rsidRPr="00ED724A" w:rsidRDefault="00326D88" w:rsidP="00756999">
      <w:pPr>
        <w:pStyle w:val="ListParagraph"/>
        <w:numPr>
          <w:ilvl w:val="0"/>
          <w:numId w:val="17"/>
        </w:numPr>
      </w:pPr>
      <w:r w:rsidRPr="00ED724A">
        <w:t xml:space="preserve">action research </w:t>
      </w:r>
    </w:p>
    <w:p w14:paraId="50118F94" w14:textId="77777777" w:rsidR="00430559" w:rsidRPr="00ED724A" w:rsidRDefault="00326D88" w:rsidP="00756999">
      <w:pPr>
        <w:pStyle w:val="ListParagraph"/>
        <w:numPr>
          <w:ilvl w:val="0"/>
          <w:numId w:val="17"/>
        </w:numPr>
      </w:pPr>
      <w:r w:rsidRPr="00ED724A">
        <w:t>learning reflection</w:t>
      </w:r>
    </w:p>
    <w:p w14:paraId="4CBDFD87" w14:textId="77777777" w:rsidR="00430559" w:rsidRPr="00ED724A" w:rsidRDefault="00326D88" w:rsidP="00756999">
      <w:pPr>
        <w:pStyle w:val="ListParagraph"/>
        <w:numPr>
          <w:ilvl w:val="0"/>
          <w:numId w:val="17"/>
        </w:numPr>
      </w:pPr>
      <w:r w:rsidRPr="00ED724A">
        <w:t xml:space="preserve">on-line delivery </w:t>
      </w:r>
    </w:p>
    <w:p w14:paraId="2FB3F8F0" w14:textId="77777777" w:rsidR="00744F4F" w:rsidRPr="00ED724A" w:rsidRDefault="00326D88" w:rsidP="00756999">
      <w:pPr>
        <w:pStyle w:val="ListParagraph"/>
        <w:numPr>
          <w:ilvl w:val="0"/>
          <w:numId w:val="17"/>
        </w:numPr>
      </w:pPr>
      <w:r w:rsidRPr="00ED724A">
        <w:t>instructional rounds</w:t>
      </w:r>
    </w:p>
    <w:p w14:paraId="2661E150" w14:textId="77777777" w:rsidR="003F6D47" w:rsidRPr="00ED724A" w:rsidRDefault="003F6D47" w:rsidP="00524B8C">
      <w:r w:rsidRPr="00ED724A">
        <w:t>I</w:t>
      </w:r>
      <w:r w:rsidR="00326D88" w:rsidRPr="00ED724A">
        <w:t>n a number of schools, in-school mentors we</w:t>
      </w:r>
      <w:r w:rsidRPr="00ED724A">
        <w:t>re identified and released to work with individual teachers in planning, programming, delivering and reflecting on lessons</w:t>
      </w:r>
      <w:r w:rsidR="00D2182F" w:rsidRPr="00ED724A">
        <w:t>,</w:t>
      </w:r>
      <w:r w:rsidRPr="00ED724A">
        <w:t xml:space="preserve"> with the mentor being able to tailor support to the particular needs and interests of each teacher. The mentor</w:t>
      </w:r>
      <w:r w:rsidR="00326D88" w:rsidRPr="00ED724A">
        <w:t>s</w:t>
      </w:r>
      <w:r w:rsidRPr="00ED724A">
        <w:t xml:space="preserve"> </w:t>
      </w:r>
      <w:r w:rsidR="00326D88" w:rsidRPr="00ED724A">
        <w:t>were</w:t>
      </w:r>
      <w:r w:rsidRPr="00ED724A">
        <w:t xml:space="preserve"> involved in demonstration, modelling or team teaching, depending on the needs of the individual teacher </w:t>
      </w:r>
      <w:r w:rsidR="00326D88" w:rsidRPr="00ED724A">
        <w:t>and the level of support required</w:t>
      </w:r>
      <w:r w:rsidRPr="00ED724A">
        <w:t>.</w:t>
      </w:r>
    </w:p>
    <w:p w14:paraId="140D708A" w14:textId="77777777" w:rsidR="003F6D47" w:rsidRPr="00ED724A" w:rsidRDefault="00326D88" w:rsidP="00524B8C">
      <w:r w:rsidRPr="00ED724A">
        <w:t>Peer coaching wa</w:t>
      </w:r>
      <w:r w:rsidR="003F6D47" w:rsidRPr="00ED724A">
        <w:t xml:space="preserve">s </w:t>
      </w:r>
      <w:r w:rsidR="00D2182F" w:rsidRPr="00ED724A">
        <w:t>implemented in pairs, with</w:t>
      </w:r>
      <w:r w:rsidR="003F6D47" w:rsidRPr="00ED724A">
        <w:t xml:space="preserve"> two teachers work</w:t>
      </w:r>
      <w:r w:rsidR="00D2182F" w:rsidRPr="00ED724A">
        <w:t xml:space="preserve">ing together to plan a lesson. One </w:t>
      </w:r>
      <w:r w:rsidR="003F6D47" w:rsidRPr="00ED724A">
        <w:t>teacher deliver</w:t>
      </w:r>
      <w:r w:rsidRPr="00ED724A">
        <w:t>ed</w:t>
      </w:r>
      <w:r w:rsidR="003F6D47" w:rsidRPr="00ED724A">
        <w:t xml:space="preserve"> the lesson to </w:t>
      </w:r>
      <w:r w:rsidR="0058104F" w:rsidRPr="00ED724A">
        <w:t>his or her</w:t>
      </w:r>
      <w:r w:rsidR="003F6D47" w:rsidRPr="00ED724A">
        <w:t xml:space="preserve"> own class while the other observe</w:t>
      </w:r>
      <w:r w:rsidRPr="00ED724A">
        <w:t>d</w:t>
      </w:r>
      <w:r w:rsidR="003F6D47" w:rsidRPr="00ED724A">
        <w:t xml:space="preserve">. The </w:t>
      </w:r>
      <w:r w:rsidR="00D2182F" w:rsidRPr="00ED724A">
        <w:t>two teachers reflect</w:t>
      </w:r>
      <w:r w:rsidRPr="00ED724A">
        <w:t>ed</w:t>
      </w:r>
      <w:r w:rsidR="003F6D47" w:rsidRPr="00ED724A">
        <w:t xml:space="preserve"> on the lesson together, redrafting and refining as necessary. The teachers swap</w:t>
      </w:r>
      <w:r w:rsidRPr="00ED724A">
        <w:t>ped</w:t>
      </w:r>
      <w:r w:rsidR="003F6D47" w:rsidRPr="00ED724A">
        <w:t xml:space="preserve"> roles and the observer t</w:t>
      </w:r>
      <w:r w:rsidRPr="00ED724A">
        <w:t>aught</w:t>
      </w:r>
      <w:r w:rsidR="003F6D47" w:rsidRPr="00ED724A">
        <w:t xml:space="preserve"> </w:t>
      </w:r>
      <w:r w:rsidR="003F6D47" w:rsidRPr="00ED724A">
        <w:lastRenderedPageBreak/>
        <w:t>the lesson with their class while the other teacher observe</w:t>
      </w:r>
      <w:r w:rsidRPr="00ED724A">
        <w:t>d</w:t>
      </w:r>
      <w:r w:rsidR="003F6D47" w:rsidRPr="00ED724A">
        <w:t>. The pair reflect</w:t>
      </w:r>
      <w:r w:rsidRPr="00ED724A">
        <w:t>ed</w:t>
      </w:r>
      <w:r w:rsidR="003F6D47" w:rsidRPr="00ED724A">
        <w:t xml:space="preserve"> on the outcomes of the lesson before moving on to another lesson sequence. </w:t>
      </w:r>
    </w:p>
    <w:p w14:paraId="2534FBDB" w14:textId="3CE8476E" w:rsidR="00DB19CD" w:rsidRPr="00524B8C" w:rsidRDefault="003F6D47" w:rsidP="00524B8C">
      <w:r w:rsidRPr="00ED724A">
        <w:t>Peer coaching and mentoring programs strengthen</w:t>
      </w:r>
      <w:r w:rsidR="00326D88" w:rsidRPr="00ED724A">
        <w:t>ed</w:t>
      </w:r>
      <w:r w:rsidRPr="00ED724A">
        <w:t xml:space="preserve"> leadership capabilities for teachers and help</w:t>
      </w:r>
      <w:r w:rsidR="0058104F" w:rsidRPr="00ED724A">
        <w:t>ed</w:t>
      </w:r>
      <w:r w:rsidRPr="00ED724A">
        <w:t xml:space="preserve"> build</w:t>
      </w:r>
      <w:r w:rsidR="0058104F" w:rsidRPr="00ED724A">
        <w:t xml:space="preserve"> a dynamic learning culture in</w:t>
      </w:r>
      <w:r w:rsidRPr="00ED724A">
        <w:t xml:space="preserve"> school</w:t>
      </w:r>
      <w:r w:rsidR="0058104F" w:rsidRPr="00ED724A">
        <w:t>s</w:t>
      </w:r>
      <w:r w:rsidRPr="00ED724A">
        <w:t xml:space="preserve">. </w:t>
      </w:r>
      <w:r w:rsidR="0058104F" w:rsidRPr="00ED724A">
        <w:t xml:space="preserve">Coaching and mentoring </w:t>
      </w:r>
      <w:r w:rsidR="00326D88" w:rsidRPr="00ED724A">
        <w:t>we</w:t>
      </w:r>
      <w:r w:rsidRPr="00ED724A">
        <w:t>re highly value</w:t>
      </w:r>
      <w:r w:rsidR="0058104F" w:rsidRPr="00ED724A">
        <w:t>d</w:t>
      </w:r>
      <w:r w:rsidR="00D21F50" w:rsidRPr="00ED724A">
        <w:t xml:space="preserve"> as the professional learning</w:t>
      </w:r>
      <w:r w:rsidR="0058104F" w:rsidRPr="00ED724A">
        <w:t xml:space="preserve"> wa</w:t>
      </w:r>
      <w:r w:rsidRPr="00ED724A">
        <w:t>s completed in context</w:t>
      </w:r>
      <w:r w:rsidR="00D21F50" w:rsidRPr="00ED724A">
        <w:t>, with no transport or costs apart from release. These processes valued t</w:t>
      </w:r>
      <w:r w:rsidRPr="00ED724A">
        <w:t xml:space="preserve">he knowledge and expertise of teachers </w:t>
      </w:r>
      <w:r w:rsidR="00D21F50" w:rsidRPr="00ED724A">
        <w:t>at the school, and enabled the sharing of the knowledge and skills, increasing</w:t>
      </w:r>
      <w:r w:rsidRPr="00ED724A">
        <w:t xml:space="preserve"> the </w:t>
      </w:r>
      <w:r w:rsidR="00D21F50" w:rsidRPr="00ED724A">
        <w:t>understanding</w:t>
      </w:r>
      <w:r w:rsidR="00BB6293" w:rsidRPr="00ED724A">
        <w:t xml:space="preserve">, confidence and leadership skills </w:t>
      </w:r>
      <w:r w:rsidRPr="00ED724A">
        <w:t>of teachers involved.</w:t>
      </w:r>
    </w:p>
    <w:p w14:paraId="7CAEB767" w14:textId="77777777" w:rsidR="00DB19CD" w:rsidRPr="00ED724A" w:rsidRDefault="00DB19CD" w:rsidP="00524B8C">
      <w:pPr>
        <w:pStyle w:val="Heading3"/>
      </w:pPr>
      <w:r w:rsidRPr="00ED724A">
        <w:t>NSW Independent Schools</w:t>
      </w:r>
    </w:p>
    <w:p w14:paraId="55BEE91F" w14:textId="77777777" w:rsidR="00DB19CD" w:rsidRPr="00ED724A" w:rsidRDefault="00DB19CD" w:rsidP="00524B8C">
      <w:r w:rsidRPr="00ED724A">
        <w:t xml:space="preserve">In Independent schools, </w:t>
      </w:r>
      <w:r w:rsidR="00F77180" w:rsidRPr="00ED724A">
        <w:t>both the student results and the teacher survey responses indicate the growth in the teacher capability and</w:t>
      </w:r>
      <w:r w:rsidRPr="00ED724A">
        <w:t xml:space="preserve"> effectiveness of the literacy </w:t>
      </w:r>
      <w:r w:rsidR="00F77180" w:rsidRPr="00ED724A">
        <w:t>or numeracy teaching in all of the 18 independent schools participating in the partnership.</w:t>
      </w:r>
    </w:p>
    <w:p w14:paraId="18022A19" w14:textId="31B5E7E7" w:rsidR="00F77180" w:rsidRPr="00ED724A" w:rsidRDefault="00F77180" w:rsidP="00524B8C">
      <w:r w:rsidRPr="00ED724A">
        <w:t xml:space="preserve">Through establishing a clear </w:t>
      </w:r>
      <w:r w:rsidR="00B459F7">
        <w:t>whole-school</w:t>
      </w:r>
      <w:r w:rsidRPr="00ED724A">
        <w:t xml:space="preserve"> focus the school leaders of the participating schools ensured that all were aware of the significance of improving the effectiveness of either literacy or numeracy teaching to ensure improved student learning. Most schools developed a very clear plan for teacher professional learning, the priority of which was underlined by strategies like devoting significant amounts of time at all school meetings to the initiative, supporting teachers to process their learning and transfer it into the classroom and by school leaders being active participants in the professional learning provided to the teachers in their schools. </w:t>
      </w:r>
    </w:p>
    <w:p w14:paraId="2615C0C6" w14:textId="3089DF84" w:rsidR="00F77180" w:rsidRPr="00ED724A" w:rsidRDefault="00F77180" w:rsidP="00524B8C">
      <w:r w:rsidRPr="00ED724A">
        <w:t>At Willi</w:t>
      </w:r>
      <w:r w:rsidR="000A075F" w:rsidRPr="00ED724A">
        <w:t>am Carey Christian School the professional learning</w:t>
      </w:r>
      <w:r w:rsidRPr="00ED724A">
        <w:t xml:space="preserve"> in the junior school has strengthened the culture of all teachers at the school being professional learners through increased sharing of ideas and resources, increased professional reading and collegial discussions.  This </w:t>
      </w:r>
      <w:r w:rsidR="00B459F7">
        <w:t>whole-school</w:t>
      </w:r>
      <w:r w:rsidRPr="00ED724A">
        <w:t xml:space="preserve"> focus on reading has had an impact not only on students but also on parents. T</w:t>
      </w:r>
      <w:r w:rsidR="001B4678" w:rsidRPr="00ED724A">
        <w:t xml:space="preserve">eachers </w:t>
      </w:r>
      <w:r w:rsidRPr="00ED724A">
        <w:t>researched and delivered workshops for parents to encourage home reading.  A practice was also established of sending at least two teacher</w:t>
      </w:r>
      <w:r w:rsidR="000A075F" w:rsidRPr="00ED724A">
        <w:t>s to externally delivered professional learning.</w:t>
      </w:r>
      <w:r w:rsidR="006972A7" w:rsidRPr="00ED724A">
        <w:t xml:space="preserve"> </w:t>
      </w:r>
      <w:r w:rsidRPr="00ED724A">
        <w:t>This has led to increased level of accountability of teachers for</w:t>
      </w:r>
      <w:r w:rsidR="00F24E6A" w:rsidRPr="00ED724A">
        <w:t xml:space="preserve"> implementing and sharing the knowledge that had been </w:t>
      </w:r>
      <w:r w:rsidRPr="00ED724A">
        <w:t xml:space="preserve">gained and so developing greater collegiality, conversations and encouragement to implement strategies. </w:t>
      </w:r>
    </w:p>
    <w:p w14:paraId="2B912E8B" w14:textId="77777777" w:rsidR="00F77180" w:rsidRPr="00ED724A" w:rsidRDefault="00F77180" w:rsidP="00524B8C">
      <w:r w:rsidRPr="00ED724A">
        <w:t xml:space="preserve">At Summerland Christian College more explicit approaches to teaching in </w:t>
      </w:r>
      <w:r w:rsidR="000831AB" w:rsidRPr="00ED724A">
        <w:t>years K-2</w:t>
      </w:r>
      <w:r w:rsidRPr="00ED724A">
        <w:t xml:space="preserve"> have been implemented following three days of </w:t>
      </w:r>
      <w:r w:rsidR="00C25ED8" w:rsidRPr="00ED724A">
        <w:t xml:space="preserve">the Getting off to a Good Start (GOTAGS) professional learning program, </w:t>
      </w:r>
      <w:r w:rsidRPr="00ED724A">
        <w:t xml:space="preserve">attended by the K-2 teachers </w:t>
      </w:r>
      <w:r w:rsidR="00C25ED8" w:rsidRPr="00ED724A">
        <w:t>(7</w:t>
      </w:r>
      <w:r w:rsidRPr="00ED724A">
        <w:t xml:space="preserve"> </w:t>
      </w:r>
      <w:r w:rsidR="00C25ED8" w:rsidRPr="00ED724A">
        <w:t>teachers)</w:t>
      </w:r>
      <w:r w:rsidRPr="00ED724A">
        <w:t xml:space="preserve">.  </w:t>
      </w:r>
    </w:p>
    <w:p w14:paraId="7BB35053" w14:textId="77777777" w:rsidR="00C77D7F" w:rsidRPr="00ED724A" w:rsidRDefault="00F77180" w:rsidP="00524B8C">
      <w:pPr>
        <w:rPr>
          <w:b/>
        </w:rPr>
      </w:pPr>
      <w:r w:rsidRPr="00ED724A">
        <w:t>At Nowra Anglican Sc</w:t>
      </w:r>
      <w:r w:rsidR="00FB6A9C" w:rsidRPr="00ED724A">
        <w:t>hool, following some external professional learning</w:t>
      </w:r>
      <w:r w:rsidRPr="00ED724A">
        <w:t xml:space="preserve"> in comprehension</w:t>
      </w:r>
      <w:r w:rsidR="005B1763" w:rsidRPr="00ED724A">
        <w:t>,</w:t>
      </w:r>
      <w:r w:rsidRPr="00ED724A">
        <w:t xml:space="preserve"> the </w:t>
      </w:r>
      <w:r w:rsidR="005B1763" w:rsidRPr="00ED724A">
        <w:t>knowledge was then</w:t>
      </w:r>
      <w:r w:rsidRPr="00ED724A">
        <w:t xml:space="preserve"> embedded into practice through the employment of a specialist teacher to team teach the Super 6 comprehension strategies. Through this mentoring and modelling support, teachers quickly gained confidence in implementing reading comprehension strategies and using strategies in other lessons. </w:t>
      </w:r>
    </w:p>
    <w:p w14:paraId="6D7B61AA" w14:textId="77777777" w:rsidR="00C77D7F" w:rsidRPr="00ED724A" w:rsidRDefault="00C77D7F" w:rsidP="00524B8C">
      <w:pPr>
        <w:pStyle w:val="Heading3"/>
      </w:pPr>
      <w:r w:rsidRPr="00ED724A">
        <w:t>NSW Catholic Schools</w:t>
      </w:r>
    </w:p>
    <w:p w14:paraId="315E9B03" w14:textId="77777777" w:rsidR="00991869" w:rsidRPr="00ED724A" w:rsidRDefault="00C77D7F" w:rsidP="00524B8C">
      <w:r w:rsidRPr="00ED724A">
        <w:t>Many approaches</w:t>
      </w:r>
      <w:r w:rsidR="005B1763" w:rsidRPr="00ED724A">
        <w:t xml:space="preserve"> undertake within the NSW Catholic sector began</w:t>
      </w:r>
      <w:r w:rsidRPr="00ED724A">
        <w:t xml:space="preserve"> with the principal and the school leaderships team working on a local plan of approach. Although some schools were fully autonomous in this endeavour most were supp</w:t>
      </w:r>
      <w:r w:rsidR="007A43C5" w:rsidRPr="00ED724A">
        <w:t>orted by coaches, specialists, education o</w:t>
      </w:r>
      <w:r w:rsidRPr="00ED724A">
        <w:t xml:space="preserve">fficers and on occasion external experts. It was found that in some cases on-going leadership coaching would be necessary throughout the intervention period. All professional learning was conducted as close as possible to the classroom and in many cases in the classroom. </w:t>
      </w:r>
    </w:p>
    <w:p w14:paraId="156D9D6E" w14:textId="77777777" w:rsidR="00C77D7F" w:rsidRPr="00ED724A" w:rsidRDefault="00C77D7F" w:rsidP="00524B8C">
      <w:pPr>
        <w:rPr>
          <w:b/>
        </w:rPr>
      </w:pPr>
      <w:r w:rsidRPr="00ED724A">
        <w:lastRenderedPageBreak/>
        <w:t xml:space="preserve">Where school leaders had the capacity to lead the leading, </w:t>
      </w:r>
      <w:r w:rsidR="00C03FFD" w:rsidRPr="00ED724A">
        <w:t>t</w:t>
      </w:r>
      <w:r w:rsidR="00666A87" w:rsidRPr="00ED724A">
        <w:t xml:space="preserve">he professional learning </w:t>
      </w:r>
      <w:r w:rsidRPr="00ED724A">
        <w:t>proved most effective. The most appropriate leadership styles in this endeavour seem</w:t>
      </w:r>
      <w:r w:rsidR="005B1763" w:rsidRPr="00ED724A">
        <w:t>ed</w:t>
      </w:r>
      <w:r w:rsidRPr="00ED724A">
        <w:t xml:space="preserve"> to be ‘student-centred’ and ‘directional’ leadership that built capacity in </w:t>
      </w:r>
      <w:r w:rsidR="005B1763" w:rsidRPr="00ED724A">
        <w:t xml:space="preserve">the </w:t>
      </w:r>
      <w:r w:rsidRPr="00ED724A">
        <w:t>understanding of how and what data is effective in identifying student knowledge and understandings. The</w:t>
      </w:r>
      <w:r w:rsidR="005B1763" w:rsidRPr="00ED724A">
        <w:t>se</w:t>
      </w:r>
      <w:r w:rsidRPr="00ED724A">
        <w:t xml:space="preserve"> approaches developed skills and knowledge in how students learn literacy and/or numeracy, what learning and teaching strategies can best develop effective literacy and/or numeracy skills and how the learning space environment supports learning.</w:t>
      </w:r>
    </w:p>
    <w:p w14:paraId="293D488C" w14:textId="77777777" w:rsidR="00C77D7F" w:rsidRPr="00ED724A" w:rsidRDefault="00C77D7F" w:rsidP="00524B8C">
      <w:pPr>
        <w:rPr>
          <w:b/>
        </w:rPr>
      </w:pPr>
      <w:r w:rsidRPr="00ED724A">
        <w:t xml:space="preserve">Parramatta Dioceses emphasised the foundation practices such as warm up, learning time and reflection on learning.  The Archdiocese of Canberra and Goulburn had a tiered whole-school intervention approach with instruction followed by intensive intervention then trialling of innovations and programing. </w:t>
      </w:r>
    </w:p>
    <w:p w14:paraId="2F14F68E" w14:textId="77777777" w:rsidR="00C77D7F" w:rsidRPr="00ED724A" w:rsidRDefault="00C77D7F" w:rsidP="00524B8C">
      <w:pPr>
        <w:rPr>
          <w:b/>
        </w:rPr>
      </w:pPr>
      <w:r w:rsidRPr="00ED724A">
        <w:t>Bathurst Diocese had a multi-faceted approach incorporating the following:</w:t>
      </w:r>
    </w:p>
    <w:p w14:paraId="52437B4E" w14:textId="77777777" w:rsidR="00C77D7F" w:rsidRPr="00335885" w:rsidRDefault="00AC54B0" w:rsidP="00756999">
      <w:pPr>
        <w:pStyle w:val="ListParagraph"/>
        <w:numPr>
          <w:ilvl w:val="0"/>
          <w:numId w:val="18"/>
        </w:numPr>
        <w:rPr>
          <w:b/>
        </w:rPr>
      </w:pPr>
      <w:r w:rsidRPr="00ED724A">
        <w:t>The use of working g</w:t>
      </w:r>
      <w:r w:rsidR="00C77D7F" w:rsidRPr="00ED724A">
        <w:t>roups to focus upon a</w:t>
      </w:r>
      <w:r w:rsidR="005B1763" w:rsidRPr="00ED724A">
        <w:t xml:space="preserve"> key learning area</w:t>
      </w:r>
      <w:r w:rsidR="00C77D7F" w:rsidRPr="00ED724A">
        <w:t xml:space="preserve"> </w:t>
      </w:r>
      <w:r w:rsidR="005B1763" w:rsidRPr="00ED724A">
        <w:t>(</w:t>
      </w:r>
      <w:r w:rsidR="00C77D7F" w:rsidRPr="00ED724A">
        <w:t>KLA</w:t>
      </w:r>
      <w:r w:rsidR="005B1763" w:rsidRPr="00ED724A">
        <w:t>)</w:t>
      </w:r>
      <w:r w:rsidR="00C77D7F" w:rsidRPr="00ED724A">
        <w:t>, a skill set or a cohort program.</w:t>
      </w:r>
    </w:p>
    <w:p w14:paraId="01DE3163" w14:textId="1319E514" w:rsidR="00C77D7F" w:rsidRPr="00335885" w:rsidRDefault="00C77D7F" w:rsidP="00756999">
      <w:pPr>
        <w:pStyle w:val="ListParagraph"/>
        <w:numPr>
          <w:ilvl w:val="0"/>
          <w:numId w:val="18"/>
        </w:numPr>
        <w:rPr>
          <w:b/>
        </w:rPr>
      </w:pPr>
      <w:r w:rsidRPr="00ED724A">
        <w:t xml:space="preserve">The use of stage groups to develop a KLA with in their stage as part of a </w:t>
      </w:r>
      <w:r w:rsidR="00B459F7">
        <w:t>whole-school</w:t>
      </w:r>
      <w:r w:rsidRPr="00ED724A">
        <w:t xml:space="preserve"> approach to the KLA.</w:t>
      </w:r>
    </w:p>
    <w:p w14:paraId="44195278" w14:textId="77777777" w:rsidR="00C77D7F" w:rsidRPr="00335885" w:rsidRDefault="00C77D7F" w:rsidP="00756999">
      <w:pPr>
        <w:pStyle w:val="ListParagraph"/>
        <w:numPr>
          <w:ilvl w:val="0"/>
          <w:numId w:val="18"/>
        </w:numPr>
        <w:rPr>
          <w:b/>
        </w:rPr>
      </w:pPr>
      <w:r w:rsidRPr="00ED724A">
        <w:t>Local cluster of schools coming together to work on a KLA in preparation for its implementation.</w:t>
      </w:r>
    </w:p>
    <w:p w14:paraId="1A7DA595" w14:textId="77777777" w:rsidR="00C77D7F" w:rsidRPr="00335885" w:rsidRDefault="00C77D7F" w:rsidP="00756999">
      <w:pPr>
        <w:pStyle w:val="ListParagraph"/>
        <w:numPr>
          <w:ilvl w:val="0"/>
          <w:numId w:val="18"/>
        </w:numPr>
        <w:rPr>
          <w:b/>
        </w:rPr>
      </w:pPr>
      <w:r w:rsidRPr="00ED724A">
        <w:t xml:space="preserve">Use of </w:t>
      </w:r>
      <w:r w:rsidR="00AC54B0" w:rsidRPr="00ED724A">
        <w:t>a Catholic Education Office (CEO)</w:t>
      </w:r>
      <w:r w:rsidRPr="00ED724A">
        <w:t xml:space="preserve"> consultant to guide KLA implementation into a school(s) and develop teacher effectiveness.</w:t>
      </w:r>
    </w:p>
    <w:p w14:paraId="61460365" w14:textId="77777777" w:rsidR="00C77D7F" w:rsidRPr="00335885" w:rsidRDefault="00C77D7F" w:rsidP="00756999">
      <w:pPr>
        <w:pStyle w:val="ListParagraph"/>
        <w:numPr>
          <w:ilvl w:val="0"/>
          <w:numId w:val="18"/>
        </w:numPr>
        <w:rPr>
          <w:b/>
        </w:rPr>
      </w:pPr>
      <w:r w:rsidRPr="00ED724A">
        <w:t>Utilisation of an experienced teacher to lead the development of teacher capacity, skills and knowledge.</w:t>
      </w:r>
    </w:p>
    <w:p w14:paraId="55FD115B" w14:textId="77777777" w:rsidR="00C77D7F" w:rsidRPr="00335885" w:rsidRDefault="00C77D7F" w:rsidP="00756999">
      <w:pPr>
        <w:pStyle w:val="ListParagraph"/>
        <w:numPr>
          <w:ilvl w:val="0"/>
          <w:numId w:val="18"/>
        </w:numPr>
        <w:rPr>
          <w:b/>
        </w:rPr>
      </w:pPr>
      <w:r w:rsidRPr="00ED724A">
        <w:t>Use of PLC Model and PLTs to implement new syllabus and develop staff skills and knowledge.</w:t>
      </w:r>
    </w:p>
    <w:p w14:paraId="688FBDD4" w14:textId="77777777" w:rsidR="00C77D7F" w:rsidRPr="00335885" w:rsidRDefault="00C77D7F" w:rsidP="00756999">
      <w:pPr>
        <w:pStyle w:val="ListParagraph"/>
        <w:numPr>
          <w:ilvl w:val="0"/>
          <w:numId w:val="18"/>
        </w:numPr>
        <w:rPr>
          <w:b/>
        </w:rPr>
      </w:pPr>
      <w:r w:rsidRPr="00ED724A">
        <w:t>Teacher mentoring, planning, in-class visits, and evaluation to develop specific skills range using PLC Model.</w:t>
      </w:r>
    </w:p>
    <w:p w14:paraId="6D724BD3" w14:textId="77777777" w:rsidR="00214D04" w:rsidRDefault="00B832D9" w:rsidP="00524B8C">
      <w:r w:rsidRPr="00ED724A">
        <w:t xml:space="preserve">The Diocese of </w:t>
      </w:r>
      <w:r w:rsidR="00C77D7F" w:rsidRPr="00ED724A">
        <w:t>Wollongong had five major goals to their approach, namely:</w:t>
      </w:r>
    </w:p>
    <w:p w14:paraId="54D3C760" w14:textId="77777777" w:rsidR="00214D04" w:rsidRPr="00214D04" w:rsidRDefault="00C77D7F" w:rsidP="00756999">
      <w:pPr>
        <w:pStyle w:val="ListParagraph"/>
        <w:numPr>
          <w:ilvl w:val="0"/>
          <w:numId w:val="19"/>
        </w:numPr>
      </w:pPr>
      <w:r w:rsidRPr="00214D04">
        <w:t>Changes in teaching practice guided by use of literacy/numeracy continuums</w:t>
      </w:r>
      <w:r w:rsidR="006A63B5" w:rsidRPr="00214D04">
        <w:t>.</w:t>
      </w:r>
    </w:p>
    <w:p w14:paraId="5B94931A" w14:textId="77777777" w:rsidR="00214D04" w:rsidRPr="00214D04" w:rsidRDefault="00C77D7F" w:rsidP="00756999">
      <w:pPr>
        <w:pStyle w:val="ListParagraph"/>
        <w:numPr>
          <w:ilvl w:val="0"/>
          <w:numId w:val="19"/>
        </w:numPr>
      </w:pPr>
      <w:r w:rsidRPr="00214D04">
        <w:t>Professional Learning opportunities to unpack Quality Learning and Teaching Framework (DLTF)</w:t>
      </w:r>
      <w:r w:rsidR="006A63B5" w:rsidRPr="00214D04">
        <w:t>.</w:t>
      </w:r>
    </w:p>
    <w:p w14:paraId="6DDC357E" w14:textId="77777777" w:rsidR="00214D04" w:rsidRPr="00214D04" w:rsidRDefault="00C77D7F" w:rsidP="00756999">
      <w:pPr>
        <w:pStyle w:val="ListParagraph"/>
        <w:numPr>
          <w:ilvl w:val="0"/>
          <w:numId w:val="19"/>
        </w:numPr>
      </w:pPr>
      <w:r w:rsidRPr="00214D04">
        <w:t xml:space="preserve">Establishment of a PDPR process which aligns to </w:t>
      </w:r>
      <w:r w:rsidR="006A63B5" w:rsidRPr="00214D04">
        <w:t>Australian Institute for Teaching and School Leadership (</w:t>
      </w:r>
      <w:r w:rsidRPr="00214D04">
        <w:t>AITSL</w:t>
      </w:r>
      <w:r w:rsidR="006A63B5" w:rsidRPr="00214D04">
        <w:t>) Framework.</w:t>
      </w:r>
    </w:p>
    <w:p w14:paraId="33FD15F0" w14:textId="77777777" w:rsidR="00214D04" w:rsidRPr="00214D04" w:rsidRDefault="00C77D7F" w:rsidP="00756999">
      <w:pPr>
        <w:pStyle w:val="ListParagraph"/>
        <w:numPr>
          <w:ilvl w:val="0"/>
          <w:numId w:val="19"/>
        </w:numPr>
      </w:pPr>
      <w:r w:rsidRPr="00214D04">
        <w:t xml:space="preserve">Opportunities for peer teacher observations of teaching practice in and across </w:t>
      </w:r>
      <w:r w:rsidR="00B832D9" w:rsidRPr="00214D04">
        <w:t>I</w:t>
      </w:r>
      <w:r w:rsidRPr="00214D04">
        <w:t>LNNP schools</w:t>
      </w:r>
    </w:p>
    <w:p w14:paraId="0F3F7913" w14:textId="77777777" w:rsidR="00C77D7F" w:rsidRDefault="00C77D7F" w:rsidP="00756999">
      <w:pPr>
        <w:pStyle w:val="ListParagraph"/>
        <w:numPr>
          <w:ilvl w:val="0"/>
          <w:numId w:val="19"/>
        </w:numPr>
      </w:pPr>
      <w:r w:rsidRPr="00214D04">
        <w:t xml:space="preserve">Staff professional learning (3-6) in classroom program </w:t>
      </w:r>
      <w:r w:rsidRPr="00335885">
        <w:rPr>
          <w:i/>
        </w:rPr>
        <w:t xml:space="preserve">Focus on Reading </w:t>
      </w:r>
      <w:r w:rsidRPr="00214D04">
        <w:t xml:space="preserve">(FOR) and </w:t>
      </w:r>
      <w:r w:rsidRPr="00335885">
        <w:rPr>
          <w:i/>
        </w:rPr>
        <w:t xml:space="preserve">Taking </w:t>
      </w:r>
      <w:r w:rsidR="006A63B5" w:rsidRPr="00335885">
        <w:rPr>
          <w:i/>
        </w:rPr>
        <w:t>off with</w:t>
      </w:r>
      <w:r w:rsidRPr="00335885">
        <w:rPr>
          <w:i/>
        </w:rPr>
        <w:t xml:space="preserve"> Numeracy</w:t>
      </w:r>
      <w:r w:rsidRPr="00214D04">
        <w:t xml:space="preserve"> (TOWN)</w:t>
      </w:r>
      <w:r w:rsidRPr="00335885">
        <w:rPr>
          <w:i/>
        </w:rPr>
        <w:t xml:space="preserve"> </w:t>
      </w:r>
      <w:r w:rsidRPr="00214D04">
        <w:t>to improve the quality of literacy/numeracy teaching</w:t>
      </w:r>
      <w:r w:rsidR="006A63B5" w:rsidRPr="00214D04">
        <w:t>.</w:t>
      </w:r>
    </w:p>
    <w:p w14:paraId="5F55A8AC" w14:textId="55B7F73A" w:rsidR="00142788" w:rsidRPr="00824EA6" w:rsidRDefault="00142788" w:rsidP="00524B8C">
      <w:pPr>
        <w:pStyle w:val="Heading3"/>
      </w:pPr>
      <w:r w:rsidRPr="009B58C3">
        <w:t>Local Measure (viii) Feedback from staff</w:t>
      </w:r>
    </w:p>
    <w:p w14:paraId="7434B38F" w14:textId="77777777" w:rsidR="00666A87" w:rsidRPr="009B58C3" w:rsidRDefault="00666A87" w:rsidP="00524B8C">
      <w:pPr>
        <w:pStyle w:val="Heading3"/>
      </w:pPr>
      <w:r w:rsidRPr="009B58C3">
        <w:t>Teacher Survey Results:</w:t>
      </w:r>
    </w:p>
    <w:p w14:paraId="24D9766D" w14:textId="77777777" w:rsidR="00142788" w:rsidRPr="009B58C3" w:rsidRDefault="00142788" w:rsidP="00524B8C">
      <w:r w:rsidRPr="009B58C3">
        <w:t xml:space="preserve">Across ILNNP schools in NSW, </w:t>
      </w:r>
      <w:r w:rsidR="008126E6" w:rsidRPr="009B58C3">
        <w:t>in both literacy and numeracy, over 4,000 teacher</w:t>
      </w:r>
      <w:r w:rsidR="00B832D9" w:rsidRPr="009B58C3">
        <w:t xml:space="preserve">s were surveyed </w:t>
      </w:r>
      <w:r w:rsidR="006A6A01" w:rsidRPr="009B58C3">
        <w:t xml:space="preserve">using a five-point Likert scale </w:t>
      </w:r>
      <w:r w:rsidR="00B832D9" w:rsidRPr="009B58C3">
        <w:t>for the final r</w:t>
      </w:r>
      <w:r w:rsidR="008126E6" w:rsidRPr="009B58C3">
        <w:t>eport. The state-wide aggregated results</w:t>
      </w:r>
      <w:r w:rsidR="006A6A01" w:rsidRPr="009B58C3">
        <w:t xml:space="preserve"> show a</w:t>
      </w:r>
      <w:r w:rsidRPr="009B58C3">
        <w:t xml:space="preserve"> </w:t>
      </w:r>
      <w:r w:rsidR="006A6A01" w:rsidRPr="009B58C3">
        <w:t>significant</w:t>
      </w:r>
      <w:r w:rsidRPr="009B58C3">
        <w:t xml:space="preserve"> percentage of the K-8 teachers </w:t>
      </w:r>
      <w:r w:rsidR="008126E6" w:rsidRPr="009B58C3">
        <w:t xml:space="preserve">surveyed </w:t>
      </w:r>
      <w:r w:rsidRPr="009B58C3">
        <w:t xml:space="preserve">agreed or strongly agreed that: </w:t>
      </w:r>
    </w:p>
    <w:p w14:paraId="45A108A4" w14:textId="77777777" w:rsidR="00142788" w:rsidRPr="009B58C3" w:rsidRDefault="008126E6" w:rsidP="00524B8C">
      <w:r w:rsidRPr="009B58C3">
        <w:rPr>
          <w:i/>
        </w:rPr>
        <w:t>“T</w:t>
      </w:r>
      <w:r w:rsidR="00142788" w:rsidRPr="009B58C3">
        <w:rPr>
          <w:i/>
        </w:rPr>
        <w:t>hey have a deeper understanding of literacy or numeracy teaching since their school’s participation in the ILNNP</w:t>
      </w:r>
      <w:r w:rsidRPr="009B58C3">
        <w:rPr>
          <w:i/>
        </w:rPr>
        <w:t>”</w:t>
      </w:r>
      <w:r w:rsidR="009B7F57" w:rsidRPr="009B58C3">
        <w:t xml:space="preserve"> [90.2% of numeracy staff and 92.4% of literacy staff surveyed].</w:t>
      </w:r>
    </w:p>
    <w:p w14:paraId="4DD55BA3" w14:textId="77777777" w:rsidR="00142788" w:rsidRPr="009B58C3" w:rsidRDefault="008126E6" w:rsidP="00524B8C">
      <w:r w:rsidRPr="009B58C3">
        <w:rPr>
          <w:i/>
        </w:rPr>
        <w:t>“W</w:t>
      </w:r>
      <w:r w:rsidR="00C8747B" w:rsidRPr="009B58C3">
        <w:rPr>
          <w:i/>
        </w:rPr>
        <w:t>hole-school</w:t>
      </w:r>
      <w:r w:rsidR="00142788" w:rsidRPr="009B58C3">
        <w:rPr>
          <w:i/>
        </w:rPr>
        <w:t xml:space="preserve"> strategies have improved student performance in literacy or numeracy</w:t>
      </w:r>
      <w:r w:rsidRPr="009B58C3">
        <w:rPr>
          <w:i/>
        </w:rPr>
        <w:t>”</w:t>
      </w:r>
      <w:r w:rsidR="009B7F57" w:rsidRPr="009B58C3">
        <w:t xml:space="preserve"> [80% of both numeracy and literacy staff surveyed].</w:t>
      </w:r>
      <w:r w:rsidR="00142788" w:rsidRPr="009B58C3">
        <w:t xml:space="preserve"> </w:t>
      </w:r>
    </w:p>
    <w:p w14:paraId="0D2950D0" w14:textId="77777777" w:rsidR="00142788" w:rsidRPr="009B58C3" w:rsidRDefault="008126E6" w:rsidP="00524B8C">
      <w:pPr>
        <w:rPr>
          <w:i/>
        </w:rPr>
      </w:pPr>
      <w:r w:rsidRPr="009B58C3">
        <w:rPr>
          <w:i/>
        </w:rPr>
        <w:lastRenderedPageBreak/>
        <w:t>“S</w:t>
      </w:r>
      <w:r w:rsidR="00142788" w:rsidRPr="009B58C3">
        <w:rPr>
          <w:i/>
        </w:rPr>
        <w:t xml:space="preserve">chools have increased the use of </w:t>
      </w:r>
      <w:r w:rsidR="00347B1B" w:rsidRPr="009B58C3">
        <w:rPr>
          <w:i/>
        </w:rPr>
        <w:t>data</w:t>
      </w:r>
      <w:r w:rsidR="00142788" w:rsidRPr="009B58C3">
        <w:rPr>
          <w:i/>
        </w:rPr>
        <w:t xml:space="preserve"> to </w:t>
      </w:r>
      <w:r w:rsidRPr="009B58C3">
        <w:rPr>
          <w:i/>
        </w:rPr>
        <w:t>inform teaching and learning”</w:t>
      </w:r>
      <w:r w:rsidRPr="009B58C3">
        <w:t xml:space="preserve"> [</w:t>
      </w:r>
      <w:r w:rsidR="00347B1B" w:rsidRPr="009B58C3">
        <w:t xml:space="preserve">90.2% of literacy staff and 89.4% of numeracy staff surveyed]. </w:t>
      </w:r>
    </w:p>
    <w:p w14:paraId="050DF1D1" w14:textId="77777777" w:rsidR="00142788" w:rsidRPr="009B58C3" w:rsidRDefault="008126E6" w:rsidP="00524B8C">
      <w:pPr>
        <w:rPr>
          <w:i/>
        </w:rPr>
      </w:pPr>
      <w:r w:rsidRPr="009B58C3">
        <w:rPr>
          <w:i/>
        </w:rPr>
        <w:t>“T</w:t>
      </w:r>
      <w:r w:rsidR="00142788" w:rsidRPr="009B58C3">
        <w:rPr>
          <w:i/>
        </w:rPr>
        <w:t>argeted approaches have improved student perf</w:t>
      </w:r>
      <w:r w:rsidRPr="009B58C3">
        <w:rPr>
          <w:i/>
        </w:rPr>
        <w:t>ormance in literacy or numeracy”</w:t>
      </w:r>
      <w:r w:rsidR="00347B1B" w:rsidRPr="009B58C3">
        <w:t xml:space="preserve"> [85.6% of numeracy staff and 85.1% of literacy staff surveyed]. </w:t>
      </w:r>
    </w:p>
    <w:p w14:paraId="03027F86" w14:textId="77777777" w:rsidR="00142788" w:rsidRPr="009B58C3" w:rsidRDefault="00142788" w:rsidP="00524B8C">
      <w:r w:rsidRPr="009B58C3">
        <w:t xml:space="preserve">Teachers surveyed </w:t>
      </w:r>
      <w:r w:rsidR="006A6A01" w:rsidRPr="009B58C3">
        <w:t>tended</w:t>
      </w:r>
      <w:r w:rsidRPr="009B58C3">
        <w:t xml:space="preserve"> to be </w:t>
      </w:r>
      <w:r w:rsidR="009B7F57" w:rsidRPr="009B58C3">
        <w:t xml:space="preserve">experienced with almost 77% of surveyed teachers having taught </w:t>
      </w:r>
      <w:r w:rsidR="00E22424" w:rsidRPr="009B58C3">
        <w:t>for 6 or more years, and more</w:t>
      </w:r>
      <w:r w:rsidR="009B7F57" w:rsidRPr="009B58C3">
        <w:t xml:space="preserve"> than 43</w:t>
      </w:r>
      <w:r w:rsidRPr="009B58C3">
        <w:t xml:space="preserve">% </w:t>
      </w:r>
      <w:r w:rsidR="009B7F57" w:rsidRPr="009B58C3">
        <w:t xml:space="preserve">of all teachers surveyed </w:t>
      </w:r>
      <w:r w:rsidRPr="009B58C3">
        <w:t>having</w:t>
      </w:r>
      <w:r w:rsidR="009E697E" w:rsidRPr="009B58C3">
        <w:t xml:space="preserve"> 15 years or more teaching experience. </w:t>
      </w:r>
    </w:p>
    <w:p w14:paraId="11E2EBAF" w14:textId="77777777" w:rsidR="00142788" w:rsidRPr="009B58C3" w:rsidRDefault="00775580" w:rsidP="00524B8C">
      <w:r w:rsidRPr="009B58C3">
        <w:t>Using the proporti</w:t>
      </w:r>
      <w:r w:rsidR="00142788" w:rsidRPr="009B58C3">
        <w:t>on of aggregated responses across the scale, the following conclusions can be drawn from the data provided by teachers in NSW Government, Catholic and Independent schools who were involved in the delivery of the National Partnership:</w:t>
      </w:r>
    </w:p>
    <w:p w14:paraId="49784E4D" w14:textId="77777777" w:rsidR="00142788" w:rsidRPr="009B58C3" w:rsidRDefault="00142788" w:rsidP="00524B8C">
      <w:r w:rsidRPr="009B58C3">
        <w:t>Teachers were overwhelmingly positive in regards to their involvement in the</w:t>
      </w:r>
      <w:r w:rsidR="00641D3D" w:rsidRPr="009B58C3">
        <w:t xml:space="preserve"> ILNNP.</w:t>
      </w:r>
    </w:p>
    <w:p w14:paraId="2760B385" w14:textId="77777777" w:rsidR="00142788" w:rsidRPr="009B58C3" w:rsidRDefault="00142788" w:rsidP="00524B8C">
      <w:r w:rsidRPr="009B58C3">
        <w:t>Many teaching practices had changed or</w:t>
      </w:r>
      <w:r w:rsidR="006A6A01" w:rsidRPr="009B58C3">
        <w:t xml:space="preserve"> been</w:t>
      </w:r>
      <w:r w:rsidRPr="009B58C3">
        <w:t xml:space="preserve"> enhance</w:t>
      </w:r>
      <w:r w:rsidR="006A6A01" w:rsidRPr="009B58C3">
        <w:t>d</w:t>
      </w:r>
      <w:r w:rsidRPr="009B58C3">
        <w:t xml:space="preserve"> as a consequent of involvem</w:t>
      </w:r>
      <w:r w:rsidR="00B43250" w:rsidRPr="009B58C3">
        <w:t>ent in the National Partnership.</w:t>
      </w:r>
    </w:p>
    <w:p w14:paraId="43D3BD19" w14:textId="77777777" w:rsidR="00142788" w:rsidRPr="009B58C3" w:rsidRDefault="00734F2A" w:rsidP="00524B8C">
      <w:r w:rsidRPr="009B58C3">
        <w:t>A positive</w:t>
      </w:r>
      <w:r w:rsidR="00142788" w:rsidRPr="009B58C3">
        <w:t xml:space="preserve"> change in </w:t>
      </w:r>
      <w:r w:rsidRPr="009B58C3">
        <w:t xml:space="preserve">teaching </w:t>
      </w:r>
      <w:r w:rsidR="00142788" w:rsidRPr="009B58C3">
        <w:t>practice was report</w:t>
      </w:r>
      <w:r w:rsidRPr="009B58C3">
        <w:t>ed</w:t>
      </w:r>
      <w:r w:rsidR="00142788" w:rsidRPr="009B58C3">
        <w:t xml:space="preserve"> </w:t>
      </w:r>
      <w:r w:rsidRPr="009B58C3">
        <w:t>consistently</w:t>
      </w:r>
      <w:r w:rsidR="00142788" w:rsidRPr="009B58C3">
        <w:t xml:space="preserve"> across</w:t>
      </w:r>
      <w:r w:rsidRPr="009B58C3">
        <w:t xml:space="preserve"> all responses</w:t>
      </w:r>
      <w:r w:rsidR="00B43250" w:rsidRPr="009B58C3">
        <w:t xml:space="preserve"> </w:t>
      </w:r>
      <w:r w:rsidRPr="009B58C3">
        <w:t xml:space="preserve">in </w:t>
      </w:r>
      <w:r w:rsidR="00B43250" w:rsidRPr="009B58C3">
        <w:t>both l</w:t>
      </w:r>
      <w:r w:rsidR="00142788" w:rsidRPr="009B58C3">
        <w:t>iter</w:t>
      </w:r>
      <w:r w:rsidR="00B43250" w:rsidRPr="009B58C3">
        <w:t>acy and n</w:t>
      </w:r>
      <w:r w:rsidRPr="009B58C3">
        <w:t xml:space="preserve">umeracy surveys. </w:t>
      </w:r>
    </w:p>
    <w:p w14:paraId="2D0A425F" w14:textId="77777777" w:rsidR="00142788" w:rsidRPr="009B58C3" w:rsidRDefault="00142788" w:rsidP="00524B8C">
      <w:r w:rsidRPr="009B58C3">
        <w:t>The vast majorit</w:t>
      </w:r>
      <w:r w:rsidR="00775580" w:rsidRPr="009B58C3">
        <w:t xml:space="preserve">y of teachers [greater than 90% of all teachers surveyed] </w:t>
      </w:r>
      <w:r w:rsidRPr="009B58C3">
        <w:t xml:space="preserve">achieved goals </w:t>
      </w:r>
      <w:r w:rsidR="006A6A01" w:rsidRPr="009B58C3">
        <w:t xml:space="preserve">consistent with </w:t>
      </w:r>
      <w:r w:rsidRPr="009B58C3">
        <w:t xml:space="preserve">the National Partnership. </w:t>
      </w:r>
    </w:p>
    <w:p w14:paraId="7DA10BA0" w14:textId="77777777" w:rsidR="00142788" w:rsidRPr="009B58C3" w:rsidRDefault="00CA4042" w:rsidP="00524B8C">
      <w:r w:rsidRPr="009B58C3">
        <w:t xml:space="preserve">The results from the teacher survey can be found at </w:t>
      </w:r>
      <w:r w:rsidRPr="00525E8A">
        <w:t>Appendix E.</w:t>
      </w:r>
    </w:p>
    <w:p w14:paraId="01820075" w14:textId="77777777" w:rsidR="00142788" w:rsidRPr="009B58C3" w:rsidRDefault="00666A87" w:rsidP="00525E8A">
      <w:pPr>
        <w:pStyle w:val="Heading3"/>
      </w:pPr>
      <w:r w:rsidRPr="009B58C3">
        <w:t>Student Survey Results:</w:t>
      </w:r>
    </w:p>
    <w:p w14:paraId="735847D1" w14:textId="77777777" w:rsidR="00E33190" w:rsidRPr="009B58C3" w:rsidRDefault="003407EA" w:rsidP="00525E8A">
      <w:r w:rsidRPr="009B58C3">
        <w:t xml:space="preserve">17,268 </w:t>
      </w:r>
      <w:r w:rsidR="00E33190" w:rsidRPr="009B58C3">
        <w:t>students in Years 3 to 8</w:t>
      </w:r>
      <w:r w:rsidR="002A21BA" w:rsidRPr="009B58C3">
        <w:t xml:space="preserve"> </w:t>
      </w:r>
      <w:r w:rsidR="00E33190" w:rsidRPr="009B58C3">
        <w:t xml:space="preserve">were </w:t>
      </w:r>
      <w:r w:rsidRPr="009B58C3">
        <w:t xml:space="preserve">also </w:t>
      </w:r>
      <w:r w:rsidR="00E33190" w:rsidRPr="009B58C3">
        <w:t>surveyed to ascertain their satisfaction and learning from involvement in the National Partnership.</w:t>
      </w:r>
      <w:r w:rsidR="002A21BA" w:rsidRPr="009B58C3">
        <w:t xml:space="preserve"> As in the survey of teachers, the</w:t>
      </w:r>
      <w:r w:rsidR="00E33190" w:rsidRPr="009B58C3">
        <w:t xml:space="preserve"> five point </w:t>
      </w:r>
      <w:r w:rsidR="00F71777" w:rsidRPr="009B58C3">
        <w:t>Likert</w:t>
      </w:r>
      <w:r w:rsidR="00E33190" w:rsidRPr="009B58C3">
        <w:t xml:space="preserve"> scale was used to capture students’ responses. </w:t>
      </w:r>
    </w:p>
    <w:p w14:paraId="1CC8096D" w14:textId="77777777" w:rsidR="00E33190" w:rsidRPr="009B58C3" w:rsidRDefault="00E33190" w:rsidP="00525E8A">
      <w:r w:rsidRPr="009B58C3">
        <w:t xml:space="preserve">Data was collected by year group, </w:t>
      </w:r>
      <w:r w:rsidR="00122946">
        <w:t>gender and area of intervention:</w:t>
      </w:r>
      <w:r w:rsidRPr="009B58C3">
        <w:t xml:space="preserve"> </w:t>
      </w:r>
      <w:r w:rsidR="00122946">
        <w:t xml:space="preserve">literacy or numeracy. </w:t>
      </w:r>
    </w:p>
    <w:p w14:paraId="411E5A36" w14:textId="77777777" w:rsidR="00E33190" w:rsidRPr="009B58C3" w:rsidRDefault="00E33190" w:rsidP="00525E8A">
      <w:r w:rsidRPr="009B58C3">
        <w:t xml:space="preserve">Using the proportion of aggregated responses across the scale, the following conclusions can be drawn from the data provided by students in NSW </w:t>
      </w:r>
      <w:r w:rsidR="00F00619" w:rsidRPr="009B58C3">
        <w:t xml:space="preserve">Government, </w:t>
      </w:r>
      <w:r w:rsidRPr="009B58C3">
        <w:t>Catholic</w:t>
      </w:r>
      <w:r w:rsidR="00F00619" w:rsidRPr="009B58C3">
        <w:t xml:space="preserve"> and Independent </w:t>
      </w:r>
      <w:r w:rsidRPr="009B58C3">
        <w:t>schools who were involved in the delivery of the National Partnership:</w:t>
      </w:r>
    </w:p>
    <w:p w14:paraId="4477ABA0" w14:textId="77777777" w:rsidR="00E33190" w:rsidRPr="009B58C3" w:rsidRDefault="00CA4042" w:rsidP="00756999">
      <w:pPr>
        <w:pStyle w:val="ListParagraph"/>
        <w:numPr>
          <w:ilvl w:val="0"/>
          <w:numId w:val="20"/>
        </w:numPr>
      </w:pPr>
      <w:r w:rsidRPr="009B58C3">
        <w:t>G</w:t>
      </w:r>
      <w:r w:rsidR="00E33190" w:rsidRPr="009B58C3">
        <w:t xml:space="preserve">reater than 80% of students reported that they enjoyed </w:t>
      </w:r>
      <w:r w:rsidRPr="009B58C3">
        <w:t>the content of the intervention.</w:t>
      </w:r>
    </w:p>
    <w:p w14:paraId="3DFFE314" w14:textId="77777777" w:rsidR="00E33190" w:rsidRPr="009B58C3" w:rsidRDefault="00CA4042" w:rsidP="00756999">
      <w:pPr>
        <w:pStyle w:val="ListParagraph"/>
        <w:numPr>
          <w:ilvl w:val="0"/>
          <w:numId w:val="20"/>
        </w:numPr>
      </w:pPr>
      <w:r w:rsidRPr="009B58C3">
        <w:t>Girls engaged in a l</w:t>
      </w:r>
      <w:r w:rsidR="00E33190" w:rsidRPr="009B58C3">
        <w:t>iteracy intervention reported greater enjoyment and understanding of importance than did boys whilst the genders re</w:t>
      </w:r>
      <w:r w:rsidRPr="009B58C3">
        <w:t>versed in the numeracy programs.</w:t>
      </w:r>
    </w:p>
    <w:p w14:paraId="1CB75AD2" w14:textId="77777777" w:rsidR="00E33190" w:rsidRPr="009B58C3" w:rsidRDefault="00CA4042" w:rsidP="00756999">
      <w:pPr>
        <w:pStyle w:val="ListParagraph"/>
        <w:numPr>
          <w:ilvl w:val="0"/>
          <w:numId w:val="20"/>
        </w:numPr>
      </w:pPr>
      <w:r w:rsidRPr="009B58C3">
        <w:t>Boys seem</w:t>
      </w:r>
      <w:r w:rsidR="00E33190" w:rsidRPr="009B58C3">
        <w:t xml:space="preserve"> to understand the wider use and relevance of Mathematics at a higher level</w:t>
      </w:r>
      <w:r w:rsidRPr="009B58C3">
        <w:t xml:space="preserve"> than girls of the same age.</w:t>
      </w:r>
    </w:p>
    <w:p w14:paraId="4123FAFD" w14:textId="77777777" w:rsidR="00E33190" w:rsidRPr="009B58C3" w:rsidRDefault="00E33190" w:rsidP="00756999">
      <w:pPr>
        <w:pStyle w:val="ListParagraph"/>
        <w:numPr>
          <w:ilvl w:val="0"/>
          <w:numId w:val="20"/>
        </w:numPr>
      </w:pPr>
      <w:r w:rsidRPr="009B58C3">
        <w:t xml:space="preserve">A greater proportion of students </w:t>
      </w:r>
      <w:r w:rsidR="00CA4042" w:rsidRPr="009B58C3">
        <w:t>identified a</w:t>
      </w:r>
      <w:r w:rsidRPr="009B58C3">
        <w:t xml:space="preserve"> lack of ability in Mathematics compared to reading. This may be as a consequence of being abl</w:t>
      </w:r>
      <w:r w:rsidR="00CA4042" w:rsidRPr="009B58C3">
        <w:t>e to self-evaluate more easily.</w:t>
      </w:r>
    </w:p>
    <w:p w14:paraId="3E38B120" w14:textId="339E7714" w:rsidR="00DB19CD" w:rsidRPr="00525E8A" w:rsidRDefault="00E33190" w:rsidP="00756999">
      <w:pPr>
        <w:pStyle w:val="ListParagraph"/>
        <w:numPr>
          <w:ilvl w:val="0"/>
          <w:numId w:val="20"/>
        </w:numPr>
      </w:pPr>
      <w:r w:rsidRPr="009B58C3">
        <w:t xml:space="preserve">The understanding of the importance and relevancy of numeracy grows with age as opposed to reading which seems </w:t>
      </w:r>
      <w:r w:rsidR="00525E8A">
        <w:t xml:space="preserve">to remain relatively constant. </w:t>
      </w:r>
    </w:p>
    <w:p w14:paraId="1FEFDF82" w14:textId="77777777" w:rsidR="001837A1" w:rsidRPr="009B58C3" w:rsidRDefault="001837A1" w:rsidP="00525E8A">
      <w:r w:rsidRPr="009B58C3">
        <w:t xml:space="preserve">The results from the student survey can be found </w:t>
      </w:r>
      <w:r w:rsidRPr="00525E8A">
        <w:t>at Appendix F.</w:t>
      </w:r>
    </w:p>
    <w:p w14:paraId="0F7288FB" w14:textId="77777777" w:rsidR="00824EA6" w:rsidRDefault="00824EA6">
      <w:pPr>
        <w:rPr>
          <w:rFonts w:ascii="Arial" w:hAnsi="Arial" w:cs="Arial"/>
          <w:b/>
          <w:color w:val="244061" w:themeColor="accent1" w:themeShade="80"/>
          <w:sz w:val="32"/>
          <w:szCs w:val="24"/>
        </w:rPr>
      </w:pPr>
      <w:r>
        <w:rPr>
          <w:rFonts w:ascii="Arial" w:hAnsi="Arial" w:cs="Arial"/>
          <w:b/>
          <w:color w:val="244061" w:themeColor="accent1" w:themeShade="80"/>
          <w:sz w:val="32"/>
          <w:szCs w:val="24"/>
        </w:rPr>
        <w:br w:type="page"/>
      </w:r>
    </w:p>
    <w:p w14:paraId="031DBC18" w14:textId="0D945AF8" w:rsidR="0071051A" w:rsidRDefault="0071051A" w:rsidP="00525E8A">
      <w:pPr>
        <w:pStyle w:val="Heading2"/>
      </w:pPr>
      <w:r>
        <w:lastRenderedPageBreak/>
        <w:t>SECTION 4</w:t>
      </w:r>
      <w:r w:rsidRPr="00C540A1">
        <w:t xml:space="preserve">: </w:t>
      </w:r>
      <w:r>
        <w:t>SHOW</w:t>
      </w:r>
      <w:r w:rsidR="003252CF">
        <w:t xml:space="preserve"> </w:t>
      </w:r>
      <w:r>
        <w:t>CASES</w:t>
      </w:r>
    </w:p>
    <w:p w14:paraId="0788EF87" w14:textId="77777777" w:rsidR="00801B00" w:rsidRPr="00525E8A" w:rsidRDefault="00801B00" w:rsidP="00525E8A">
      <w:pPr>
        <w:pStyle w:val="Heading2"/>
      </w:pPr>
      <w:r w:rsidRPr="00525E8A">
        <w:t xml:space="preserve">ILNNP SHOW CASE </w:t>
      </w:r>
    </w:p>
    <w:tbl>
      <w:tblPr>
        <w:tblStyle w:val="TableGrid8"/>
        <w:tblW w:w="0" w:type="auto"/>
        <w:tblLook w:val="04A0" w:firstRow="1" w:lastRow="0" w:firstColumn="1" w:lastColumn="0" w:noHBand="0" w:noVBand="1"/>
        <w:tblCaption w:val="ILNNP Show Case - Revesby Public School"/>
        <w:tblDescription w:val="Data relating to Revesby Public School"/>
      </w:tblPr>
      <w:tblGrid>
        <w:gridCol w:w="5206"/>
        <w:gridCol w:w="4036"/>
      </w:tblGrid>
      <w:tr w:rsidR="00801B00" w:rsidRPr="009B665B" w14:paraId="33B0D353" w14:textId="77777777" w:rsidTr="00001CB4">
        <w:trPr>
          <w:trHeight w:val="397"/>
        </w:trPr>
        <w:tc>
          <w:tcPr>
            <w:tcW w:w="5206" w:type="dxa"/>
            <w:shd w:val="clear" w:color="auto" w:fill="D9D9D9" w:themeFill="background1" w:themeFillShade="D9"/>
            <w:vAlign w:val="center"/>
          </w:tcPr>
          <w:p w14:paraId="2B59D095" w14:textId="77777777" w:rsidR="00801B00" w:rsidRPr="00001CB4" w:rsidRDefault="00801B00" w:rsidP="00001CB4">
            <w:pPr>
              <w:rPr>
                <w:rFonts w:ascii="Arial" w:hAnsi="Arial" w:cs="Arial"/>
                <w:b/>
              </w:rPr>
            </w:pPr>
            <w:r w:rsidRPr="00001CB4">
              <w:rPr>
                <w:rFonts w:ascii="Arial" w:hAnsi="Arial" w:cs="Arial"/>
                <w:b/>
              </w:rPr>
              <w:t>School name</w:t>
            </w:r>
          </w:p>
        </w:tc>
        <w:tc>
          <w:tcPr>
            <w:tcW w:w="4036" w:type="dxa"/>
            <w:vAlign w:val="center"/>
          </w:tcPr>
          <w:p w14:paraId="2FA3A2FF" w14:textId="77777777" w:rsidR="00801B00" w:rsidRPr="009B665B" w:rsidRDefault="00801B00" w:rsidP="00001CB4">
            <w:pPr>
              <w:rPr>
                <w:rFonts w:ascii="Arial" w:hAnsi="Arial" w:cs="Arial"/>
              </w:rPr>
            </w:pPr>
            <w:r w:rsidRPr="009B665B">
              <w:rPr>
                <w:rFonts w:ascii="Arial" w:hAnsi="Arial" w:cs="Arial"/>
              </w:rPr>
              <w:t>Revesby Public School</w:t>
            </w:r>
          </w:p>
        </w:tc>
      </w:tr>
      <w:tr w:rsidR="00801B00" w:rsidRPr="009B665B" w14:paraId="0F425155" w14:textId="77777777" w:rsidTr="00001CB4">
        <w:trPr>
          <w:trHeight w:val="397"/>
        </w:trPr>
        <w:tc>
          <w:tcPr>
            <w:tcW w:w="5206" w:type="dxa"/>
            <w:shd w:val="clear" w:color="auto" w:fill="D9D9D9" w:themeFill="background1" w:themeFillShade="D9"/>
            <w:vAlign w:val="center"/>
          </w:tcPr>
          <w:p w14:paraId="21A7E3F5" w14:textId="77777777" w:rsidR="00801B00" w:rsidRPr="00001CB4" w:rsidRDefault="00801B00" w:rsidP="00001CB4">
            <w:pPr>
              <w:rPr>
                <w:rFonts w:ascii="Arial" w:hAnsi="Arial" w:cs="Arial"/>
                <w:b/>
              </w:rPr>
            </w:pPr>
            <w:r w:rsidRPr="00001CB4">
              <w:rPr>
                <w:rFonts w:ascii="Arial" w:hAnsi="Arial" w:cs="Arial"/>
                <w:b/>
              </w:rPr>
              <w:t>DEEWR school ID</w:t>
            </w:r>
          </w:p>
        </w:tc>
        <w:tc>
          <w:tcPr>
            <w:tcW w:w="4036" w:type="dxa"/>
            <w:vAlign w:val="center"/>
          </w:tcPr>
          <w:p w14:paraId="40E0E873" w14:textId="24B90F3A" w:rsidR="00801B00" w:rsidRPr="009B665B" w:rsidRDefault="00707DE9" w:rsidP="00001CB4">
            <w:pPr>
              <w:rPr>
                <w:rFonts w:ascii="Arial" w:hAnsi="Arial" w:cs="Arial"/>
              </w:rPr>
            </w:pPr>
            <w:r>
              <w:rPr>
                <w:rFonts w:ascii="Arial" w:hAnsi="Arial" w:cs="Arial"/>
              </w:rPr>
              <w:t>8613</w:t>
            </w:r>
          </w:p>
        </w:tc>
      </w:tr>
      <w:tr w:rsidR="00801B00" w:rsidRPr="009B665B" w14:paraId="6FF31E81" w14:textId="77777777" w:rsidTr="00001CB4">
        <w:trPr>
          <w:trHeight w:val="397"/>
        </w:trPr>
        <w:tc>
          <w:tcPr>
            <w:tcW w:w="5206" w:type="dxa"/>
            <w:shd w:val="clear" w:color="auto" w:fill="D9D9D9" w:themeFill="background1" w:themeFillShade="D9"/>
            <w:vAlign w:val="center"/>
          </w:tcPr>
          <w:p w14:paraId="7E36DD47" w14:textId="77777777" w:rsidR="00801B00" w:rsidRPr="00001CB4" w:rsidRDefault="00801B00" w:rsidP="00001CB4">
            <w:pPr>
              <w:rPr>
                <w:rFonts w:ascii="Arial" w:hAnsi="Arial" w:cs="Arial"/>
                <w:b/>
              </w:rPr>
            </w:pPr>
            <w:r w:rsidRPr="00001CB4">
              <w:rPr>
                <w:rFonts w:ascii="Arial" w:hAnsi="Arial" w:cs="Arial"/>
                <w:b/>
              </w:rPr>
              <w:t>Suburb</w:t>
            </w:r>
          </w:p>
        </w:tc>
        <w:tc>
          <w:tcPr>
            <w:tcW w:w="4036" w:type="dxa"/>
            <w:vAlign w:val="center"/>
          </w:tcPr>
          <w:p w14:paraId="19D3DDDD" w14:textId="77777777" w:rsidR="00801B00" w:rsidRPr="009B665B" w:rsidRDefault="00801B00" w:rsidP="00001CB4">
            <w:pPr>
              <w:rPr>
                <w:rFonts w:ascii="Arial" w:hAnsi="Arial" w:cs="Arial"/>
              </w:rPr>
            </w:pPr>
            <w:r w:rsidRPr="009B665B">
              <w:rPr>
                <w:rFonts w:ascii="Arial" w:hAnsi="Arial" w:cs="Arial"/>
              </w:rPr>
              <w:t>Revesby</w:t>
            </w:r>
          </w:p>
        </w:tc>
      </w:tr>
      <w:tr w:rsidR="00801B00" w:rsidRPr="009B665B" w14:paraId="4A75C38C" w14:textId="77777777" w:rsidTr="00001CB4">
        <w:trPr>
          <w:trHeight w:val="397"/>
        </w:trPr>
        <w:tc>
          <w:tcPr>
            <w:tcW w:w="5206" w:type="dxa"/>
            <w:shd w:val="clear" w:color="auto" w:fill="D9D9D9" w:themeFill="background1" w:themeFillShade="D9"/>
            <w:vAlign w:val="center"/>
          </w:tcPr>
          <w:p w14:paraId="5CE6360B" w14:textId="77777777" w:rsidR="00801B00" w:rsidRPr="00001CB4" w:rsidRDefault="00801B00" w:rsidP="00001CB4">
            <w:pPr>
              <w:rPr>
                <w:rFonts w:ascii="Arial" w:hAnsi="Arial" w:cs="Arial"/>
                <w:b/>
              </w:rPr>
            </w:pPr>
            <w:r w:rsidRPr="00001CB4">
              <w:rPr>
                <w:rFonts w:ascii="Arial" w:hAnsi="Arial" w:cs="Arial"/>
                <w:b/>
              </w:rPr>
              <w:t>State/Territory</w:t>
            </w:r>
          </w:p>
        </w:tc>
        <w:tc>
          <w:tcPr>
            <w:tcW w:w="4036" w:type="dxa"/>
            <w:vAlign w:val="center"/>
          </w:tcPr>
          <w:p w14:paraId="06B43584" w14:textId="77777777" w:rsidR="00801B00" w:rsidRPr="009B665B" w:rsidRDefault="00801B00" w:rsidP="00001CB4">
            <w:pPr>
              <w:rPr>
                <w:rFonts w:ascii="Arial" w:hAnsi="Arial" w:cs="Arial"/>
              </w:rPr>
            </w:pPr>
            <w:r w:rsidRPr="009B665B">
              <w:rPr>
                <w:rFonts w:ascii="Arial" w:hAnsi="Arial" w:cs="Arial"/>
              </w:rPr>
              <w:t>NSW</w:t>
            </w:r>
          </w:p>
        </w:tc>
      </w:tr>
      <w:tr w:rsidR="00801B00" w:rsidRPr="009B665B" w14:paraId="75AB9D02" w14:textId="77777777" w:rsidTr="00001CB4">
        <w:trPr>
          <w:trHeight w:val="397"/>
        </w:trPr>
        <w:tc>
          <w:tcPr>
            <w:tcW w:w="5206" w:type="dxa"/>
            <w:shd w:val="clear" w:color="auto" w:fill="D9D9D9" w:themeFill="background1" w:themeFillShade="D9"/>
            <w:vAlign w:val="center"/>
          </w:tcPr>
          <w:p w14:paraId="22DBAD59" w14:textId="77777777" w:rsidR="00801B00" w:rsidRPr="00001CB4" w:rsidRDefault="00801B00" w:rsidP="00001CB4">
            <w:pPr>
              <w:rPr>
                <w:rFonts w:ascii="Arial" w:hAnsi="Arial" w:cs="Arial"/>
                <w:b/>
              </w:rPr>
            </w:pPr>
            <w:r w:rsidRPr="00001CB4">
              <w:rPr>
                <w:rFonts w:ascii="Arial" w:hAnsi="Arial" w:cs="Arial"/>
                <w:b/>
              </w:rPr>
              <w:t>Sector</w:t>
            </w:r>
          </w:p>
        </w:tc>
        <w:tc>
          <w:tcPr>
            <w:tcW w:w="4036" w:type="dxa"/>
            <w:vAlign w:val="center"/>
          </w:tcPr>
          <w:p w14:paraId="609600DA" w14:textId="77777777" w:rsidR="00801B00" w:rsidRPr="009B665B" w:rsidRDefault="00801B00" w:rsidP="00001CB4">
            <w:pPr>
              <w:rPr>
                <w:rFonts w:ascii="Arial" w:hAnsi="Arial" w:cs="Arial"/>
              </w:rPr>
            </w:pPr>
            <w:r w:rsidRPr="009B665B">
              <w:rPr>
                <w:rFonts w:ascii="Arial" w:hAnsi="Arial" w:cs="Arial"/>
              </w:rPr>
              <w:t>Government</w:t>
            </w:r>
          </w:p>
        </w:tc>
      </w:tr>
      <w:tr w:rsidR="00801B00" w:rsidRPr="009B665B" w14:paraId="544ADD67" w14:textId="77777777" w:rsidTr="00001CB4">
        <w:trPr>
          <w:trHeight w:val="397"/>
        </w:trPr>
        <w:tc>
          <w:tcPr>
            <w:tcW w:w="5206" w:type="dxa"/>
            <w:shd w:val="clear" w:color="auto" w:fill="D9D9D9" w:themeFill="background1" w:themeFillShade="D9"/>
            <w:vAlign w:val="center"/>
          </w:tcPr>
          <w:p w14:paraId="53B3528E" w14:textId="77777777" w:rsidR="00801B00" w:rsidRPr="00001CB4" w:rsidRDefault="00801B00" w:rsidP="00001CB4">
            <w:pPr>
              <w:rPr>
                <w:rFonts w:ascii="Arial" w:hAnsi="Arial" w:cs="Arial"/>
                <w:b/>
              </w:rPr>
            </w:pPr>
            <w:r w:rsidRPr="00001CB4">
              <w:rPr>
                <w:rFonts w:ascii="Arial" w:hAnsi="Arial" w:cs="Arial"/>
                <w:b/>
              </w:rPr>
              <w:t>School type</w:t>
            </w:r>
          </w:p>
        </w:tc>
        <w:tc>
          <w:tcPr>
            <w:tcW w:w="4036" w:type="dxa"/>
            <w:vAlign w:val="center"/>
          </w:tcPr>
          <w:p w14:paraId="2173031B" w14:textId="77777777" w:rsidR="00801B00" w:rsidRPr="009B665B" w:rsidRDefault="00801B00" w:rsidP="00001CB4">
            <w:pPr>
              <w:rPr>
                <w:rFonts w:ascii="Arial" w:hAnsi="Arial" w:cs="Arial"/>
              </w:rPr>
            </w:pPr>
            <w:r w:rsidRPr="009B665B">
              <w:rPr>
                <w:rFonts w:ascii="Arial" w:hAnsi="Arial" w:cs="Arial"/>
              </w:rPr>
              <w:t>Primary</w:t>
            </w:r>
          </w:p>
        </w:tc>
      </w:tr>
      <w:tr w:rsidR="00801B00" w:rsidRPr="009B665B" w14:paraId="3689364A" w14:textId="77777777" w:rsidTr="00001CB4">
        <w:trPr>
          <w:trHeight w:val="397"/>
        </w:trPr>
        <w:tc>
          <w:tcPr>
            <w:tcW w:w="5206" w:type="dxa"/>
            <w:shd w:val="clear" w:color="auto" w:fill="D9D9D9" w:themeFill="background1" w:themeFillShade="D9"/>
            <w:vAlign w:val="center"/>
          </w:tcPr>
          <w:p w14:paraId="571C93E8" w14:textId="77777777" w:rsidR="00801B00" w:rsidRPr="00001CB4" w:rsidRDefault="00801B00" w:rsidP="00001CB4">
            <w:pPr>
              <w:rPr>
                <w:rFonts w:ascii="Arial" w:hAnsi="Arial" w:cs="Arial"/>
                <w:b/>
              </w:rPr>
            </w:pPr>
            <w:r w:rsidRPr="00001CB4">
              <w:rPr>
                <w:rFonts w:ascii="Arial" w:hAnsi="Arial" w:cs="Arial"/>
                <w:b/>
              </w:rPr>
              <w:t>ARIA categories</w:t>
            </w:r>
          </w:p>
        </w:tc>
        <w:tc>
          <w:tcPr>
            <w:tcW w:w="4036" w:type="dxa"/>
            <w:vAlign w:val="center"/>
          </w:tcPr>
          <w:p w14:paraId="7E62FCCD" w14:textId="77777777" w:rsidR="00801B00" w:rsidRPr="009B665B" w:rsidRDefault="00801B00" w:rsidP="00001CB4">
            <w:pPr>
              <w:rPr>
                <w:rFonts w:ascii="Arial" w:hAnsi="Arial" w:cs="Arial"/>
              </w:rPr>
            </w:pPr>
            <w:r w:rsidRPr="009B665B">
              <w:rPr>
                <w:rFonts w:ascii="Arial" w:hAnsi="Arial" w:cs="Arial"/>
              </w:rPr>
              <w:t>Major City</w:t>
            </w:r>
          </w:p>
        </w:tc>
      </w:tr>
      <w:tr w:rsidR="00801B00" w:rsidRPr="009B665B" w14:paraId="5023FDF0" w14:textId="77777777" w:rsidTr="00001CB4">
        <w:trPr>
          <w:trHeight w:val="397"/>
        </w:trPr>
        <w:tc>
          <w:tcPr>
            <w:tcW w:w="5206" w:type="dxa"/>
            <w:shd w:val="clear" w:color="auto" w:fill="D9D9D9" w:themeFill="background1" w:themeFillShade="D9"/>
            <w:vAlign w:val="center"/>
          </w:tcPr>
          <w:p w14:paraId="48F48B6D" w14:textId="77777777" w:rsidR="00801B00" w:rsidRPr="00001CB4" w:rsidRDefault="00801B00" w:rsidP="00001CB4">
            <w:pPr>
              <w:rPr>
                <w:rFonts w:ascii="Arial" w:hAnsi="Arial" w:cs="Arial"/>
                <w:b/>
              </w:rPr>
            </w:pPr>
            <w:r w:rsidRPr="00001CB4">
              <w:rPr>
                <w:rFonts w:ascii="Arial" w:hAnsi="Arial" w:cs="Arial"/>
                <w:b/>
              </w:rPr>
              <w:t>2013 enrolments</w:t>
            </w:r>
          </w:p>
        </w:tc>
        <w:tc>
          <w:tcPr>
            <w:tcW w:w="4036" w:type="dxa"/>
            <w:vAlign w:val="center"/>
          </w:tcPr>
          <w:p w14:paraId="6895A691" w14:textId="77777777" w:rsidR="00801B00" w:rsidRPr="009B665B" w:rsidRDefault="00801B00" w:rsidP="00001CB4">
            <w:pPr>
              <w:rPr>
                <w:rFonts w:ascii="Arial" w:hAnsi="Arial" w:cs="Arial"/>
              </w:rPr>
            </w:pPr>
            <w:r w:rsidRPr="009B665B">
              <w:rPr>
                <w:rFonts w:ascii="Arial" w:hAnsi="Arial" w:cs="Arial"/>
              </w:rPr>
              <w:t>328</w:t>
            </w:r>
          </w:p>
        </w:tc>
      </w:tr>
      <w:tr w:rsidR="00801B00" w:rsidRPr="009B665B" w14:paraId="09BE7265" w14:textId="77777777" w:rsidTr="00001CB4">
        <w:trPr>
          <w:trHeight w:val="397"/>
        </w:trPr>
        <w:tc>
          <w:tcPr>
            <w:tcW w:w="5206" w:type="dxa"/>
            <w:shd w:val="clear" w:color="auto" w:fill="D9D9D9" w:themeFill="background1" w:themeFillShade="D9"/>
            <w:vAlign w:val="center"/>
          </w:tcPr>
          <w:p w14:paraId="0FD1C44C" w14:textId="77777777" w:rsidR="00801B00" w:rsidRPr="00001CB4" w:rsidRDefault="00801B00" w:rsidP="00001CB4">
            <w:pPr>
              <w:rPr>
                <w:rFonts w:ascii="Arial" w:hAnsi="Arial" w:cs="Arial"/>
                <w:b/>
              </w:rPr>
            </w:pPr>
            <w:r w:rsidRPr="00001CB4">
              <w:rPr>
                <w:rFonts w:ascii="Arial" w:hAnsi="Arial" w:cs="Arial"/>
                <w:b/>
              </w:rPr>
              <w:t>Number of Aboriginal and Torres Strait Islander students</w:t>
            </w:r>
          </w:p>
        </w:tc>
        <w:tc>
          <w:tcPr>
            <w:tcW w:w="4036" w:type="dxa"/>
            <w:vAlign w:val="center"/>
          </w:tcPr>
          <w:p w14:paraId="7D643E7E" w14:textId="77777777" w:rsidR="00801B00" w:rsidRPr="009B665B" w:rsidRDefault="00801B00" w:rsidP="00001CB4">
            <w:pPr>
              <w:rPr>
                <w:rFonts w:ascii="Arial" w:hAnsi="Arial" w:cs="Arial"/>
              </w:rPr>
            </w:pPr>
            <w:r w:rsidRPr="009B665B">
              <w:rPr>
                <w:rFonts w:ascii="Arial" w:hAnsi="Arial" w:cs="Arial"/>
              </w:rPr>
              <w:t>17</w:t>
            </w:r>
          </w:p>
        </w:tc>
      </w:tr>
      <w:tr w:rsidR="00801B00" w:rsidRPr="009B665B" w14:paraId="5A2AF373" w14:textId="77777777" w:rsidTr="00001CB4">
        <w:trPr>
          <w:trHeight w:val="397"/>
        </w:trPr>
        <w:tc>
          <w:tcPr>
            <w:tcW w:w="5206" w:type="dxa"/>
            <w:shd w:val="clear" w:color="auto" w:fill="D9D9D9" w:themeFill="background1" w:themeFillShade="D9"/>
            <w:vAlign w:val="center"/>
          </w:tcPr>
          <w:p w14:paraId="6A3741AA" w14:textId="77777777" w:rsidR="00801B00" w:rsidRPr="00001CB4" w:rsidRDefault="00801B00" w:rsidP="00001CB4">
            <w:pPr>
              <w:rPr>
                <w:rFonts w:ascii="Arial" w:hAnsi="Arial" w:cs="Arial"/>
                <w:b/>
              </w:rPr>
            </w:pPr>
            <w:r w:rsidRPr="00001CB4">
              <w:rPr>
                <w:rFonts w:ascii="Arial" w:hAnsi="Arial" w:cs="Arial"/>
                <w:b/>
              </w:rPr>
              <w:t>Number of students with a language background other than English</w:t>
            </w:r>
          </w:p>
        </w:tc>
        <w:tc>
          <w:tcPr>
            <w:tcW w:w="4036" w:type="dxa"/>
            <w:vAlign w:val="center"/>
          </w:tcPr>
          <w:p w14:paraId="64DF00B4" w14:textId="77777777" w:rsidR="00801B00" w:rsidRPr="009B665B" w:rsidRDefault="00801B00" w:rsidP="00001CB4">
            <w:pPr>
              <w:rPr>
                <w:rFonts w:ascii="Arial" w:hAnsi="Arial" w:cs="Arial"/>
              </w:rPr>
            </w:pPr>
            <w:r w:rsidRPr="009B665B">
              <w:rPr>
                <w:rFonts w:ascii="Arial" w:hAnsi="Arial" w:cs="Arial"/>
              </w:rPr>
              <w:t>200 (61%)</w:t>
            </w:r>
          </w:p>
        </w:tc>
      </w:tr>
      <w:tr w:rsidR="00801B00" w:rsidRPr="009B665B" w14:paraId="75D92AF0" w14:textId="77777777" w:rsidTr="00001CB4">
        <w:trPr>
          <w:trHeight w:val="397"/>
        </w:trPr>
        <w:tc>
          <w:tcPr>
            <w:tcW w:w="5206" w:type="dxa"/>
            <w:shd w:val="clear" w:color="auto" w:fill="D9D9D9" w:themeFill="background1" w:themeFillShade="D9"/>
            <w:vAlign w:val="center"/>
          </w:tcPr>
          <w:p w14:paraId="3CCA587F" w14:textId="77777777" w:rsidR="00801B00" w:rsidRPr="00001CB4" w:rsidRDefault="00801B00" w:rsidP="00001CB4">
            <w:pPr>
              <w:rPr>
                <w:rFonts w:ascii="Arial" w:hAnsi="Arial" w:cs="Arial"/>
                <w:b/>
              </w:rPr>
            </w:pPr>
            <w:r w:rsidRPr="00001CB4">
              <w:rPr>
                <w:rFonts w:ascii="Arial" w:hAnsi="Arial" w:cs="Arial"/>
                <w:b/>
              </w:rPr>
              <w:t>2013 student attendance rate</w:t>
            </w:r>
          </w:p>
        </w:tc>
        <w:tc>
          <w:tcPr>
            <w:tcW w:w="4036" w:type="dxa"/>
            <w:vAlign w:val="center"/>
          </w:tcPr>
          <w:p w14:paraId="39B1D22F" w14:textId="77777777" w:rsidR="00801B00" w:rsidRPr="009B665B" w:rsidRDefault="00801B00" w:rsidP="00001CB4">
            <w:pPr>
              <w:rPr>
                <w:rFonts w:ascii="Arial" w:hAnsi="Arial" w:cs="Arial"/>
              </w:rPr>
            </w:pPr>
            <w:r w:rsidRPr="009B665B">
              <w:rPr>
                <w:rFonts w:ascii="Arial" w:hAnsi="Arial" w:cs="Arial"/>
              </w:rPr>
              <w:t>94.3 in 2012</w:t>
            </w:r>
          </w:p>
        </w:tc>
      </w:tr>
      <w:tr w:rsidR="00801B00" w:rsidRPr="009B665B" w14:paraId="44263B4B" w14:textId="77777777" w:rsidTr="00001CB4">
        <w:trPr>
          <w:trHeight w:val="397"/>
        </w:trPr>
        <w:tc>
          <w:tcPr>
            <w:tcW w:w="5206" w:type="dxa"/>
            <w:shd w:val="clear" w:color="auto" w:fill="D9D9D9" w:themeFill="background1" w:themeFillShade="D9"/>
            <w:vAlign w:val="center"/>
          </w:tcPr>
          <w:p w14:paraId="27513F89" w14:textId="77777777" w:rsidR="00801B00" w:rsidRPr="00001CB4" w:rsidRDefault="00801B00" w:rsidP="00001CB4">
            <w:pPr>
              <w:rPr>
                <w:rFonts w:ascii="Arial" w:hAnsi="Arial" w:cs="Arial"/>
                <w:b/>
              </w:rPr>
            </w:pPr>
            <w:r w:rsidRPr="00001CB4">
              <w:rPr>
                <w:rFonts w:ascii="Arial" w:hAnsi="Arial" w:cs="Arial"/>
                <w:b/>
              </w:rPr>
              <w:t>Literacy and Numeracy National Partnership (LNNP) school</w:t>
            </w:r>
          </w:p>
        </w:tc>
        <w:tc>
          <w:tcPr>
            <w:tcW w:w="4036" w:type="dxa"/>
            <w:vAlign w:val="center"/>
          </w:tcPr>
          <w:p w14:paraId="72FF3878" w14:textId="77777777" w:rsidR="00801B00" w:rsidRPr="009B665B" w:rsidRDefault="00801B00" w:rsidP="00001CB4">
            <w:pPr>
              <w:rPr>
                <w:rFonts w:ascii="Arial" w:hAnsi="Arial" w:cs="Arial"/>
              </w:rPr>
            </w:pPr>
            <w:r w:rsidRPr="009B665B">
              <w:rPr>
                <w:rFonts w:ascii="Arial" w:hAnsi="Arial" w:cs="Arial"/>
              </w:rPr>
              <w:t>No</w:t>
            </w:r>
          </w:p>
        </w:tc>
      </w:tr>
      <w:tr w:rsidR="00801B00" w:rsidRPr="009B665B" w14:paraId="070DCC49" w14:textId="77777777" w:rsidTr="00001CB4">
        <w:trPr>
          <w:trHeight w:val="397"/>
        </w:trPr>
        <w:tc>
          <w:tcPr>
            <w:tcW w:w="5206" w:type="dxa"/>
            <w:shd w:val="clear" w:color="auto" w:fill="D9D9D9" w:themeFill="background1" w:themeFillShade="D9"/>
            <w:vAlign w:val="center"/>
          </w:tcPr>
          <w:p w14:paraId="09BD9513" w14:textId="77777777" w:rsidR="00801B00" w:rsidRPr="00001CB4" w:rsidRDefault="00801B00" w:rsidP="00001CB4">
            <w:pPr>
              <w:rPr>
                <w:rFonts w:ascii="Arial" w:hAnsi="Arial" w:cs="Arial"/>
                <w:b/>
              </w:rPr>
            </w:pPr>
            <w:r w:rsidRPr="00001CB4">
              <w:rPr>
                <w:rFonts w:ascii="Arial" w:hAnsi="Arial" w:cs="Arial"/>
                <w:b/>
              </w:rPr>
              <w:t>Low Socio-Economic Status School Communities National Partnership school</w:t>
            </w:r>
          </w:p>
        </w:tc>
        <w:tc>
          <w:tcPr>
            <w:tcW w:w="4036" w:type="dxa"/>
            <w:vAlign w:val="center"/>
          </w:tcPr>
          <w:p w14:paraId="490CB1CC" w14:textId="77777777" w:rsidR="00801B00" w:rsidRPr="009B665B" w:rsidRDefault="00801B00" w:rsidP="00001CB4">
            <w:pPr>
              <w:rPr>
                <w:rFonts w:ascii="Arial" w:hAnsi="Arial" w:cs="Arial"/>
              </w:rPr>
            </w:pPr>
            <w:r w:rsidRPr="009B665B">
              <w:rPr>
                <w:rFonts w:ascii="Arial" w:hAnsi="Arial" w:cs="Arial"/>
              </w:rPr>
              <w:t>No</w:t>
            </w:r>
          </w:p>
        </w:tc>
      </w:tr>
    </w:tbl>
    <w:p w14:paraId="6069E275" w14:textId="77777777" w:rsidR="00801B00" w:rsidRPr="009B665B" w:rsidRDefault="00801B00" w:rsidP="00525E8A">
      <w:pPr>
        <w:pStyle w:val="Heading3"/>
      </w:pPr>
      <w:r w:rsidRPr="009B665B">
        <w:t>School Background</w:t>
      </w:r>
    </w:p>
    <w:p w14:paraId="592184A9" w14:textId="77777777" w:rsidR="00801B00" w:rsidRPr="009B665B" w:rsidRDefault="00801B00" w:rsidP="00525E8A">
      <w:r w:rsidRPr="009B665B">
        <w:t>Revesby Public School is a Government primary school in south-western Sydney with an enrolment of 328 students. The school has twelve mainstream classes (K-6) and three support classes for students with disabilities (moderate and mild intellectual disability and Autism). There are 17 Aboriginal students and 61% of the student population come from language backgrounds other than English.  There are 27 language backgrounds represented at the school. The school has a staff establishment of 23 including one Aboriginal staff member.</w:t>
      </w:r>
    </w:p>
    <w:p w14:paraId="75EB1F48" w14:textId="77777777" w:rsidR="00801B00" w:rsidRPr="009B665B" w:rsidRDefault="00801B00" w:rsidP="00525E8A">
      <w:r w:rsidRPr="009B665B">
        <w:t xml:space="preserve">Current literacy programs operating across the school include Focus on Reading (FoR), Language, Learning and Literacy (L3), Reading Recovery, Best Start and Making </w:t>
      </w:r>
      <w:r w:rsidR="00001CB4" w:rsidRPr="009B665B">
        <w:t>up</w:t>
      </w:r>
      <w:r w:rsidRPr="009B665B">
        <w:t xml:space="preserve"> Lost Time in Literacy (MULTILIT).</w:t>
      </w:r>
    </w:p>
    <w:p w14:paraId="581C0FD4" w14:textId="77777777" w:rsidR="00801B00" w:rsidRPr="009B665B" w:rsidRDefault="00801B00" w:rsidP="00525E8A">
      <w:pPr>
        <w:pStyle w:val="Heading3"/>
      </w:pPr>
      <w:r w:rsidRPr="009B665B">
        <w:t>ILNNP Approach</w:t>
      </w:r>
    </w:p>
    <w:p w14:paraId="47982FD3" w14:textId="77777777" w:rsidR="00801B00" w:rsidRPr="009B665B" w:rsidRDefault="00801B00" w:rsidP="00525E8A">
      <w:r w:rsidRPr="009B665B">
        <w:t xml:space="preserve">An analysis of NAPLAN results, student assessment data and school community surveys as part of the Revesby Public School’s situational analysis found that the school had devoted a large amount of school resources and staff professional learning implementing the L3 and FoR programs. The school needed to ensure that the outcomes achieved as a part of its participation in these programs are embedded into class programs to </w:t>
      </w:r>
      <w:r w:rsidR="00001CB4" w:rsidRPr="009B665B">
        <w:t>achieve improved</w:t>
      </w:r>
      <w:r w:rsidRPr="009B665B">
        <w:t xml:space="preserve"> student outcomes.</w:t>
      </w:r>
    </w:p>
    <w:p w14:paraId="346F9C80" w14:textId="77777777" w:rsidR="00801B00" w:rsidRPr="009B665B" w:rsidRDefault="00801B00" w:rsidP="00525E8A">
      <w:r w:rsidRPr="009B665B">
        <w:t xml:space="preserve">The 2012 NAPLAN Reading results demonstrated that there were lower percentages of Year 3 and 5 students achieving at or above the national minimum standards compared to students in similar school groups. Similarly, there were fewer Year 3 and 5 students achieving in the proficient bands. The percentage of Year 5 students who achieved expected growth in reading was lower than students in similar school groups and less than the previous year’s result. </w:t>
      </w:r>
    </w:p>
    <w:p w14:paraId="38D3B517" w14:textId="77777777" w:rsidR="00801B00" w:rsidRPr="009B665B" w:rsidRDefault="00801B00" w:rsidP="00525E8A">
      <w:r w:rsidRPr="009B665B">
        <w:lastRenderedPageBreak/>
        <w:t>The focus of Revesby Public School’s ILNNP approach was literacy with all students in Year K- 6 identified as the target group. The school developed targets of:</w:t>
      </w:r>
    </w:p>
    <w:p w14:paraId="2CD6FDFC" w14:textId="77777777" w:rsidR="00801B00" w:rsidRPr="009B665B" w:rsidRDefault="00801B00" w:rsidP="00756999">
      <w:pPr>
        <w:pStyle w:val="ListParagraph"/>
        <w:numPr>
          <w:ilvl w:val="0"/>
          <w:numId w:val="21"/>
        </w:numPr>
      </w:pPr>
      <w:r w:rsidRPr="009B665B">
        <w:t>increasing the percentage of Year 3 and 5 students achieving proficiency in NAPLAN reading</w:t>
      </w:r>
    </w:p>
    <w:p w14:paraId="4EDA8317" w14:textId="77777777" w:rsidR="00801B00" w:rsidRPr="009B665B" w:rsidRDefault="00801B00" w:rsidP="00756999">
      <w:pPr>
        <w:pStyle w:val="ListParagraph"/>
        <w:numPr>
          <w:ilvl w:val="0"/>
          <w:numId w:val="21"/>
        </w:numPr>
      </w:pPr>
      <w:r w:rsidRPr="009B665B">
        <w:t xml:space="preserve">increasing the percentage of Kindergarten students reading at cluster 3 or above and </w:t>
      </w:r>
    </w:p>
    <w:p w14:paraId="2FE3DB54" w14:textId="77777777" w:rsidR="00801B00" w:rsidRPr="009B665B" w:rsidRDefault="00801B00" w:rsidP="00756999">
      <w:pPr>
        <w:pStyle w:val="ListParagraph"/>
        <w:numPr>
          <w:ilvl w:val="0"/>
          <w:numId w:val="21"/>
        </w:numPr>
      </w:pPr>
      <w:r w:rsidRPr="009B665B">
        <w:t>increasing the percentage of Year 2 students reading at independent levels.</w:t>
      </w:r>
    </w:p>
    <w:p w14:paraId="5361F46A" w14:textId="77777777" w:rsidR="00801B00" w:rsidRPr="009B665B" w:rsidRDefault="00801B00" w:rsidP="00756999">
      <w:pPr>
        <w:pStyle w:val="ListParagraph"/>
        <w:numPr>
          <w:ilvl w:val="0"/>
          <w:numId w:val="21"/>
        </w:numPr>
      </w:pPr>
      <w:r w:rsidRPr="009B665B">
        <w:t>The professional learning component as part of the school’s ILNNP approach to address targets included:</w:t>
      </w:r>
    </w:p>
    <w:p w14:paraId="6FEA6A9C" w14:textId="77777777" w:rsidR="00801B00" w:rsidRPr="009B665B" w:rsidRDefault="00801B00" w:rsidP="00756999">
      <w:pPr>
        <w:pStyle w:val="ListParagraph"/>
        <w:numPr>
          <w:ilvl w:val="0"/>
          <w:numId w:val="21"/>
        </w:numPr>
      </w:pPr>
      <w:r w:rsidRPr="009B665B">
        <w:t>support for continued implementation of the L3 and FoR programs</w:t>
      </w:r>
    </w:p>
    <w:p w14:paraId="0F08D64A" w14:textId="77777777" w:rsidR="00801B00" w:rsidRPr="009B665B" w:rsidRDefault="00801B00" w:rsidP="00756999">
      <w:pPr>
        <w:pStyle w:val="ListParagraph"/>
        <w:numPr>
          <w:ilvl w:val="0"/>
          <w:numId w:val="21"/>
        </w:numPr>
      </w:pPr>
      <w:r w:rsidRPr="009B665B">
        <w:t>support for the use of the literacy continuum to identify the teaching focus of classes through data analysis every five weeks</w:t>
      </w:r>
    </w:p>
    <w:p w14:paraId="611192D9" w14:textId="77777777" w:rsidR="00801B00" w:rsidRPr="009B665B" w:rsidRDefault="00801B00" w:rsidP="00756999">
      <w:pPr>
        <w:pStyle w:val="ListParagraph"/>
        <w:numPr>
          <w:ilvl w:val="0"/>
          <w:numId w:val="21"/>
        </w:numPr>
      </w:pPr>
      <w:r w:rsidRPr="009B665B">
        <w:t>a focus on quality literacy teaching</w:t>
      </w:r>
    </w:p>
    <w:p w14:paraId="7A3B70FC" w14:textId="77777777" w:rsidR="00801B00" w:rsidRPr="009B665B" w:rsidRDefault="00801B00" w:rsidP="00756999">
      <w:pPr>
        <w:pStyle w:val="ListParagraph"/>
        <w:numPr>
          <w:ilvl w:val="0"/>
          <w:numId w:val="21"/>
        </w:numPr>
      </w:pPr>
      <w:r w:rsidRPr="009B665B">
        <w:t>the alignment of the literacy continuum with the NSW Syllabus for the Australian Curriculum  English K-10.</w:t>
      </w:r>
    </w:p>
    <w:p w14:paraId="6F9CA1DB" w14:textId="77777777" w:rsidR="00801B00" w:rsidRPr="009B665B" w:rsidRDefault="00801B00" w:rsidP="00525E8A">
      <w:pPr>
        <w:pStyle w:val="Heading3"/>
      </w:pPr>
      <w:r w:rsidRPr="009B665B">
        <w:t xml:space="preserve">Implementation </w:t>
      </w:r>
    </w:p>
    <w:p w14:paraId="66FA4D56" w14:textId="77777777" w:rsidR="00801B00" w:rsidRPr="009B665B" w:rsidRDefault="00801B00" w:rsidP="00525E8A">
      <w:r w:rsidRPr="009B665B">
        <w:t xml:space="preserve">The ILNNP approach of Revesby Public School is underpinned by a whole-school approach to improving student outcomes in reading. This whole-school approach recognises the critical role of quality teaching and leadership in improving student learning outcomes. These were embedded in the school’s eight point plan to improve literacy outcomes for all students. </w:t>
      </w:r>
    </w:p>
    <w:p w14:paraId="2B75C2F8" w14:textId="77777777" w:rsidR="00801B00" w:rsidRPr="009B665B" w:rsidRDefault="00801B00" w:rsidP="00525E8A">
      <w:r w:rsidRPr="009B665B">
        <w:t xml:space="preserve">1. Professional Learning </w:t>
      </w:r>
    </w:p>
    <w:p w14:paraId="5FC57F0E" w14:textId="77777777" w:rsidR="00801B00" w:rsidRPr="009B665B" w:rsidRDefault="00801B00" w:rsidP="00525E8A">
      <w:r w:rsidRPr="009B665B">
        <w:t xml:space="preserve">The FoR trainer facilitated the training of teachers in Phase 2 and Phase 3 of the course. FoR is a professional learning program designed for classroom teachers that focuses on teaching reading in Years 3-6. This program is aimed at supporting teachers to equip students with the strategies they need to meet the changing demands of texts. Teachers were supported in the classroom by the trainer and observed demonstration lessons where the trainer explicitly taught comprehension strategies within the structure of modelled, guided and independent learning. </w:t>
      </w:r>
    </w:p>
    <w:p w14:paraId="36A8298F" w14:textId="77777777" w:rsidR="00801B00" w:rsidRPr="009B665B" w:rsidRDefault="00801B00" w:rsidP="00525E8A">
      <w:r w:rsidRPr="009B665B">
        <w:t>Kindergarten teachers participated in the Best Start and L3 programs. L3 is a research-based Kindergarten classroom intervention, targeting text reading and writing. Students receive explicit instruction in reading and writing strategies in small groups of three to four.  Students then rotate to independent individual or group tasks. This occurs in the daily literacy session. The program goal is to reduce the need for more intensive and resource demanding programs (such as Reading Recover</w:t>
      </w:r>
      <w:r w:rsidR="00001CB4">
        <w:t>y</w:t>
      </w:r>
      <w:r w:rsidRPr="009B665B">
        <w:t>) in future ye</w:t>
      </w:r>
      <w:r w:rsidR="00001CB4">
        <w:t xml:space="preserve">ars. </w:t>
      </w:r>
      <w:r w:rsidRPr="009B665B">
        <w:t xml:space="preserve">Year 1 and 2 teachers participated in the Best Start program. </w:t>
      </w:r>
    </w:p>
    <w:p w14:paraId="6C4F14E2" w14:textId="77777777" w:rsidR="00801B00" w:rsidRPr="009B665B" w:rsidRDefault="00801B00" w:rsidP="00525E8A">
      <w:r w:rsidRPr="009B665B">
        <w:t>All teachers received professional learning on the literacy continuum and the NSW Syllabus for the Australian Curriculum English K-10. Teachers collaboratively discussed the markers on the continuum and the syllabus to identify links between the two. Teachers used ongoing assessment to monitor student learning using both the outcomes and continuum.</w:t>
      </w:r>
    </w:p>
    <w:p w14:paraId="30E11C50" w14:textId="77777777" w:rsidR="00801B00" w:rsidRPr="009B665B" w:rsidRDefault="00801B00" w:rsidP="00525E8A">
      <w:r w:rsidRPr="009B665B">
        <w:t xml:space="preserve">In-school professional learning was conducted for all teachers on the </w:t>
      </w:r>
      <w:r w:rsidRPr="009B665B">
        <w:rPr>
          <w:i/>
        </w:rPr>
        <w:t>Introduction to Quality Literacy Teaching</w:t>
      </w:r>
      <w:r w:rsidRPr="009B665B">
        <w:t>, data analysis (including NAPLAN and Planning Literacy and Numeracy (PLAN) software), using digital and multi-modal texts and peer coaching.</w:t>
      </w:r>
    </w:p>
    <w:p w14:paraId="4707E66E" w14:textId="77777777" w:rsidR="00801B00" w:rsidRPr="009B665B" w:rsidRDefault="00801B00" w:rsidP="00525E8A">
      <w:r w:rsidRPr="009B665B">
        <w:t xml:space="preserve">2. Stage team learning </w:t>
      </w:r>
    </w:p>
    <w:p w14:paraId="151FDABD" w14:textId="128AE3B0" w:rsidR="00801B00" w:rsidRPr="009B665B" w:rsidRDefault="00801B00" w:rsidP="00525E8A">
      <w:r w:rsidRPr="009B665B">
        <w:lastRenderedPageBreak/>
        <w:t>The school established stage learning teams to include supervisor, classroom teacher and assigned s</w:t>
      </w:r>
      <w:r w:rsidR="00525E8A">
        <w:t>upport staff.</w:t>
      </w:r>
    </w:p>
    <w:p w14:paraId="021730CC" w14:textId="77777777" w:rsidR="00801B00" w:rsidRPr="009B665B" w:rsidRDefault="00801B00" w:rsidP="00525E8A">
      <w:r w:rsidRPr="009B665B">
        <w:t>3. Co-operative planning</w:t>
      </w:r>
    </w:p>
    <w:p w14:paraId="4EB7B50F" w14:textId="77777777" w:rsidR="00801B00" w:rsidRPr="009B665B" w:rsidRDefault="00801B00" w:rsidP="00525E8A">
      <w:r w:rsidRPr="009B665B">
        <w:t xml:space="preserve">Teachers were released in stage learning teams to plan modelled and guided reading programs that were responsive to the needs of their students.  A teaching focus from the literacy continuum was identified through the analyses of data and assessment across all stages every five weeks. </w:t>
      </w:r>
    </w:p>
    <w:p w14:paraId="78A9EE12" w14:textId="77777777" w:rsidR="00801B00" w:rsidRPr="009B665B" w:rsidRDefault="00801B00" w:rsidP="00525E8A">
      <w:r w:rsidRPr="009B665B">
        <w:t>4. Data Collection and Analysis</w:t>
      </w:r>
    </w:p>
    <w:p w14:paraId="2A1F0F6B" w14:textId="77777777" w:rsidR="00801B00" w:rsidRPr="009B665B" w:rsidRDefault="00801B00" w:rsidP="00525E8A">
      <w:r w:rsidRPr="009B665B">
        <w:t>Learning teams collected and analysed data regularly to identify student need and to provide a focus for teaching. Ongoing rich and authentic assessment tasks were embedded in programs and used at stage meetings to analyse and reflect on programs.</w:t>
      </w:r>
    </w:p>
    <w:p w14:paraId="6C2CE0E1" w14:textId="3AAFB716" w:rsidR="0030785B" w:rsidRDefault="00801B00" w:rsidP="00525E8A">
      <w:r w:rsidRPr="009B665B">
        <w:t>Data was collected by classroom teachers and support staff to develop more focused support and individualised learning plans through Best Start, Reading Recovery levels, NA</w:t>
      </w:r>
      <w:r w:rsidR="00525E8A">
        <w:t>PLAN and classroom assessments.</w:t>
      </w:r>
    </w:p>
    <w:p w14:paraId="10BBFCAB" w14:textId="77777777" w:rsidR="00801B00" w:rsidRPr="009B665B" w:rsidRDefault="00801B00" w:rsidP="00525E8A">
      <w:r w:rsidRPr="009B665B">
        <w:t xml:space="preserve">5. Quality Teaching Strategies </w:t>
      </w:r>
    </w:p>
    <w:p w14:paraId="16D8F960" w14:textId="77777777" w:rsidR="00801B00" w:rsidRPr="009B665B" w:rsidRDefault="00801B00" w:rsidP="00525E8A">
      <w:r w:rsidRPr="009B665B">
        <w:t>Daily literacy sessions were conducted which embedded elements of the Quality Teaching Framework. Teachers read rich literacy texts daily to their students and used the Think Aloud strategy to initiate discussion and improve comprehension skills among students.</w:t>
      </w:r>
    </w:p>
    <w:p w14:paraId="1CE395C5" w14:textId="77777777" w:rsidR="00801B00" w:rsidRPr="009B665B" w:rsidRDefault="00801B00" w:rsidP="00525E8A">
      <w:r w:rsidRPr="009B665B">
        <w:t>Kindergarten teachers worked with a mentor to develop quality literacy teaching in the early years. Kindergarten to Year 2 teachers implemented the Best Start quality teaching strategies in classrooms each day to develop student literacy skills and understandings.</w:t>
      </w:r>
    </w:p>
    <w:p w14:paraId="61F55B64" w14:textId="77777777" w:rsidR="00801B00" w:rsidRPr="009B665B" w:rsidRDefault="00801B00" w:rsidP="00525E8A">
      <w:r w:rsidRPr="009B665B">
        <w:t>6. Teacher leaders in literacy</w:t>
      </w:r>
    </w:p>
    <w:p w14:paraId="1CBFE758" w14:textId="77777777" w:rsidR="00801B00" w:rsidRPr="009B665B" w:rsidRDefault="00801B00" w:rsidP="00525E8A">
      <w:r w:rsidRPr="009B665B">
        <w:t>The executive and teachers developed expertise in the literacy continuum, quality literacy teaching, the two targeted literacy programs and the syllabus and worked closely with staff through mentoring, demonstration lessons, team teaching and co-operative planning. During 2013 most staff completed the Team Leadership for School Improvement program. The implementation of this program helped to build a cohesive leadership team and assist in the development of strategic directions.</w:t>
      </w:r>
    </w:p>
    <w:p w14:paraId="091AD08C" w14:textId="77777777" w:rsidR="00801B00" w:rsidRPr="009B665B" w:rsidRDefault="00801B00" w:rsidP="00525E8A">
      <w:r w:rsidRPr="009B665B">
        <w:t xml:space="preserve">7. Monitor and evaluate </w:t>
      </w:r>
    </w:p>
    <w:p w14:paraId="64BF3976" w14:textId="3E806CBF" w:rsidR="00801B00" w:rsidRPr="009B665B" w:rsidRDefault="00801B00" w:rsidP="00525E8A">
      <w:r w:rsidRPr="009B665B">
        <w:t xml:space="preserve">All students were placed and monitored on the literacy continuum using the critical aspects of reading texts and comprehension. The school conducted a </w:t>
      </w:r>
      <w:r w:rsidR="00B459F7">
        <w:t>whole-school</w:t>
      </w:r>
      <w:r w:rsidRPr="009B665B">
        <w:t xml:space="preserve"> review of literacy programs to identify achievement and inform future planning.</w:t>
      </w:r>
    </w:p>
    <w:p w14:paraId="170C6353" w14:textId="77777777" w:rsidR="00801B00" w:rsidRPr="009B665B" w:rsidRDefault="00801B00" w:rsidP="00525E8A">
      <w:r w:rsidRPr="009B665B">
        <w:t>8.  Quality resources</w:t>
      </w:r>
    </w:p>
    <w:p w14:paraId="491E461A" w14:textId="2B1E6E20" w:rsidR="00801B00" w:rsidRPr="009B665B" w:rsidRDefault="00801B00" w:rsidP="00525E8A">
      <w:r w:rsidRPr="009B665B">
        <w:t>The school accessed resources to assist with differentiating the teaching and learning of the critical aspects of reading texts and comprehension on the literacy continuum. Class sets of quality texts to use as guided and modelled reading texts, integral to the success o</w:t>
      </w:r>
      <w:r w:rsidR="00525E8A">
        <w:t>f the approach, were purchased.</w:t>
      </w:r>
    </w:p>
    <w:p w14:paraId="29741DED" w14:textId="77777777" w:rsidR="00801B00" w:rsidRPr="009B665B" w:rsidRDefault="00801B00" w:rsidP="00525E8A">
      <w:pPr>
        <w:pStyle w:val="Heading3"/>
      </w:pPr>
      <w:r w:rsidRPr="009B665B">
        <w:lastRenderedPageBreak/>
        <w:t>Progress/Outcomes</w:t>
      </w:r>
    </w:p>
    <w:p w14:paraId="66ACD5B3" w14:textId="77777777" w:rsidR="00801B00" w:rsidRPr="009B665B" w:rsidRDefault="00801B00" w:rsidP="00525E8A">
      <w:r w:rsidRPr="009B665B">
        <w:t>Improvement in student learning outcomes has been evident across K-6 as a result of this initiative. The numbers of students below expectations decreased between the baseline data collection in May and the November data collection, with a striking increase in the numbers of students at or above expectations.</w:t>
      </w:r>
    </w:p>
    <w:p w14:paraId="0F8F349C" w14:textId="77777777" w:rsidR="00801B00" w:rsidRPr="009B665B" w:rsidRDefault="00801B00" w:rsidP="00525E8A">
      <w:r w:rsidRPr="009B665B">
        <w:t xml:space="preserve">As a result of the strategic professional learning, teachers have a deeper understanding in planning and teaching integrated, systematic, explicit and balanced literacy lessons. They have greater confidence in using the literacy continuum and the NSW Syllabus for the Australian Curriculum English K-10. Videos of literacy lessons demonstrate a greater utilisation of a balanced approach to literacy teaching including modelling, guided and independent activities. </w:t>
      </w:r>
    </w:p>
    <w:p w14:paraId="03E1EC76" w14:textId="77777777" w:rsidR="00801B00" w:rsidRPr="009B665B" w:rsidRDefault="00801B00" w:rsidP="00525E8A">
      <w:r w:rsidRPr="009B665B">
        <w:t xml:space="preserve">Teachers are now able to record and analyse data to inform future learning and teaching programs and identify the relevant outcomes when planning to use digital and multimodal texts. They have a deeper understanding of teaching strategies when using a variety of stage appropriate rich texts and a better understanding of formative and summative assessments through collaborative planning of </w:t>
      </w:r>
      <w:r w:rsidR="00001CB4">
        <w:t>lessons.</w:t>
      </w:r>
    </w:p>
    <w:p w14:paraId="4045E4B6" w14:textId="77777777" w:rsidR="00801B00" w:rsidRDefault="00801B00" w:rsidP="00801B00">
      <w:pPr>
        <w:rPr>
          <w:rFonts w:cs="Arial"/>
          <w:b/>
          <w:sz w:val="24"/>
          <w:szCs w:val="24"/>
        </w:rPr>
      </w:pPr>
      <w:r>
        <w:rPr>
          <w:rFonts w:cs="Arial"/>
          <w:b/>
          <w:sz w:val="24"/>
          <w:szCs w:val="24"/>
        </w:rPr>
        <w:br w:type="page"/>
      </w:r>
    </w:p>
    <w:p w14:paraId="5463F228" w14:textId="77777777" w:rsidR="00801B00" w:rsidRPr="009B665B" w:rsidRDefault="00801B00" w:rsidP="00525E8A">
      <w:pPr>
        <w:pStyle w:val="Heading2"/>
      </w:pPr>
      <w:r w:rsidRPr="009B665B">
        <w:lastRenderedPageBreak/>
        <w:t xml:space="preserve">ILNNP SHOW CASE </w:t>
      </w:r>
    </w:p>
    <w:tbl>
      <w:tblPr>
        <w:tblStyle w:val="TableGrid5"/>
        <w:tblW w:w="0" w:type="auto"/>
        <w:tblLook w:val="04A0" w:firstRow="1" w:lastRow="0" w:firstColumn="1" w:lastColumn="0" w:noHBand="0" w:noVBand="1"/>
        <w:tblCaption w:val="ILNNP show case - Oxley Vale Public School"/>
        <w:tblDescription w:val="Data relating to Oxley Vale Public School"/>
      </w:tblPr>
      <w:tblGrid>
        <w:gridCol w:w="5206"/>
        <w:gridCol w:w="4036"/>
      </w:tblGrid>
      <w:tr w:rsidR="00801B00" w:rsidRPr="009B665B" w14:paraId="527FE285" w14:textId="77777777" w:rsidTr="00FE07F6">
        <w:trPr>
          <w:trHeight w:val="397"/>
        </w:trPr>
        <w:tc>
          <w:tcPr>
            <w:tcW w:w="5206" w:type="dxa"/>
            <w:shd w:val="clear" w:color="auto" w:fill="D9D9D9" w:themeFill="background1" w:themeFillShade="D9"/>
          </w:tcPr>
          <w:p w14:paraId="194DD2C8" w14:textId="77777777" w:rsidR="00801B00" w:rsidRPr="009B665B" w:rsidRDefault="00801B00" w:rsidP="008308AC">
            <w:pPr>
              <w:rPr>
                <w:rFonts w:ascii="Arial" w:hAnsi="Arial" w:cs="Arial"/>
                <w:b/>
              </w:rPr>
            </w:pPr>
            <w:r w:rsidRPr="009B665B">
              <w:rPr>
                <w:rFonts w:ascii="Arial" w:hAnsi="Arial" w:cs="Arial"/>
                <w:b/>
              </w:rPr>
              <w:t>School name</w:t>
            </w:r>
          </w:p>
        </w:tc>
        <w:tc>
          <w:tcPr>
            <w:tcW w:w="4036" w:type="dxa"/>
          </w:tcPr>
          <w:p w14:paraId="599C0BDC" w14:textId="77777777" w:rsidR="00801B00" w:rsidRPr="009B665B" w:rsidRDefault="00801B00" w:rsidP="008308AC">
            <w:pPr>
              <w:rPr>
                <w:rFonts w:ascii="Arial" w:hAnsi="Arial" w:cs="Arial"/>
              </w:rPr>
            </w:pPr>
            <w:r w:rsidRPr="009B665B">
              <w:rPr>
                <w:rFonts w:ascii="Arial" w:hAnsi="Arial" w:cs="Arial"/>
              </w:rPr>
              <w:t>Oxley Vale Public School</w:t>
            </w:r>
          </w:p>
        </w:tc>
      </w:tr>
      <w:tr w:rsidR="00801B00" w:rsidRPr="009B665B" w14:paraId="1023E778" w14:textId="77777777" w:rsidTr="00FE07F6">
        <w:trPr>
          <w:trHeight w:val="397"/>
        </w:trPr>
        <w:tc>
          <w:tcPr>
            <w:tcW w:w="5206" w:type="dxa"/>
            <w:shd w:val="clear" w:color="auto" w:fill="D9D9D9" w:themeFill="background1" w:themeFillShade="D9"/>
          </w:tcPr>
          <w:p w14:paraId="0F21DBDD" w14:textId="77777777" w:rsidR="00801B00" w:rsidRPr="009B665B" w:rsidRDefault="00801B00" w:rsidP="008308AC">
            <w:pPr>
              <w:rPr>
                <w:rFonts w:ascii="Arial" w:hAnsi="Arial" w:cs="Arial"/>
                <w:b/>
              </w:rPr>
            </w:pPr>
            <w:r w:rsidRPr="009B665B">
              <w:rPr>
                <w:rFonts w:ascii="Arial" w:hAnsi="Arial" w:cs="Arial"/>
                <w:b/>
              </w:rPr>
              <w:t>DEEWR school ID</w:t>
            </w:r>
          </w:p>
        </w:tc>
        <w:tc>
          <w:tcPr>
            <w:tcW w:w="4036" w:type="dxa"/>
          </w:tcPr>
          <w:p w14:paraId="20FC7512" w14:textId="4C639E34" w:rsidR="00801B00" w:rsidRPr="009B665B" w:rsidRDefault="00707DE9" w:rsidP="008308AC">
            <w:pPr>
              <w:rPr>
                <w:rFonts w:ascii="Arial" w:hAnsi="Arial" w:cs="Arial"/>
              </w:rPr>
            </w:pPr>
            <w:r>
              <w:rPr>
                <w:rFonts w:ascii="Arial" w:hAnsi="Arial" w:cs="Arial"/>
              </w:rPr>
              <w:t>9350</w:t>
            </w:r>
          </w:p>
        </w:tc>
      </w:tr>
      <w:tr w:rsidR="00801B00" w:rsidRPr="009B665B" w14:paraId="5F71BFE5" w14:textId="77777777" w:rsidTr="00FE07F6">
        <w:trPr>
          <w:trHeight w:val="397"/>
        </w:trPr>
        <w:tc>
          <w:tcPr>
            <w:tcW w:w="5206" w:type="dxa"/>
            <w:shd w:val="clear" w:color="auto" w:fill="D9D9D9" w:themeFill="background1" w:themeFillShade="D9"/>
          </w:tcPr>
          <w:p w14:paraId="4C739559" w14:textId="77777777" w:rsidR="00801B00" w:rsidRPr="009B665B" w:rsidRDefault="00801B00" w:rsidP="008308AC">
            <w:pPr>
              <w:rPr>
                <w:rFonts w:ascii="Arial" w:hAnsi="Arial" w:cs="Arial"/>
                <w:b/>
              </w:rPr>
            </w:pPr>
            <w:r w:rsidRPr="009B665B">
              <w:rPr>
                <w:rFonts w:ascii="Arial" w:hAnsi="Arial" w:cs="Arial"/>
                <w:b/>
              </w:rPr>
              <w:t>Suburb</w:t>
            </w:r>
          </w:p>
        </w:tc>
        <w:tc>
          <w:tcPr>
            <w:tcW w:w="4036" w:type="dxa"/>
          </w:tcPr>
          <w:p w14:paraId="09355E5D" w14:textId="77777777" w:rsidR="00801B00" w:rsidRPr="009B665B" w:rsidRDefault="00801B00" w:rsidP="008308AC">
            <w:pPr>
              <w:rPr>
                <w:rFonts w:ascii="Arial" w:hAnsi="Arial" w:cs="Arial"/>
              </w:rPr>
            </w:pPr>
            <w:r w:rsidRPr="009B665B">
              <w:rPr>
                <w:rFonts w:ascii="Arial" w:hAnsi="Arial" w:cs="Arial"/>
              </w:rPr>
              <w:t>Tamworth</w:t>
            </w:r>
          </w:p>
        </w:tc>
      </w:tr>
      <w:tr w:rsidR="00801B00" w:rsidRPr="009B665B" w14:paraId="02985891" w14:textId="77777777" w:rsidTr="00FE07F6">
        <w:trPr>
          <w:trHeight w:val="397"/>
        </w:trPr>
        <w:tc>
          <w:tcPr>
            <w:tcW w:w="5206" w:type="dxa"/>
            <w:shd w:val="clear" w:color="auto" w:fill="D9D9D9" w:themeFill="background1" w:themeFillShade="D9"/>
          </w:tcPr>
          <w:p w14:paraId="29DB912E" w14:textId="77777777" w:rsidR="00801B00" w:rsidRPr="009B665B" w:rsidRDefault="00801B00" w:rsidP="008308AC">
            <w:pPr>
              <w:rPr>
                <w:rFonts w:ascii="Arial" w:hAnsi="Arial" w:cs="Arial"/>
                <w:b/>
              </w:rPr>
            </w:pPr>
            <w:r w:rsidRPr="009B665B">
              <w:rPr>
                <w:rFonts w:ascii="Arial" w:hAnsi="Arial" w:cs="Arial"/>
                <w:b/>
              </w:rPr>
              <w:t>State/Territory</w:t>
            </w:r>
          </w:p>
        </w:tc>
        <w:tc>
          <w:tcPr>
            <w:tcW w:w="4036" w:type="dxa"/>
          </w:tcPr>
          <w:p w14:paraId="675D5525" w14:textId="77777777" w:rsidR="00801B00" w:rsidRPr="009B665B" w:rsidRDefault="00801B00" w:rsidP="008308AC">
            <w:pPr>
              <w:rPr>
                <w:rFonts w:ascii="Arial" w:hAnsi="Arial" w:cs="Arial"/>
              </w:rPr>
            </w:pPr>
            <w:r w:rsidRPr="009B665B">
              <w:rPr>
                <w:rFonts w:ascii="Arial" w:hAnsi="Arial" w:cs="Arial"/>
              </w:rPr>
              <w:t>NSW</w:t>
            </w:r>
          </w:p>
        </w:tc>
      </w:tr>
      <w:tr w:rsidR="00801B00" w:rsidRPr="009B665B" w14:paraId="4C23637C" w14:textId="77777777" w:rsidTr="00FE07F6">
        <w:trPr>
          <w:trHeight w:val="397"/>
        </w:trPr>
        <w:tc>
          <w:tcPr>
            <w:tcW w:w="5206" w:type="dxa"/>
            <w:shd w:val="clear" w:color="auto" w:fill="D9D9D9" w:themeFill="background1" w:themeFillShade="D9"/>
          </w:tcPr>
          <w:p w14:paraId="298A6A46" w14:textId="77777777" w:rsidR="00801B00" w:rsidRPr="009B665B" w:rsidRDefault="00801B00" w:rsidP="008308AC">
            <w:pPr>
              <w:rPr>
                <w:rFonts w:ascii="Arial" w:hAnsi="Arial" w:cs="Arial"/>
                <w:b/>
              </w:rPr>
            </w:pPr>
            <w:r w:rsidRPr="009B665B">
              <w:rPr>
                <w:rFonts w:ascii="Arial" w:hAnsi="Arial" w:cs="Arial"/>
                <w:b/>
              </w:rPr>
              <w:t>Sector</w:t>
            </w:r>
          </w:p>
        </w:tc>
        <w:tc>
          <w:tcPr>
            <w:tcW w:w="4036" w:type="dxa"/>
          </w:tcPr>
          <w:p w14:paraId="3E1BD0BB" w14:textId="77777777" w:rsidR="00801B00" w:rsidRPr="009B665B" w:rsidRDefault="00801B00" w:rsidP="008308AC">
            <w:pPr>
              <w:rPr>
                <w:rFonts w:ascii="Arial" w:hAnsi="Arial" w:cs="Arial"/>
              </w:rPr>
            </w:pPr>
            <w:r w:rsidRPr="009B665B">
              <w:rPr>
                <w:rFonts w:ascii="Arial" w:hAnsi="Arial" w:cs="Arial"/>
              </w:rPr>
              <w:t>Government</w:t>
            </w:r>
          </w:p>
        </w:tc>
      </w:tr>
      <w:tr w:rsidR="00801B00" w:rsidRPr="009B665B" w14:paraId="4D7FB937" w14:textId="77777777" w:rsidTr="00FE07F6">
        <w:trPr>
          <w:trHeight w:val="397"/>
        </w:trPr>
        <w:tc>
          <w:tcPr>
            <w:tcW w:w="5206" w:type="dxa"/>
            <w:shd w:val="clear" w:color="auto" w:fill="D9D9D9" w:themeFill="background1" w:themeFillShade="D9"/>
          </w:tcPr>
          <w:p w14:paraId="04AC65D1" w14:textId="77777777" w:rsidR="00801B00" w:rsidRPr="009B665B" w:rsidRDefault="00801B00" w:rsidP="008308AC">
            <w:pPr>
              <w:rPr>
                <w:rFonts w:ascii="Arial" w:hAnsi="Arial" w:cs="Arial"/>
                <w:b/>
              </w:rPr>
            </w:pPr>
            <w:r w:rsidRPr="009B665B">
              <w:rPr>
                <w:rFonts w:ascii="Arial" w:hAnsi="Arial" w:cs="Arial"/>
                <w:b/>
              </w:rPr>
              <w:t>School type</w:t>
            </w:r>
          </w:p>
        </w:tc>
        <w:tc>
          <w:tcPr>
            <w:tcW w:w="4036" w:type="dxa"/>
          </w:tcPr>
          <w:p w14:paraId="64CAA744" w14:textId="77777777" w:rsidR="00801B00" w:rsidRPr="009B665B" w:rsidRDefault="00801B00" w:rsidP="008308AC">
            <w:pPr>
              <w:rPr>
                <w:rFonts w:ascii="Arial" w:hAnsi="Arial" w:cs="Arial"/>
              </w:rPr>
            </w:pPr>
            <w:r w:rsidRPr="009B665B">
              <w:rPr>
                <w:rFonts w:ascii="Arial" w:hAnsi="Arial" w:cs="Arial"/>
              </w:rPr>
              <w:t>Primary</w:t>
            </w:r>
          </w:p>
        </w:tc>
      </w:tr>
      <w:tr w:rsidR="00801B00" w:rsidRPr="009B665B" w14:paraId="66ACB940" w14:textId="77777777" w:rsidTr="00FE07F6">
        <w:trPr>
          <w:trHeight w:val="397"/>
        </w:trPr>
        <w:tc>
          <w:tcPr>
            <w:tcW w:w="5206" w:type="dxa"/>
            <w:shd w:val="clear" w:color="auto" w:fill="D9D9D9" w:themeFill="background1" w:themeFillShade="D9"/>
          </w:tcPr>
          <w:p w14:paraId="37F140D5" w14:textId="77777777" w:rsidR="00801B00" w:rsidRPr="009B665B" w:rsidRDefault="00801B00" w:rsidP="008308AC">
            <w:pPr>
              <w:rPr>
                <w:rFonts w:ascii="Arial" w:hAnsi="Arial" w:cs="Arial"/>
                <w:b/>
              </w:rPr>
            </w:pPr>
            <w:r w:rsidRPr="009B665B">
              <w:rPr>
                <w:rFonts w:ascii="Arial" w:hAnsi="Arial" w:cs="Arial"/>
                <w:b/>
              </w:rPr>
              <w:t>ARIA categories</w:t>
            </w:r>
          </w:p>
        </w:tc>
        <w:tc>
          <w:tcPr>
            <w:tcW w:w="4036" w:type="dxa"/>
          </w:tcPr>
          <w:p w14:paraId="3D50FAA7" w14:textId="77777777" w:rsidR="00801B00" w:rsidRPr="009B665B" w:rsidRDefault="00801B00" w:rsidP="008308AC">
            <w:pPr>
              <w:rPr>
                <w:rFonts w:ascii="Arial" w:hAnsi="Arial" w:cs="Arial"/>
              </w:rPr>
            </w:pPr>
            <w:r w:rsidRPr="009B665B">
              <w:rPr>
                <w:rFonts w:ascii="Arial" w:hAnsi="Arial" w:cs="Arial"/>
              </w:rPr>
              <w:t>Inner Regional</w:t>
            </w:r>
          </w:p>
        </w:tc>
      </w:tr>
      <w:tr w:rsidR="00801B00" w:rsidRPr="009B665B" w14:paraId="24FC7A64" w14:textId="77777777" w:rsidTr="00FE07F6">
        <w:trPr>
          <w:trHeight w:val="397"/>
        </w:trPr>
        <w:tc>
          <w:tcPr>
            <w:tcW w:w="5206" w:type="dxa"/>
            <w:shd w:val="clear" w:color="auto" w:fill="D9D9D9" w:themeFill="background1" w:themeFillShade="D9"/>
          </w:tcPr>
          <w:p w14:paraId="0B4BAB43" w14:textId="77777777" w:rsidR="00801B00" w:rsidRPr="009B665B" w:rsidRDefault="00801B00" w:rsidP="008308AC">
            <w:pPr>
              <w:rPr>
                <w:rFonts w:ascii="Arial" w:hAnsi="Arial" w:cs="Arial"/>
                <w:b/>
              </w:rPr>
            </w:pPr>
            <w:r w:rsidRPr="009B665B">
              <w:rPr>
                <w:rFonts w:ascii="Arial" w:hAnsi="Arial" w:cs="Arial"/>
                <w:b/>
              </w:rPr>
              <w:t>2013 enrolments</w:t>
            </w:r>
          </w:p>
        </w:tc>
        <w:tc>
          <w:tcPr>
            <w:tcW w:w="4036" w:type="dxa"/>
          </w:tcPr>
          <w:p w14:paraId="70F5E91A" w14:textId="77777777" w:rsidR="00801B00" w:rsidRPr="009B665B" w:rsidRDefault="00801B00" w:rsidP="008308AC">
            <w:pPr>
              <w:rPr>
                <w:rFonts w:ascii="Arial" w:hAnsi="Arial" w:cs="Arial"/>
              </w:rPr>
            </w:pPr>
            <w:r w:rsidRPr="009B665B">
              <w:rPr>
                <w:rFonts w:ascii="Arial" w:hAnsi="Arial" w:cs="Arial"/>
              </w:rPr>
              <w:t>340</w:t>
            </w:r>
          </w:p>
        </w:tc>
      </w:tr>
      <w:tr w:rsidR="00801B00" w:rsidRPr="009B665B" w14:paraId="7B1C789F" w14:textId="77777777" w:rsidTr="00FE07F6">
        <w:trPr>
          <w:trHeight w:val="397"/>
        </w:trPr>
        <w:tc>
          <w:tcPr>
            <w:tcW w:w="5206" w:type="dxa"/>
            <w:shd w:val="clear" w:color="auto" w:fill="D9D9D9" w:themeFill="background1" w:themeFillShade="D9"/>
          </w:tcPr>
          <w:p w14:paraId="04F01032" w14:textId="77777777" w:rsidR="00801B00" w:rsidRPr="009B665B" w:rsidRDefault="00801B00" w:rsidP="008308AC">
            <w:pPr>
              <w:rPr>
                <w:rFonts w:ascii="Arial" w:hAnsi="Arial" w:cs="Arial"/>
                <w:b/>
              </w:rPr>
            </w:pPr>
            <w:r w:rsidRPr="009B665B">
              <w:rPr>
                <w:rFonts w:ascii="Arial" w:hAnsi="Arial" w:cs="Arial"/>
                <w:b/>
              </w:rPr>
              <w:t>Number of Aboriginal and Torres Strait Islander students</w:t>
            </w:r>
          </w:p>
        </w:tc>
        <w:tc>
          <w:tcPr>
            <w:tcW w:w="4036" w:type="dxa"/>
          </w:tcPr>
          <w:p w14:paraId="08A9F4AE" w14:textId="77777777" w:rsidR="00801B00" w:rsidRPr="009B665B" w:rsidRDefault="00801B00" w:rsidP="008308AC">
            <w:pPr>
              <w:rPr>
                <w:rFonts w:ascii="Arial" w:hAnsi="Arial" w:cs="Arial"/>
              </w:rPr>
            </w:pPr>
            <w:r w:rsidRPr="009B665B">
              <w:rPr>
                <w:rFonts w:ascii="Arial" w:hAnsi="Arial" w:cs="Arial"/>
              </w:rPr>
              <w:t>33%</w:t>
            </w:r>
          </w:p>
        </w:tc>
      </w:tr>
      <w:tr w:rsidR="00801B00" w:rsidRPr="009B665B" w14:paraId="059716C2" w14:textId="77777777" w:rsidTr="00FE07F6">
        <w:trPr>
          <w:trHeight w:val="397"/>
        </w:trPr>
        <w:tc>
          <w:tcPr>
            <w:tcW w:w="5206" w:type="dxa"/>
            <w:shd w:val="clear" w:color="auto" w:fill="D9D9D9" w:themeFill="background1" w:themeFillShade="D9"/>
          </w:tcPr>
          <w:p w14:paraId="0E4C5B8F" w14:textId="77777777" w:rsidR="00801B00" w:rsidRPr="009B665B" w:rsidRDefault="00801B00" w:rsidP="008308AC">
            <w:pPr>
              <w:rPr>
                <w:rFonts w:ascii="Arial" w:hAnsi="Arial" w:cs="Arial"/>
                <w:b/>
              </w:rPr>
            </w:pPr>
            <w:r w:rsidRPr="009B665B">
              <w:rPr>
                <w:rFonts w:ascii="Arial" w:hAnsi="Arial" w:cs="Arial"/>
                <w:b/>
              </w:rPr>
              <w:t>Number of students with a language background other than English</w:t>
            </w:r>
          </w:p>
        </w:tc>
        <w:tc>
          <w:tcPr>
            <w:tcW w:w="4036" w:type="dxa"/>
          </w:tcPr>
          <w:p w14:paraId="226130BA" w14:textId="77777777" w:rsidR="00801B00" w:rsidRPr="009B665B" w:rsidRDefault="00801B00" w:rsidP="008308AC">
            <w:pPr>
              <w:rPr>
                <w:rFonts w:ascii="Arial" w:hAnsi="Arial" w:cs="Arial"/>
              </w:rPr>
            </w:pPr>
            <w:r w:rsidRPr="009B665B">
              <w:rPr>
                <w:rFonts w:ascii="Arial" w:hAnsi="Arial" w:cs="Arial"/>
              </w:rPr>
              <w:t>3</w:t>
            </w:r>
          </w:p>
        </w:tc>
      </w:tr>
      <w:tr w:rsidR="00801B00" w:rsidRPr="009B665B" w14:paraId="62CC1029" w14:textId="77777777" w:rsidTr="00FE07F6">
        <w:trPr>
          <w:trHeight w:val="397"/>
        </w:trPr>
        <w:tc>
          <w:tcPr>
            <w:tcW w:w="5206" w:type="dxa"/>
            <w:shd w:val="clear" w:color="auto" w:fill="D9D9D9" w:themeFill="background1" w:themeFillShade="D9"/>
          </w:tcPr>
          <w:p w14:paraId="1050B306" w14:textId="77777777" w:rsidR="00801B00" w:rsidRPr="009B665B" w:rsidRDefault="00801B00" w:rsidP="008308AC">
            <w:pPr>
              <w:rPr>
                <w:rFonts w:ascii="Arial" w:hAnsi="Arial" w:cs="Arial"/>
                <w:b/>
              </w:rPr>
            </w:pPr>
            <w:r w:rsidRPr="009B665B">
              <w:rPr>
                <w:rFonts w:ascii="Arial" w:hAnsi="Arial" w:cs="Arial"/>
                <w:b/>
              </w:rPr>
              <w:t>2013 student attendance rate</w:t>
            </w:r>
          </w:p>
        </w:tc>
        <w:tc>
          <w:tcPr>
            <w:tcW w:w="4036" w:type="dxa"/>
          </w:tcPr>
          <w:p w14:paraId="02F0968B" w14:textId="77777777" w:rsidR="00801B00" w:rsidRPr="009B665B" w:rsidRDefault="00801B00" w:rsidP="008308AC">
            <w:pPr>
              <w:rPr>
                <w:rFonts w:ascii="Arial" w:hAnsi="Arial" w:cs="Arial"/>
              </w:rPr>
            </w:pPr>
            <w:r w:rsidRPr="009B665B">
              <w:rPr>
                <w:rFonts w:ascii="Arial" w:hAnsi="Arial" w:cs="Arial"/>
              </w:rPr>
              <w:t>93.4 in 2012</w:t>
            </w:r>
          </w:p>
        </w:tc>
      </w:tr>
      <w:tr w:rsidR="00801B00" w:rsidRPr="009B665B" w14:paraId="050BF557" w14:textId="77777777" w:rsidTr="00FE07F6">
        <w:trPr>
          <w:trHeight w:val="397"/>
        </w:trPr>
        <w:tc>
          <w:tcPr>
            <w:tcW w:w="5206" w:type="dxa"/>
            <w:shd w:val="clear" w:color="auto" w:fill="D9D9D9" w:themeFill="background1" w:themeFillShade="D9"/>
          </w:tcPr>
          <w:p w14:paraId="4994E18B" w14:textId="77777777" w:rsidR="00801B00" w:rsidRPr="009B665B" w:rsidRDefault="00801B00" w:rsidP="008308AC">
            <w:pPr>
              <w:rPr>
                <w:rFonts w:ascii="Arial" w:hAnsi="Arial" w:cs="Arial"/>
                <w:b/>
              </w:rPr>
            </w:pPr>
            <w:r w:rsidRPr="009B665B">
              <w:rPr>
                <w:rFonts w:ascii="Arial" w:hAnsi="Arial" w:cs="Arial"/>
                <w:b/>
              </w:rPr>
              <w:t>Literacy and Numeracy National Partnership (LNNP) school</w:t>
            </w:r>
          </w:p>
        </w:tc>
        <w:tc>
          <w:tcPr>
            <w:tcW w:w="4036" w:type="dxa"/>
          </w:tcPr>
          <w:p w14:paraId="6F9D6A82" w14:textId="77777777" w:rsidR="00801B00" w:rsidRPr="009B665B" w:rsidRDefault="00801B00" w:rsidP="008308AC">
            <w:pPr>
              <w:rPr>
                <w:rFonts w:ascii="Arial" w:hAnsi="Arial" w:cs="Arial"/>
              </w:rPr>
            </w:pPr>
            <w:r w:rsidRPr="009B665B">
              <w:rPr>
                <w:rFonts w:ascii="Arial" w:hAnsi="Arial" w:cs="Arial"/>
              </w:rPr>
              <w:t>Yes</w:t>
            </w:r>
          </w:p>
        </w:tc>
      </w:tr>
      <w:tr w:rsidR="00801B00" w:rsidRPr="009B665B" w14:paraId="6125B2BD" w14:textId="77777777" w:rsidTr="00FE07F6">
        <w:trPr>
          <w:trHeight w:val="397"/>
        </w:trPr>
        <w:tc>
          <w:tcPr>
            <w:tcW w:w="5206" w:type="dxa"/>
            <w:shd w:val="clear" w:color="auto" w:fill="D9D9D9" w:themeFill="background1" w:themeFillShade="D9"/>
          </w:tcPr>
          <w:p w14:paraId="36CFC4AD" w14:textId="77777777" w:rsidR="00801B00" w:rsidRPr="009B665B" w:rsidRDefault="00801B00" w:rsidP="008308AC">
            <w:pPr>
              <w:rPr>
                <w:rFonts w:ascii="Arial" w:hAnsi="Arial" w:cs="Arial"/>
                <w:b/>
              </w:rPr>
            </w:pPr>
            <w:r w:rsidRPr="009B665B">
              <w:rPr>
                <w:rFonts w:ascii="Arial" w:hAnsi="Arial" w:cs="Arial"/>
                <w:b/>
              </w:rPr>
              <w:t>Low Socio-Economic Status School Communities National Partnership school</w:t>
            </w:r>
          </w:p>
        </w:tc>
        <w:tc>
          <w:tcPr>
            <w:tcW w:w="4036" w:type="dxa"/>
          </w:tcPr>
          <w:p w14:paraId="5BB8F1EB" w14:textId="77777777" w:rsidR="00801B00" w:rsidRPr="009B665B" w:rsidRDefault="00801B00" w:rsidP="008308AC">
            <w:pPr>
              <w:rPr>
                <w:rFonts w:ascii="Arial" w:hAnsi="Arial" w:cs="Arial"/>
              </w:rPr>
            </w:pPr>
            <w:r w:rsidRPr="009B665B">
              <w:rPr>
                <w:rFonts w:ascii="Arial" w:hAnsi="Arial" w:cs="Arial"/>
              </w:rPr>
              <w:t>No</w:t>
            </w:r>
          </w:p>
        </w:tc>
      </w:tr>
    </w:tbl>
    <w:p w14:paraId="01D2F951" w14:textId="77777777" w:rsidR="00801B00" w:rsidRPr="009B665B" w:rsidRDefault="00801B00" w:rsidP="00525E8A">
      <w:pPr>
        <w:pStyle w:val="Heading3"/>
      </w:pPr>
      <w:r w:rsidRPr="009B665B">
        <w:t>School Background</w:t>
      </w:r>
    </w:p>
    <w:p w14:paraId="15B35A4A" w14:textId="77777777" w:rsidR="00801B00" w:rsidRPr="009B665B" w:rsidRDefault="00801B00" w:rsidP="00525E8A">
      <w:r w:rsidRPr="009B665B">
        <w:t>Oxley Vale Public School is a Government primary school in Tamworth in north western NSW. The school has a student population of 340 with 33% Aboriginal students.  The school enjoys strong parental support, enjoying a highly active Parents and Citizens Association and a well-attended ‘Yarn Up’ group.</w:t>
      </w:r>
    </w:p>
    <w:p w14:paraId="1C9B95C4" w14:textId="77777777" w:rsidR="00801B00" w:rsidRPr="009B665B" w:rsidRDefault="00801B00" w:rsidP="00525E8A">
      <w:r w:rsidRPr="009B665B">
        <w:t>The school is organised into 15 mainstream classes. There is one special education, multi-categorical class for students with special needs. There is an overall staff establishment of 25 including five Aboriginal staff.</w:t>
      </w:r>
    </w:p>
    <w:p w14:paraId="17CD3242" w14:textId="77777777" w:rsidR="00801B00" w:rsidRPr="009B665B" w:rsidRDefault="00801B00" w:rsidP="00525E8A">
      <w:r w:rsidRPr="009B665B">
        <w:t>The school has established strong links with Oxley High School enabling the school to implement effective transition programs. The school has links with community groups including; a university, the Department of Rural Health, Oxley Vale Anglican Church, Tamworth Family Support, PCYC, Joblink Plus, Centacare and The Smith Family.</w:t>
      </w:r>
    </w:p>
    <w:p w14:paraId="360DCE57" w14:textId="77777777" w:rsidR="00801B00" w:rsidRPr="009B665B" w:rsidRDefault="00801B00" w:rsidP="00525E8A">
      <w:pPr>
        <w:pStyle w:val="Heading3"/>
      </w:pPr>
      <w:r w:rsidRPr="009B665B">
        <w:t>ILNNP Approach</w:t>
      </w:r>
    </w:p>
    <w:p w14:paraId="4AB1BA91" w14:textId="77777777" w:rsidR="00801B00" w:rsidRPr="009B665B" w:rsidRDefault="00801B00" w:rsidP="00525E8A">
      <w:r w:rsidRPr="009B665B">
        <w:t>The focus of the Oxley Vale’s ILNNP approach is literacy with all students in K- 6 as the target group. While the percentage of Year 3 students achieving at or above the national minimum standards in the 2012 NAPLAN reading was higher than students in similar school groups, the percentage had decreased since 2011. The percentage of Year 5 students achieving at or above the national minimum standards was lower than students in similar school groups. Fewer Year 5 students achieved the expected growth in reading compared to students in similar school groups. While the school has eliminated the gap with schools in similar groups in the average progress in numeracy between Year 3 and 5 during 2010-2012, there is still a gap in reading.</w:t>
      </w:r>
    </w:p>
    <w:p w14:paraId="1F4F3A26" w14:textId="154BDF2A" w:rsidR="00801B00" w:rsidRPr="009B665B" w:rsidRDefault="00801B00" w:rsidP="00525E8A">
      <w:r w:rsidRPr="009B665B">
        <w:t xml:space="preserve">Oxley Vale Public School’s goal in undertaking the ILNNP was to increase levels of overall literacy achievements for all students. The main aspects of the school’s approach included the provision of professional learning in the teaching of reading leading to observable changes in classroom practice and </w:t>
      </w:r>
      <w:r w:rsidRPr="009B665B">
        <w:lastRenderedPageBreak/>
        <w:t xml:space="preserve">improved student achievement. A literacy teacher was employed to facilitate professional learning regarding the literacy continuum, Language, Learning and Literacy (L3), the NSW Syllabus for the Australian Curriculum English K-10 and comprehension strategies. Two additional teachers were employed to deliver high engagement literacy activities. To support the professional learning, the school reviewed </w:t>
      </w:r>
      <w:r w:rsidR="00B459F7">
        <w:t>whole-school</w:t>
      </w:r>
      <w:r w:rsidRPr="009B665B">
        <w:t xml:space="preserve"> structures that facilitated literacy teaching and learning.</w:t>
      </w:r>
    </w:p>
    <w:p w14:paraId="3D7685BE" w14:textId="77777777" w:rsidR="00801B00" w:rsidRPr="009B665B" w:rsidRDefault="00801B00" w:rsidP="00525E8A">
      <w:pPr>
        <w:pStyle w:val="Heading3"/>
      </w:pPr>
      <w:r w:rsidRPr="009B665B">
        <w:t xml:space="preserve">Implementation </w:t>
      </w:r>
    </w:p>
    <w:p w14:paraId="06F59DDF" w14:textId="77777777" w:rsidR="00801B00" w:rsidRPr="009B665B" w:rsidRDefault="00801B00" w:rsidP="00525E8A">
      <w:r w:rsidRPr="009B665B">
        <w:t>Oxley Vale Public School’s ILNNP approach built on the school’s literacy plan, and included professional development for both teachers and the school executive,</w:t>
      </w:r>
    </w:p>
    <w:p w14:paraId="17B6314E" w14:textId="5E99AABF" w:rsidR="00801B00" w:rsidRPr="009B665B" w:rsidRDefault="00801B00" w:rsidP="00525E8A">
      <w:r w:rsidRPr="009B665B">
        <w:t xml:space="preserve">The ILNNP enabled the employment of additional staff. This included the literacy teacher who collaborated with local consultants to provide </w:t>
      </w:r>
      <w:r w:rsidR="00B459F7">
        <w:t>whole-school</w:t>
      </w:r>
      <w:r w:rsidRPr="009B665B">
        <w:t xml:space="preserve"> staff meetings, stage meetings and in-class support. In addition to the literacy teacher, two other teachers were employed. One of these teachers had the responsibility of facilitating professional learning on high engagement activities through technology. The teacher supported teachers in assisting students to access digital texts using iPads. This increased teacher knowledge and understanding of unpacking key visual literacy skills and text analysis. The other teacher assisted targeted students in Year 5.</w:t>
      </w:r>
    </w:p>
    <w:p w14:paraId="438E4724" w14:textId="77777777" w:rsidR="00801B00" w:rsidRPr="009B665B" w:rsidRDefault="00801B00" w:rsidP="00525E8A">
      <w:r w:rsidRPr="009B665B">
        <w:t xml:space="preserve">The initial professional learning, as part of the ILNNP, was The Australian Institute for Teaching and School Leadership (AITSL) Leadership Training, a 50 hour online course on leading curriculum change. It was completed by four of the school’s executive. </w:t>
      </w:r>
    </w:p>
    <w:p w14:paraId="444C06B2" w14:textId="30CEEB89" w:rsidR="00801B00" w:rsidRPr="009B665B" w:rsidRDefault="00801B00" w:rsidP="00525E8A">
      <w:r w:rsidRPr="009B665B">
        <w:t xml:space="preserve">The focus areas of the </w:t>
      </w:r>
      <w:r w:rsidR="00B459F7">
        <w:t>whole-school</w:t>
      </w:r>
      <w:r w:rsidRPr="009B665B">
        <w:t xml:space="preserve"> professional learning were L3 and the teaching of Super Six comprehension strategies. L3 is a research-based Kindergarten classroom intervention, targeting text reading and writing. Students receive explicit instruction in reading and writing strategies in small groups of three to four. Students then rotate to independent or group tasks. This occurs in the daily literacy session. The program goal is to reduce the need for more intensive and resource demanding programs in future years, including Reading Recovery.</w:t>
      </w:r>
    </w:p>
    <w:p w14:paraId="33A9B39B" w14:textId="54A8BD77" w:rsidR="00801B00" w:rsidRPr="009B665B" w:rsidRDefault="00801B00" w:rsidP="00525E8A">
      <w:r w:rsidRPr="009B665B">
        <w:t xml:space="preserve">A member of the school’s executive attended an external course on the literacy continuum and then facilitated </w:t>
      </w:r>
      <w:r w:rsidR="00B459F7">
        <w:t>whole-school</w:t>
      </w:r>
      <w:r w:rsidRPr="009B665B">
        <w:t xml:space="preserve"> professional learning in the understanding and use of the continuum.</w:t>
      </w:r>
    </w:p>
    <w:p w14:paraId="105C0C17" w14:textId="1381ED36" w:rsidR="00801B00" w:rsidRPr="009B665B" w:rsidRDefault="00801B00" w:rsidP="00525E8A">
      <w:r w:rsidRPr="009B665B">
        <w:t xml:space="preserve">Oxley Vale Public School used </w:t>
      </w:r>
      <w:r w:rsidR="00B459F7">
        <w:t>whole-school</w:t>
      </w:r>
      <w:r w:rsidRPr="009B665B">
        <w:t xml:space="preserve"> planning processes to identify aspects of reading underperformance for particular student cohorts and for individual students. In addition to the analysis of NAPLAN, the school utilised a number of assessment methods to provide baseline data in reading. These included Best Start, running records, classroom observations, individual conferences, student work samples and standardised testing. Teachers used the assessment data to map all students on the literacy continuum.</w:t>
      </w:r>
    </w:p>
    <w:p w14:paraId="36488C79" w14:textId="77777777" w:rsidR="00801B00" w:rsidRPr="009B665B" w:rsidRDefault="00801B00" w:rsidP="00525E8A">
      <w:r w:rsidRPr="009B665B">
        <w:t xml:space="preserve">Staff meetings were dedicated to professional learning in Super Six comprehension strategies. The meetings provided information to teachers on how to use the strategies to improve student understanding of the critical aspects of reading texts and comprehension. Strategies for effectively assessing comprehension aligned to literacy units were identified. All staff were provided with professional readings, display charts and support documents to assist them in implementing the Super Six comprehension strategies in their classroom. Teachers were released for 3 days per week over 20 weeks in Semester 2, 2013 to work with the Literacy Teacher through demonstration lessons, team teaching, in-class support and stage workshops involving the explicit teaching of comprehension strategies and the NSW Syllabus for the Australian Curriculum. </w:t>
      </w:r>
    </w:p>
    <w:p w14:paraId="1841C7B0" w14:textId="77777777" w:rsidR="00801B00" w:rsidRPr="009B665B" w:rsidRDefault="00801B00" w:rsidP="00525E8A">
      <w:r w:rsidRPr="009B665B">
        <w:lastRenderedPageBreak/>
        <w:t xml:space="preserve">An evaluation of literacy resources was conducted with new materials purchased to address student needs including class sets of texts, home readers, school magazines, and readers to support L3.  </w:t>
      </w:r>
    </w:p>
    <w:p w14:paraId="2E967A96" w14:textId="77777777" w:rsidR="00801B00" w:rsidRPr="009B665B" w:rsidRDefault="00801B00" w:rsidP="00525E8A">
      <w:r w:rsidRPr="009B665B">
        <w:t>Literacy sessions were timetabled across the school to ensure effective and efficient use of time and support staff.</w:t>
      </w:r>
    </w:p>
    <w:p w14:paraId="5DE9A98D" w14:textId="77777777" w:rsidR="00801B00" w:rsidRPr="009B665B" w:rsidRDefault="00801B00" w:rsidP="00525E8A">
      <w:r w:rsidRPr="009B665B">
        <w:t>In 2014, the ILNNP funded Literacy Teacher will focus the professional learning on the Focus on Reading (FoR) program following the successful implementation of the Super Six comprehension strategies. FoR is an intensive professional learning program to support the explicit teaching of the key aspects of reading in the middle and upper primary years, namely comprehension, vocabulary and reading text fluency.</w:t>
      </w:r>
    </w:p>
    <w:p w14:paraId="681A76FD" w14:textId="77777777" w:rsidR="00801B00" w:rsidRPr="009B665B" w:rsidRDefault="00801B00" w:rsidP="00525E8A">
      <w:pPr>
        <w:pStyle w:val="Heading3"/>
      </w:pPr>
      <w:r w:rsidRPr="009B665B">
        <w:t>Progress/Outcomes</w:t>
      </w:r>
    </w:p>
    <w:p w14:paraId="5A53AFE9" w14:textId="77777777" w:rsidR="00801B00" w:rsidRPr="009B665B" w:rsidRDefault="00801B00" w:rsidP="00525E8A">
      <w:r w:rsidRPr="009B665B">
        <w:t>The changes to student learning outcomes have been striking. There has been a dramatic reduction in the numbers of students achieving well-below expectations between May and the November data collections. For example, in one grade, the numbers of students below expectations has decreased from 37 to 4. The pattern of decreasing numbers of students below expectations and a corresponding increase in the numbers of students at or above expectations was observed for both Aboriginal and non-Aboriginal students across K-6.</w:t>
      </w:r>
    </w:p>
    <w:p w14:paraId="02F51988" w14:textId="77777777" w:rsidR="00525E8A" w:rsidRDefault="00801B00" w:rsidP="00FD25C7">
      <w:r w:rsidRPr="009B665B">
        <w:t xml:space="preserve">The changes observed include an increase in teacher confidence in the implementation of the new English K-10 syllabus for the Australian Curriculum. The students are consistently using the strategies and language of the Super Six comprehension strategies. The language of the Super Six is included in reporting to parents. Teachers are developing authentic assessment tasks tracking student progress using the literacy continuum. While Oxley Vale Public School will not be able to employ an additional teacher at the end of the ILNNP it is confident that the professional learning already undertaken will sustain the processes into the school’s culture. </w:t>
      </w:r>
    </w:p>
    <w:p w14:paraId="1A7FAA22" w14:textId="0FE13307" w:rsidR="0030785B" w:rsidRPr="00525E8A" w:rsidRDefault="00824EA6" w:rsidP="00FD25C7">
      <w:r>
        <w:rPr>
          <w:rFonts w:ascii="Arial" w:hAnsi="Arial" w:cs="Arial"/>
          <w:b/>
          <w:color w:val="244061" w:themeColor="accent1" w:themeShade="80"/>
          <w:sz w:val="28"/>
          <w:szCs w:val="24"/>
        </w:rPr>
        <w:br w:type="page"/>
      </w:r>
    </w:p>
    <w:p w14:paraId="569684C5" w14:textId="77777777" w:rsidR="00801B00" w:rsidRPr="009B665B" w:rsidRDefault="00801B00" w:rsidP="00525E8A">
      <w:pPr>
        <w:pStyle w:val="Heading2"/>
      </w:pPr>
      <w:r w:rsidRPr="009B665B">
        <w:lastRenderedPageBreak/>
        <w:t xml:space="preserve">ILNNP SHOW CASE </w:t>
      </w:r>
    </w:p>
    <w:tbl>
      <w:tblPr>
        <w:tblStyle w:val="TableGrid6"/>
        <w:tblW w:w="0" w:type="auto"/>
        <w:tblLook w:val="04A0" w:firstRow="1" w:lastRow="0" w:firstColumn="1" w:lastColumn="0" w:noHBand="0" w:noVBand="1"/>
        <w:tblCaption w:val="ILNNP show case - Coomealla High School"/>
        <w:tblDescription w:val="Data relating to Coomealla High School"/>
      </w:tblPr>
      <w:tblGrid>
        <w:gridCol w:w="5206"/>
        <w:gridCol w:w="4036"/>
      </w:tblGrid>
      <w:tr w:rsidR="00801B00" w:rsidRPr="009B665B" w14:paraId="0195B460" w14:textId="77777777" w:rsidTr="00FE07F6">
        <w:trPr>
          <w:trHeight w:val="397"/>
        </w:trPr>
        <w:tc>
          <w:tcPr>
            <w:tcW w:w="5206" w:type="dxa"/>
            <w:shd w:val="clear" w:color="auto" w:fill="D9D9D9" w:themeFill="background1" w:themeFillShade="D9"/>
          </w:tcPr>
          <w:p w14:paraId="677068C2" w14:textId="77777777" w:rsidR="00801B00" w:rsidRPr="009B665B" w:rsidRDefault="00801B00" w:rsidP="008308AC">
            <w:pPr>
              <w:rPr>
                <w:rFonts w:ascii="Arial" w:hAnsi="Arial" w:cs="Arial"/>
                <w:b/>
              </w:rPr>
            </w:pPr>
            <w:r w:rsidRPr="009B665B">
              <w:rPr>
                <w:rFonts w:ascii="Arial" w:hAnsi="Arial" w:cs="Arial"/>
                <w:b/>
              </w:rPr>
              <w:t>School name</w:t>
            </w:r>
          </w:p>
        </w:tc>
        <w:tc>
          <w:tcPr>
            <w:tcW w:w="4036" w:type="dxa"/>
          </w:tcPr>
          <w:p w14:paraId="5E6FC998" w14:textId="77777777" w:rsidR="00801B00" w:rsidRPr="009B665B" w:rsidRDefault="00801B00" w:rsidP="008308AC">
            <w:pPr>
              <w:rPr>
                <w:rFonts w:ascii="Arial" w:hAnsi="Arial" w:cs="Arial"/>
              </w:rPr>
            </w:pPr>
            <w:r w:rsidRPr="009B665B">
              <w:rPr>
                <w:rFonts w:ascii="Arial" w:hAnsi="Arial" w:cs="Arial"/>
              </w:rPr>
              <w:t>Coomealla High School</w:t>
            </w:r>
          </w:p>
        </w:tc>
      </w:tr>
      <w:tr w:rsidR="00801B00" w:rsidRPr="009B665B" w14:paraId="50221416" w14:textId="77777777" w:rsidTr="00FE07F6">
        <w:trPr>
          <w:trHeight w:val="397"/>
        </w:trPr>
        <w:tc>
          <w:tcPr>
            <w:tcW w:w="5206" w:type="dxa"/>
            <w:shd w:val="clear" w:color="auto" w:fill="D9D9D9" w:themeFill="background1" w:themeFillShade="D9"/>
          </w:tcPr>
          <w:p w14:paraId="6735666B" w14:textId="77777777" w:rsidR="00801B00" w:rsidRPr="009B665B" w:rsidRDefault="00801B00" w:rsidP="008308AC">
            <w:pPr>
              <w:rPr>
                <w:rFonts w:ascii="Arial" w:hAnsi="Arial" w:cs="Arial"/>
                <w:b/>
              </w:rPr>
            </w:pPr>
            <w:r w:rsidRPr="009B665B">
              <w:rPr>
                <w:rFonts w:ascii="Arial" w:hAnsi="Arial" w:cs="Arial"/>
                <w:b/>
              </w:rPr>
              <w:t>DEEWR school ID</w:t>
            </w:r>
          </w:p>
        </w:tc>
        <w:tc>
          <w:tcPr>
            <w:tcW w:w="4036" w:type="dxa"/>
          </w:tcPr>
          <w:p w14:paraId="06A702C6" w14:textId="6FD152D5" w:rsidR="00801B00" w:rsidRPr="009B665B" w:rsidRDefault="00707DE9" w:rsidP="008308AC">
            <w:pPr>
              <w:rPr>
                <w:rFonts w:ascii="Arial" w:hAnsi="Arial" w:cs="Arial"/>
              </w:rPr>
            </w:pPr>
            <w:r>
              <w:rPr>
                <w:rFonts w:ascii="Arial" w:hAnsi="Arial" w:cs="Arial"/>
              </w:rPr>
              <w:t>6378</w:t>
            </w:r>
          </w:p>
        </w:tc>
      </w:tr>
      <w:tr w:rsidR="00801B00" w:rsidRPr="009B665B" w14:paraId="713EBC3B" w14:textId="77777777" w:rsidTr="00FE07F6">
        <w:trPr>
          <w:trHeight w:val="397"/>
        </w:trPr>
        <w:tc>
          <w:tcPr>
            <w:tcW w:w="5206" w:type="dxa"/>
            <w:shd w:val="clear" w:color="auto" w:fill="D9D9D9" w:themeFill="background1" w:themeFillShade="D9"/>
          </w:tcPr>
          <w:p w14:paraId="466965A3" w14:textId="77777777" w:rsidR="00801B00" w:rsidRPr="009B665B" w:rsidRDefault="00801B00" w:rsidP="008308AC">
            <w:pPr>
              <w:rPr>
                <w:rFonts w:ascii="Arial" w:hAnsi="Arial" w:cs="Arial"/>
                <w:b/>
              </w:rPr>
            </w:pPr>
            <w:r w:rsidRPr="009B665B">
              <w:rPr>
                <w:rFonts w:ascii="Arial" w:hAnsi="Arial" w:cs="Arial"/>
                <w:b/>
              </w:rPr>
              <w:t>Suburb</w:t>
            </w:r>
          </w:p>
        </w:tc>
        <w:tc>
          <w:tcPr>
            <w:tcW w:w="4036" w:type="dxa"/>
          </w:tcPr>
          <w:p w14:paraId="546CE94B" w14:textId="77777777" w:rsidR="00801B00" w:rsidRPr="009B665B" w:rsidRDefault="00801B00" w:rsidP="008308AC">
            <w:pPr>
              <w:rPr>
                <w:rFonts w:ascii="Arial" w:hAnsi="Arial" w:cs="Arial"/>
              </w:rPr>
            </w:pPr>
            <w:r w:rsidRPr="009B665B">
              <w:rPr>
                <w:rFonts w:ascii="Arial" w:hAnsi="Arial" w:cs="Arial"/>
              </w:rPr>
              <w:t>Dareton</w:t>
            </w:r>
          </w:p>
        </w:tc>
      </w:tr>
      <w:tr w:rsidR="00801B00" w:rsidRPr="009B665B" w14:paraId="2412B870" w14:textId="77777777" w:rsidTr="00FE07F6">
        <w:trPr>
          <w:trHeight w:val="397"/>
        </w:trPr>
        <w:tc>
          <w:tcPr>
            <w:tcW w:w="5206" w:type="dxa"/>
            <w:shd w:val="clear" w:color="auto" w:fill="D9D9D9" w:themeFill="background1" w:themeFillShade="D9"/>
          </w:tcPr>
          <w:p w14:paraId="0EC82969" w14:textId="77777777" w:rsidR="00801B00" w:rsidRPr="009B665B" w:rsidRDefault="00801B00" w:rsidP="008308AC">
            <w:pPr>
              <w:rPr>
                <w:rFonts w:ascii="Arial" w:hAnsi="Arial" w:cs="Arial"/>
                <w:b/>
              </w:rPr>
            </w:pPr>
            <w:r w:rsidRPr="009B665B">
              <w:rPr>
                <w:rFonts w:ascii="Arial" w:hAnsi="Arial" w:cs="Arial"/>
                <w:b/>
              </w:rPr>
              <w:t>State/Territory</w:t>
            </w:r>
          </w:p>
        </w:tc>
        <w:tc>
          <w:tcPr>
            <w:tcW w:w="4036" w:type="dxa"/>
          </w:tcPr>
          <w:p w14:paraId="2FE94BEE" w14:textId="77777777" w:rsidR="00801B00" w:rsidRPr="009B665B" w:rsidRDefault="00801B00" w:rsidP="008308AC">
            <w:pPr>
              <w:rPr>
                <w:rFonts w:ascii="Arial" w:hAnsi="Arial" w:cs="Arial"/>
              </w:rPr>
            </w:pPr>
            <w:r w:rsidRPr="009B665B">
              <w:rPr>
                <w:rFonts w:ascii="Arial" w:hAnsi="Arial" w:cs="Arial"/>
              </w:rPr>
              <w:t>NSW</w:t>
            </w:r>
          </w:p>
        </w:tc>
      </w:tr>
      <w:tr w:rsidR="00801B00" w:rsidRPr="009B665B" w14:paraId="695CC6B3" w14:textId="77777777" w:rsidTr="00FE07F6">
        <w:trPr>
          <w:trHeight w:val="397"/>
        </w:trPr>
        <w:tc>
          <w:tcPr>
            <w:tcW w:w="5206" w:type="dxa"/>
            <w:shd w:val="clear" w:color="auto" w:fill="D9D9D9" w:themeFill="background1" w:themeFillShade="D9"/>
          </w:tcPr>
          <w:p w14:paraId="7D3A6565" w14:textId="77777777" w:rsidR="00801B00" w:rsidRPr="009B665B" w:rsidRDefault="00801B00" w:rsidP="008308AC">
            <w:pPr>
              <w:rPr>
                <w:rFonts w:ascii="Arial" w:hAnsi="Arial" w:cs="Arial"/>
                <w:b/>
              </w:rPr>
            </w:pPr>
            <w:r w:rsidRPr="009B665B">
              <w:rPr>
                <w:rFonts w:ascii="Arial" w:hAnsi="Arial" w:cs="Arial"/>
                <w:b/>
              </w:rPr>
              <w:t>Sector</w:t>
            </w:r>
          </w:p>
        </w:tc>
        <w:tc>
          <w:tcPr>
            <w:tcW w:w="4036" w:type="dxa"/>
          </w:tcPr>
          <w:p w14:paraId="4450C32F" w14:textId="77777777" w:rsidR="00801B00" w:rsidRPr="009B665B" w:rsidRDefault="00801B00" w:rsidP="008308AC">
            <w:pPr>
              <w:rPr>
                <w:rFonts w:ascii="Arial" w:hAnsi="Arial" w:cs="Arial"/>
              </w:rPr>
            </w:pPr>
            <w:r w:rsidRPr="009B665B">
              <w:rPr>
                <w:rFonts w:ascii="Arial" w:hAnsi="Arial" w:cs="Arial"/>
              </w:rPr>
              <w:t>Government</w:t>
            </w:r>
          </w:p>
        </w:tc>
      </w:tr>
      <w:tr w:rsidR="00801B00" w:rsidRPr="009B665B" w14:paraId="0C96D45F" w14:textId="77777777" w:rsidTr="00FE07F6">
        <w:trPr>
          <w:trHeight w:val="397"/>
        </w:trPr>
        <w:tc>
          <w:tcPr>
            <w:tcW w:w="5206" w:type="dxa"/>
            <w:shd w:val="clear" w:color="auto" w:fill="D9D9D9" w:themeFill="background1" w:themeFillShade="D9"/>
          </w:tcPr>
          <w:p w14:paraId="273FBF0F" w14:textId="77777777" w:rsidR="00801B00" w:rsidRPr="009B665B" w:rsidRDefault="00801B00" w:rsidP="008308AC">
            <w:pPr>
              <w:rPr>
                <w:rFonts w:ascii="Arial" w:hAnsi="Arial" w:cs="Arial"/>
                <w:b/>
              </w:rPr>
            </w:pPr>
            <w:r w:rsidRPr="009B665B">
              <w:rPr>
                <w:rFonts w:ascii="Arial" w:hAnsi="Arial" w:cs="Arial"/>
                <w:b/>
              </w:rPr>
              <w:t>School type</w:t>
            </w:r>
          </w:p>
        </w:tc>
        <w:tc>
          <w:tcPr>
            <w:tcW w:w="4036" w:type="dxa"/>
          </w:tcPr>
          <w:p w14:paraId="539169DB" w14:textId="77777777" w:rsidR="00801B00" w:rsidRPr="009B665B" w:rsidRDefault="00801B00" w:rsidP="008308AC">
            <w:pPr>
              <w:rPr>
                <w:rFonts w:ascii="Arial" w:hAnsi="Arial" w:cs="Arial"/>
              </w:rPr>
            </w:pPr>
            <w:r w:rsidRPr="009B665B">
              <w:rPr>
                <w:rFonts w:ascii="Arial" w:hAnsi="Arial" w:cs="Arial"/>
              </w:rPr>
              <w:t>Secondary</w:t>
            </w:r>
          </w:p>
        </w:tc>
      </w:tr>
      <w:tr w:rsidR="00801B00" w:rsidRPr="009B665B" w14:paraId="22CD9857" w14:textId="77777777" w:rsidTr="00FE07F6">
        <w:trPr>
          <w:trHeight w:val="397"/>
        </w:trPr>
        <w:tc>
          <w:tcPr>
            <w:tcW w:w="5206" w:type="dxa"/>
            <w:shd w:val="clear" w:color="auto" w:fill="D9D9D9" w:themeFill="background1" w:themeFillShade="D9"/>
          </w:tcPr>
          <w:p w14:paraId="115E03E0" w14:textId="77777777" w:rsidR="00801B00" w:rsidRPr="009B665B" w:rsidRDefault="00801B00" w:rsidP="008308AC">
            <w:pPr>
              <w:rPr>
                <w:rFonts w:ascii="Arial" w:hAnsi="Arial" w:cs="Arial"/>
                <w:b/>
              </w:rPr>
            </w:pPr>
            <w:r w:rsidRPr="009B665B">
              <w:rPr>
                <w:rFonts w:ascii="Arial" w:hAnsi="Arial" w:cs="Arial"/>
                <w:b/>
              </w:rPr>
              <w:t>ARIA categories</w:t>
            </w:r>
          </w:p>
        </w:tc>
        <w:tc>
          <w:tcPr>
            <w:tcW w:w="4036" w:type="dxa"/>
          </w:tcPr>
          <w:p w14:paraId="5EC7672A" w14:textId="77777777" w:rsidR="00801B00" w:rsidRPr="009B665B" w:rsidRDefault="00801B00" w:rsidP="008308AC">
            <w:pPr>
              <w:rPr>
                <w:rFonts w:ascii="Arial" w:hAnsi="Arial" w:cs="Arial"/>
              </w:rPr>
            </w:pPr>
            <w:r w:rsidRPr="009B665B">
              <w:rPr>
                <w:rFonts w:ascii="Arial" w:hAnsi="Arial" w:cs="Arial"/>
              </w:rPr>
              <w:t>Outer Regional</w:t>
            </w:r>
          </w:p>
        </w:tc>
      </w:tr>
      <w:tr w:rsidR="00801B00" w:rsidRPr="009B665B" w14:paraId="782A0A64" w14:textId="77777777" w:rsidTr="00FE07F6">
        <w:trPr>
          <w:trHeight w:val="397"/>
        </w:trPr>
        <w:tc>
          <w:tcPr>
            <w:tcW w:w="5206" w:type="dxa"/>
            <w:shd w:val="clear" w:color="auto" w:fill="D9D9D9" w:themeFill="background1" w:themeFillShade="D9"/>
          </w:tcPr>
          <w:p w14:paraId="445A1287" w14:textId="77777777" w:rsidR="00801B00" w:rsidRPr="009B665B" w:rsidRDefault="00801B00" w:rsidP="008308AC">
            <w:pPr>
              <w:rPr>
                <w:rFonts w:ascii="Arial" w:hAnsi="Arial" w:cs="Arial"/>
                <w:b/>
              </w:rPr>
            </w:pPr>
            <w:r w:rsidRPr="009B665B">
              <w:rPr>
                <w:rFonts w:ascii="Arial" w:hAnsi="Arial" w:cs="Arial"/>
                <w:b/>
              </w:rPr>
              <w:t>2013 enrolments</w:t>
            </w:r>
          </w:p>
        </w:tc>
        <w:tc>
          <w:tcPr>
            <w:tcW w:w="4036" w:type="dxa"/>
          </w:tcPr>
          <w:p w14:paraId="4E85A57A" w14:textId="77777777" w:rsidR="00801B00" w:rsidRPr="009B665B" w:rsidRDefault="00801B00" w:rsidP="008308AC">
            <w:pPr>
              <w:rPr>
                <w:rFonts w:ascii="Arial" w:hAnsi="Arial" w:cs="Arial"/>
              </w:rPr>
            </w:pPr>
            <w:r w:rsidRPr="009B665B">
              <w:rPr>
                <w:rFonts w:ascii="Arial" w:hAnsi="Arial" w:cs="Arial"/>
              </w:rPr>
              <w:t>355</w:t>
            </w:r>
          </w:p>
        </w:tc>
      </w:tr>
      <w:tr w:rsidR="00801B00" w:rsidRPr="009B665B" w14:paraId="42E4DB9F" w14:textId="77777777" w:rsidTr="00FE07F6">
        <w:trPr>
          <w:trHeight w:val="397"/>
        </w:trPr>
        <w:tc>
          <w:tcPr>
            <w:tcW w:w="5206" w:type="dxa"/>
            <w:shd w:val="clear" w:color="auto" w:fill="D9D9D9" w:themeFill="background1" w:themeFillShade="D9"/>
          </w:tcPr>
          <w:p w14:paraId="7FDD8CB2" w14:textId="77777777" w:rsidR="00801B00" w:rsidRPr="009B665B" w:rsidRDefault="00801B00" w:rsidP="008308AC">
            <w:pPr>
              <w:rPr>
                <w:rFonts w:ascii="Arial" w:hAnsi="Arial" w:cs="Arial"/>
                <w:b/>
              </w:rPr>
            </w:pPr>
            <w:r w:rsidRPr="009B665B">
              <w:rPr>
                <w:rFonts w:ascii="Arial" w:hAnsi="Arial" w:cs="Arial"/>
                <w:b/>
              </w:rPr>
              <w:t>Number of Aboriginal and Torres Strait Islander students</w:t>
            </w:r>
          </w:p>
        </w:tc>
        <w:tc>
          <w:tcPr>
            <w:tcW w:w="4036" w:type="dxa"/>
          </w:tcPr>
          <w:p w14:paraId="716B77EE" w14:textId="77777777" w:rsidR="00801B00" w:rsidRPr="009B665B" w:rsidRDefault="00801B00" w:rsidP="008308AC">
            <w:pPr>
              <w:rPr>
                <w:rFonts w:ascii="Arial" w:hAnsi="Arial" w:cs="Arial"/>
              </w:rPr>
            </w:pPr>
            <w:r w:rsidRPr="009B665B">
              <w:rPr>
                <w:rFonts w:ascii="Arial" w:hAnsi="Arial" w:cs="Arial"/>
              </w:rPr>
              <w:t>89</w:t>
            </w:r>
          </w:p>
        </w:tc>
      </w:tr>
      <w:tr w:rsidR="00801B00" w:rsidRPr="009B665B" w14:paraId="6F84F6A3" w14:textId="77777777" w:rsidTr="00FE07F6">
        <w:trPr>
          <w:trHeight w:val="397"/>
        </w:trPr>
        <w:tc>
          <w:tcPr>
            <w:tcW w:w="5206" w:type="dxa"/>
            <w:shd w:val="clear" w:color="auto" w:fill="D9D9D9" w:themeFill="background1" w:themeFillShade="D9"/>
          </w:tcPr>
          <w:p w14:paraId="60CA4DD5" w14:textId="77777777" w:rsidR="00801B00" w:rsidRPr="009B665B" w:rsidRDefault="00801B00" w:rsidP="008308AC">
            <w:pPr>
              <w:rPr>
                <w:rFonts w:ascii="Arial" w:hAnsi="Arial" w:cs="Arial"/>
                <w:b/>
              </w:rPr>
            </w:pPr>
            <w:r w:rsidRPr="009B665B">
              <w:rPr>
                <w:rFonts w:ascii="Arial" w:hAnsi="Arial" w:cs="Arial"/>
                <w:b/>
              </w:rPr>
              <w:t>Number of students with a language background other than English</w:t>
            </w:r>
          </w:p>
        </w:tc>
        <w:tc>
          <w:tcPr>
            <w:tcW w:w="4036" w:type="dxa"/>
          </w:tcPr>
          <w:p w14:paraId="4C18D3DF" w14:textId="77777777" w:rsidR="00801B00" w:rsidRPr="009B665B" w:rsidRDefault="00801B00" w:rsidP="008308AC">
            <w:pPr>
              <w:rPr>
                <w:rFonts w:ascii="Arial" w:hAnsi="Arial" w:cs="Arial"/>
              </w:rPr>
            </w:pPr>
            <w:r w:rsidRPr="009B665B">
              <w:rPr>
                <w:rFonts w:ascii="Arial" w:hAnsi="Arial" w:cs="Arial"/>
              </w:rPr>
              <w:t>10</w:t>
            </w:r>
          </w:p>
        </w:tc>
      </w:tr>
      <w:tr w:rsidR="00801B00" w:rsidRPr="009B665B" w14:paraId="53A903CC" w14:textId="77777777" w:rsidTr="00FE07F6">
        <w:trPr>
          <w:trHeight w:val="397"/>
        </w:trPr>
        <w:tc>
          <w:tcPr>
            <w:tcW w:w="5206" w:type="dxa"/>
            <w:shd w:val="clear" w:color="auto" w:fill="D9D9D9" w:themeFill="background1" w:themeFillShade="D9"/>
          </w:tcPr>
          <w:p w14:paraId="5AF6C93E" w14:textId="77777777" w:rsidR="00801B00" w:rsidRPr="009B665B" w:rsidRDefault="00801B00" w:rsidP="008308AC">
            <w:pPr>
              <w:rPr>
                <w:rFonts w:ascii="Arial" w:hAnsi="Arial" w:cs="Arial"/>
                <w:b/>
              </w:rPr>
            </w:pPr>
            <w:r w:rsidRPr="009B665B">
              <w:rPr>
                <w:rFonts w:ascii="Arial" w:hAnsi="Arial" w:cs="Arial"/>
                <w:b/>
              </w:rPr>
              <w:t>2013 student attendance rate</w:t>
            </w:r>
          </w:p>
        </w:tc>
        <w:tc>
          <w:tcPr>
            <w:tcW w:w="4036" w:type="dxa"/>
          </w:tcPr>
          <w:p w14:paraId="48933D71" w14:textId="77777777" w:rsidR="00801B00" w:rsidRPr="009B665B" w:rsidRDefault="00801B00" w:rsidP="008308AC">
            <w:pPr>
              <w:rPr>
                <w:rFonts w:ascii="Arial" w:hAnsi="Arial" w:cs="Arial"/>
              </w:rPr>
            </w:pPr>
          </w:p>
        </w:tc>
      </w:tr>
      <w:tr w:rsidR="00801B00" w:rsidRPr="009B665B" w14:paraId="189EF584" w14:textId="77777777" w:rsidTr="00FE07F6">
        <w:trPr>
          <w:trHeight w:val="397"/>
        </w:trPr>
        <w:tc>
          <w:tcPr>
            <w:tcW w:w="5206" w:type="dxa"/>
            <w:shd w:val="clear" w:color="auto" w:fill="D9D9D9" w:themeFill="background1" w:themeFillShade="D9"/>
          </w:tcPr>
          <w:p w14:paraId="16038A98" w14:textId="77777777" w:rsidR="00801B00" w:rsidRPr="009B665B" w:rsidRDefault="00801B00" w:rsidP="008308AC">
            <w:pPr>
              <w:rPr>
                <w:rFonts w:ascii="Arial" w:hAnsi="Arial" w:cs="Arial"/>
                <w:b/>
              </w:rPr>
            </w:pPr>
            <w:r w:rsidRPr="009B665B">
              <w:rPr>
                <w:rFonts w:ascii="Arial" w:hAnsi="Arial" w:cs="Arial"/>
                <w:b/>
              </w:rPr>
              <w:t>Literacy and Numeracy National Partnership (LNNP) school</w:t>
            </w:r>
          </w:p>
        </w:tc>
        <w:tc>
          <w:tcPr>
            <w:tcW w:w="4036" w:type="dxa"/>
          </w:tcPr>
          <w:p w14:paraId="20E8A8C3" w14:textId="77777777" w:rsidR="00801B00" w:rsidRPr="009B665B" w:rsidRDefault="00801B00" w:rsidP="008308AC">
            <w:pPr>
              <w:rPr>
                <w:rFonts w:ascii="Arial" w:hAnsi="Arial" w:cs="Arial"/>
              </w:rPr>
            </w:pPr>
            <w:r w:rsidRPr="009B665B">
              <w:rPr>
                <w:rFonts w:ascii="Arial" w:hAnsi="Arial" w:cs="Arial"/>
              </w:rPr>
              <w:t>No</w:t>
            </w:r>
          </w:p>
        </w:tc>
      </w:tr>
      <w:tr w:rsidR="00801B00" w:rsidRPr="009B665B" w14:paraId="5FAF4C6D" w14:textId="77777777" w:rsidTr="00FE07F6">
        <w:trPr>
          <w:trHeight w:val="397"/>
        </w:trPr>
        <w:tc>
          <w:tcPr>
            <w:tcW w:w="5206" w:type="dxa"/>
            <w:shd w:val="clear" w:color="auto" w:fill="D9D9D9" w:themeFill="background1" w:themeFillShade="D9"/>
          </w:tcPr>
          <w:p w14:paraId="253D9708" w14:textId="77777777" w:rsidR="00801B00" w:rsidRPr="009B665B" w:rsidRDefault="00801B00" w:rsidP="008308AC">
            <w:pPr>
              <w:rPr>
                <w:rFonts w:ascii="Arial" w:hAnsi="Arial" w:cs="Arial"/>
                <w:b/>
              </w:rPr>
            </w:pPr>
            <w:r w:rsidRPr="009B665B">
              <w:rPr>
                <w:rFonts w:ascii="Arial" w:hAnsi="Arial" w:cs="Arial"/>
                <w:b/>
              </w:rPr>
              <w:t>Low Socio-Economic Status School Communities National Partnership school</w:t>
            </w:r>
          </w:p>
        </w:tc>
        <w:tc>
          <w:tcPr>
            <w:tcW w:w="4036" w:type="dxa"/>
          </w:tcPr>
          <w:p w14:paraId="46D7CBB9" w14:textId="77777777" w:rsidR="00801B00" w:rsidRPr="009B665B" w:rsidRDefault="00801B00" w:rsidP="008308AC">
            <w:pPr>
              <w:rPr>
                <w:rFonts w:ascii="Arial" w:hAnsi="Arial" w:cs="Arial"/>
              </w:rPr>
            </w:pPr>
            <w:r w:rsidRPr="009B665B">
              <w:rPr>
                <w:rFonts w:ascii="Arial" w:hAnsi="Arial" w:cs="Arial"/>
              </w:rPr>
              <w:t>No</w:t>
            </w:r>
          </w:p>
        </w:tc>
      </w:tr>
    </w:tbl>
    <w:p w14:paraId="0A61CE80" w14:textId="77777777" w:rsidR="00801B00" w:rsidRPr="009B665B" w:rsidRDefault="00801B00" w:rsidP="00525E8A">
      <w:pPr>
        <w:pStyle w:val="Heading3"/>
      </w:pPr>
      <w:r w:rsidRPr="009B665B">
        <w:t>School Background</w:t>
      </w:r>
    </w:p>
    <w:p w14:paraId="653BB6A0" w14:textId="77777777" w:rsidR="00801B00" w:rsidRPr="009B665B" w:rsidRDefault="00801B00" w:rsidP="00525E8A">
      <w:r w:rsidRPr="009B665B">
        <w:t xml:space="preserve">Coomealla High School is a Government high school in the south-western corner of NSW. Students live in a number of small communities, on a range of horticultural and pastoral properties and some students live in very isolated and remote areas. The student enrolment of 355 includes a wide range of academic abilities, socio-economic backgrounds and an Aboriginal student population of 89, which has increased over the recent years.  </w:t>
      </w:r>
    </w:p>
    <w:p w14:paraId="3EDA05D2" w14:textId="77777777" w:rsidR="00801B00" w:rsidRPr="009B665B" w:rsidRDefault="00801B00" w:rsidP="00525E8A">
      <w:r w:rsidRPr="009B665B">
        <w:t xml:space="preserve">Student attendance rate is an issue for the school, especially for Aboriginal students. The attendance rate for Aboriginal students was 76.5% in 2012. The retention rate from Year 10 to Year 12 in 2012 was lower than schools in similar school groups and the state. The percentage of Aboriginal students completing Year 12 in 2012 was 40%. </w:t>
      </w:r>
    </w:p>
    <w:p w14:paraId="4D1E2021" w14:textId="77777777" w:rsidR="00801B00" w:rsidRPr="009B665B" w:rsidRDefault="00801B00" w:rsidP="00525E8A">
      <w:r w:rsidRPr="009B665B">
        <w:t xml:space="preserve">The teaching and administrative staff of 44 includes one Aboriginal teacher. There are also four Aboriginal in-class tutors and an Aboriginal community liaison officer employed.  </w:t>
      </w:r>
    </w:p>
    <w:p w14:paraId="17C37FD6" w14:textId="77777777" w:rsidR="00801B00" w:rsidRPr="009B665B" w:rsidRDefault="00801B00" w:rsidP="00525E8A">
      <w:r w:rsidRPr="009B665B">
        <w:t xml:space="preserve">The school has well established links with partner primary schools, and has developed a transition program where the schools share information to give students the best possible start to high school. To support the transition, a Connected Outcomes Groups (COGs) approach to the curriculum has been implemented for Stage 4 students.  </w:t>
      </w:r>
    </w:p>
    <w:p w14:paraId="420BF328" w14:textId="77777777" w:rsidR="00801B00" w:rsidRPr="009B665B" w:rsidRDefault="00801B00" w:rsidP="00525E8A">
      <w:r w:rsidRPr="009B665B">
        <w:t>Partnerships with local businesses and organisations, including the Wentworth Shire Council, Mildura Development Corporation, Aboriginal Education Consultative Group (AECG), Coomealla Health Aboriginal Corporation, Sunraysia TAFE and Wentworth District Rowing Club provide students with opportunities to be involved in cultural, vocational, arts and sporting activities.</w:t>
      </w:r>
    </w:p>
    <w:p w14:paraId="398F9CE1" w14:textId="77777777" w:rsidR="00801B00" w:rsidRPr="009B665B" w:rsidRDefault="00801B00" w:rsidP="00525E8A">
      <w:pPr>
        <w:pStyle w:val="Heading3"/>
      </w:pPr>
      <w:r w:rsidRPr="009B665B">
        <w:lastRenderedPageBreak/>
        <w:t>ILNNP Approach</w:t>
      </w:r>
    </w:p>
    <w:p w14:paraId="5582424C" w14:textId="77777777" w:rsidR="00801B00" w:rsidRPr="009B665B" w:rsidRDefault="00801B00" w:rsidP="00525E8A">
      <w:r w:rsidRPr="009B665B">
        <w:t xml:space="preserve">In preparation for the Improving Literacy and Numeracy National Partnership (ILNNP), Coomealla High School conducted a rigorous situational analysis which identified numeracy as the school’s focus area. </w:t>
      </w:r>
    </w:p>
    <w:p w14:paraId="0136404B" w14:textId="77777777" w:rsidR="00801B00" w:rsidRPr="009B665B" w:rsidRDefault="00801B00" w:rsidP="00525E8A">
      <w:r w:rsidRPr="009B665B">
        <w:t xml:space="preserve">The 2012 NAPLAN in numeracy showed that a higher percentage of Year 7 and Year 9 students were achieving at or above the national minimum standards compared to students in similar school groups but lower than the State average. The </w:t>
      </w:r>
      <w:r w:rsidR="00FE07F6" w:rsidRPr="009B665B">
        <w:t>percentage of Year 9 students achieving the expected growth was</w:t>
      </w:r>
      <w:r w:rsidRPr="009B665B">
        <w:t xml:space="preserve"> higher compared to students in similar school groups but lower than for the State. While the percentages of Aboriginal students achieving the expected growth in numeracy exceeded those for non-Aboriginal students there were no Year 7 or Year 9 Aboriginal students in the higher bands. </w:t>
      </w:r>
    </w:p>
    <w:p w14:paraId="194D3931" w14:textId="77777777" w:rsidR="00801B00" w:rsidRPr="009B665B" w:rsidRDefault="00801B00" w:rsidP="00525E8A">
      <w:r w:rsidRPr="009B665B">
        <w:t xml:space="preserve">Coomealla High School established an ILNNP team to identify the target group for the initiative. Following an analysis of the NAPLAN data and a range of curriculum-based assessments and standardised testing, and in consultation with the Mathematics faculty and classroom teachers, it was decided to target all Year 7 students. </w:t>
      </w:r>
    </w:p>
    <w:p w14:paraId="4297CC44" w14:textId="77777777" w:rsidR="00801B00" w:rsidRPr="009B665B" w:rsidRDefault="00801B00" w:rsidP="00525E8A">
      <w:r w:rsidRPr="009B665B">
        <w:t xml:space="preserve">The ILNNP approach is underpinned by whole-school strategies and aims to improve the performance of students who are falling behind in numeracy. The school’s specific goal for the target group was to improve the achievement of Year 7 students on the numeracy continuum in the aspects of ‘Counting </w:t>
      </w:r>
      <w:r w:rsidR="00FE07F6" w:rsidRPr="009B665B">
        <w:t>as a</w:t>
      </w:r>
      <w:r w:rsidRPr="009B665B">
        <w:t xml:space="preserve"> Problem Solving Process’ and ‘Place Value.’ </w:t>
      </w:r>
    </w:p>
    <w:p w14:paraId="54842C46" w14:textId="77777777" w:rsidR="00801B00" w:rsidRPr="009B665B" w:rsidRDefault="00801B00" w:rsidP="00525E8A">
      <w:r w:rsidRPr="009B665B">
        <w:t>The professional learning component of the ILNNP approach will support teachers across the Key Learning Areas (KLAs) to incorporate the two identified aspects the numeracy continuum into their classroom practice.</w:t>
      </w:r>
    </w:p>
    <w:p w14:paraId="6DA35A3C" w14:textId="77777777" w:rsidR="00801B00" w:rsidRPr="009B665B" w:rsidRDefault="00801B00" w:rsidP="00525E8A">
      <w:pPr>
        <w:pStyle w:val="Heading3"/>
      </w:pPr>
      <w:r w:rsidRPr="009B665B">
        <w:t xml:space="preserve">Implementation </w:t>
      </w:r>
    </w:p>
    <w:p w14:paraId="2EC9A3B6" w14:textId="77777777" w:rsidR="00801B00" w:rsidRPr="009B665B" w:rsidRDefault="00801B00" w:rsidP="00525E8A">
      <w:r w:rsidRPr="009B665B">
        <w:t xml:space="preserve">Coomealla High School’s ILNNP approach is being coordinated by the cross-faculty ILNNP team. During 2013, the team facilitated a number of strategies, detailed below. </w:t>
      </w:r>
    </w:p>
    <w:p w14:paraId="089A56F6" w14:textId="77777777" w:rsidR="00801B00" w:rsidRPr="009B665B" w:rsidRDefault="00801B00" w:rsidP="00525E8A">
      <w:r w:rsidRPr="009B665B">
        <w:t xml:space="preserve">The employment of a primary based teacher as the numeracy leader to facilitate professional learning for the ILNNP approach. The focus areas for professional learning were informed by staff surveys and discussions during the Teacher Assessment Review Schedule process. The numeracy leader interpreted the baseline data to create numeracy programs addressing the two numeracy aspects of the continuum for all KLAs. The numeracy leader was employed four days per week for the whole of the second semester and provided in-class support through demonstration and team teaching. An additional teacher was employed to support the implementation of the units of work through demonstration lessons and team teaching during Term 4 for one day per week. </w:t>
      </w:r>
    </w:p>
    <w:p w14:paraId="2406C6AE" w14:textId="77777777" w:rsidR="00801B00" w:rsidRPr="009B665B" w:rsidRDefault="00801B00" w:rsidP="00756999">
      <w:pPr>
        <w:pStyle w:val="ListParagraph"/>
        <w:numPr>
          <w:ilvl w:val="0"/>
          <w:numId w:val="22"/>
        </w:numPr>
      </w:pPr>
      <w:r w:rsidRPr="009B665B">
        <w:t>The provision of school-based professional learning on the numeracy continuum by the Mathematics consultant.</w:t>
      </w:r>
    </w:p>
    <w:p w14:paraId="3300B43D" w14:textId="77777777" w:rsidR="00801B00" w:rsidRPr="009B665B" w:rsidRDefault="00801B00" w:rsidP="00756999">
      <w:pPr>
        <w:pStyle w:val="ListParagraph"/>
        <w:numPr>
          <w:ilvl w:val="0"/>
          <w:numId w:val="22"/>
        </w:numPr>
      </w:pPr>
      <w:r w:rsidRPr="009B665B">
        <w:t xml:space="preserve">The provision of teacher professional learning on curriculum differentiation. </w:t>
      </w:r>
    </w:p>
    <w:p w14:paraId="3D0F5663" w14:textId="77777777" w:rsidR="00801B00" w:rsidRPr="009B665B" w:rsidRDefault="00801B00" w:rsidP="00756999">
      <w:pPr>
        <w:pStyle w:val="ListParagraph"/>
        <w:numPr>
          <w:ilvl w:val="0"/>
          <w:numId w:val="22"/>
        </w:numPr>
      </w:pPr>
      <w:r w:rsidRPr="009B665B">
        <w:t>The provision, by the numeracy leader, of in-class support through demonstration and team teaching approaches to incorporating numeracy strategies in teaching and learning across the KLAs.</w:t>
      </w:r>
    </w:p>
    <w:p w14:paraId="1071DFB8" w14:textId="77777777" w:rsidR="00801B00" w:rsidRPr="009B665B" w:rsidRDefault="00801B00" w:rsidP="00756999">
      <w:pPr>
        <w:pStyle w:val="ListParagraph"/>
        <w:numPr>
          <w:ilvl w:val="0"/>
          <w:numId w:val="22"/>
        </w:numPr>
      </w:pPr>
      <w:r w:rsidRPr="009B665B">
        <w:t>The use of the Learning Centre to deliver the numeracy program for students identified as requiring additional support.</w:t>
      </w:r>
    </w:p>
    <w:p w14:paraId="7BA061D1" w14:textId="77777777" w:rsidR="00801B00" w:rsidRPr="009B665B" w:rsidRDefault="00801B00" w:rsidP="00756999">
      <w:pPr>
        <w:pStyle w:val="ListParagraph"/>
        <w:numPr>
          <w:ilvl w:val="0"/>
          <w:numId w:val="22"/>
        </w:numPr>
      </w:pPr>
      <w:r w:rsidRPr="009B665B">
        <w:t>The establishing of extension activities in numeracy through the exploration of problem solving techniques and participation in Mathematics competitions.</w:t>
      </w:r>
    </w:p>
    <w:p w14:paraId="52D5962C" w14:textId="77777777" w:rsidR="00801B00" w:rsidRPr="009B665B" w:rsidRDefault="00801B00" w:rsidP="00756999">
      <w:pPr>
        <w:pStyle w:val="ListParagraph"/>
        <w:numPr>
          <w:ilvl w:val="0"/>
          <w:numId w:val="22"/>
        </w:numPr>
      </w:pPr>
      <w:r w:rsidRPr="009B665B">
        <w:lastRenderedPageBreak/>
        <w:t>The development of personalised learning plans for all Aboriginal students in consultation with parents, students and teachers.</w:t>
      </w:r>
    </w:p>
    <w:p w14:paraId="66EEEA94" w14:textId="77777777" w:rsidR="00801B00" w:rsidRPr="009B665B" w:rsidRDefault="00801B00" w:rsidP="00756999">
      <w:pPr>
        <w:pStyle w:val="ListParagraph"/>
        <w:numPr>
          <w:ilvl w:val="0"/>
          <w:numId w:val="22"/>
        </w:numPr>
      </w:pPr>
      <w:r w:rsidRPr="009B665B">
        <w:t>The building of teacher capacity in the use of information and communication technologies to further engage students in numeracy.</w:t>
      </w:r>
    </w:p>
    <w:p w14:paraId="76AA0C60" w14:textId="77777777" w:rsidR="00801B00" w:rsidRPr="009B665B" w:rsidRDefault="00801B00" w:rsidP="00756999">
      <w:pPr>
        <w:pStyle w:val="ListParagraph"/>
        <w:numPr>
          <w:ilvl w:val="0"/>
          <w:numId w:val="22"/>
        </w:numPr>
      </w:pPr>
      <w:r w:rsidRPr="009B665B">
        <w:t xml:space="preserve">The development of a cross KLA approach to numeracy for all Year 7 classes. This was supported by the existing COGs approach to teaching and learning in Year 7 and 8 classes. </w:t>
      </w:r>
    </w:p>
    <w:p w14:paraId="74A9AC31" w14:textId="77777777" w:rsidR="00801B00" w:rsidRPr="009B665B" w:rsidRDefault="00801B00" w:rsidP="00756999">
      <w:pPr>
        <w:pStyle w:val="ListParagraph"/>
        <w:numPr>
          <w:ilvl w:val="0"/>
          <w:numId w:val="22"/>
        </w:numPr>
      </w:pPr>
      <w:r w:rsidRPr="009B665B">
        <w:t>Teacher release allowing teachers to work with the numeracy leader to build knowledge on the numeracy continuum, place and monitor students on the continuum and write units of work with numeracy aspects embedded in the teaching and learning strategies.</w:t>
      </w:r>
    </w:p>
    <w:p w14:paraId="27CBFB14" w14:textId="77777777" w:rsidR="00801B00" w:rsidRPr="009B665B" w:rsidRDefault="00801B00" w:rsidP="00525E8A">
      <w:pPr>
        <w:pStyle w:val="Heading3"/>
      </w:pPr>
      <w:r w:rsidRPr="009B665B">
        <w:t>Progress/Outcomes</w:t>
      </w:r>
    </w:p>
    <w:p w14:paraId="576BEDA7" w14:textId="77777777" w:rsidR="00801B00" w:rsidRPr="009B665B" w:rsidRDefault="00801B00" w:rsidP="00525E8A">
      <w:r w:rsidRPr="009B665B">
        <w:t>Teachers were both receptive and responsive to the professional learning on the numeracy continuum. They found the professional learning supported them in placing students on the continuum as well as providing them with ideas for future planning.  The main benefit was the use by teachers and students of a common language and methodology across KLAs.</w:t>
      </w:r>
    </w:p>
    <w:p w14:paraId="62891321" w14:textId="77777777" w:rsidR="00801B00" w:rsidRPr="009B665B" w:rsidRDefault="00801B00" w:rsidP="00525E8A">
      <w:r w:rsidRPr="009B665B">
        <w:t>The demonstrations and team teaching conducted by the additional, ILNNP funded teachers, provided a more hands on approach to incorporating numeracy into the KLAs. They demonstrated a differentiated approach to teaching and learning.</w:t>
      </w:r>
    </w:p>
    <w:p w14:paraId="3FAFD5AB" w14:textId="77777777" w:rsidR="00801B00" w:rsidRPr="009B665B" w:rsidRDefault="00801B00" w:rsidP="00525E8A">
      <w:r w:rsidRPr="009B665B">
        <w:t>Student outcome data revealed the strength of the activities undertaken so far. The numbers of Aboriginal and non-Aboriginal students below expectations was halved between the May and November data collections. There has been a corresponding increase in the numbers of Aboriginal and non-Aboriginal students at or above expectations, with further progress anticipated for 2014.</w:t>
      </w:r>
    </w:p>
    <w:p w14:paraId="6BE0D07C" w14:textId="77777777" w:rsidR="00801B00" w:rsidRPr="004E7532" w:rsidRDefault="00801B00" w:rsidP="00801B00">
      <w:pPr>
        <w:rPr>
          <w:b/>
          <w:sz w:val="24"/>
          <w:szCs w:val="24"/>
          <w:u w:val="single"/>
        </w:rPr>
      </w:pPr>
      <w:r w:rsidRPr="004E7532">
        <w:rPr>
          <w:b/>
          <w:sz w:val="24"/>
          <w:szCs w:val="24"/>
          <w:u w:val="single"/>
        </w:rPr>
        <w:br w:type="page"/>
      </w:r>
    </w:p>
    <w:p w14:paraId="2AAB0807" w14:textId="77777777" w:rsidR="00801B00" w:rsidRPr="009B665B" w:rsidRDefault="00801B00" w:rsidP="00525E8A">
      <w:pPr>
        <w:pStyle w:val="Heading2"/>
      </w:pPr>
      <w:r w:rsidRPr="009B665B">
        <w:lastRenderedPageBreak/>
        <w:t xml:space="preserve">ILNNP SHOW CASE </w:t>
      </w:r>
    </w:p>
    <w:tbl>
      <w:tblPr>
        <w:tblStyle w:val="TableGrid7"/>
        <w:tblW w:w="0" w:type="auto"/>
        <w:tblLook w:val="04A0" w:firstRow="1" w:lastRow="0" w:firstColumn="1" w:lastColumn="0" w:noHBand="0" w:noVBand="1"/>
        <w:tblCaption w:val="ILNNP show case - Bourke-Walgett School of Distance Education"/>
        <w:tblDescription w:val="Data relating to  Bourke-Walgett School of Distance Education"/>
      </w:tblPr>
      <w:tblGrid>
        <w:gridCol w:w="5200"/>
        <w:gridCol w:w="4042"/>
      </w:tblGrid>
      <w:tr w:rsidR="00801B00" w:rsidRPr="009B665B" w14:paraId="7C6330A9" w14:textId="77777777" w:rsidTr="00FE07F6">
        <w:trPr>
          <w:trHeight w:val="397"/>
        </w:trPr>
        <w:tc>
          <w:tcPr>
            <w:tcW w:w="5200" w:type="dxa"/>
            <w:shd w:val="clear" w:color="auto" w:fill="D9D9D9" w:themeFill="background1" w:themeFillShade="D9"/>
          </w:tcPr>
          <w:p w14:paraId="7E5FCC6E" w14:textId="77777777" w:rsidR="00801B00" w:rsidRPr="009B665B" w:rsidRDefault="00801B00" w:rsidP="008308AC">
            <w:pPr>
              <w:rPr>
                <w:rFonts w:ascii="Arial" w:hAnsi="Arial" w:cs="Arial"/>
                <w:b/>
              </w:rPr>
            </w:pPr>
            <w:r w:rsidRPr="009B665B">
              <w:rPr>
                <w:rFonts w:ascii="Arial" w:hAnsi="Arial" w:cs="Arial"/>
                <w:b/>
              </w:rPr>
              <w:t>School name</w:t>
            </w:r>
          </w:p>
        </w:tc>
        <w:tc>
          <w:tcPr>
            <w:tcW w:w="4042" w:type="dxa"/>
          </w:tcPr>
          <w:p w14:paraId="3C329AA3" w14:textId="77777777" w:rsidR="00801B00" w:rsidRPr="009B665B" w:rsidRDefault="00801B00" w:rsidP="008308AC">
            <w:pPr>
              <w:rPr>
                <w:rFonts w:ascii="Arial" w:hAnsi="Arial" w:cs="Arial"/>
              </w:rPr>
            </w:pPr>
            <w:r w:rsidRPr="009B665B">
              <w:rPr>
                <w:rFonts w:ascii="Arial" w:hAnsi="Arial" w:cs="Arial"/>
              </w:rPr>
              <w:t>Bourke-Walgett School of Distance Education</w:t>
            </w:r>
          </w:p>
        </w:tc>
      </w:tr>
      <w:tr w:rsidR="00801B00" w:rsidRPr="009B665B" w14:paraId="05DCF1E9" w14:textId="77777777" w:rsidTr="00FE07F6">
        <w:trPr>
          <w:trHeight w:val="397"/>
        </w:trPr>
        <w:tc>
          <w:tcPr>
            <w:tcW w:w="5200" w:type="dxa"/>
            <w:shd w:val="clear" w:color="auto" w:fill="D9D9D9" w:themeFill="background1" w:themeFillShade="D9"/>
          </w:tcPr>
          <w:p w14:paraId="044EAE3F" w14:textId="77777777" w:rsidR="00801B00" w:rsidRPr="009B665B" w:rsidRDefault="00801B00" w:rsidP="008308AC">
            <w:pPr>
              <w:rPr>
                <w:rFonts w:ascii="Arial" w:hAnsi="Arial" w:cs="Arial"/>
                <w:b/>
              </w:rPr>
            </w:pPr>
            <w:r w:rsidRPr="009B665B">
              <w:rPr>
                <w:rFonts w:ascii="Arial" w:hAnsi="Arial" w:cs="Arial"/>
                <w:b/>
              </w:rPr>
              <w:t>DEEWR school ID</w:t>
            </w:r>
          </w:p>
        </w:tc>
        <w:tc>
          <w:tcPr>
            <w:tcW w:w="4042" w:type="dxa"/>
          </w:tcPr>
          <w:p w14:paraId="597F5B43" w14:textId="77777777" w:rsidR="00801B00" w:rsidRPr="009B665B" w:rsidRDefault="00801B00" w:rsidP="008308AC">
            <w:pPr>
              <w:rPr>
                <w:rFonts w:ascii="Arial" w:hAnsi="Arial" w:cs="Arial"/>
              </w:rPr>
            </w:pPr>
            <w:r w:rsidRPr="009B665B">
              <w:rPr>
                <w:rFonts w:ascii="Arial" w:hAnsi="Arial" w:cs="Arial"/>
              </w:rPr>
              <w:t>24735</w:t>
            </w:r>
          </w:p>
        </w:tc>
      </w:tr>
      <w:tr w:rsidR="00801B00" w:rsidRPr="009B665B" w14:paraId="7052980D" w14:textId="77777777" w:rsidTr="00FE07F6">
        <w:trPr>
          <w:trHeight w:val="397"/>
        </w:trPr>
        <w:tc>
          <w:tcPr>
            <w:tcW w:w="5200" w:type="dxa"/>
            <w:shd w:val="clear" w:color="auto" w:fill="D9D9D9" w:themeFill="background1" w:themeFillShade="D9"/>
          </w:tcPr>
          <w:p w14:paraId="08391F96" w14:textId="77777777" w:rsidR="00801B00" w:rsidRPr="009B665B" w:rsidRDefault="00801B00" w:rsidP="008308AC">
            <w:pPr>
              <w:rPr>
                <w:rFonts w:ascii="Arial" w:hAnsi="Arial" w:cs="Arial"/>
                <w:b/>
              </w:rPr>
            </w:pPr>
            <w:r w:rsidRPr="009B665B">
              <w:rPr>
                <w:rFonts w:ascii="Arial" w:hAnsi="Arial" w:cs="Arial"/>
                <w:b/>
              </w:rPr>
              <w:t>Suburb</w:t>
            </w:r>
          </w:p>
        </w:tc>
        <w:tc>
          <w:tcPr>
            <w:tcW w:w="4042" w:type="dxa"/>
          </w:tcPr>
          <w:p w14:paraId="127D69DA" w14:textId="77777777" w:rsidR="00801B00" w:rsidRPr="009B665B" w:rsidRDefault="00801B00" w:rsidP="008308AC">
            <w:pPr>
              <w:rPr>
                <w:rFonts w:ascii="Arial" w:hAnsi="Arial" w:cs="Arial"/>
              </w:rPr>
            </w:pPr>
            <w:r w:rsidRPr="009B665B">
              <w:rPr>
                <w:rFonts w:ascii="Arial" w:hAnsi="Arial" w:cs="Arial"/>
              </w:rPr>
              <w:t>2 sites: Bourke and Walgett</w:t>
            </w:r>
          </w:p>
        </w:tc>
      </w:tr>
      <w:tr w:rsidR="00801B00" w:rsidRPr="009B665B" w14:paraId="168724DB" w14:textId="77777777" w:rsidTr="00FE07F6">
        <w:trPr>
          <w:trHeight w:val="397"/>
        </w:trPr>
        <w:tc>
          <w:tcPr>
            <w:tcW w:w="5200" w:type="dxa"/>
            <w:shd w:val="clear" w:color="auto" w:fill="D9D9D9" w:themeFill="background1" w:themeFillShade="D9"/>
          </w:tcPr>
          <w:p w14:paraId="2BA00BFB" w14:textId="77777777" w:rsidR="00801B00" w:rsidRPr="009B665B" w:rsidRDefault="00801B00" w:rsidP="008308AC">
            <w:pPr>
              <w:rPr>
                <w:rFonts w:ascii="Arial" w:hAnsi="Arial" w:cs="Arial"/>
                <w:b/>
              </w:rPr>
            </w:pPr>
            <w:r w:rsidRPr="009B665B">
              <w:rPr>
                <w:rFonts w:ascii="Arial" w:hAnsi="Arial" w:cs="Arial"/>
                <w:b/>
              </w:rPr>
              <w:t>State/Territory</w:t>
            </w:r>
          </w:p>
        </w:tc>
        <w:tc>
          <w:tcPr>
            <w:tcW w:w="4042" w:type="dxa"/>
          </w:tcPr>
          <w:p w14:paraId="35F86D55" w14:textId="77777777" w:rsidR="00801B00" w:rsidRPr="009B665B" w:rsidRDefault="00801B00" w:rsidP="008308AC">
            <w:pPr>
              <w:rPr>
                <w:rFonts w:ascii="Arial" w:hAnsi="Arial" w:cs="Arial"/>
              </w:rPr>
            </w:pPr>
            <w:r w:rsidRPr="009B665B">
              <w:rPr>
                <w:rFonts w:ascii="Arial" w:hAnsi="Arial" w:cs="Arial"/>
              </w:rPr>
              <w:t>NSW</w:t>
            </w:r>
          </w:p>
        </w:tc>
      </w:tr>
      <w:tr w:rsidR="00801B00" w:rsidRPr="009B665B" w14:paraId="7A877CCA" w14:textId="77777777" w:rsidTr="00FE07F6">
        <w:trPr>
          <w:trHeight w:val="397"/>
        </w:trPr>
        <w:tc>
          <w:tcPr>
            <w:tcW w:w="5200" w:type="dxa"/>
            <w:shd w:val="clear" w:color="auto" w:fill="D9D9D9" w:themeFill="background1" w:themeFillShade="D9"/>
          </w:tcPr>
          <w:p w14:paraId="599DAA44" w14:textId="77777777" w:rsidR="00801B00" w:rsidRPr="009B665B" w:rsidRDefault="00801B00" w:rsidP="008308AC">
            <w:pPr>
              <w:rPr>
                <w:rFonts w:ascii="Arial" w:hAnsi="Arial" w:cs="Arial"/>
                <w:b/>
              </w:rPr>
            </w:pPr>
            <w:r w:rsidRPr="009B665B">
              <w:rPr>
                <w:rFonts w:ascii="Arial" w:hAnsi="Arial" w:cs="Arial"/>
                <w:b/>
              </w:rPr>
              <w:t>Sector</w:t>
            </w:r>
          </w:p>
        </w:tc>
        <w:tc>
          <w:tcPr>
            <w:tcW w:w="4042" w:type="dxa"/>
          </w:tcPr>
          <w:p w14:paraId="1099E233" w14:textId="77777777" w:rsidR="00801B00" w:rsidRPr="009B665B" w:rsidRDefault="00801B00" w:rsidP="008308AC">
            <w:pPr>
              <w:rPr>
                <w:rFonts w:ascii="Arial" w:hAnsi="Arial" w:cs="Arial"/>
              </w:rPr>
            </w:pPr>
            <w:r w:rsidRPr="009B665B">
              <w:rPr>
                <w:rFonts w:ascii="Arial" w:hAnsi="Arial" w:cs="Arial"/>
              </w:rPr>
              <w:t>Government</w:t>
            </w:r>
          </w:p>
        </w:tc>
      </w:tr>
      <w:tr w:rsidR="00801B00" w:rsidRPr="009B665B" w14:paraId="69A91A8F" w14:textId="77777777" w:rsidTr="00FE07F6">
        <w:trPr>
          <w:trHeight w:val="397"/>
        </w:trPr>
        <w:tc>
          <w:tcPr>
            <w:tcW w:w="5200" w:type="dxa"/>
            <w:shd w:val="clear" w:color="auto" w:fill="D9D9D9" w:themeFill="background1" w:themeFillShade="D9"/>
          </w:tcPr>
          <w:p w14:paraId="3ACB4F6A" w14:textId="77777777" w:rsidR="00801B00" w:rsidRPr="009B665B" w:rsidRDefault="00801B00" w:rsidP="008308AC">
            <w:pPr>
              <w:rPr>
                <w:rFonts w:ascii="Arial" w:hAnsi="Arial" w:cs="Arial"/>
                <w:b/>
              </w:rPr>
            </w:pPr>
            <w:r w:rsidRPr="009B665B">
              <w:rPr>
                <w:rFonts w:ascii="Arial" w:hAnsi="Arial" w:cs="Arial"/>
                <w:b/>
              </w:rPr>
              <w:t>School type</w:t>
            </w:r>
          </w:p>
        </w:tc>
        <w:tc>
          <w:tcPr>
            <w:tcW w:w="4042" w:type="dxa"/>
          </w:tcPr>
          <w:p w14:paraId="24B25D11" w14:textId="77777777" w:rsidR="00801B00" w:rsidRPr="009B665B" w:rsidRDefault="00801B00" w:rsidP="008308AC">
            <w:pPr>
              <w:rPr>
                <w:rFonts w:ascii="Arial" w:hAnsi="Arial" w:cs="Arial"/>
              </w:rPr>
            </w:pPr>
            <w:r w:rsidRPr="009B665B">
              <w:rPr>
                <w:rFonts w:ascii="Arial" w:hAnsi="Arial" w:cs="Arial"/>
              </w:rPr>
              <w:t>Primary</w:t>
            </w:r>
          </w:p>
        </w:tc>
      </w:tr>
      <w:tr w:rsidR="00801B00" w:rsidRPr="009B665B" w14:paraId="7F20BF52" w14:textId="77777777" w:rsidTr="00FE07F6">
        <w:trPr>
          <w:trHeight w:val="397"/>
        </w:trPr>
        <w:tc>
          <w:tcPr>
            <w:tcW w:w="5200" w:type="dxa"/>
            <w:shd w:val="clear" w:color="auto" w:fill="D9D9D9" w:themeFill="background1" w:themeFillShade="D9"/>
          </w:tcPr>
          <w:p w14:paraId="176CC16F" w14:textId="77777777" w:rsidR="00801B00" w:rsidRPr="009B665B" w:rsidRDefault="00801B00" w:rsidP="008308AC">
            <w:pPr>
              <w:rPr>
                <w:rFonts w:ascii="Arial" w:hAnsi="Arial" w:cs="Arial"/>
                <w:b/>
              </w:rPr>
            </w:pPr>
            <w:r w:rsidRPr="009B665B">
              <w:rPr>
                <w:rFonts w:ascii="Arial" w:hAnsi="Arial" w:cs="Arial"/>
                <w:b/>
              </w:rPr>
              <w:t>ARIA categories</w:t>
            </w:r>
          </w:p>
        </w:tc>
        <w:tc>
          <w:tcPr>
            <w:tcW w:w="4042" w:type="dxa"/>
          </w:tcPr>
          <w:p w14:paraId="42457EDD" w14:textId="77777777" w:rsidR="00801B00" w:rsidRPr="009B665B" w:rsidRDefault="00801B00" w:rsidP="008308AC">
            <w:pPr>
              <w:rPr>
                <w:rFonts w:ascii="Arial" w:hAnsi="Arial" w:cs="Arial"/>
              </w:rPr>
            </w:pPr>
            <w:r w:rsidRPr="009B665B">
              <w:rPr>
                <w:rFonts w:ascii="Arial" w:hAnsi="Arial" w:cs="Arial"/>
              </w:rPr>
              <w:t>Very Remote</w:t>
            </w:r>
          </w:p>
        </w:tc>
      </w:tr>
      <w:tr w:rsidR="00801B00" w:rsidRPr="009B665B" w14:paraId="4F84B536" w14:textId="77777777" w:rsidTr="00FE07F6">
        <w:trPr>
          <w:trHeight w:val="397"/>
        </w:trPr>
        <w:tc>
          <w:tcPr>
            <w:tcW w:w="5200" w:type="dxa"/>
            <w:shd w:val="clear" w:color="auto" w:fill="D9D9D9" w:themeFill="background1" w:themeFillShade="D9"/>
          </w:tcPr>
          <w:p w14:paraId="2658A13B" w14:textId="77777777" w:rsidR="00801B00" w:rsidRPr="009B665B" w:rsidRDefault="00801B00" w:rsidP="008308AC">
            <w:pPr>
              <w:rPr>
                <w:rFonts w:ascii="Arial" w:hAnsi="Arial" w:cs="Arial"/>
                <w:b/>
              </w:rPr>
            </w:pPr>
            <w:r w:rsidRPr="009B665B">
              <w:rPr>
                <w:rFonts w:ascii="Arial" w:hAnsi="Arial" w:cs="Arial"/>
                <w:b/>
              </w:rPr>
              <w:t>2013 enrolments</w:t>
            </w:r>
          </w:p>
        </w:tc>
        <w:tc>
          <w:tcPr>
            <w:tcW w:w="4042" w:type="dxa"/>
          </w:tcPr>
          <w:p w14:paraId="312E1267" w14:textId="77777777" w:rsidR="00801B00" w:rsidRPr="009B665B" w:rsidRDefault="00801B00" w:rsidP="008308AC">
            <w:pPr>
              <w:rPr>
                <w:rFonts w:ascii="Arial" w:hAnsi="Arial" w:cs="Arial"/>
              </w:rPr>
            </w:pPr>
            <w:r w:rsidRPr="009B665B">
              <w:rPr>
                <w:rFonts w:ascii="Arial" w:hAnsi="Arial" w:cs="Arial"/>
              </w:rPr>
              <w:t>72</w:t>
            </w:r>
          </w:p>
        </w:tc>
      </w:tr>
      <w:tr w:rsidR="00801B00" w:rsidRPr="009B665B" w14:paraId="35AD4A95" w14:textId="77777777" w:rsidTr="00FE07F6">
        <w:trPr>
          <w:trHeight w:val="397"/>
        </w:trPr>
        <w:tc>
          <w:tcPr>
            <w:tcW w:w="5200" w:type="dxa"/>
            <w:shd w:val="clear" w:color="auto" w:fill="D9D9D9" w:themeFill="background1" w:themeFillShade="D9"/>
          </w:tcPr>
          <w:p w14:paraId="3128B082" w14:textId="77777777" w:rsidR="00801B00" w:rsidRPr="009B665B" w:rsidRDefault="00801B00" w:rsidP="008308AC">
            <w:pPr>
              <w:rPr>
                <w:rFonts w:ascii="Arial" w:hAnsi="Arial" w:cs="Arial"/>
                <w:b/>
              </w:rPr>
            </w:pPr>
            <w:r w:rsidRPr="009B665B">
              <w:rPr>
                <w:rFonts w:ascii="Arial" w:hAnsi="Arial" w:cs="Arial"/>
                <w:b/>
              </w:rPr>
              <w:t>Number of Aboriginal and Torres Strait Islander students</w:t>
            </w:r>
          </w:p>
        </w:tc>
        <w:tc>
          <w:tcPr>
            <w:tcW w:w="4042" w:type="dxa"/>
          </w:tcPr>
          <w:p w14:paraId="0108478B" w14:textId="77777777" w:rsidR="00801B00" w:rsidRPr="009B665B" w:rsidRDefault="00801B00" w:rsidP="008308AC">
            <w:pPr>
              <w:rPr>
                <w:rFonts w:ascii="Arial" w:hAnsi="Arial" w:cs="Arial"/>
              </w:rPr>
            </w:pPr>
            <w:r w:rsidRPr="009B665B">
              <w:rPr>
                <w:rFonts w:ascii="Arial" w:hAnsi="Arial" w:cs="Arial"/>
              </w:rPr>
              <w:t>2%</w:t>
            </w:r>
          </w:p>
        </w:tc>
      </w:tr>
      <w:tr w:rsidR="00801B00" w:rsidRPr="009B665B" w14:paraId="6AF217F7" w14:textId="77777777" w:rsidTr="00FE07F6">
        <w:trPr>
          <w:trHeight w:val="397"/>
        </w:trPr>
        <w:tc>
          <w:tcPr>
            <w:tcW w:w="5200" w:type="dxa"/>
            <w:shd w:val="clear" w:color="auto" w:fill="D9D9D9" w:themeFill="background1" w:themeFillShade="D9"/>
          </w:tcPr>
          <w:p w14:paraId="5412FA9D" w14:textId="77777777" w:rsidR="00801B00" w:rsidRPr="009B665B" w:rsidRDefault="00801B00" w:rsidP="008308AC">
            <w:pPr>
              <w:rPr>
                <w:rFonts w:ascii="Arial" w:hAnsi="Arial" w:cs="Arial"/>
                <w:b/>
              </w:rPr>
            </w:pPr>
            <w:r w:rsidRPr="009B665B">
              <w:rPr>
                <w:rFonts w:ascii="Arial" w:hAnsi="Arial" w:cs="Arial"/>
                <w:b/>
              </w:rPr>
              <w:t>Number of students with a language background other than English</w:t>
            </w:r>
          </w:p>
        </w:tc>
        <w:tc>
          <w:tcPr>
            <w:tcW w:w="4042" w:type="dxa"/>
          </w:tcPr>
          <w:p w14:paraId="77253F16" w14:textId="77777777" w:rsidR="00801B00" w:rsidRPr="009B665B" w:rsidRDefault="00801B00" w:rsidP="008308AC">
            <w:pPr>
              <w:rPr>
                <w:rFonts w:ascii="Arial" w:hAnsi="Arial" w:cs="Arial"/>
              </w:rPr>
            </w:pPr>
            <w:r w:rsidRPr="009B665B">
              <w:rPr>
                <w:rFonts w:ascii="Arial" w:hAnsi="Arial" w:cs="Arial"/>
              </w:rPr>
              <w:t>0</w:t>
            </w:r>
          </w:p>
        </w:tc>
      </w:tr>
      <w:tr w:rsidR="00801B00" w:rsidRPr="009B665B" w14:paraId="4FDD627B" w14:textId="77777777" w:rsidTr="00FE07F6">
        <w:trPr>
          <w:trHeight w:val="397"/>
        </w:trPr>
        <w:tc>
          <w:tcPr>
            <w:tcW w:w="5200" w:type="dxa"/>
            <w:shd w:val="clear" w:color="auto" w:fill="D9D9D9" w:themeFill="background1" w:themeFillShade="D9"/>
          </w:tcPr>
          <w:p w14:paraId="648E4B00" w14:textId="77777777" w:rsidR="00801B00" w:rsidRPr="009B665B" w:rsidRDefault="00801B00" w:rsidP="008308AC">
            <w:pPr>
              <w:rPr>
                <w:rFonts w:ascii="Arial" w:hAnsi="Arial" w:cs="Arial"/>
                <w:b/>
              </w:rPr>
            </w:pPr>
            <w:r w:rsidRPr="009B665B">
              <w:rPr>
                <w:rFonts w:ascii="Arial" w:hAnsi="Arial" w:cs="Arial"/>
                <w:b/>
              </w:rPr>
              <w:t>2013 student attendance rate</w:t>
            </w:r>
          </w:p>
        </w:tc>
        <w:tc>
          <w:tcPr>
            <w:tcW w:w="4042" w:type="dxa"/>
          </w:tcPr>
          <w:p w14:paraId="41E02AF9" w14:textId="77777777" w:rsidR="00801B00" w:rsidRPr="009B665B" w:rsidRDefault="00801B00" w:rsidP="008308AC">
            <w:pPr>
              <w:rPr>
                <w:rFonts w:ascii="Arial" w:hAnsi="Arial" w:cs="Arial"/>
              </w:rPr>
            </w:pPr>
            <w:r w:rsidRPr="009B665B">
              <w:rPr>
                <w:rFonts w:ascii="Arial" w:hAnsi="Arial" w:cs="Arial"/>
              </w:rPr>
              <w:t>Measurement of student attendance on a daily rate is not reported on by Distance Education Schools. Bourke-Walgett School of Distance Education’s attendance rates are based on attending and participating in the scheduled learning programs as well as the number of returned sets of work.</w:t>
            </w:r>
          </w:p>
        </w:tc>
      </w:tr>
      <w:tr w:rsidR="00801B00" w:rsidRPr="009B665B" w14:paraId="04B2AEAD" w14:textId="77777777" w:rsidTr="00FE07F6">
        <w:trPr>
          <w:trHeight w:val="397"/>
        </w:trPr>
        <w:tc>
          <w:tcPr>
            <w:tcW w:w="5200" w:type="dxa"/>
            <w:shd w:val="clear" w:color="auto" w:fill="D9D9D9" w:themeFill="background1" w:themeFillShade="D9"/>
          </w:tcPr>
          <w:p w14:paraId="7B17E238" w14:textId="77777777" w:rsidR="00801B00" w:rsidRPr="009B665B" w:rsidRDefault="00801B00" w:rsidP="008308AC">
            <w:pPr>
              <w:rPr>
                <w:rFonts w:ascii="Arial" w:hAnsi="Arial" w:cs="Arial"/>
                <w:b/>
              </w:rPr>
            </w:pPr>
            <w:r w:rsidRPr="009B665B">
              <w:rPr>
                <w:rFonts w:ascii="Arial" w:hAnsi="Arial" w:cs="Arial"/>
                <w:b/>
              </w:rPr>
              <w:t>Literacy and Numeracy National Partnership (LNNP) school</w:t>
            </w:r>
          </w:p>
        </w:tc>
        <w:tc>
          <w:tcPr>
            <w:tcW w:w="4042" w:type="dxa"/>
          </w:tcPr>
          <w:p w14:paraId="5E4E80DE" w14:textId="77777777" w:rsidR="00801B00" w:rsidRPr="009B665B" w:rsidRDefault="00801B00" w:rsidP="008308AC">
            <w:pPr>
              <w:rPr>
                <w:rFonts w:ascii="Arial" w:hAnsi="Arial" w:cs="Arial"/>
              </w:rPr>
            </w:pPr>
            <w:r w:rsidRPr="009B665B">
              <w:rPr>
                <w:rFonts w:ascii="Arial" w:hAnsi="Arial" w:cs="Arial"/>
              </w:rPr>
              <w:t>No</w:t>
            </w:r>
          </w:p>
        </w:tc>
      </w:tr>
      <w:tr w:rsidR="00801B00" w:rsidRPr="009B665B" w14:paraId="3EE6A7D7" w14:textId="77777777" w:rsidTr="00FE07F6">
        <w:trPr>
          <w:trHeight w:val="397"/>
        </w:trPr>
        <w:tc>
          <w:tcPr>
            <w:tcW w:w="5200" w:type="dxa"/>
            <w:shd w:val="clear" w:color="auto" w:fill="D9D9D9" w:themeFill="background1" w:themeFillShade="D9"/>
          </w:tcPr>
          <w:p w14:paraId="55E3D726" w14:textId="77777777" w:rsidR="00801B00" w:rsidRPr="009B665B" w:rsidRDefault="00801B00" w:rsidP="008308AC">
            <w:pPr>
              <w:rPr>
                <w:rFonts w:ascii="Arial" w:hAnsi="Arial" w:cs="Arial"/>
                <w:b/>
              </w:rPr>
            </w:pPr>
            <w:r w:rsidRPr="009B665B">
              <w:rPr>
                <w:rFonts w:ascii="Arial" w:hAnsi="Arial" w:cs="Arial"/>
                <w:b/>
              </w:rPr>
              <w:t>Low Socio-Economic Status School Communities National Partnership school</w:t>
            </w:r>
          </w:p>
        </w:tc>
        <w:tc>
          <w:tcPr>
            <w:tcW w:w="4042" w:type="dxa"/>
          </w:tcPr>
          <w:p w14:paraId="20C19E67" w14:textId="77777777" w:rsidR="00801B00" w:rsidRPr="009B665B" w:rsidRDefault="00801B00" w:rsidP="008308AC">
            <w:pPr>
              <w:rPr>
                <w:rFonts w:ascii="Arial" w:hAnsi="Arial" w:cs="Arial"/>
              </w:rPr>
            </w:pPr>
            <w:r w:rsidRPr="009B665B">
              <w:rPr>
                <w:rFonts w:ascii="Arial" w:hAnsi="Arial" w:cs="Arial"/>
              </w:rPr>
              <w:t>No</w:t>
            </w:r>
          </w:p>
        </w:tc>
      </w:tr>
    </w:tbl>
    <w:p w14:paraId="6F5AEE84" w14:textId="77777777" w:rsidR="00801B00" w:rsidRPr="009B665B" w:rsidRDefault="00801B00" w:rsidP="00525E8A">
      <w:pPr>
        <w:pStyle w:val="Heading3"/>
      </w:pPr>
      <w:r w:rsidRPr="009B665B">
        <w:t>School Background</w:t>
      </w:r>
    </w:p>
    <w:p w14:paraId="0E7D33D2" w14:textId="77777777" w:rsidR="00801B00" w:rsidRPr="009B665B" w:rsidRDefault="00801B00" w:rsidP="00CA255D">
      <w:r w:rsidRPr="009B665B">
        <w:t>Bourke Walgett School of Distance Education is a split site Distance Education Primary School with sites 230 kilometres apart, one in Walgett, one in Bourke. The school supports its teaching and learning program through the use of the Satellite Education Program for all geographically isolated enrolments. Bourke-Walgett School of Distance Education provides individual programs for students who cannot attend a regular school. These programs cater for a range of students including students with medical conditions, travelling and isolated students. The school has a strong focus on utilising technologies such as satellite delivery and videoconferencing that create collaborative class groups. The satellite upgrade in 2013 saw the introduction of the new software REACT which allows 2 way audio and vision.</w:t>
      </w:r>
    </w:p>
    <w:p w14:paraId="7439A81F" w14:textId="77777777" w:rsidR="00801B00" w:rsidRPr="009B665B" w:rsidRDefault="00801B00" w:rsidP="00CA255D">
      <w:r w:rsidRPr="009B665B">
        <w:t>The student enrolment of 72 consists primarily of geographically isolated students, with a small number of travelling students enrolled in the school for periods of between 3 and 12 months.</w:t>
      </w:r>
    </w:p>
    <w:p w14:paraId="62F3AD3D" w14:textId="77777777" w:rsidR="00801B00" w:rsidRPr="009B665B" w:rsidRDefault="00801B00" w:rsidP="00CA255D">
      <w:r w:rsidRPr="009B665B">
        <w:t>Field Services such as home visits and mini schools are offered to all isolated students. Home visits are conducted during Term 1 and are used as opportunities to experience the child's environment, conduct assessments and discuss issues with the teacher. Mini schools are conducted at the end of term for a duration of four days. Students are exposed to a social and academic setting that encourages them to participate in many group and team based activities.</w:t>
      </w:r>
      <w:r w:rsidRPr="009B665B">
        <w:tab/>
      </w:r>
    </w:p>
    <w:p w14:paraId="3949E04B" w14:textId="77777777" w:rsidR="00801B00" w:rsidRPr="009B665B" w:rsidRDefault="00801B00" w:rsidP="00CA255D">
      <w:r w:rsidRPr="009B665B">
        <w:t>The school employs eight full time teaching staff, four casual teaching staff and three non-teaching staff.</w:t>
      </w:r>
    </w:p>
    <w:p w14:paraId="622E5CA2" w14:textId="77777777" w:rsidR="00801B00" w:rsidRPr="009B665B" w:rsidRDefault="00801B00" w:rsidP="00CA255D">
      <w:pPr>
        <w:pStyle w:val="Heading3"/>
      </w:pPr>
      <w:r w:rsidRPr="009B665B">
        <w:lastRenderedPageBreak/>
        <w:t>ILNNP Approach</w:t>
      </w:r>
    </w:p>
    <w:p w14:paraId="27A4A651" w14:textId="77777777" w:rsidR="00801B00" w:rsidRPr="009B665B" w:rsidRDefault="00801B00" w:rsidP="00CA255D">
      <w:r w:rsidRPr="009B665B">
        <w:t>In preparation for the ILNNP, the school conducted an analysis of data including NAPLAN, running records, informal observations, student work samples and standardised testing to map all students on the literacy continuum. While the number of the cohort assessed is small, the students from Bourke-Walgett School of Distance Education produced excellent results in NAPLAN assessments in 2012 and demonstrated excellent growth from Year 3 to Year 5. Historically, the school identified students and in particular boys in Years 3 to 6 as in need of additional support in reading. An additional teacher, utilising ILNNP funds, was employed to provide individualised support in in this area.</w:t>
      </w:r>
    </w:p>
    <w:p w14:paraId="728D47BE" w14:textId="77777777" w:rsidR="00801B00" w:rsidRPr="009B665B" w:rsidRDefault="00801B00" w:rsidP="00CA255D">
      <w:r w:rsidRPr="009B665B">
        <w:t xml:space="preserve">The school concluded that an intensive and specific literacy teaching approach was required for all students. While the school is adopting whole-school strategies for its ILNNP approach, it is targeting students well-below and below their grade expectation on the literacy continuum. The literacy team reviewed the data in consultation with the home supervisor (usually a parent). The school’s target was to increase the achievement of the targeted students in reading texts and comprehension by two clusters on the continuum by the end of 2013. </w:t>
      </w:r>
    </w:p>
    <w:p w14:paraId="31062774" w14:textId="77777777" w:rsidR="00801B00" w:rsidRPr="009B665B" w:rsidRDefault="00801B00" w:rsidP="00CA255D">
      <w:r w:rsidRPr="009B665B">
        <w:t>The school’s ILNNP approach includes a professional learning component and a targeted student support component.</w:t>
      </w:r>
    </w:p>
    <w:p w14:paraId="5424687A" w14:textId="77777777" w:rsidR="00801B00" w:rsidRPr="009B665B" w:rsidRDefault="00801B00" w:rsidP="00CA255D">
      <w:r w:rsidRPr="009B665B">
        <w:t>In support of the targeted student program, the school developed a professional learning plan that would build teacher capacity to assess all students, map and monitor them on the continuum and develop evidence-based, integrated literacy programs.</w:t>
      </w:r>
    </w:p>
    <w:p w14:paraId="13C8FA46" w14:textId="77777777" w:rsidR="00801B00" w:rsidRPr="009B665B" w:rsidRDefault="00801B00" w:rsidP="00CA255D">
      <w:pPr>
        <w:pStyle w:val="Heading3"/>
      </w:pPr>
      <w:r w:rsidRPr="009B665B">
        <w:t xml:space="preserve">Implementation </w:t>
      </w:r>
    </w:p>
    <w:p w14:paraId="2035FCC3" w14:textId="77777777" w:rsidR="00801B00" w:rsidRPr="009B665B" w:rsidRDefault="00801B00" w:rsidP="00CA255D">
      <w:r w:rsidRPr="009B665B">
        <w:t xml:space="preserve">The school employed an additional teacher who took on the role of supporting the needs of the targeted students. The introduction of the REACT software during the school’s participation in ILNNP enabled the teacher to observe students more frequently and provide advice to the class teacher and home supervisor. In consultation with the classroom teacher, the teacher provided two additional lessons per week to the home supervisor to supplement their class lessons. Following the session, the additional teacher met with the classroom teacher to discuss amendments to the program. The focus was on working with the classroom teacher to maximise the learning, especially modelling comprehension strategies and reading texts. </w:t>
      </w:r>
    </w:p>
    <w:p w14:paraId="522E9A8F" w14:textId="77777777" w:rsidR="00801B00" w:rsidRPr="009B665B" w:rsidRDefault="00801B00" w:rsidP="00CA255D">
      <w:r w:rsidRPr="009B665B">
        <w:t>The student support sessions were structured allowing time for the teacher and home supervisor to discuss issues related to reading strategies without the student being present. Support was provided to the home supervisors to further assist isolated students. Home supervisors were instructed on the use of the Pause, Prompt and Praise strategy and the teacher consistently modelled the process with each student.</w:t>
      </w:r>
    </w:p>
    <w:p w14:paraId="60EC31FE" w14:textId="77777777" w:rsidR="00801B00" w:rsidRPr="009B665B" w:rsidRDefault="00801B00" w:rsidP="00CA255D">
      <w:r w:rsidRPr="009B665B">
        <w:t xml:space="preserve">The school conducted integration days each fortnight where a core group of students attended. Any targeted students attending these days received an additional face to face lesson. </w:t>
      </w:r>
    </w:p>
    <w:p w14:paraId="6046D981" w14:textId="77777777" w:rsidR="00801B00" w:rsidRPr="009B665B" w:rsidRDefault="00801B00" w:rsidP="00CA255D">
      <w:r w:rsidRPr="009B665B">
        <w:t>The professional learning component of the school’s ILNNP approach included:</w:t>
      </w:r>
    </w:p>
    <w:p w14:paraId="191309D9" w14:textId="77777777" w:rsidR="00801B00" w:rsidRPr="00FE07F6" w:rsidRDefault="00801B00" w:rsidP="00756999">
      <w:pPr>
        <w:pStyle w:val="ListParagraph"/>
        <w:numPr>
          <w:ilvl w:val="0"/>
          <w:numId w:val="23"/>
        </w:numPr>
      </w:pPr>
      <w:r w:rsidRPr="00FE07F6">
        <w:t xml:space="preserve">analysing a range of data to select the target group </w:t>
      </w:r>
    </w:p>
    <w:p w14:paraId="0A6D9776" w14:textId="77777777" w:rsidR="00801B00" w:rsidRPr="00FE07F6" w:rsidRDefault="00801B00" w:rsidP="00756999">
      <w:pPr>
        <w:pStyle w:val="ListParagraph"/>
        <w:numPr>
          <w:ilvl w:val="0"/>
          <w:numId w:val="23"/>
        </w:numPr>
      </w:pPr>
      <w:r w:rsidRPr="00FE07F6">
        <w:t xml:space="preserve">building an understanding of the literacy continuum </w:t>
      </w:r>
    </w:p>
    <w:p w14:paraId="2958443D" w14:textId="77777777" w:rsidR="00801B00" w:rsidRPr="00FE07F6" w:rsidRDefault="00801B00" w:rsidP="00756999">
      <w:pPr>
        <w:pStyle w:val="ListParagraph"/>
        <w:numPr>
          <w:ilvl w:val="0"/>
          <w:numId w:val="23"/>
        </w:numPr>
      </w:pPr>
      <w:r w:rsidRPr="00FE07F6">
        <w:t xml:space="preserve">supporting the mapping of all home isolated students on the literacy continuum </w:t>
      </w:r>
    </w:p>
    <w:p w14:paraId="3A3E9EBE" w14:textId="77777777" w:rsidR="00801B00" w:rsidRPr="00FE07F6" w:rsidRDefault="00801B00" w:rsidP="00756999">
      <w:pPr>
        <w:pStyle w:val="ListParagraph"/>
        <w:numPr>
          <w:ilvl w:val="0"/>
          <w:numId w:val="23"/>
        </w:numPr>
      </w:pPr>
      <w:r w:rsidRPr="00FE07F6">
        <w:t>developing quality literacy programs and</w:t>
      </w:r>
    </w:p>
    <w:p w14:paraId="0F5CBCE9" w14:textId="77777777" w:rsidR="00801B00" w:rsidRPr="00FE07F6" w:rsidRDefault="00801B00" w:rsidP="00756999">
      <w:pPr>
        <w:pStyle w:val="ListParagraph"/>
        <w:numPr>
          <w:ilvl w:val="0"/>
          <w:numId w:val="23"/>
        </w:numPr>
      </w:pPr>
      <w:r w:rsidRPr="00FE07F6">
        <w:lastRenderedPageBreak/>
        <w:t>using curriculum-based assessments to monitor student progress on the continuum.</w:t>
      </w:r>
    </w:p>
    <w:p w14:paraId="73C800F8" w14:textId="77777777" w:rsidR="00801B00" w:rsidRPr="009B665B" w:rsidRDefault="00801B00" w:rsidP="00756999">
      <w:pPr>
        <w:pStyle w:val="ListParagraph"/>
        <w:numPr>
          <w:ilvl w:val="0"/>
          <w:numId w:val="23"/>
        </w:numPr>
      </w:pPr>
      <w:r w:rsidRPr="009B665B">
        <w:t>The professional learning was delivered onsite, externally and online.</w:t>
      </w:r>
    </w:p>
    <w:p w14:paraId="5ADA317D" w14:textId="77777777" w:rsidR="00801B00" w:rsidRPr="009B665B" w:rsidRDefault="00801B00" w:rsidP="00CA255D">
      <w:r w:rsidRPr="009B665B">
        <w:t xml:space="preserve">A range of curriculum-based assessments were conducted to check the progress of students on the literacy continuum and inform future practices. A data wall was developed to plot overall student achievement. </w:t>
      </w:r>
    </w:p>
    <w:p w14:paraId="7FA96AF0" w14:textId="77777777" w:rsidR="00801B00" w:rsidRPr="009B665B" w:rsidRDefault="00801B00" w:rsidP="00CA255D">
      <w:pPr>
        <w:pStyle w:val="Heading3"/>
      </w:pPr>
      <w:r w:rsidRPr="009B665B">
        <w:t>Progress/Outcomes</w:t>
      </w:r>
    </w:p>
    <w:p w14:paraId="217873EC" w14:textId="77777777" w:rsidR="00801B00" w:rsidRPr="009B665B" w:rsidRDefault="00801B00" w:rsidP="00CA255D">
      <w:r w:rsidRPr="009B665B">
        <w:t xml:space="preserve">Student outcome data has been encouraging. There has been a pleasing reduction in the numbers of students below expectations, with a dramatic difference in the numbers who were assessed as well-below expectations. </w:t>
      </w:r>
    </w:p>
    <w:p w14:paraId="2503EC98" w14:textId="77777777" w:rsidR="00801B00" w:rsidRPr="009B665B" w:rsidRDefault="00801B00" w:rsidP="00CA255D">
      <w:r w:rsidRPr="009B665B">
        <w:t>The school plans to continue with the program of intensive and explicit teaching to ensure students who are demonstrating skills well-below and below their grade expectations maximise the additional support and progress their learning on the continuum. The extra time with the additional teacher has provided opportunities to challenge disengaged students with more challenging texts. The one-on-one support has encouraged greater engagement in the learning. It has also built a team approach as it gives the home supervisor the language to discuss the learning with their child and the teacher. The discussions between the teacher and home supervisor add to the collective knowledge of the student’s learning.</w:t>
      </w:r>
    </w:p>
    <w:p w14:paraId="0FEF1768" w14:textId="77777777" w:rsidR="00824EA6" w:rsidRDefault="00824EA6">
      <w:pPr>
        <w:rPr>
          <w:rFonts w:ascii="Arial" w:hAnsi="Arial" w:cs="Arial"/>
          <w:b/>
          <w:color w:val="244061" w:themeColor="accent1" w:themeShade="80"/>
          <w:sz w:val="28"/>
          <w:szCs w:val="28"/>
        </w:rPr>
      </w:pPr>
      <w:r>
        <w:rPr>
          <w:rFonts w:ascii="Arial" w:hAnsi="Arial" w:cs="Arial"/>
          <w:b/>
          <w:color w:val="244061" w:themeColor="accent1" w:themeShade="80"/>
          <w:sz w:val="28"/>
          <w:szCs w:val="28"/>
        </w:rPr>
        <w:br w:type="page"/>
      </w:r>
    </w:p>
    <w:p w14:paraId="22983E1D" w14:textId="78953A6B" w:rsidR="00801B00" w:rsidRPr="009B665B" w:rsidRDefault="00801B00" w:rsidP="00CA255D">
      <w:pPr>
        <w:pStyle w:val="Heading2"/>
        <w:rPr>
          <w:u w:val="single"/>
        </w:rPr>
      </w:pPr>
      <w:r w:rsidRPr="009B665B">
        <w:lastRenderedPageBreak/>
        <w:t>ILNNP SHOW</w:t>
      </w:r>
      <w:r w:rsidR="00C2780A">
        <w:t xml:space="preserve"> </w:t>
      </w:r>
      <w:r w:rsidRPr="009B665B">
        <w:t>CASE</w:t>
      </w:r>
    </w:p>
    <w:tbl>
      <w:tblPr>
        <w:tblStyle w:val="TableGrid"/>
        <w:tblW w:w="9747" w:type="dxa"/>
        <w:tblLook w:val="04A0" w:firstRow="1" w:lastRow="0" w:firstColumn="1" w:lastColumn="0" w:noHBand="0" w:noVBand="1"/>
        <w:tblCaption w:val="ILNNP show case - Nowra Anglican College"/>
        <w:tblDescription w:val="Data relating to Nowra Anglican College"/>
      </w:tblPr>
      <w:tblGrid>
        <w:gridCol w:w="5495"/>
        <w:gridCol w:w="4252"/>
      </w:tblGrid>
      <w:tr w:rsidR="00801B00" w:rsidRPr="009B665B" w14:paraId="211A6127" w14:textId="77777777" w:rsidTr="00242EFE">
        <w:trPr>
          <w:trHeight w:val="397"/>
        </w:trPr>
        <w:tc>
          <w:tcPr>
            <w:tcW w:w="5495" w:type="dxa"/>
            <w:shd w:val="clear" w:color="auto" w:fill="F2F2F2" w:themeFill="background1" w:themeFillShade="F2"/>
          </w:tcPr>
          <w:p w14:paraId="4593AF88" w14:textId="77777777" w:rsidR="00801B00" w:rsidRPr="009B665B" w:rsidRDefault="00801B00" w:rsidP="008308AC">
            <w:pPr>
              <w:spacing w:after="120"/>
              <w:rPr>
                <w:rFonts w:ascii="Arial" w:hAnsi="Arial" w:cs="Arial"/>
                <w:b/>
              </w:rPr>
            </w:pPr>
            <w:r w:rsidRPr="009B665B">
              <w:rPr>
                <w:rFonts w:ascii="Arial" w:hAnsi="Arial" w:cs="Arial"/>
                <w:b/>
              </w:rPr>
              <w:t>School name</w:t>
            </w:r>
          </w:p>
        </w:tc>
        <w:tc>
          <w:tcPr>
            <w:tcW w:w="4252" w:type="dxa"/>
          </w:tcPr>
          <w:p w14:paraId="4DC1DBCF" w14:textId="77777777" w:rsidR="00801B00" w:rsidRPr="009B665B" w:rsidRDefault="00801B00" w:rsidP="008308AC">
            <w:pPr>
              <w:spacing w:after="120"/>
              <w:rPr>
                <w:rFonts w:ascii="Arial" w:hAnsi="Arial" w:cs="Arial"/>
              </w:rPr>
            </w:pPr>
            <w:r w:rsidRPr="009B665B">
              <w:rPr>
                <w:rFonts w:ascii="Arial" w:hAnsi="Arial" w:cs="Arial"/>
              </w:rPr>
              <w:t>Nowra Anglican College</w:t>
            </w:r>
          </w:p>
        </w:tc>
      </w:tr>
      <w:tr w:rsidR="00801B00" w:rsidRPr="009B665B" w14:paraId="14A14EEC" w14:textId="77777777" w:rsidTr="00242EFE">
        <w:trPr>
          <w:trHeight w:val="397"/>
        </w:trPr>
        <w:tc>
          <w:tcPr>
            <w:tcW w:w="5495" w:type="dxa"/>
            <w:shd w:val="clear" w:color="auto" w:fill="F2F2F2" w:themeFill="background1" w:themeFillShade="F2"/>
          </w:tcPr>
          <w:p w14:paraId="0C0DDD8D" w14:textId="77777777" w:rsidR="00801B00" w:rsidRPr="009B665B" w:rsidRDefault="00801B00" w:rsidP="008308AC">
            <w:pPr>
              <w:spacing w:after="120"/>
              <w:rPr>
                <w:rFonts w:ascii="Arial" w:hAnsi="Arial" w:cs="Arial"/>
                <w:b/>
              </w:rPr>
            </w:pPr>
            <w:r w:rsidRPr="009B665B">
              <w:rPr>
                <w:rFonts w:ascii="Arial" w:hAnsi="Arial" w:cs="Arial"/>
                <w:b/>
              </w:rPr>
              <w:t>DEEWR school ID</w:t>
            </w:r>
          </w:p>
        </w:tc>
        <w:tc>
          <w:tcPr>
            <w:tcW w:w="4252" w:type="dxa"/>
          </w:tcPr>
          <w:p w14:paraId="0AF92F89" w14:textId="77777777" w:rsidR="00801B00" w:rsidRPr="009B665B" w:rsidRDefault="00801B00" w:rsidP="008308AC">
            <w:pPr>
              <w:spacing w:after="120"/>
              <w:rPr>
                <w:rFonts w:ascii="Arial" w:hAnsi="Arial" w:cs="Arial"/>
              </w:rPr>
            </w:pPr>
            <w:r w:rsidRPr="009B665B">
              <w:rPr>
                <w:rFonts w:ascii="Arial" w:hAnsi="Arial" w:cs="Arial"/>
              </w:rPr>
              <w:t>16955</w:t>
            </w:r>
          </w:p>
        </w:tc>
      </w:tr>
      <w:tr w:rsidR="00801B00" w:rsidRPr="009B665B" w14:paraId="5210CCA8" w14:textId="77777777" w:rsidTr="00242EFE">
        <w:trPr>
          <w:trHeight w:val="397"/>
        </w:trPr>
        <w:tc>
          <w:tcPr>
            <w:tcW w:w="5495" w:type="dxa"/>
            <w:shd w:val="clear" w:color="auto" w:fill="F2F2F2" w:themeFill="background1" w:themeFillShade="F2"/>
          </w:tcPr>
          <w:p w14:paraId="0B5D7766" w14:textId="77777777" w:rsidR="00801B00" w:rsidRPr="009B665B" w:rsidRDefault="00801B00" w:rsidP="008308AC">
            <w:pPr>
              <w:spacing w:after="120"/>
              <w:rPr>
                <w:rFonts w:ascii="Arial" w:hAnsi="Arial" w:cs="Arial"/>
                <w:b/>
              </w:rPr>
            </w:pPr>
            <w:r w:rsidRPr="009B665B">
              <w:rPr>
                <w:rFonts w:ascii="Arial" w:hAnsi="Arial" w:cs="Arial"/>
                <w:b/>
              </w:rPr>
              <w:t>Suburb</w:t>
            </w:r>
          </w:p>
        </w:tc>
        <w:tc>
          <w:tcPr>
            <w:tcW w:w="4252" w:type="dxa"/>
          </w:tcPr>
          <w:p w14:paraId="1BBA385B" w14:textId="77777777" w:rsidR="00801B00" w:rsidRPr="009B665B" w:rsidRDefault="00801B00" w:rsidP="008308AC">
            <w:pPr>
              <w:spacing w:after="120"/>
              <w:rPr>
                <w:rFonts w:ascii="Arial" w:hAnsi="Arial" w:cs="Arial"/>
              </w:rPr>
            </w:pPr>
            <w:r w:rsidRPr="009B665B">
              <w:rPr>
                <w:rFonts w:ascii="Arial" w:hAnsi="Arial" w:cs="Arial"/>
              </w:rPr>
              <w:t>Bomaderry</w:t>
            </w:r>
          </w:p>
        </w:tc>
      </w:tr>
      <w:tr w:rsidR="00801B00" w:rsidRPr="009B665B" w14:paraId="6D9C9DC9" w14:textId="77777777" w:rsidTr="00242EFE">
        <w:trPr>
          <w:trHeight w:val="397"/>
        </w:trPr>
        <w:tc>
          <w:tcPr>
            <w:tcW w:w="5495" w:type="dxa"/>
            <w:shd w:val="clear" w:color="auto" w:fill="F2F2F2" w:themeFill="background1" w:themeFillShade="F2"/>
          </w:tcPr>
          <w:p w14:paraId="69881B73" w14:textId="77777777" w:rsidR="00801B00" w:rsidRPr="009B665B" w:rsidRDefault="00801B00" w:rsidP="008308AC">
            <w:pPr>
              <w:spacing w:after="120"/>
              <w:rPr>
                <w:rFonts w:ascii="Arial" w:hAnsi="Arial" w:cs="Arial"/>
                <w:b/>
              </w:rPr>
            </w:pPr>
            <w:r w:rsidRPr="009B665B">
              <w:rPr>
                <w:rFonts w:ascii="Arial" w:hAnsi="Arial" w:cs="Arial"/>
                <w:b/>
              </w:rPr>
              <w:t>State/Territory</w:t>
            </w:r>
          </w:p>
        </w:tc>
        <w:tc>
          <w:tcPr>
            <w:tcW w:w="4252" w:type="dxa"/>
          </w:tcPr>
          <w:p w14:paraId="2592037D" w14:textId="77777777" w:rsidR="00801B00" w:rsidRPr="009B665B" w:rsidRDefault="00801B00" w:rsidP="008308AC">
            <w:pPr>
              <w:spacing w:after="120"/>
              <w:rPr>
                <w:rFonts w:ascii="Arial" w:hAnsi="Arial" w:cs="Arial"/>
              </w:rPr>
            </w:pPr>
            <w:r w:rsidRPr="009B665B">
              <w:rPr>
                <w:rFonts w:ascii="Arial" w:hAnsi="Arial" w:cs="Arial"/>
              </w:rPr>
              <w:t>NSW</w:t>
            </w:r>
          </w:p>
        </w:tc>
      </w:tr>
      <w:tr w:rsidR="00801B00" w:rsidRPr="009B665B" w14:paraId="5D090196" w14:textId="77777777" w:rsidTr="00242EFE">
        <w:trPr>
          <w:trHeight w:val="397"/>
        </w:trPr>
        <w:tc>
          <w:tcPr>
            <w:tcW w:w="5495" w:type="dxa"/>
            <w:shd w:val="clear" w:color="auto" w:fill="F2F2F2" w:themeFill="background1" w:themeFillShade="F2"/>
          </w:tcPr>
          <w:p w14:paraId="2C5E1DE2" w14:textId="77777777" w:rsidR="00801B00" w:rsidRPr="009B665B" w:rsidRDefault="00801B00" w:rsidP="008308AC">
            <w:pPr>
              <w:spacing w:after="120"/>
              <w:rPr>
                <w:rFonts w:ascii="Arial" w:hAnsi="Arial" w:cs="Arial"/>
                <w:b/>
              </w:rPr>
            </w:pPr>
            <w:r w:rsidRPr="009B665B">
              <w:rPr>
                <w:rFonts w:ascii="Arial" w:hAnsi="Arial" w:cs="Arial"/>
                <w:b/>
              </w:rPr>
              <w:t>Sector</w:t>
            </w:r>
          </w:p>
        </w:tc>
        <w:tc>
          <w:tcPr>
            <w:tcW w:w="4252" w:type="dxa"/>
          </w:tcPr>
          <w:p w14:paraId="31AD364D" w14:textId="77777777" w:rsidR="00801B00" w:rsidRPr="009B665B" w:rsidRDefault="00801B00" w:rsidP="008308AC">
            <w:pPr>
              <w:spacing w:after="120"/>
              <w:rPr>
                <w:rFonts w:ascii="Arial" w:hAnsi="Arial" w:cs="Arial"/>
              </w:rPr>
            </w:pPr>
            <w:r w:rsidRPr="009B665B">
              <w:rPr>
                <w:rFonts w:ascii="Arial" w:hAnsi="Arial" w:cs="Arial"/>
              </w:rPr>
              <w:t>Independent</w:t>
            </w:r>
          </w:p>
        </w:tc>
      </w:tr>
      <w:tr w:rsidR="00801B00" w:rsidRPr="009B665B" w14:paraId="654FD40D" w14:textId="77777777" w:rsidTr="00242EFE">
        <w:trPr>
          <w:trHeight w:val="397"/>
        </w:trPr>
        <w:tc>
          <w:tcPr>
            <w:tcW w:w="5495" w:type="dxa"/>
            <w:shd w:val="clear" w:color="auto" w:fill="F2F2F2" w:themeFill="background1" w:themeFillShade="F2"/>
          </w:tcPr>
          <w:p w14:paraId="3D8EBA9F" w14:textId="77777777" w:rsidR="00801B00" w:rsidRPr="009B665B" w:rsidRDefault="00801B00" w:rsidP="008308AC">
            <w:pPr>
              <w:spacing w:after="120"/>
              <w:rPr>
                <w:rFonts w:ascii="Arial" w:hAnsi="Arial" w:cs="Arial"/>
                <w:b/>
              </w:rPr>
            </w:pPr>
            <w:r w:rsidRPr="009B665B">
              <w:rPr>
                <w:rFonts w:ascii="Arial" w:hAnsi="Arial" w:cs="Arial"/>
                <w:b/>
              </w:rPr>
              <w:t>School type</w:t>
            </w:r>
          </w:p>
        </w:tc>
        <w:tc>
          <w:tcPr>
            <w:tcW w:w="4252" w:type="dxa"/>
          </w:tcPr>
          <w:p w14:paraId="279A4B84" w14:textId="77777777" w:rsidR="00801B00" w:rsidRPr="009B665B" w:rsidRDefault="00801B00" w:rsidP="008308AC">
            <w:pPr>
              <w:spacing w:after="120"/>
              <w:rPr>
                <w:rFonts w:ascii="Arial" w:hAnsi="Arial" w:cs="Arial"/>
              </w:rPr>
            </w:pPr>
            <w:r w:rsidRPr="009B665B">
              <w:rPr>
                <w:rFonts w:ascii="Arial" w:hAnsi="Arial" w:cs="Arial"/>
              </w:rPr>
              <w:t>Combined</w:t>
            </w:r>
          </w:p>
        </w:tc>
      </w:tr>
      <w:tr w:rsidR="00801B00" w:rsidRPr="009B665B" w14:paraId="52FEF518" w14:textId="77777777" w:rsidTr="00242EFE">
        <w:trPr>
          <w:trHeight w:val="397"/>
        </w:trPr>
        <w:tc>
          <w:tcPr>
            <w:tcW w:w="5495" w:type="dxa"/>
            <w:shd w:val="clear" w:color="auto" w:fill="F2F2F2" w:themeFill="background1" w:themeFillShade="F2"/>
          </w:tcPr>
          <w:p w14:paraId="4286F367" w14:textId="77777777" w:rsidR="00801B00" w:rsidRPr="009B665B" w:rsidRDefault="00801B00" w:rsidP="008308AC">
            <w:pPr>
              <w:spacing w:after="120"/>
              <w:rPr>
                <w:rFonts w:ascii="Arial" w:hAnsi="Arial" w:cs="Arial"/>
                <w:b/>
              </w:rPr>
            </w:pPr>
            <w:r w:rsidRPr="009B665B">
              <w:rPr>
                <w:rFonts w:ascii="Arial" w:hAnsi="Arial" w:cs="Arial"/>
                <w:b/>
              </w:rPr>
              <w:t>ARIA categories</w:t>
            </w:r>
          </w:p>
        </w:tc>
        <w:tc>
          <w:tcPr>
            <w:tcW w:w="4252" w:type="dxa"/>
          </w:tcPr>
          <w:p w14:paraId="4E3499D9" w14:textId="77777777" w:rsidR="00801B00" w:rsidRPr="009B665B" w:rsidRDefault="00801B00" w:rsidP="008308AC">
            <w:pPr>
              <w:spacing w:after="120"/>
              <w:rPr>
                <w:rFonts w:ascii="Arial" w:hAnsi="Arial" w:cs="Arial"/>
              </w:rPr>
            </w:pPr>
            <w:r w:rsidRPr="009B665B">
              <w:rPr>
                <w:rFonts w:ascii="Arial" w:hAnsi="Arial" w:cs="Arial"/>
              </w:rPr>
              <w:t>Outer Regional</w:t>
            </w:r>
          </w:p>
        </w:tc>
      </w:tr>
      <w:tr w:rsidR="00801B00" w:rsidRPr="009B665B" w14:paraId="48F451D0" w14:textId="77777777" w:rsidTr="00242EFE">
        <w:trPr>
          <w:trHeight w:val="397"/>
        </w:trPr>
        <w:tc>
          <w:tcPr>
            <w:tcW w:w="5495" w:type="dxa"/>
            <w:shd w:val="clear" w:color="auto" w:fill="F2F2F2" w:themeFill="background1" w:themeFillShade="F2"/>
          </w:tcPr>
          <w:p w14:paraId="1A0D7CB4" w14:textId="77777777" w:rsidR="00801B00" w:rsidRPr="009B665B" w:rsidRDefault="00801B00" w:rsidP="008308AC">
            <w:pPr>
              <w:spacing w:after="120"/>
              <w:rPr>
                <w:rFonts w:ascii="Arial" w:hAnsi="Arial" w:cs="Arial"/>
                <w:b/>
              </w:rPr>
            </w:pPr>
            <w:r w:rsidRPr="009B665B">
              <w:rPr>
                <w:rFonts w:ascii="Arial" w:hAnsi="Arial" w:cs="Arial"/>
                <w:b/>
              </w:rPr>
              <w:t>2013 enrolments</w:t>
            </w:r>
          </w:p>
        </w:tc>
        <w:tc>
          <w:tcPr>
            <w:tcW w:w="4252" w:type="dxa"/>
          </w:tcPr>
          <w:p w14:paraId="1275B6D9" w14:textId="77777777" w:rsidR="00801B00" w:rsidRPr="009B665B" w:rsidRDefault="00801B00" w:rsidP="008308AC">
            <w:pPr>
              <w:spacing w:after="120"/>
              <w:rPr>
                <w:rFonts w:ascii="Arial" w:hAnsi="Arial" w:cs="Arial"/>
              </w:rPr>
            </w:pPr>
            <w:r w:rsidRPr="009B665B">
              <w:rPr>
                <w:rFonts w:ascii="Arial" w:hAnsi="Arial" w:cs="Arial"/>
              </w:rPr>
              <w:t>758</w:t>
            </w:r>
          </w:p>
        </w:tc>
      </w:tr>
      <w:tr w:rsidR="00801B00" w:rsidRPr="009B665B" w14:paraId="379AD6FA" w14:textId="77777777" w:rsidTr="00242EFE">
        <w:trPr>
          <w:trHeight w:val="397"/>
        </w:trPr>
        <w:tc>
          <w:tcPr>
            <w:tcW w:w="5495" w:type="dxa"/>
            <w:shd w:val="clear" w:color="auto" w:fill="F2F2F2" w:themeFill="background1" w:themeFillShade="F2"/>
          </w:tcPr>
          <w:p w14:paraId="5FF36E21" w14:textId="77777777" w:rsidR="00801B00" w:rsidRPr="009B665B" w:rsidRDefault="00801B00" w:rsidP="008308AC">
            <w:pPr>
              <w:spacing w:after="120"/>
              <w:rPr>
                <w:rFonts w:ascii="Arial" w:hAnsi="Arial" w:cs="Arial"/>
                <w:b/>
              </w:rPr>
            </w:pPr>
            <w:r w:rsidRPr="009B665B">
              <w:rPr>
                <w:rFonts w:ascii="Arial" w:hAnsi="Arial" w:cs="Arial"/>
                <w:b/>
              </w:rPr>
              <w:t>Number of Aboriginal and Torres Strait Islander students</w:t>
            </w:r>
          </w:p>
        </w:tc>
        <w:tc>
          <w:tcPr>
            <w:tcW w:w="4252" w:type="dxa"/>
          </w:tcPr>
          <w:p w14:paraId="18D4D277" w14:textId="77777777" w:rsidR="00801B00" w:rsidRPr="009B665B" w:rsidRDefault="00801B00" w:rsidP="008308AC">
            <w:pPr>
              <w:spacing w:after="120"/>
              <w:rPr>
                <w:rFonts w:ascii="Arial" w:hAnsi="Arial" w:cs="Arial"/>
              </w:rPr>
            </w:pPr>
            <w:r w:rsidRPr="009B665B">
              <w:rPr>
                <w:rFonts w:ascii="Arial" w:hAnsi="Arial" w:cs="Arial"/>
              </w:rPr>
              <w:t>39</w:t>
            </w:r>
          </w:p>
        </w:tc>
      </w:tr>
      <w:tr w:rsidR="00801B00" w:rsidRPr="009B665B" w14:paraId="43FD9CB1" w14:textId="77777777" w:rsidTr="00242EFE">
        <w:trPr>
          <w:trHeight w:val="397"/>
        </w:trPr>
        <w:tc>
          <w:tcPr>
            <w:tcW w:w="5495" w:type="dxa"/>
            <w:shd w:val="clear" w:color="auto" w:fill="F2F2F2" w:themeFill="background1" w:themeFillShade="F2"/>
          </w:tcPr>
          <w:p w14:paraId="4A36140E" w14:textId="77777777" w:rsidR="00801B00" w:rsidRPr="009B665B" w:rsidRDefault="00801B00" w:rsidP="008308AC">
            <w:pPr>
              <w:spacing w:after="120"/>
              <w:rPr>
                <w:rFonts w:ascii="Arial" w:hAnsi="Arial" w:cs="Arial"/>
                <w:b/>
              </w:rPr>
            </w:pPr>
            <w:r w:rsidRPr="009B665B">
              <w:rPr>
                <w:rFonts w:ascii="Arial" w:hAnsi="Arial" w:cs="Arial"/>
                <w:b/>
              </w:rPr>
              <w:t>Number of students with a language background other than English</w:t>
            </w:r>
          </w:p>
        </w:tc>
        <w:tc>
          <w:tcPr>
            <w:tcW w:w="4252" w:type="dxa"/>
          </w:tcPr>
          <w:p w14:paraId="17AC31C2" w14:textId="77777777" w:rsidR="00801B00" w:rsidRPr="009B665B" w:rsidRDefault="00801B00" w:rsidP="008308AC">
            <w:pPr>
              <w:spacing w:after="120"/>
              <w:rPr>
                <w:rFonts w:ascii="Arial" w:hAnsi="Arial" w:cs="Arial"/>
              </w:rPr>
            </w:pPr>
            <w:r w:rsidRPr="009B665B">
              <w:rPr>
                <w:rFonts w:ascii="Arial" w:hAnsi="Arial" w:cs="Arial"/>
              </w:rPr>
              <w:t>Small number (not specified)</w:t>
            </w:r>
          </w:p>
        </w:tc>
      </w:tr>
      <w:tr w:rsidR="00801B00" w:rsidRPr="009B665B" w14:paraId="00CC74CE" w14:textId="77777777" w:rsidTr="00242EFE">
        <w:trPr>
          <w:trHeight w:val="397"/>
        </w:trPr>
        <w:tc>
          <w:tcPr>
            <w:tcW w:w="5495" w:type="dxa"/>
            <w:shd w:val="clear" w:color="auto" w:fill="F2F2F2" w:themeFill="background1" w:themeFillShade="F2"/>
          </w:tcPr>
          <w:p w14:paraId="73711B7F" w14:textId="77777777" w:rsidR="00801B00" w:rsidRPr="009B665B" w:rsidRDefault="00801B00" w:rsidP="008308AC">
            <w:pPr>
              <w:spacing w:after="120"/>
              <w:rPr>
                <w:rFonts w:ascii="Arial" w:hAnsi="Arial" w:cs="Arial"/>
                <w:b/>
              </w:rPr>
            </w:pPr>
            <w:r w:rsidRPr="009B665B">
              <w:rPr>
                <w:rFonts w:ascii="Arial" w:hAnsi="Arial" w:cs="Arial"/>
                <w:b/>
              </w:rPr>
              <w:t>2013 student attendance rate</w:t>
            </w:r>
          </w:p>
        </w:tc>
        <w:tc>
          <w:tcPr>
            <w:tcW w:w="4252" w:type="dxa"/>
          </w:tcPr>
          <w:p w14:paraId="5538D83D" w14:textId="77777777" w:rsidR="00801B00" w:rsidRPr="009B665B" w:rsidRDefault="00801B00" w:rsidP="008308AC">
            <w:pPr>
              <w:spacing w:after="120"/>
              <w:rPr>
                <w:rFonts w:ascii="Arial" w:hAnsi="Arial" w:cs="Arial"/>
              </w:rPr>
            </w:pPr>
            <w:r w:rsidRPr="009B665B">
              <w:rPr>
                <w:rFonts w:ascii="Arial" w:hAnsi="Arial" w:cs="Arial"/>
              </w:rPr>
              <w:t xml:space="preserve"> 95% to 96%</w:t>
            </w:r>
          </w:p>
        </w:tc>
      </w:tr>
      <w:tr w:rsidR="00801B00" w:rsidRPr="009B665B" w14:paraId="239691D2" w14:textId="77777777" w:rsidTr="00242EFE">
        <w:trPr>
          <w:trHeight w:val="397"/>
        </w:trPr>
        <w:tc>
          <w:tcPr>
            <w:tcW w:w="5495" w:type="dxa"/>
            <w:shd w:val="clear" w:color="auto" w:fill="F2F2F2" w:themeFill="background1" w:themeFillShade="F2"/>
          </w:tcPr>
          <w:p w14:paraId="3EA9B1BE" w14:textId="77777777" w:rsidR="00801B00" w:rsidRPr="009B665B" w:rsidRDefault="00801B00" w:rsidP="008308AC">
            <w:pPr>
              <w:spacing w:after="120"/>
              <w:rPr>
                <w:rFonts w:ascii="Arial" w:hAnsi="Arial" w:cs="Arial"/>
                <w:b/>
              </w:rPr>
            </w:pPr>
            <w:r w:rsidRPr="009B665B">
              <w:rPr>
                <w:rFonts w:ascii="Arial" w:hAnsi="Arial" w:cs="Arial"/>
                <w:b/>
              </w:rPr>
              <w:t>Literacy and Numeracy National Partnership (LNNP) school</w:t>
            </w:r>
          </w:p>
        </w:tc>
        <w:tc>
          <w:tcPr>
            <w:tcW w:w="4252" w:type="dxa"/>
          </w:tcPr>
          <w:p w14:paraId="0F1494A1" w14:textId="77777777" w:rsidR="00801B00" w:rsidRPr="009B665B" w:rsidRDefault="00801B00" w:rsidP="008308AC">
            <w:pPr>
              <w:spacing w:after="120"/>
              <w:rPr>
                <w:rFonts w:ascii="Arial" w:hAnsi="Arial" w:cs="Arial"/>
              </w:rPr>
            </w:pPr>
            <w:r w:rsidRPr="009B665B">
              <w:rPr>
                <w:rFonts w:ascii="Arial" w:hAnsi="Arial" w:cs="Arial"/>
              </w:rPr>
              <w:t>No</w:t>
            </w:r>
          </w:p>
        </w:tc>
      </w:tr>
      <w:tr w:rsidR="00801B00" w:rsidRPr="009B665B" w14:paraId="74FA7ACB" w14:textId="77777777" w:rsidTr="00242EFE">
        <w:trPr>
          <w:trHeight w:val="397"/>
        </w:trPr>
        <w:tc>
          <w:tcPr>
            <w:tcW w:w="5495" w:type="dxa"/>
            <w:shd w:val="clear" w:color="auto" w:fill="F2F2F2" w:themeFill="background1" w:themeFillShade="F2"/>
          </w:tcPr>
          <w:p w14:paraId="6264FB01" w14:textId="77777777" w:rsidR="00801B00" w:rsidRPr="009B665B" w:rsidRDefault="00801B00" w:rsidP="008308AC">
            <w:pPr>
              <w:spacing w:after="120"/>
              <w:rPr>
                <w:rFonts w:ascii="Arial" w:hAnsi="Arial" w:cs="Arial"/>
                <w:b/>
              </w:rPr>
            </w:pPr>
            <w:r w:rsidRPr="009B665B">
              <w:rPr>
                <w:rFonts w:ascii="Arial" w:hAnsi="Arial" w:cs="Arial"/>
                <w:b/>
              </w:rPr>
              <w:t>Low Socio-Economic Status School Communities National Partnership school</w:t>
            </w:r>
          </w:p>
        </w:tc>
        <w:tc>
          <w:tcPr>
            <w:tcW w:w="4252" w:type="dxa"/>
          </w:tcPr>
          <w:p w14:paraId="56FE4DC6" w14:textId="77777777" w:rsidR="00801B00" w:rsidRPr="009B665B" w:rsidRDefault="00801B00" w:rsidP="008308AC">
            <w:pPr>
              <w:spacing w:after="120"/>
              <w:rPr>
                <w:rFonts w:ascii="Arial" w:hAnsi="Arial" w:cs="Arial"/>
              </w:rPr>
            </w:pPr>
            <w:r w:rsidRPr="009B665B">
              <w:rPr>
                <w:rFonts w:ascii="Arial" w:hAnsi="Arial" w:cs="Arial"/>
              </w:rPr>
              <w:t>No</w:t>
            </w:r>
          </w:p>
        </w:tc>
      </w:tr>
    </w:tbl>
    <w:p w14:paraId="37809A6C" w14:textId="77777777" w:rsidR="00801B00" w:rsidRPr="009B665B" w:rsidRDefault="00801B00" w:rsidP="00CA255D">
      <w:pPr>
        <w:pStyle w:val="Heading3"/>
      </w:pPr>
      <w:r w:rsidRPr="009B665B">
        <w:t>School Background</w:t>
      </w:r>
    </w:p>
    <w:p w14:paraId="5BB0E292" w14:textId="77777777" w:rsidR="00801B00" w:rsidRPr="009B665B" w:rsidRDefault="00801B00" w:rsidP="00CA255D">
      <w:r w:rsidRPr="009B665B">
        <w:t>N</w:t>
      </w:r>
      <w:r w:rsidRPr="009B665B">
        <w:rPr>
          <w:spacing w:val="1"/>
        </w:rPr>
        <w:t>o</w:t>
      </w:r>
      <w:r w:rsidRPr="009B665B">
        <w:rPr>
          <w:spacing w:val="3"/>
        </w:rPr>
        <w:t>w</w:t>
      </w:r>
      <w:r w:rsidRPr="009B665B">
        <w:rPr>
          <w:spacing w:val="-1"/>
        </w:rPr>
        <w:t>r</w:t>
      </w:r>
      <w:r w:rsidRPr="009B665B">
        <w:t>a</w:t>
      </w:r>
      <w:r w:rsidRPr="009B665B">
        <w:rPr>
          <w:spacing w:val="-5"/>
        </w:rPr>
        <w:t xml:space="preserve"> A</w:t>
      </w:r>
      <w:r w:rsidRPr="009B665B">
        <w:t>ngl</w:t>
      </w:r>
      <w:r w:rsidRPr="009B665B">
        <w:rPr>
          <w:spacing w:val="2"/>
        </w:rPr>
        <w:t>i</w:t>
      </w:r>
      <w:r w:rsidRPr="009B665B">
        <w:t>c</w:t>
      </w:r>
      <w:r w:rsidRPr="009B665B">
        <w:rPr>
          <w:spacing w:val="-1"/>
        </w:rPr>
        <w:t>a</w:t>
      </w:r>
      <w:r w:rsidRPr="009B665B">
        <w:t>n</w:t>
      </w:r>
      <w:r w:rsidRPr="009B665B">
        <w:rPr>
          <w:spacing w:val="-8"/>
        </w:rPr>
        <w:t xml:space="preserve"> </w:t>
      </w:r>
      <w:r w:rsidRPr="009B665B">
        <w:t>Col</w:t>
      </w:r>
      <w:r w:rsidRPr="009B665B">
        <w:rPr>
          <w:spacing w:val="2"/>
        </w:rPr>
        <w:t>l</w:t>
      </w:r>
      <w:r w:rsidRPr="009B665B">
        <w:t>ege</w:t>
      </w:r>
      <w:r w:rsidRPr="009B665B">
        <w:rPr>
          <w:spacing w:val="-7"/>
        </w:rPr>
        <w:t xml:space="preserve"> </w:t>
      </w:r>
      <w:r w:rsidRPr="009B665B">
        <w:rPr>
          <w:spacing w:val="2"/>
        </w:rPr>
        <w:t>i</w:t>
      </w:r>
      <w:r w:rsidRPr="009B665B">
        <w:t>s</w:t>
      </w:r>
      <w:r w:rsidRPr="009B665B">
        <w:rPr>
          <w:spacing w:val="-2"/>
        </w:rPr>
        <w:t xml:space="preserve"> </w:t>
      </w:r>
      <w:r w:rsidRPr="009B665B">
        <w:t>a</w:t>
      </w:r>
      <w:r w:rsidRPr="009B665B">
        <w:rPr>
          <w:spacing w:val="-2"/>
        </w:rPr>
        <w:t xml:space="preserve"> regional </w:t>
      </w:r>
      <w:r w:rsidRPr="009B665B">
        <w:t>c</w:t>
      </w:r>
      <w:r w:rsidRPr="009B665B">
        <w:rPr>
          <w:spacing w:val="3"/>
        </w:rPr>
        <w:t>o</w:t>
      </w:r>
      <w:r w:rsidRPr="009B665B">
        <w:rPr>
          <w:spacing w:val="1"/>
        </w:rPr>
        <w:t>-</w:t>
      </w:r>
      <w:r w:rsidRPr="009B665B">
        <w:t>ed</w:t>
      </w:r>
      <w:r w:rsidRPr="009B665B">
        <w:rPr>
          <w:spacing w:val="3"/>
        </w:rPr>
        <w:t>u</w:t>
      </w:r>
      <w:r w:rsidRPr="009B665B">
        <w:t>c</w:t>
      </w:r>
      <w:r w:rsidRPr="009B665B">
        <w:rPr>
          <w:spacing w:val="-1"/>
        </w:rPr>
        <w:t>a</w:t>
      </w:r>
      <w:r w:rsidRPr="009B665B">
        <w:rPr>
          <w:spacing w:val="1"/>
        </w:rPr>
        <w:t>t</w:t>
      </w:r>
      <w:r w:rsidRPr="009B665B">
        <w:t>io</w:t>
      </w:r>
      <w:r w:rsidRPr="009B665B">
        <w:rPr>
          <w:spacing w:val="1"/>
        </w:rPr>
        <w:t>n</w:t>
      </w:r>
      <w:r w:rsidRPr="009B665B">
        <w:t>al</w:t>
      </w:r>
      <w:r w:rsidRPr="009B665B">
        <w:rPr>
          <w:spacing w:val="-13"/>
        </w:rPr>
        <w:t xml:space="preserve"> K-12 </w:t>
      </w:r>
      <w:r w:rsidRPr="009B665B">
        <w:t>s</w:t>
      </w:r>
      <w:r w:rsidRPr="009B665B">
        <w:rPr>
          <w:spacing w:val="-1"/>
        </w:rPr>
        <w:t>c</w:t>
      </w:r>
      <w:r w:rsidRPr="009B665B">
        <w:t>hool</w:t>
      </w:r>
      <w:r w:rsidRPr="009B665B">
        <w:rPr>
          <w:spacing w:val="-4"/>
        </w:rPr>
        <w:t xml:space="preserve"> </w:t>
      </w:r>
      <w:r w:rsidRPr="009B665B">
        <w:t>located on the South Coast of NSW at Bomaderry.</w:t>
      </w:r>
      <w:r w:rsidRPr="009B665B">
        <w:rPr>
          <w:spacing w:val="-7"/>
        </w:rPr>
        <w:t xml:space="preserve"> </w:t>
      </w:r>
      <w:r w:rsidRPr="009B665B">
        <w:rPr>
          <w:spacing w:val="3"/>
        </w:rPr>
        <w:t>T</w:t>
      </w:r>
      <w:r w:rsidRPr="009B665B">
        <w:t>he</w:t>
      </w:r>
      <w:r w:rsidRPr="009B665B">
        <w:rPr>
          <w:spacing w:val="-4"/>
        </w:rPr>
        <w:t xml:space="preserve"> </w:t>
      </w:r>
      <w:r w:rsidRPr="009B665B">
        <w:rPr>
          <w:spacing w:val="-1"/>
        </w:rPr>
        <w:t>s</w:t>
      </w:r>
      <w:r w:rsidRPr="009B665B">
        <w:rPr>
          <w:spacing w:val="1"/>
        </w:rPr>
        <w:t>t</w:t>
      </w:r>
      <w:r w:rsidRPr="009B665B">
        <w:t>udent</w:t>
      </w:r>
      <w:r w:rsidRPr="009B665B">
        <w:rPr>
          <w:spacing w:val="-6"/>
        </w:rPr>
        <w:t xml:space="preserve"> </w:t>
      </w:r>
      <w:r w:rsidRPr="009B665B">
        <w:t>p</w:t>
      </w:r>
      <w:r w:rsidRPr="009B665B">
        <w:rPr>
          <w:spacing w:val="1"/>
        </w:rPr>
        <w:t>o</w:t>
      </w:r>
      <w:r w:rsidRPr="009B665B">
        <w:t>pulati</w:t>
      </w:r>
      <w:r w:rsidRPr="009B665B">
        <w:rPr>
          <w:spacing w:val="1"/>
        </w:rPr>
        <w:t>o</w:t>
      </w:r>
      <w:r w:rsidRPr="009B665B">
        <w:t>n</w:t>
      </w:r>
      <w:r w:rsidRPr="009B665B">
        <w:rPr>
          <w:spacing w:val="-10"/>
        </w:rPr>
        <w:t xml:space="preserve"> </w:t>
      </w:r>
      <w:r w:rsidRPr="009B665B">
        <w:t>is</w:t>
      </w:r>
      <w:r w:rsidRPr="009B665B">
        <w:rPr>
          <w:spacing w:val="-3"/>
        </w:rPr>
        <w:t xml:space="preserve"> </w:t>
      </w:r>
      <w:r w:rsidRPr="009B665B">
        <w:t>ap</w:t>
      </w:r>
      <w:r w:rsidRPr="009B665B">
        <w:rPr>
          <w:spacing w:val="1"/>
        </w:rPr>
        <w:t>p</w:t>
      </w:r>
      <w:r w:rsidRPr="009B665B">
        <w:rPr>
          <w:spacing w:val="-1"/>
        </w:rPr>
        <w:t>r</w:t>
      </w:r>
      <w:r w:rsidRPr="009B665B">
        <w:rPr>
          <w:spacing w:val="3"/>
        </w:rPr>
        <w:t>o</w:t>
      </w:r>
      <w:r w:rsidRPr="009B665B">
        <w:t>ximat</w:t>
      </w:r>
      <w:r w:rsidRPr="009B665B">
        <w:rPr>
          <w:spacing w:val="2"/>
        </w:rPr>
        <w:t>el</w:t>
      </w:r>
      <w:r w:rsidRPr="009B665B">
        <w:t>y</w:t>
      </w:r>
      <w:r w:rsidRPr="009B665B">
        <w:rPr>
          <w:spacing w:val="-17"/>
        </w:rPr>
        <w:t xml:space="preserve"> </w:t>
      </w:r>
      <w:r w:rsidRPr="009B665B">
        <w:rPr>
          <w:spacing w:val="2"/>
        </w:rPr>
        <w:t>7</w:t>
      </w:r>
      <w:r w:rsidRPr="009B665B">
        <w:t>6</w:t>
      </w:r>
      <w:r w:rsidRPr="009B665B">
        <w:rPr>
          <w:spacing w:val="-1"/>
        </w:rPr>
        <w:t>0</w:t>
      </w:r>
      <w:r w:rsidRPr="009B665B">
        <w:t>, of</w:t>
      </w:r>
      <w:r w:rsidRPr="009B665B">
        <w:rPr>
          <w:spacing w:val="-2"/>
        </w:rPr>
        <w:t xml:space="preserve"> </w:t>
      </w:r>
      <w:r w:rsidRPr="009B665B">
        <w:t xml:space="preserve">which 5% </w:t>
      </w:r>
      <w:r w:rsidRPr="009B665B">
        <w:rPr>
          <w:spacing w:val="-1"/>
        </w:rPr>
        <w:t>i</w:t>
      </w:r>
      <w:r w:rsidRPr="009B665B">
        <w:t>de</w:t>
      </w:r>
      <w:r w:rsidRPr="009B665B">
        <w:rPr>
          <w:spacing w:val="3"/>
        </w:rPr>
        <w:t>n</w:t>
      </w:r>
      <w:r w:rsidRPr="009B665B">
        <w:rPr>
          <w:spacing w:val="1"/>
        </w:rPr>
        <w:t>t</w:t>
      </w:r>
      <w:r w:rsidRPr="009B665B">
        <w:t>ify</w:t>
      </w:r>
      <w:r w:rsidRPr="009B665B">
        <w:rPr>
          <w:spacing w:val="-8"/>
        </w:rPr>
        <w:t xml:space="preserve"> </w:t>
      </w:r>
      <w:r w:rsidRPr="009B665B">
        <w:t>as</w:t>
      </w:r>
      <w:r w:rsidRPr="009B665B">
        <w:rPr>
          <w:spacing w:val="-3"/>
        </w:rPr>
        <w:t xml:space="preserve"> </w:t>
      </w:r>
      <w:r w:rsidRPr="009B665B">
        <w:t>being</w:t>
      </w:r>
      <w:r w:rsidRPr="009B665B">
        <w:rPr>
          <w:spacing w:val="-3"/>
        </w:rPr>
        <w:t xml:space="preserve"> </w:t>
      </w:r>
      <w:r w:rsidRPr="009B665B">
        <w:t>In</w:t>
      </w:r>
      <w:r w:rsidRPr="009B665B">
        <w:rPr>
          <w:spacing w:val="1"/>
        </w:rPr>
        <w:t>d</w:t>
      </w:r>
      <w:r w:rsidRPr="009B665B">
        <w:t>ige</w:t>
      </w:r>
      <w:r w:rsidRPr="009B665B">
        <w:rPr>
          <w:spacing w:val="1"/>
        </w:rPr>
        <w:t>n</w:t>
      </w:r>
      <w:r w:rsidRPr="009B665B">
        <w:t>ous.</w:t>
      </w:r>
      <w:r w:rsidRPr="009B665B">
        <w:rPr>
          <w:spacing w:val="-9"/>
        </w:rPr>
        <w:t xml:space="preserve"> </w:t>
      </w:r>
      <w:r w:rsidRPr="009B665B">
        <w:rPr>
          <w:spacing w:val="1"/>
        </w:rPr>
        <w:t>S</w:t>
      </w:r>
      <w:r w:rsidRPr="009B665B">
        <w:t>ch</w:t>
      </w:r>
      <w:r w:rsidRPr="009B665B">
        <w:rPr>
          <w:spacing w:val="1"/>
        </w:rPr>
        <w:t>o</w:t>
      </w:r>
      <w:r w:rsidRPr="009B665B">
        <w:t>ol</w:t>
      </w:r>
      <w:r w:rsidRPr="009B665B">
        <w:rPr>
          <w:spacing w:val="-7"/>
        </w:rPr>
        <w:t xml:space="preserve"> </w:t>
      </w:r>
      <w:r w:rsidRPr="009B665B">
        <w:rPr>
          <w:spacing w:val="-1"/>
        </w:rPr>
        <w:t>a</w:t>
      </w:r>
      <w:r w:rsidRPr="009B665B">
        <w:rPr>
          <w:spacing w:val="1"/>
        </w:rPr>
        <w:t>tt</w:t>
      </w:r>
      <w:r w:rsidRPr="009B665B">
        <w:t>en</w:t>
      </w:r>
      <w:r w:rsidRPr="009B665B">
        <w:rPr>
          <w:spacing w:val="1"/>
        </w:rPr>
        <w:t>d</w:t>
      </w:r>
      <w:r w:rsidRPr="009B665B">
        <w:t>ance</w:t>
      </w:r>
      <w:r w:rsidRPr="009B665B">
        <w:rPr>
          <w:spacing w:val="-9"/>
        </w:rPr>
        <w:t xml:space="preserve"> </w:t>
      </w:r>
      <w:r w:rsidRPr="009B665B">
        <w:t>l</w:t>
      </w:r>
      <w:r w:rsidRPr="009B665B">
        <w:rPr>
          <w:spacing w:val="-1"/>
        </w:rPr>
        <w:t>e</w:t>
      </w:r>
      <w:r w:rsidRPr="009B665B">
        <w:rPr>
          <w:spacing w:val="2"/>
        </w:rPr>
        <w:t>v</w:t>
      </w:r>
      <w:r w:rsidRPr="009B665B">
        <w:t>els</w:t>
      </w:r>
      <w:r w:rsidRPr="009B665B">
        <w:rPr>
          <w:spacing w:val="-7"/>
        </w:rPr>
        <w:t xml:space="preserve"> </w:t>
      </w:r>
      <w:r w:rsidRPr="009B665B">
        <w:rPr>
          <w:spacing w:val="3"/>
        </w:rPr>
        <w:t>h</w:t>
      </w:r>
      <w:r w:rsidRPr="009B665B">
        <w:t>a</w:t>
      </w:r>
      <w:r w:rsidRPr="009B665B">
        <w:rPr>
          <w:spacing w:val="1"/>
        </w:rPr>
        <w:t>v</w:t>
      </w:r>
      <w:r w:rsidRPr="009B665B">
        <w:t>e</w:t>
      </w:r>
      <w:r w:rsidRPr="009B665B">
        <w:rPr>
          <w:spacing w:val="-5"/>
        </w:rPr>
        <w:t xml:space="preserve"> </w:t>
      </w:r>
      <w:r w:rsidRPr="009B665B">
        <w:t>co</w:t>
      </w:r>
      <w:r w:rsidRPr="009B665B">
        <w:rPr>
          <w:spacing w:val="1"/>
        </w:rPr>
        <w:t>n</w:t>
      </w:r>
      <w:r w:rsidRPr="009B665B">
        <w:rPr>
          <w:spacing w:val="2"/>
        </w:rPr>
        <w:t>s</w:t>
      </w:r>
      <w:r w:rsidRPr="009B665B">
        <w:t>isten</w:t>
      </w:r>
      <w:r w:rsidRPr="009B665B">
        <w:rPr>
          <w:spacing w:val="1"/>
        </w:rPr>
        <w:t>t</w:t>
      </w:r>
      <w:r w:rsidRPr="009B665B">
        <w:rPr>
          <w:spacing w:val="2"/>
        </w:rPr>
        <w:t>l</w:t>
      </w:r>
      <w:r w:rsidRPr="009B665B">
        <w:t>y been</w:t>
      </w:r>
      <w:r w:rsidRPr="009B665B">
        <w:rPr>
          <w:spacing w:val="-15"/>
        </w:rPr>
        <w:t xml:space="preserve"> </w:t>
      </w:r>
      <w:r w:rsidRPr="009B665B">
        <w:rPr>
          <w:spacing w:val="3"/>
        </w:rPr>
        <w:t>b</w:t>
      </w:r>
      <w:r w:rsidRPr="009B665B">
        <w:t>et</w:t>
      </w:r>
      <w:r w:rsidRPr="009B665B">
        <w:rPr>
          <w:spacing w:val="4"/>
        </w:rPr>
        <w:t>w</w:t>
      </w:r>
      <w:r w:rsidRPr="009B665B">
        <w:t>e</w:t>
      </w:r>
      <w:r w:rsidRPr="009B665B">
        <w:rPr>
          <w:spacing w:val="-1"/>
        </w:rPr>
        <w:t>e</w:t>
      </w:r>
      <w:r w:rsidRPr="009B665B">
        <w:t>n</w:t>
      </w:r>
      <w:r w:rsidRPr="009B665B">
        <w:rPr>
          <w:spacing w:val="-8"/>
        </w:rPr>
        <w:t xml:space="preserve"> </w:t>
      </w:r>
      <w:r w:rsidRPr="009B665B">
        <w:t>91%</w:t>
      </w:r>
      <w:r w:rsidRPr="009B665B">
        <w:rPr>
          <w:spacing w:val="3"/>
        </w:rPr>
        <w:t xml:space="preserve"> and </w:t>
      </w:r>
      <w:r w:rsidRPr="009B665B">
        <w:rPr>
          <w:spacing w:val="2"/>
        </w:rPr>
        <w:t>95</w:t>
      </w:r>
      <w:r w:rsidRPr="009B665B">
        <w:t>% a</w:t>
      </w:r>
      <w:r w:rsidRPr="009B665B">
        <w:rPr>
          <w:spacing w:val="-1"/>
        </w:rPr>
        <w:t>cr</w:t>
      </w:r>
      <w:r w:rsidRPr="009B665B">
        <w:t>o</w:t>
      </w:r>
      <w:r w:rsidRPr="009B665B">
        <w:rPr>
          <w:spacing w:val="2"/>
        </w:rPr>
        <w:t>s</w:t>
      </w:r>
      <w:r w:rsidRPr="009B665B">
        <w:t>s</w:t>
      </w:r>
      <w:r w:rsidRPr="009B665B">
        <w:rPr>
          <w:spacing w:val="-6"/>
        </w:rPr>
        <w:t xml:space="preserve"> </w:t>
      </w:r>
      <w:r w:rsidRPr="009B665B">
        <w:rPr>
          <w:spacing w:val="-1"/>
        </w:rPr>
        <w:t>a</w:t>
      </w:r>
      <w:r w:rsidRPr="009B665B">
        <w:rPr>
          <w:spacing w:val="2"/>
        </w:rPr>
        <w:t>l</w:t>
      </w:r>
      <w:r w:rsidRPr="009B665B">
        <w:t>l</w:t>
      </w:r>
      <w:r w:rsidRPr="009B665B">
        <w:rPr>
          <w:spacing w:val="-2"/>
        </w:rPr>
        <w:t xml:space="preserve"> </w:t>
      </w:r>
      <w:r w:rsidRPr="009B665B">
        <w:t>gr</w:t>
      </w:r>
      <w:r w:rsidRPr="009B665B">
        <w:rPr>
          <w:spacing w:val="-1"/>
        </w:rPr>
        <w:t>a</w:t>
      </w:r>
      <w:r w:rsidRPr="009B665B">
        <w:rPr>
          <w:spacing w:val="3"/>
        </w:rPr>
        <w:t>d</w:t>
      </w:r>
      <w:r w:rsidRPr="009B665B">
        <w:t>es</w:t>
      </w:r>
      <w:r w:rsidRPr="009B665B">
        <w:rPr>
          <w:spacing w:val="-8"/>
        </w:rPr>
        <w:t xml:space="preserve"> </w:t>
      </w:r>
      <w:r w:rsidRPr="009B665B">
        <w:t>for</w:t>
      </w:r>
      <w:r w:rsidRPr="009B665B">
        <w:rPr>
          <w:spacing w:val="-4"/>
        </w:rPr>
        <w:t xml:space="preserve"> </w:t>
      </w:r>
      <w:r w:rsidRPr="009B665B">
        <w:t>the</w:t>
      </w:r>
      <w:r w:rsidRPr="009B665B">
        <w:rPr>
          <w:spacing w:val="1"/>
        </w:rPr>
        <w:t xml:space="preserve"> </w:t>
      </w:r>
      <w:r w:rsidRPr="009B665B">
        <w:t>pa</w:t>
      </w:r>
      <w:r w:rsidRPr="009B665B">
        <w:rPr>
          <w:spacing w:val="-1"/>
        </w:rPr>
        <w:t>s</w:t>
      </w:r>
      <w:r w:rsidRPr="009B665B">
        <w:t>t</w:t>
      </w:r>
      <w:r w:rsidRPr="009B665B">
        <w:rPr>
          <w:spacing w:val="-4"/>
        </w:rPr>
        <w:t xml:space="preserve"> </w:t>
      </w:r>
      <w:r w:rsidRPr="009B665B">
        <w:t>three y</w:t>
      </w:r>
      <w:r w:rsidRPr="009B665B">
        <w:rPr>
          <w:spacing w:val="-1"/>
        </w:rPr>
        <w:t>e</w:t>
      </w:r>
      <w:r w:rsidRPr="009B665B">
        <w:t>a</w:t>
      </w:r>
      <w:r w:rsidRPr="009B665B">
        <w:rPr>
          <w:spacing w:val="1"/>
        </w:rPr>
        <w:t>r</w:t>
      </w:r>
      <w:r w:rsidRPr="009B665B">
        <w:t>s.</w:t>
      </w:r>
      <w:r w:rsidRPr="009B665B">
        <w:rPr>
          <w:spacing w:val="-7"/>
        </w:rPr>
        <w:t xml:space="preserve"> T</w:t>
      </w:r>
      <w:r w:rsidRPr="009B665B">
        <w:rPr>
          <w:spacing w:val="-8"/>
        </w:rPr>
        <w:t xml:space="preserve">he </w:t>
      </w:r>
      <w:r w:rsidRPr="009B665B">
        <w:t>n</w:t>
      </w:r>
      <w:r w:rsidRPr="009B665B">
        <w:rPr>
          <w:spacing w:val="2"/>
        </w:rPr>
        <w:t>e</w:t>
      </w:r>
      <w:r w:rsidRPr="009B665B">
        <w:t>ed</w:t>
      </w:r>
      <w:r w:rsidRPr="009B665B">
        <w:rPr>
          <w:spacing w:val="-5"/>
        </w:rPr>
        <w:t xml:space="preserve"> </w:t>
      </w:r>
      <w:r w:rsidRPr="009B665B">
        <w:rPr>
          <w:spacing w:val="1"/>
        </w:rPr>
        <w:t>t</w:t>
      </w:r>
      <w:r w:rsidRPr="009B665B">
        <w:t>o</w:t>
      </w:r>
      <w:r w:rsidRPr="009B665B">
        <w:rPr>
          <w:spacing w:val="-2"/>
        </w:rPr>
        <w:t xml:space="preserve"> </w:t>
      </w:r>
      <w:r w:rsidRPr="009B665B">
        <w:t>focus</w:t>
      </w:r>
      <w:r w:rsidRPr="009B665B">
        <w:rPr>
          <w:spacing w:val="-5"/>
        </w:rPr>
        <w:t xml:space="preserve"> </w:t>
      </w:r>
      <w:r w:rsidRPr="009B665B">
        <w:t>on</w:t>
      </w:r>
      <w:r w:rsidRPr="009B665B">
        <w:rPr>
          <w:spacing w:val="11"/>
        </w:rPr>
        <w:t xml:space="preserve"> </w:t>
      </w:r>
      <w:r w:rsidRPr="009B665B">
        <w:rPr>
          <w:spacing w:val="2"/>
        </w:rPr>
        <w:t>r</w:t>
      </w:r>
      <w:r w:rsidRPr="009B665B">
        <w:t>e</w:t>
      </w:r>
      <w:r w:rsidRPr="009B665B">
        <w:rPr>
          <w:spacing w:val="-1"/>
        </w:rPr>
        <w:t>a</w:t>
      </w:r>
      <w:r w:rsidRPr="009B665B">
        <w:t>ding</w:t>
      </w:r>
      <w:r w:rsidRPr="009B665B">
        <w:rPr>
          <w:spacing w:val="-6"/>
        </w:rPr>
        <w:t xml:space="preserve"> </w:t>
      </w:r>
      <w:r w:rsidRPr="009B665B">
        <w:t>s</w:t>
      </w:r>
      <w:r w:rsidRPr="009B665B">
        <w:rPr>
          <w:spacing w:val="1"/>
        </w:rPr>
        <w:t>k</w:t>
      </w:r>
      <w:r w:rsidRPr="009B665B">
        <w:t>ills</w:t>
      </w:r>
      <w:r w:rsidRPr="009B665B">
        <w:rPr>
          <w:spacing w:val="-4"/>
        </w:rPr>
        <w:t xml:space="preserve"> </w:t>
      </w:r>
      <w:r w:rsidRPr="009B665B">
        <w:t>a</w:t>
      </w:r>
      <w:r w:rsidRPr="009B665B">
        <w:rPr>
          <w:spacing w:val="1"/>
        </w:rPr>
        <w:t>c</w:t>
      </w:r>
      <w:r w:rsidRPr="009B665B">
        <w:rPr>
          <w:spacing w:val="-1"/>
        </w:rPr>
        <w:t>r</w:t>
      </w:r>
      <w:r w:rsidRPr="009B665B">
        <w:t>oss</w:t>
      </w:r>
      <w:r w:rsidRPr="009B665B">
        <w:rPr>
          <w:spacing w:val="-5"/>
        </w:rPr>
        <w:t xml:space="preserve"> </w:t>
      </w:r>
      <w:r w:rsidRPr="009B665B">
        <w:t>all y</w:t>
      </w:r>
      <w:r w:rsidRPr="009B665B">
        <w:rPr>
          <w:spacing w:val="-1"/>
        </w:rPr>
        <w:t>e</w:t>
      </w:r>
      <w:r w:rsidRPr="009B665B">
        <w:t>ar</w:t>
      </w:r>
      <w:r w:rsidRPr="009B665B">
        <w:rPr>
          <w:spacing w:val="-3"/>
        </w:rPr>
        <w:t xml:space="preserve"> </w:t>
      </w:r>
      <w:r w:rsidRPr="009B665B">
        <w:t>l</w:t>
      </w:r>
      <w:r w:rsidRPr="009B665B">
        <w:rPr>
          <w:spacing w:val="-1"/>
        </w:rPr>
        <w:t>e</w:t>
      </w:r>
      <w:r w:rsidRPr="009B665B">
        <w:rPr>
          <w:spacing w:val="2"/>
        </w:rPr>
        <w:t>v</w:t>
      </w:r>
      <w:r w:rsidRPr="009B665B">
        <w:t>el</w:t>
      </w:r>
      <w:r w:rsidRPr="009B665B">
        <w:rPr>
          <w:spacing w:val="-1"/>
        </w:rPr>
        <w:t xml:space="preserve">s was identified at the beginning of the project by the </w:t>
      </w:r>
      <w:r w:rsidRPr="009B665B">
        <w:rPr>
          <w:spacing w:val="5"/>
        </w:rPr>
        <w:t>N</w:t>
      </w:r>
      <w:r w:rsidRPr="009B665B">
        <w:rPr>
          <w:spacing w:val="-5"/>
        </w:rPr>
        <w:t>A</w:t>
      </w:r>
      <w:r w:rsidRPr="009B665B">
        <w:rPr>
          <w:spacing w:val="1"/>
        </w:rPr>
        <w:t>P</w:t>
      </w:r>
      <w:r w:rsidRPr="009B665B">
        <w:rPr>
          <w:spacing w:val="5"/>
        </w:rPr>
        <w:t>L</w:t>
      </w:r>
      <w:r w:rsidRPr="009B665B">
        <w:rPr>
          <w:spacing w:val="-5"/>
        </w:rPr>
        <w:t>A</w:t>
      </w:r>
      <w:r w:rsidRPr="009B665B">
        <w:t>N</w:t>
      </w:r>
      <w:r w:rsidRPr="009B665B">
        <w:rPr>
          <w:spacing w:val="-6"/>
        </w:rPr>
        <w:t xml:space="preserve"> </w:t>
      </w:r>
      <w:r w:rsidRPr="009B665B">
        <w:rPr>
          <w:spacing w:val="-1"/>
        </w:rPr>
        <w:t>r</w:t>
      </w:r>
      <w:r w:rsidRPr="009B665B">
        <w:rPr>
          <w:spacing w:val="2"/>
        </w:rPr>
        <w:t>e</w:t>
      </w:r>
      <w:r w:rsidRPr="009B665B">
        <w:t>sul</w:t>
      </w:r>
      <w:r w:rsidRPr="009B665B">
        <w:rPr>
          <w:spacing w:val="1"/>
        </w:rPr>
        <w:t>t</w:t>
      </w:r>
      <w:r w:rsidRPr="009B665B">
        <w:t>s,</w:t>
      </w:r>
      <w:r w:rsidRPr="009B665B">
        <w:rPr>
          <w:spacing w:val="-8"/>
        </w:rPr>
        <w:t xml:space="preserve"> Progressive Achievement Test (</w:t>
      </w:r>
      <w:r w:rsidRPr="009B665B">
        <w:rPr>
          <w:spacing w:val="4"/>
        </w:rPr>
        <w:t>P</w:t>
      </w:r>
      <w:r w:rsidRPr="009B665B">
        <w:rPr>
          <w:spacing w:val="-5"/>
        </w:rPr>
        <w:t>A</w:t>
      </w:r>
      <w:r w:rsidRPr="009B665B">
        <w:t>T</w:t>
      </w:r>
      <w:r w:rsidR="00242EFE" w:rsidRPr="009B665B">
        <w:t>)</w:t>
      </w:r>
      <w:r w:rsidR="00242EFE" w:rsidRPr="009B665B">
        <w:rPr>
          <w:spacing w:val="-1"/>
        </w:rPr>
        <w:t xml:space="preserve"> </w:t>
      </w:r>
      <w:r w:rsidR="00242EFE" w:rsidRPr="009B665B">
        <w:rPr>
          <w:spacing w:val="-4"/>
        </w:rPr>
        <w:t>results</w:t>
      </w:r>
      <w:r w:rsidRPr="009B665B">
        <w:rPr>
          <w:spacing w:val="-6"/>
        </w:rPr>
        <w:t xml:space="preserve"> </w:t>
      </w:r>
      <w:r w:rsidRPr="009B665B">
        <w:t>a</w:t>
      </w:r>
      <w:r w:rsidRPr="009B665B">
        <w:rPr>
          <w:spacing w:val="3"/>
        </w:rPr>
        <w:t>n</w:t>
      </w:r>
      <w:r w:rsidRPr="009B665B">
        <w:t>d</w:t>
      </w:r>
      <w:r w:rsidRPr="009B665B">
        <w:rPr>
          <w:spacing w:val="-4"/>
        </w:rPr>
        <w:t xml:space="preserve"> </w:t>
      </w:r>
      <w:r w:rsidRPr="009B665B">
        <w:t>o</w:t>
      </w:r>
      <w:r w:rsidRPr="009B665B">
        <w:rPr>
          <w:spacing w:val="1"/>
        </w:rPr>
        <w:t>t</w:t>
      </w:r>
      <w:r w:rsidRPr="009B665B">
        <w:t>her</w:t>
      </w:r>
      <w:r w:rsidRPr="009B665B">
        <w:rPr>
          <w:spacing w:val="-6"/>
        </w:rPr>
        <w:t xml:space="preserve"> </w:t>
      </w:r>
      <w:r w:rsidRPr="009B665B">
        <w:t>diagnostic</w:t>
      </w:r>
      <w:r w:rsidRPr="009B665B">
        <w:rPr>
          <w:spacing w:val="-10"/>
        </w:rPr>
        <w:t xml:space="preserve"> </w:t>
      </w:r>
      <w:r w:rsidRPr="009B665B">
        <w:rPr>
          <w:spacing w:val="3"/>
        </w:rPr>
        <w:t>d</w:t>
      </w:r>
      <w:r w:rsidRPr="009B665B">
        <w:t>ata.</w:t>
      </w:r>
    </w:p>
    <w:p w14:paraId="5362738B" w14:textId="72F93E32" w:rsidR="00801B00" w:rsidRPr="00CA255D" w:rsidRDefault="00801B00" w:rsidP="00CA255D">
      <w:r w:rsidRPr="009B665B">
        <w:rPr>
          <w:spacing w:val="3"/>
        </w:rPr>
        <w:t>T</w:t>
      </w:r>
      <w:r w:rsidRPr="009B665B">
        <w:t>he</w:t>
      </w:r>
      <w:r w:rsidRPr="009B665B">
        <w:rPr>
          <w:spacing w:val="-1"/>
        </w:rPr>
        <w:t>r</w:t>
      </w:r>
      <w:r w:rsidRPr="009B665B">
        <w:t>e</w:t>
      </w:r>
      <w:r w:rsidRPr="009B665B">
        <w:rPr>
          <w:spacing w:val="-5"/>
        </w:rPr>
        <w:t xml:space="preserve"> </w:t>
      </w:r>
      <w:r w:rsidRPr="009B665B">
        <w:rPr>
          <w:spacing w:val="-1"/>
        </w:rPr>
        <w:t>ar</w:t>
      </w:r>
      <w:r w:rsidRPr="009B665B">
        <w:t>e</w:t>
      </w:r>
      <w:r w:rsidRPr="009B665B">
        <w:rPr>
          <w:spacing w:val="-2"/>
        </w:rPr>
        <w:t xml:space="preserve"> </w:t>
      </w:r>
      <w:r w:rsidRPr="009B665B">
        <w:t>cu</w:t>
      </w:r>
      <w:r w:rsidRPr="009B665B">
        <w:rPr>
          <w:spacing w:val="2"/>
        </w:rPr>
        <w:t>r</w:t>
      </w:r>
      <w:r w:rsidRPr="009B665B">
        <w:rPr>
          <w:spacing w:val="-1"/>
        </w:rPr>
        <w:t>r</w:t>
      </w:r>
      <w:r w:rsidRPr="009B665B">
        <w:t>en</w:t>
      </w:r>
      <w:r w:rsidRPr="009B665B">
        <w:rPr>
          <w:spacing w:val="1"/>
        </w:rPr>
        <w:t>t</w:t>
      </w:r>
      <w:r w:rsidRPr="009B665B">
        <w:rPr>
          <w:spacing w:val="2"/>
        </w:rPr>
        <w:t>l</w:t>
      </w:r>
      <w:r w:rsidRPr="009B665B">
        <w:t>y</w:t>
      </w:r>
      <w:r w:rsidRPr="009B665B">
        <w:rPr>
          <w:spacing w:val="-10"/>
        </w:rPr>
        <w:t xml:space="preserve"> </w:t>
      </w:r>
      <w:r w:rsidRPr="009B665B">
        <w:t>53</w:t>
      </w:r>
      <w:r w:rsidRPr="009B665B">
        <w:rPr>
          <w:spacing w:val="-1"/>
        </w:rPr>
        <w:t xml:space="preserve"> </w:t>
      </w:r>
      <w:r w:rsidRPr="009B665B">
        <w:t>m</w:t>
      </w:r>
      <w:r w:rsidRPr="009B665B">
        <w:rPr>
          <w:spacing w:val="2"/>
        </w:rPr>
        <w:t>e</w:t>
      </w:r>
      <w:r w:rsidRPr="009B665B">
        <w:t>m</w:t>
      </w:r>
      <w:r w:rsidRPr="009B665B">
        <w:rPr>
          <w:spacing w:val="1"/>
        </w:rPr>
        <w:t>b</w:t>
      </w:r>
      <w:r w:rsidRPr="009B665B">
        <w:t>e</w:t>
      </w:r>
      <w:r w:rsidRPr="009B665B">
        <w:rPr>
          <w:spacing w:val="-1"/>
        </w:rPr>
        <w:t>r</w:t>
      </w:r>
      <w:r w:rsidRPr="009B665B">
        <w:t>s</w:t>
      </w:r>
      <w:r w:rsidRPr="009B665B">
        <w:rPr>
          <w:spacing w:val="-9"/>
        </w:rPr>
        <w:t xml:space="preserve"> </w:t>
      </w:r>
      <w:r w:rsidRPr="009B665B">
        <w:t>of</w:t>
      </w:r>
      <w:r w:rsidRPr="009B665B">
        <w:rPr>
          <w:spacing w:val="-1"/>
        </w:rPr>
        <w:t xml:space="preserve"> </w:t>
      </w:r>
      <w:r w:rsidRPr="009B665B">
        <w:t>the</w:t>
      </w:r>
      <w:r w:rsidRPr="009B665B">
        <w:rPr>
          <w:spacing w:val="-3"/>
        </w:rPr>
        <w:t xml:space="preserve"> </w:t>
      </w:r>
      <w:r w:rsidRPr="009B665B">
        <w:t>C</w:t>
      </w:r>
      <w:r w:rsidRPr="009B665B">
        <w:rPr>
          <w:spacing w:val="3"/>
        </w:rPr>
        <w:t>o</w:t>
      </w:r>
      <w:r w:rsidRPr="009B665B">
        <w:t>ll</w:t>
      </w:r>
      <w:r w:rsidRPr="009B665B">
        <w:rPr>
          <w:spacing w:val="-1"/>
        </w:rPr>
        <w:t>e</w:t>
      </w:r>
      <w:r w:rsidRPr="009B665B">
        <w:t>ge</w:t>
      </w:r>
      <w:r w:rsidRPr="009B665B">
        <w:rPr>
          <w:spacing w:val="-7"/>
        </w:rPr>
        <w:t xml:space="preserve"> </w:t>
      </w:r>
      <w:r w:rsidRPr="009B665B">
        <w:rPr>
          <w:spacing w:val="3"/>
        </w:rPr>
        <w:t>t</w:t>
      </w:r>
      <w:r w:rsidRPr="009B665B">
        <w:t>e</w:t>
      </w:r>
      <w:r w:rsidRPr="009B665B">
        <w:rPr>
          <w:spacing w:val="-1"/>
        </w:rPr>
        <w:t>a</w:t>
      </w:r>
      <w:r w:rsidRPr="009B665B">
        <w:rPr>
          <w:spacing w:val="2"/>
        </w:rPr>
        <w:t>c</w:t>
      </w:r>
      <w:r w:rsidRPr="009B665B">
        <w:t>hing</w:t>
      </w:r>
      <w:r w:rsidRPr="009B665B">
        <w:rPr>
          <w:spacing w:val="-7"/>
        </w:rPr>
        <w:t xml:space="preserve"> </w:t>
      </w:r>
      <w:r w:rsidRPr="009B665B">
        <w:t>sta</w:t>
      </w:r>
      <w:r w:rsidRPr="009B665B">
        <w:rPr>
          <w:spacing w:val="1"/>
        </w:rPr>
        <w:t>ff o</w:t>
      </w:r>
      <w:r w:rsidRPr="009B665B">
        <w:t>f</w:t>
      </w:r>
      <w:r w:rsidRPr="009B665B">
        <w:rPr>
          <w:spacing w:val="-2"/>
        </w:rPr>
        <w:t xml:space="preserve"> which 6 are </w:t>
      </w:r>
      <w:r w:rsidRPr="009B665B">
        <w:t>New</w:t>
      </w:r>
      <w:r w:rsidRPr="009B665B">
        <w:rPr>
          <w:spacing w:val="-1"/>
        </w:rPr>
        <w:t xml:space="preserve"> </w:t>
      </w:r>
      <w:r w:rsidRPr="009B665B">
        <w:t>S</w:t>
      </w:r>
      <w:r w:rsidRPr="009B665B">
        <w:rPr>
          <w:spacing w:val="-1"/>
        </w:rPr>
        <w:t>c</w:t>
      </w:r>
      <w:r w:rsidRPr="009B665B">
        <w:t>heme</w:t>
      </w:r>
      <w:r w:rsidRPr="009B665B">
        <w:rPr>
          <w:spacing w:val="-7"/>
        </w:rPr>
        <w:t xml:space="preserve"> </w:t>
      </w:r>
      <w:r w:rsidRPr="009B665B">
        <w:rPr>
          <w:spacing w:val="3"/>
        </w:rPr>
        <w:t>t</w:t>
      </w:r>
      <w:r w:rsidRPr="009B665B">
        <w:t>e</w:t>
      </w:r>
      <w:r w:rsidRPr="009B665B">
        <w:rPr>
          <w:spacing w:val="1"/>
        </w:rPr>
        <w:t>a</w:t>
      </w:r>
      <w:r w:rsidRPr="009B665B">
        <w:t>che</w:t>
      </w:r>
      <w:r w:rsidRPr="009B665B">
        <w:rPr>
          <w:spacing w:val="-1"/>
        </w:rPr>
        <w:t>r</w:t>
      </w:r>
      <w:r w:rsidRPr="009B665B">
        <w:t>s.</w:t>
      </w:r>
      <w:r w:rsidRPr="009B665B">
        <w:rPr>
          <w:spacing w:val="53"/>
        </w:rPr>
        <w:t xml:space="preserve"> </w:t>
      </w:r>
      <w:r w:rsidRPr="009B665B">
        <w:rPr>
          <w:spacing w:val="2"/>
        </w:rPr>
        <w:t>89</w:t>
      </w:r>
      <w:r w:rsidRPr="009B665B">
        <w:t>%</w:t>
      </w:r>
      <w:r w:rsidRPr="009B665B">
        <w:rPr>
          <w:spacing w:val="-6"/>
        </w:rPr>
        <w:t xml:space="preserve"> </w:t>
      </w:r>
      <w:r w:rsidRPr="009B665B">
        <w:t>of</w:t>
      </w:r>
      <w:r w:rsidRPr="009B665B">
        <w:rPr>
          <w:spacing w:val="-1"/>
        </w:rPr>
        <w:t xml:space="preserve"> </w:t>
      </w:r>
      <w:r w:rsidRPr="009B665B">
        <w:t>the</w:t>
      </w:r>
      <w:r w:rsidRPr="009B665B">
        <w:rPr>
          <w:spacing w:val="-3"/>
        </w:rPr>
        <w:t xml:space="preserve"> </w:t>
      </w:r>
      <w:r w:rsidRPr="009B665B">
        <w:t>C</w:t>
      </w:r>
      <w:r w:rsidRPr="009B665B">
        <w:rPr>
          <w:spacing w:val="3"/>
        </w:rPr>
        <w:t>o</w:t>
      </w:r>
      <w:r w:rsidRPr="009B665B">
        <w:t>ll</w:t>
      </w:r>
      <w:r w:rsidRPr="009B665B">
        <w:rPr>
          <w:spacing w:val="-1"/>
        </w:rPr>
        <w:t>e</w:t>
      </w:r>
      <w:r w:rsidRPr="009B665B">
        <w:t>ge</w:t>
      </w:r>
      <w:r w:rsidRPr="009B665B">
        <w:rPr>
          <w:spacing w:val="-7"/>
        </w:rPr>
        <w:t xml:space="preserve"> </w:t>
      </w:r>
      <w:r w:rsidRPr="009B665B">
        <w:t>t</w:t>
      </w:r>
      <w:r w:rsidRPr="009B665B">
        <w:rPr>
          <w:spacing w:val="2"/>
        </w:rPr>
        <w:t>e</w:t>
      </w:r>
      <w:r w:rsidRPr="009B665B">
        <w:t>a</w:t>
      </w:r>
      <w:r w:rsidRPr="009B665B">
        <w:rPr>
          <w:spacing w:val="-1"/>
        </w:rPr>
        <w:t>c</w:t>
      </w:r>
      <w:r w:rsidRPr="009B665B">
        <w:t>hing</w:t>
      </w:r>
      <w:r w:rsidRPr="009B665B">
        <w:rPr>
          <w:spacing w:val="-7"/>
        </w:rPr>
        <w:t xml:space="preserve"> </w:t>
      </w:r>
      <w:r w:rsidRPr="009B665B">
        <w:t>sta</w:t>
      </w:r>
      <w:r w:rsidRPr="009B665B">
        <w:rPr>
          <w:spacing w:val="1"/>
        </w:rPr>
        <w:t>ff</w:t>
      </w:r>
      <w:r w:rsidRPr="009B665B">
        <w:t xml:space="preserve"> </w:t>
      </w:r>
      <w:r w:rsidR="004662E7" w:rsidRPr="009B665B">
        <w:t>ha</w:t>
      </w:r>
      <w:r w:rsidR="004662E7" w:rsidRPr="009B665B">
        <w:rPr>
          <w:spacing w:val="1"/>
        </w:rPr>
        <w:t>s</w:t>
      </w:r>
      <w:r w:rsidRPr="009B665B">
        <w:rPr>
          <w:spacing w:val="-5"/>
        </w:rPr>
        <w:t xml:space="preserve"> </w:t>
      </w:r>
      <w:r w:rsidRPr="009B665B">
        <w:t>been</w:t>
      </w:r>
      <w:r w:rsidRPr="009B665B">
        <w:rPr>
          <w:spacing w:val="-5"/>
        </w:rPr>
        <w:t xml:space="preserve"> </w:t>
      </w:r>
      <w:r w:rsidRPr="009B665B">
        <w:t>in</w:t>
      </w:r>
      <w:r w:rsidRPr="009B665B">
        <w:rPr>
          <w:spacing w:val="-2"/>
        </w:rPr>
        <w:t xml:space="preserve"> </w:t>
      </w:r>
      <w:r w:rsidRPr="009B665B">
        <w:rPr>
          <w:spacing w:val="1"/>
        </w:rPr>
        <w:t>t</w:t>
      </w:r>
      <w:r w:rsidRPr="009B665B">
        <w:t>he</w:t>
      </w:r>
      <w:r w:rsidRPr="009B665B">
        <w:rPr>
          <w:spacing w:val="-3"/>
        </w:rPr>
        <w:t xml:space="preserve"> </w:t>
      </w:r>
      <w:r w:rsidRPr="009B665B">
        <w:t>pro</w:t>
      </w:r>
      <w:r w:rsidRPr="009B665B">
        <w:rPr>
          <w:spacing w:val="3"/>
        </w:rPr>
        <w:t>f</w:t>
      </w:r>
      <w:r w:rsidRPr="009B665B">
        <w:t>e</w:t>
      </w:r>
      <w:r w:rsidRPr="009B665B">
        <w:rPr>
          <w:spacing w:val="-1"/>
        </w:rPr>
        <w:t>s</w:t>
      </w:r>
      <w:r w:rsidRPr="009B665B">
        <w:t>s</w:t>
      </w:r>
      <w:r w:rsidRPr="009B665B">
        <w:rPr>
          <w:spacing w:val="2"/>
        </w:rPr>
        <w:t>i</w:t>
      </w:r>
      <w:r w:rsidRPr="009B665B">
        <w:t>on</w:t>
      </w:r>
      <w:r w:rsidRPr="009B665B">
        <w:rPr>
          <w:spacing w:val="-10"/>
        </w:rPr>
        <w:t xml:space="preserve"> </w:t>
      </w:r>
      <w:r w:rsidRPr="009B665B">
        <w:t>for</w:t>
      </w:r>
      <w:r w:rsidRPr="009B665B">
        <w:rPr>
          <w:spacing w:val="-4"/>
        </w:rPr>
        <w:t xml:space="preserve"> </w:t>
      </w:r>
      <w:r w:rsidRPr="009B665B">
        <w:t>5</w:t>
      </w:r>
      <w:r w:rsidRPr="009B665B">
        <w:rPr>
          <w:spacing w:val="-2"/>
        </w:rPr>
        <w:t xml:space="preserve"> </w:t>
      </w:r>
      <w:r w:rsidRPr="009B665B">
        <w:t>or</w:t>
      </w:r>
      <w:r w:rsidRPr="009B665B">
        <w:rPr>
          <w:spacing w:val="-3"/>
        </w:rPr>
        <w:t xml:space="preserve"> </w:t>
      </w:r>
      <w:r w:rsidRPr="009B665B">
        <w:t>m</w:t>
      </w:r>
      <w:r w:rsidRPr="009B665B">
        <w:rPr>
          <w:spacing w:val="3"/>
        </w:rPr>
        <w:t>o</w:t>
      </w:r>
      <w:r w:rsidRPr="009B665B">
        <w:rPr>
          <w:spacing w:val="-1"/>
        </w:rPr>
        <w:t>r</w:t>
      </w:r>
      <w:r w:rsidRPr="009B665B">
        <w:t>e</w:t>
      </w:r>
      <w:r w:rsidRPr="009B665B">
        <w:rPr>
          <w:spacing w:val="-4"/>
        </w:rPr>
        <w:t xml:space="preserve"> </w:t>
      </w:r>
      <w:r w:rsidRPr="009B665B">
        <w:t>y</w:t>
      </w:r>
      <w:r w:rsidRPr="009B665B">
        <w:rPr>
          <w:spacing w:val="-1"/>
        </w:rPr>
        <w:t>e</w:t>
      </w:r>
      <w:r w:rsidRPr="009B665B">
        <w:rPr>
          <w:spacing w:val="2"/>
        </w:rPr>
        <w:t>a</w:t>
      </w:r>
      <w:r w:rsidRPr="009B665B">
        <w:rPr>
          <w:spacing w:val="-1"/>
        </w:rPr>
        <w:t>r</w:t>
      </w:r>
      <w:r w:rsidRPr="009B665B">
        <w:t>s.</w:t>
      </w:r>
      <w:r w:rsidRPr="009B665B">
        <w:rPr>
          <w:spacing w:val="-7"/>
        </w:rPr>
        <w:t xml:space="preserve"> </w:t>
      </w:r>
      <w:r w:rsidRPr="009B665B">
        <w:rPr>
          <w:spacing w:val="3"/>
        </w:rPr>
        <w:t>T</w:t>
      </w:r>
      <w:r w:rsidRPr="009B665B">
        <w:t>he</w:t>
      </w:r>
      <w:r w:rsidRPr="009B665B">
        <w:rPr>
          <w:spacing w:val="-1"/>
        </w:rPr>
        <w:t>r</w:t>
      </w:r>
      <w:r w:rsidRPr="009B665B">
        <w:t>e</w:t>
      </w:r>
      <w:r w:rsidRPr="009B665B">
        <w:rPr>
          <w:spacing w:val="-4"/>
        </w:rPr>
        <w:t xml:space="preserve"> </w:t>
      </w:r>
      <w:r w:rsidRPr="009B665B">
        <w:t>a</w:t>
      </w:r>
      <w:r w:rsidRPr="009B665B">
        <w:rPr>
          <w:spacing w:val="-1"/>
        </w:rPr>
        <w:t>r</w:t>
      </w:r>
      <w:r w:rsidRPr="009B665B">
        <w:t>e</w:t>
      </w:r>
      <w:r w:rsidRPr="009B665B">
        <w:rPr>
          <w:spacing w:val="-3"/>
        </w:rPr>
        <w:t xml:space="preserve"> </w:t>
      </w:r>
      <w:r w:rsidRPr="009B665B">
        <w:t>t</w:t>
      </w:r>
      <w:r w:rsidRPr="009B665B">
        <w:rPr>
          <w:spacing w:val="4"/>
        </w:rPr>
        <w:t>w</w:t>
      </w:r>
      <w:r w:rsidRPr="009B665B">
        <w:t>o</w:t>
      </w:r>
      <w:r w:rsidRPr="009B665B">
        <w:rPr>
          <w:spacing w:val="-3"/>
        </w:rPr>
        <w:t xml:space="preserve"> </w:t>
      </w:r>
      <w:r w:rsidRPr="009B665B">
        <w:t>mem</w:t>
      </w:r>
      <w:r w:rsidRPr="009B665B">
        <w:rPr>
          <w:spacing w:val="1"/>
        </w:rPr>
        <w:t>b</w:t>
      </w:r>
      <w:r w:rsidRPr="009B665B">
        <w:t>e</w:t>
      </w:r>
      <w:r w:rsidRPr="009B665B">
        <w:rPr>
          <w:spacing w:val="1"/>
        </w:rPr>
        <w:t>r</w:t>
      </w:r>
      <w:r w:rsidRPr="009B665B">
        <w:t>s</w:t>
      </w:r>
      <w:r w:rsidRPr="009B665B">
        <w:rPr>
          <w:spacing w:val="-9"/>
        </w:rPr>
        <w:t xml:space="preserve"> </w:t>
      </w:r>
      <w:r w:rsidRPr="009B665B">
        <w:t>of</w:t>
      </w:r>
      <w:r w:rsidRPr="009B665B">
        <w:rPr>
          <w:spacing w:val="1"/>
        </w:rPr>
        <w:t xml:space="preserve"> </w:t>
      </w:r>
      <w:r w:rsidRPr="009B665B">
        <w:t>sta</w:t>
      </w:r>
      <w:r w:rsidRPr="009B665B">
        <w:rPr>
          <w:spacing w:val="1"/>
        </w:rPr>
        <w:t>f</w:t>
      </w:r>
      <w:r w:rsidRPr="009B665B">
        <w:t>f</w:t>
      </w:r>
      <w:r w:rsidRPr="009B665B">
        <w:rPr>
          <w:spacing w:val="-4"/>
        </w:rPr>
        <w:t xml:space="preserve"> </w:t>
      </w:r>
      <w:r w:rsidRPr="009B665B">
        <w:rPr>
          <w:spacing w:val="3"/>
        </w:rPr>
        <w:t>w</w:t>
      </w:r>
      <w:r w:rsidRPr="009B665B">
        <w:t>ho</w:t>
      </w:r>
      <w:r w:rsidRPr="009B665B">
        <w:rPr>
          <w:spacing w:val="-4"/>
        </w:rPr>
        <w:t xml:space="preserve"> </w:t>
      </w:r>
      <w:r w:rsidRPr="009B665B">
        <w:t>a</w:t>
      </w:r>
      <w:r w:rsidRPr="009B665B">
        <w:rPr>
          <w:spacing w:val="-1"/>
        </w:rPr>
        <w:t>r</w:t>
      </w:r>
      <w:r w:rsidRPr="009B665B">
        <w:t>e</w:t>
      </w:r>
      <w:r w:rsidRPr="009B665B">
        <w:rPr>
          <w:spacing w:val="-3"/>
        </w:rPr>
        <w:t xml:space="preserve"> </w:t>
      </w:r>
      <w:r w:rsidRPr="009B665B">
        <w:rPr>
          <w:spacing w:val="-1"/>
        </w:rPr>
        <w:t>i</w:t>
      </w:r>
      <w:r w:rsidRPr="009B665B">
        <w:t>n</w:t>
      </w:r>
      <w:r w:rsidRPr="009B665B">
        <w:rPr>
          <w:spacing w:val="-2"/>
        </w:rPr>
        <w:t xml:space="preserve"> </w:t>
      </w:r>
      <w:r w:rsidRPr="009B665B">
        <w:t>their</w:t>
      </w:r>
      <w:r w:rsidRPr="009B665B">
        <w:rPr>
          <w:spacing w:val="-5"/>
        </w:rPr>
        <w:t xml:space="preserve"> </w:t>
      </w:r>
      <w:r w:rsidRPr="009B665B">
        <w:t>fi</w:t>
      </w:r>
      <w:r w:rsidRPr="009B665B">
        <w:rPr>
          <w:spacing w:val="1"/>
        </w:rPr>
        <w:t>r</w:t>
      </w:r>
      <w:r w:rsidRPr="009B665B">
        <w:t>st</w:t>
      </w:r>
      <w:r w:rsidRPr="009B665B">
        <w:rPr>
          <w:spacing w:val="-2"/>
        </w:rPr>
        <w:t xml:space="preserve"> </w:t>
      </w:r>
      <w:r w:rsidRPr="009B665B">
        <w:t>y</w:t>
      </w:r>
      <w:r w:rsidRPr="009B665B">
        <w:rPr>
          <w:spacing w:val="-1"/>
        </w:rPr>
        <w:t>e</w:t>
      </w:r>
      <w:r w:rsidRPr="009B665B">
        <w:t>ar</w:t>
      </w:r>
      <w:r w:rsidRPr="009B665B">
        <w:rPr>
          <w:spacing w:val="-3"/>
        </w:rPr>
        <w:t xml:space="preserve"> </w:t>
      </w:r>
      <w:r w:rsidRPr="009B665B">
        <w:t>of</w:t>
      </w:r>
      <w:r w:rsidRPr="009B665B">
        <w:rPr>
          <w:spacing w:val="-1"/>
        </w:rPr>
        <w:t xml:space="preserve"> </w:t>
      </w:r>
      <w:r w:rsidRPr="009B665B">
        <w:t>te</w:t>
      </w:r>
      <w:r w:rsidRPr="009B665B">
        <w:rPr>
          <w:spacing w:val="-1"/>
        </w:rPr>
        <w:t>a</w:t>
      </w:r>
      <w:r w:rsidRPr="009B665B">
        <w:t>chi</w:t>
      </w:r>
      <w:r w:rsidRPr="009B665B">
        <w:rPr>
          <w:spacing w:val="1"/>
        </w:rPr>
        <w:t>n</w:t>
      </w:r>
      <w:r w:rsidRPr="009B665B">
        <w:t>g.</w:t>
      </w:r>
    </w:p>
    <w:p w14:paraId="02F788AC" w14:textId="77777777" w:rsidR="00801B00" w:rsidRPr="009B665B" w:rsidRDefault="00801B00" w:rsidP="00CA255D">
      <w:pPr>
        <w:pStyle w:val="Heading3"/>
      </w:pPr>
      <w:r w:rsidRPr="009B665B">
        <w:t>ILNNP Approach</w:t>
      </w:r>
    </w:p>
    <w:p w14:paraId="37E0E331" w14:textId="5192A768" w:rsidR="00801B00" w:rsidRPr="009B665B" w:rsidRDefault="00801B00" w:rsidP="00CA255D">
      <w:r w:rsidRPr="009B665B">
        <w:t xml:space="preserve">The school identified that 22% of students were performing below or significantly below their appropriate grade level in reading. The data indicated that student literacy levels would benefit from the development of a consistent </w:t>
      </w:r>
      <w:r w:rsidR="00B459F7">
        <w:t>whole-school</w:t>
      </w:r>
      <w:r w:rsidRPr="009B665B">
        <w:t xml:space="preserve"> literacy program specifically targeting comprehension. While MultiLit and MiniLit had been introduced as a Tier 2 / 3 intervention through the school’s participation in the Closing the Gap Initiative, it was evident that access to these programs needed to be expanded during the College’s participation </w:t>
      </w:r>
      <w:r w:rsidR="00335885">
        <w:t xml:space="preserve">in ILNNP. </w:t>
      </w:r>
    </w:p>
    <w:p w14:paraId="4978A199" w14:textId="4C2C5009" w:rsidR="00801B00" w:rsidRPr="009B665B" w:rsidRDefault="00801B00" w:rsidP="00CA255D">
      <w:r w:rsidRPr="009B665B">
        <w:t xml:space="preserve">The College’s leaders decided to establish a Literacy Committee to develop a </w:t>
      </w:r>
      <w:r w:rsidR="00B459F7">
        <w:t>whole-school</w:t>
      </w:r>
      <w:r w:rsidRPr="009B665B">
        <w:t xml:space="preserve"> literacy framework. This Literacy Committee provided the opportunity for teachers to participate and manage the design and implementation of a </w:t>
      </w:r>
      <w:r w:rsidR="00B459F7">
        <w:t>whole-school</w:t>
      </w:r>
      <w:r w:rsidRPr="009B665B">
        <w:t xml:space="preserve"> approach. The school literacy plan was further supported by consultants providing professional learning for teachers on use of data and the teaching/learning cycle.   </w:t>
      </w:r>
      <w:r w:rsidRPr="009B665B">
        <w:lastRenderedPageBreak/>
        <w:t xml:space="preserve">Additional in-school professional learning was provided on assessing student reading and adjusting classroom strategies and programs to meet student needs. </w:t>
      </w:r>
    </w:p>
    <w:p w14:paraId="229327EB" w14:textId="77777777" w:rsidR="00801B00" w:rsidRPr="009B665B" w:rsidRDefault="00242EFE" w:rsidP="00CA255D">
      <w:pPr>
        <w:pStyle w:val="Heading3"/>
      </w:pPr>
      <w:r w:rsidRPr="009B665B">
        <w:t>Implementation and</w:t>
      </w:r>
      <w:r w:rsidR="00801B00" w:rsidRPr="009B665B">
        <w:t xml:space="preserve"> Progress</w:t>
      </w:r>
    </w:p>
    <w:p w14:paraId="026F33BF" w14:textId="43CE1681" w:rsidR="00801B00" w:rsidRPr="009B665B" w:rsidRDefault="00801B00" w:rsidP="00CA255D">
      <w:r w:rsidRPr="009B665B">
        <w:t xml:space="preserve">The Principal and Leadership team began by </w:t>
      </w:r>
      <w:r w:rsidR="00242EFE" w:rsidRPr="009B665B">
        <w:t>developing</w:t>
      </w:r>
      <w:r w:rsidRPr="009B665B">
        <w:t xml:space="preserve"> a school plan, after having attended a two day workshop to further their skills in </w:t>
      </w:r>
      <w:r w:rsidR="00B459F7">
        <w:t>whole-school</w:t>
      </w:r>
      <w:r w:rsidRPr="009B665B">
        <w:t xml:space="preserve"> data analysis, planning and leading. </w:t>
      </w:r>
    </w:p>
    <w:p w14:paraId="7F20E3E6" w14:textId="08977421" w:rsidR="00801B00" w:rsidRPr="009B665B" w:rsidRDefault="00801B00" w:rsidP="00CA255D">
      <w:r w:rsidRPr="009B665B">
        <w:t xml:space="preserve">The first action of this plan was to establish literacy as a </w:t>
      </w:r>
      <w:r w:rsidR="00B459F7">
        <w:t>whole-school</w:t>
      </w:r>
      <w:r w:rsidRPr="009B665B">
        <w:t xml:space="preserve"> focus through the creation of a Literacy Committee tasked with the development of a school Literacy Framework. Teachers were invited to participate and form a focus group. Two teachers were released to undertake research on literacy strategies to the Committee. It was</w:t>
      </w:r>
      <w:r w:rsidR="00242EFE">
        <w:t xml:space="preserve"> through this process that the “</w:t>
      </w:r>
      <w:r w:rsidRPr="009B665B">
        <w:t>Super 6</w:t>
      </w:r>
      <w:r w:rsidR="00242EFE">
        <w:t>” comprehension</w:t>
      </w:r>
      <w:r w:rsidRPr="009B665B">
        <w:t xml:space="preserve"> strategies were identified as an essential approach to be implemented across the school.</w:t>
      </w:r>
    </w:p>
    <w:p w14:paraId="2BD3F3A2" w14:textId="77777777" w:rsidR="00801B00" w:rsidRPr="009B665B" w:rsidRDefault="00801B00" w:rsidP="00CA255D">
      <w:r w:rsidRPr="009B665B">
        <w:t xml:space="preserve">While a culture of data analysis and evidence–based teaching and learning had already begun developing across the school, the ILNNP project provided the opportunity to develop a consistent school wide approach focused specifically on literacy.  A consultant was contracted to provide professional learning on the use of data and gathering evidence to inform teaching and learning resulting in a broadening of teachers’ awareness of the forms of data, PAT, TORCH, SMART data and classroom evidence. It also </w:t>
      </w:r>
      <w:r w:rsidR="00242EFE" w:rsidRPr="009B665B">
        <w:t>strengthened</w:t>
      </w:r>
      <w:r w:rsidRPr="009B665B">
        <w:t xml:space="preserve"> teachers’ understanding of how data can be used to confirm if learning has improved.  At the beginning of the project the results of TORCH diagnostic testing resulted in Year 4 being targeted for specific attention. Retesting not only gave teachers evidence that progress had been made by these students, but also provided an indication of future direction. This evidence helped the development of a culture of using data to inform decision making.</w:t>
      </w:r>
    </w:p>
    <w:p w14:paraId="7D3648D1" w14:textId="77777777" w:rsidR="00801B00" w:rsidRPr="009B665B" w:rsidRDefault="00801B00" w:rsidP="00CA255D">
      <w:r w:rsidRPr="009B665B">
        <w:t xml:space="preserve">Following the delivery of professional learning by the external consultant the school embarked on a structured in-school professional learning process centred on “Super 6” Comprehension Strategies. An identified expert teacher on staff delivered this through modelling, team teaching and mentoring. The content focussed specifically on the explicit teaching of comprehension strategies incorporating meta-cognitive thinking strategies such as thinking partners, think </w:t>
      </w:r>
      <w:r w:rsidR="00273C5E" w:rsidRPr="009B665B">
        <w:t>aloud</w:t>
      </w:r>
      <w:r w:rsidRPr="009B665B">
        <w:t xml:space="preserve"> and open questioning. </w:t>
      </w:r>
    </w:p>
    <w:p w14:paraId="26947842" w14:textId="77777777" w:rsidR="00801B00" w:rsidRPr="009B665B" w:rsidRDefault="00801B00" w:rsidP="00CA255D">
      <w:r w:rsidRPr="009B665B">
        <w:t>A teacher in Year 7 on using the making connections strategy of the Super 6 strategies commented:</w:t>
      </w:r>
    </w:p>
    <w:p w14:paraId="28D6390B" w14:textId="77777777" w:rsidR="00801B00" w:rsidRPr="0090707B" w:rsidRDefault="00801B00" w:rsidP="00CA255D">
      <w:pPr>
        <w:rPr>
          <w:i/>
        </w:rPr>
      </w:pPr>
      <w:r w:rsidRPr="0090707B">
        <w:rPr>
          <w:i/>
        </w:rPr>
        <w:t>“… on using Making Connections , a boy who had behavioural issues became very engaged as he was an expert and could talk and explain shearing, the topic of the text. “</w:t>
      </w:r>
    </w:p>
    <w:p w14:paraId="3D573642" w14:textId="77777777" w:rsidR="00801B00" w:rsidRPr="009B665B" w:rsidRDefault="00801B00" w:rsidP="00CA255D">
      <w:r w:rsidRPr="009B665B">
        <w:t xml:space="preserve">This collaborative approach to teaching and programming combined with the expertise and enthusiasm of the mentoring teacher led to most teachers being willing to be involved.  It also created a greater cultural change where teachers were more willing to open their classroom and share their teaching practice with their colleagues.  </w:t>
      </w:r>
    </w:p>
    <w:p w14:paraId="55C964F5" w14:textId="77777777" w:rsidR="00801B00" w:rsidRPr="009B665B" w:rsidRDefault="00801B00" w:rsidP="00CA255D">
      <w:r w:rsidRPr="009B665B">
        <w:t>The professional learning has been maintained and reinforced through the allocation of time to staff development in Literacy at staff meetings. This refocus of the agendas of staff meetings has also been a significant strategy supporting the changing culture at the school.</w:t>
      </w:r>
    </w:p>
    <w:p w14:paraId="2A32E2D2" w14:textId="29A516A3" w:rsidR="00801B00" w:rsidRPr="009B665B" w:rsidRDefault="00801B00" w:rsidP="00CA255D">
      <w:r w:rsidRPr="009B665B">
        <w:t xml:space="preserve">This approach has delivered some unexpected positive impacts, </w:t>
      </w:r>
      <w:r w:rsidR="00242EFE" w:rsidRPr="009B665B">
        <w:t>e.g.</w:t>
      </w:r>
      <w:r w:rsidRPr="009B665B">
        <w:t xml:space="preserve"> a Year 11/12 teacher sought professional development from the expert teacher to adopt effective strategies in comprehension for use in Years 11 and 12.  This is an indicator of the potential of this approach in achieving </w:t>
      </w:r>
      <w:r w:rsidR="00B459F7">
        <w:t>whole-school</w:t>
      </w:r>
      <w:r w:rsidRPr="009B665B">
        <w:t xml:space="preserve"> change.</w:t>
      </w:r>
    </w:p>
    <w:p w14:paraId="022D2EEE" w14:textId="77777777" w:rsidR="00335885" w:rsidRDefault="00335885" w:rsidP="0030785B">
      <w:pPr>
        <w:spacing w:before="120" w:after="240" w:line="360" w:lineRule="auto"/>
        <w:rPr>
          <w:rFonts w:ascii="Arial" w:hAnsi="Arial" w:cs="Arial"/>
          <w:b/>
        </w:rPr>
      </w:pPr>
    </w:p>
    <w:p w14:paraId="5E78876B" w14:textId="77777777" w:rsidR="00801B00" w:rsidRPr="009B665B" w:rsidRDefault="00801B00" w:rsidP="0030785B">
      <w:pPr>
        <w:spacing w:before="120" w:after="240" w:line="360" w:lineRule="auto"/>
        <w:rPr>
          <w:rFonts w:ascii="Arial" w:hAnsi="Arial" w:cs="Arial"/>
        </w:rPr>
      </w:pPr>
      <w:r w:rsidRPr="009B665B">
        <w:rPr>
          <w:rFonts w:ascii="Arial" w:hAnsi="Arial" w:cs="Arial"/>
          <w:b/>
        </w:rPr>
        <w:lastRenderedPageBreak/>
        <w:t>Outcomes</w:t>
      </w:r>
      <w:r w:rsidRPr="009B665B">
        <w:rPr>
          <w:rFonts w:ascii="Arial" w:hAnsi="Arial" w:cs="Arial"/>
        </w:rPr>
        <w:t xml:space="preserve"> </w:t>
      </w:r>
    </w:p>
    <w:p w14:paraId="50EFFE7E" w14:textId="77777777" w:rsidR="00801B00" w:rsidRPr="009B665B" w:rsidRDefault="00801B00" w:rsidP="00CA255D">
      <w:r w:rsidRPr="009B665B">
        <w:t>The most significant outcome for the school has been the substantial improvement in the students’ literacy skills. At the start of the project there were 103 students K to 8 (22%) assessed as having literacy skills below or well below expectation. Post test data shows a significant positive move, the number being reduced to 70 students (16%).  Teachers also observed that many students in this targeted group were more engaged in learning with less behavioural issues after Tier 2/3 intervention (MultiLit) had been undertaken.</w:t>
      </w:r>
    </w:p>
    <w:p w14:paraId="220313D2" w14:textId="77777777" w:rsidR="00801B00" w:rsidRPr="009B665B" w:rsidRDefault="00801B00" w:rsidP="00CA255D">
      <w:r w:rsidRPr="009B665B">
        <w:t xml:space="preserve">Equally, the improvement in the number of students in the two upper levels of above and well above expectation has been very encouraging for all the teachers. At the beginning of the schools’ participation in ILLNP, 174 students (38%) were in the top two levels, compared with 228 students (52%) in the final assessment.  </w:t>
      </w:r>
    </w:p>
    <w:p w14:paraId="6B1C3647" w14:textId="77777777" w:rsidR="00801B00" w:rsidRPr="009B665B" w:rsidRDefault="00801B00" w:rsidP="00CA255D">
      <w:r w:rsidRPr="009B665B">
        <w:t xml:space="preserve">By working through the challenges presented by participating in this project the leadership team has increased their capacity to lead and manage cultural change. The leaders intend to structure future in school PL informed by the learnings from this project.  This includes increasing the effectiveness of PL input by varying the groupings K-12, to K-6 and 7-12,  allowing for greater involvement and accountability, and  in particular increased the involvement of High School teachers. </w:t>
      </w:r>
    </w:p>
    <w:p w14:paraId="345B3D93" w14:textId="77777777" w:rsidR="00801B00" w:rsidRPr="009B665B" w:rsidRDefault="00801B00" w:rsidP="00CA255D">
      <w:r w:rsidRPr="009B665B">
        <w:t xml:space="preserve">Teachers have becoming more focused on using evidence to inform their teaching and to meet the needs of the students. While there has been substantial progress the schools leaders recognise that more is needed, particularly in the High School years. The school anticipates that over the longer term students should achieve better results at the end of High School as the teachers’ practice changes to more explicit teaching of literacy across the curriculum. </w:t>
      </w:r>
    </w:p>
    <w:p w14:paraId="2B560CF1" w14:textId="77777777" w:rsidR="00801B00" w:rsidRDefault="00801B00" w:rsidP="00801B00">
      <w:r>
        <w:br w:type="page"/>
      </w:r>
    </w:p>
    <w:p w14:paraId="1F3B398B" w14:textId="77777777" w:rsidR="00801B00" w:rsidRPr="009B665B" w:rsidRDefault="00801B00" w:rsidP="00CA255D">
      <w:pPr>
        <w:pStyle w:val="Heading2"/>
        <w:rPr>
          <w:u w:val="single"/>
        </w:rPr>
      </w:pPr>
      <w:r w:rsidRPr="009B665B">
        <w:lastRenderedPageBreak/>
        <w:t>ILNNP SHOW</w:t>
      </w:r>
      <w:r w:rsidR="00C2780A">
        <w:t xml:space="preserve"> </w:t>
      </w:r>
      <w:r w:rsidRPr="009B665B">
        <w:t xml:space="preserve">CASE </w:t>
      </w:r>
    </w:p>
    <w:tbl>
      <w:tblPr>
        <w:tblStyle w:val="TableGrid"/>
        <w:tblW w:w="0" w:type="auto"/>
        <w:tblLook w:val="04A0" w:firstRow="1" w:lastRow="0" w:firstColumn="1" w:lastColumn="0" w:noHBand="0" w:noVBand="1"/>
        <w:tblCaption w:val="Appendix A - List of Participating Schools"/>
        <w:tblDescription w:val="Column headings include:&#10;ID, School Name, Sector, MCEECTYA code, Year Levels with 2011 NAPLAN data, Address, Category, Percentage of Students in B2B 2011, Percentage of ATSI students in B2B in 2011, Percentage of ATSI students who did not participate in NAPLAN 2011, Number of students in bottom 2 bands, Number of ATSI student in bottom 2 bands."/>
      </w:tblPr>
      <w:tblGrid>
        <w:gridCol w:w="5495"/>
        <w:gridCol w:w="4252"/>
      </w:tblGrid>
      <w:tr w:rsidR="00801B00" w:rsidRPr="009B665B" w14:paraId="450FE699"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E1B419E"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School name</w:t>
            </w:r>
          </w:p>
        </w:tc>
        <w:tc>
          <w:tcPr>
            <w:tcW w:w="4252" w:type="dxa"/>
            <w:tcBorders>
              <w:top w:val="single" w:sz="4" w:space="0" w:color="auto"/>
              <w:left w:val="single" w:sz="4" w:space="0" w:color="auto"/>
              <w:bottom w:val="single" w:sz="4" w:space="0" w:color="auto"/>
              <w:right w:val="single" w:sz="4" w:space="0" w:color="auto"/>
            </w:tcBorders>
            <w:hideMark/>
          </w:tcPr>
          <w:p w14:paraId="36B1261D"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St Clare’s Catholic High School</w:t>
            </w:r>
          </w:p>
        </w:tc>
      </w:tr>
      <w:tr w:rsidR="00801B00" w:rsidRPr="009B665B" w14:paraId="105C77BA"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E0E610A"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DEEWR school ID</w:t>
            </w:r>
          </w:p>
        </w:tc>
        <w:tc>
          <w:tcPr>
            <w:tcW w:w="4252" w:type="dxa"/>
            <w:tcBorders>
              <w:top w:val="single" w:sz="4" w:space="0" w:color="auto"/>
              <w:left w:val="single" w:sz="4" w:space="0" w:color="auto"/>
              <w:bottom w:val="single" w:sz="4" w:space="0" w:color="auto"/>
              <w:right w:val="single" w:sz="4" w:space="0" w:color="auto"/>
            </w:tcBorders>
            <w:hideMark/>
          </w:tcPr>
          <w:p w14:paraId="58AD6DDC"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18250</w:t>
            </w:r>
          </w:p>
        </w:tc>
      </w:tr>
      <w:tr w:rsidR="00801B00" w:rsidRPr="009B665B" w14:paraId="38AEDC7D"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669D623"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Suburb</w:t>
            </w:r>
          </w:p>
        </w:tc>
        <w:tc>
          <w:tcPr>
            <w:tcW w:w="4252" w:type="dxa"/>
            <w:tcBorders>
              <w:top w:val="single" w:sz="4" w:space="0" w:color="auto"/>
              <w:left w:val="single" w:sz="4" w:space="0" w:color="auto"/>
              <w:bottom w:val="single" w:sz="4" w:space="0" w:color="auto"/>
              <w:right w:val="single" w:sz="4" w:space="0" w:color="auto"/>
            </w:tcBorders>
            <w:hideMark/>
          </w:tcPr>
          <w:p w14:paraId="6548E610"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Hassall Grove</w:t>
            </w:r>
          </w:p>
        </w:tc>
      </w:tr>
      <w:tr w:rsidR="00801B00" w:rsidRPr="009B665B" w14:paraId="63ECC002"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4D77BC"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State/Territory</w:t>
            </w:r>
          </w:p>
        </w:tc>
        <w:tc>
          <w:tcPr>
            <w:tcW w:w="4252" w:type="dxa"/>
            <w:tcBorders>
              <w:top w:val="single" w:sz="4" w:space="0" w:color="auto"/>
              <w:left w:val="single" w:sz="4" w:space="0" w:color="auto"/>
              <w:bottom w:val="single" w:sz="4" w:space="0" w:color="auto"/>
              <w:right w:val="single" w:sz="4" w:space="0" w:color="auto"/>
            </w:tcBorders>
            <w:hideMark/>
          </w:tcPr>
          <w:p w14:paraId="61F73658"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NSW</w:t>
            </w:r>
          </w:p>
        </w:tc>
      </w:tr>
      <w:tr w:rsidR="00801B00" w:rsidRPr="009B665B" w14:paraId="59CC6C23"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EF81A"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Diocese</w:t>
            </w:r>
          </w:p>
        </w:tc>
        <w:tc>
          <w:tcPr>
            <w:tcW w:w="4252" w:type="dxa"/>
            <w:tcBorders>
              <w:top w:val="single" w:sz="4" w:space="0" w:color="auto"/>
              <w:left w:val="single" w:sz="4" w:space="0" w:color="auto"/>
              <w:bottom w:val="single" w:sz="4" w:space="0" w:color="auto"/>
              <w:right w:val="single" w:sz="4" w:space="0" w:color="auto"/>
            </w:tcBorders>
            <w:hideMark/>
          </w:tcPr>
          <w:p w14:paraId="63D0BC15"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 xml:space="preserve">Parramatta </w:t>
            </w:r>
          </w:p>
        </w:tc>
      </w:tr>
      <w:tr w:rsidR="00801B00" w:rsidRPr="009B665B" w14:paraId="24010D5A"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5D53E2"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Sector</w:t>
            </w:r>
          </w:p>
        </w:tc>
        <w:tc>
          <w:tcPr>
            <w:tcW w:w="4252" w:type="dxa"/>
            <w:tcBorders>
              <w:top w:val="single" w:sz="4" w:space="0" w:color="auto"/>
              <w:left w:val="single" w:sz="4" w:space="0" w:color="auto"/>
              <w:bottom w:val="single" w:sz="4" w:space="0" w:color="auto"/>
              <w:right w:val="single" w:sz="4" w:space="0" w:color="auto"/>
            </w:tcBorders>
            <w:hideMark/>
          </w:tcPr>
          <w:p w14:paraId="2167BE6D"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Catholic</w:t>
            </w:r>
          </w:p>
        </w:tc>
      </w:tr>
      <w:tr w:rsidR="00801B00" w:rsidRPr="009B665B" w14:paraId="62C72A4E"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6A008C"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School type</w:t>
            </w:r>
          </w:p>
        </w:tc>
        <w:tc>
          <w:tcPr>
            <w:tcW w:w="4252" w:type="dxa"/>
            <w:tcBorders>
              <w:top w:val="single" w:sz="4" w:space="0" w:color="auto"/>
              <w:left w:val="single" w:sz="4" w:space="0" w:color="auto"/>
              <w:bottom w:val="single" w:sz="4" w:space="0" w:color="auto"/>
              <w:right w:val="single" w:sz="4" w:space="0" w:color="auto"/>
            </w:tcBorders>
            <w:hideMark/>
          </w:tcPr>
          <w:p w14:paraId="18A3E64F"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Secondary</w:t>
            </w:r>
          </w:p>
        </w:tc>
      </w:tr>
      <w:tr w:rsidR="00801B00" w:rsidRPr="009B665B" w14:paraId="762EAD8C"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DAEE8BA"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ARIA categories</w:t>
            </w:r>
          </w:p>
        </w:tc>
        <w:tc>
          <w:tcPr>
            <w:tcW w:w="4252" w:type="dxa"/>
            <w:tcBorders>
              <w:top w:val="single" w:sz="4" w:space="0" w:color="auto"/>
              <w:left w:val="single" w:sz="4" w:space="0" w:color="auto"/>
              <w:bottom w:val="single" w:sz="4" w:space="0" w:color="auto"/>
              <w:right w:val="single" w:sz="4" w:space="0" w:color="auto"/>
            </w:tcBorders>
            <w:hideMark/>
          </w:tcPr>
          <w:p w14:paraId="0A22DAC0"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Major City</w:t>
            </w:r>
          </w:p>
        </w:tc>
      </w:tr>
      <w:tr w:rsidR="00801B00" w:rsidRPr="009B665B" w14:paraId="59EA79F7"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C4BDBB"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2013 enrolments</w:t>
            </w:r>
          </w:p>
        </w:tc>
        <w:tc>
          <w:tcPr>
            <w:tcW w:w="4252" w:type="dxa"/>
            <w:tcBorders>
              <w:top w:val="single" w:sz="4" w:space="0" w:color="auto"/>
              <w:left w:val="single" w:sz="4" w:space="0" w:color="auto"/>
              <w:bottom w:val="single" w:sz="4" w:space="0" w:color="auto"/>
              <w:right w:val="single" w:sz="4" w:space="0" w:color="auto"/>
            </w:tcBorders>
            <w:hideMark/>
          </w:tcPr>
          <w:p w14:paraId="51AFA219"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764</w:t>
            </w:r>
          </w:p>
        </w:tc>
      </w:tr>
      <w:tr w:rsidR="00801B00" w:rsidRPr="009B665B" w14:paraId="40134D45"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355CD41"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Number of Aboriginal and Torres Strait Islander students</w:t>
            </w:r>
          </w:p>
        </w:tc>
        <w:tc>
          <w:tcPr>
            <w:tcW w:w="4252" w:type="dxa"/>
            <w:tcBorders>
              <w:top w:val="single" w:sz="4" w:space="0" w:color="auto"/>
              <w:left w:val="single" w:sz="4" w:space="0" w:color="auto"/>
              <w:bottom w:val="single" w:sz="4" w:space="0" w:color="auto"/>
              <w:right w:val="single" w:sz="4" w:space="0" w:color="auto"/>
            </w:tcBorders>
            <w:hideMark/>
          </w:tcPr>
          <w:p w14:paraId="5DAFE5E4"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25</w:t>
            </w:r>
          </w:p>
        </w:tc>
      </w:tr>
      <w:tr w:rsidR="00801B00" w:rsidRPr="009B665B" w14:paraId="67528FCF"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882A0E"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Number of students with a language background other than English</w:t>
            </w:r>
          </w:p>
        </w:tc>
        <w:tc>
          <w:tcPr>
            <w:tcW w:w="4252" w:type="dxa"/>
            <w:tcBorders>
              <w:top w:val="single" w:sz="4" w:space="0" w:color="auto"/>
              <w:left w:val="single" w:sz="4" w:space="0" w:color="auto"/>
              <w:bottom w:val="single" w:sz="4" w:space="0" w:color="auto"/>
              <w:right w:val="single" w:sz="4" w:space="0" w:color="auto"/>
            </w:tcBorders>
            <w:hideMark/>
          </w:tcPr>
          <w:p w14:paraId="65C23AB1"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752</w:t>
            </w:r>
          </w:p>
        </w:tc>
      </w:tr>
      <w:tr w:rsidR="00801B00" w:rsidRPr="009B665B" w14:paraId="21ADA69A"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63ED89"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2013 student attendance rate</w:t>
            </w:r>
          </w:p>
        </w:tc>
        <w:tc>
          <w:tcPr>
            <w:tcW w:w="4252" w:type="dxa"/>
            <w:tcBorders>
              <w:top w:val="single" w:sz="4" w:space="0" w:color="auto"/>
              <w:left w:val="single" w:sz="4" w:space="0" w:color="auto"/>
              <w:bottom w:val="single" w:sz="4" w:space="0" w:color="auto"/>
              <w:right w:val="single" w:sz="4" w:space="0" w:color="auto"/>
            </w:tcBorders>
            <w:hideMark/>
          </w:tcPr>
          <w:p w14:paraId="459C8BD8"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91%</w:t>
            </w:r>
          </w:p>
        </w:tc>
      </w:tr>
      <w:tr w:rsidR="00801B00" w:rsidRPr="009B665B" w14:paraId="206AAAEE"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DD2037"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Literacy and Numeracy National Partnership (LNNP) school</w:t>
            </w:r>
          </w:p>
        </w:tc>
        <w:tc>
          <w:tcPr>
            <w:tcW w:w="4252" w:type="dxa"/>
            <w:tcBorders>
              <w:top w:val="single" w:sz="4" w:space="0" w:color="auto"/>
              <w:left w:val="single" w:sz="4" w:space="0" w:color="auto"/>
              <w:bottom w:val="single" w:sz="4" w:space="0" w:color="auto"/>
              <w:right w:val="single" w:sz="4" w:space="0" w:color="auto"/>
            </w:tcBorders>
            <w:hideMark/>
          </w:tcPr>
          <w:p w14:paraId="47298F48"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Yes</w:t>
            </w:r>
          </w:p>
        </w:tc>
      </w:tr>
      <w:tr w:rsidR="00801B00" w:rsidRPr="009B665B" w14:paraId="13B1BC85" w14:textId="77777777" w:rsidTr="007F70B3">
        <w:trPr>
          <w:trHeight w:val="397"/>
        </w:trPr>
        <w:tc>
          <w:tcPr>
            <w:tcW w:w="549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72C23E9" w14:textId="77777777" w:rsidR="00801B00" w:rsidRPr="009B665B" w:rsidRDefault="00801B00" w:rsidP="008308AC">
            <w:pPr>
              <w:spacing w:after="120"/>
              <w:rPr>
                <w:rFonts w:ascii="Arial" w:hAnsi="Arial" w:cs="Arial"/>
                <w:b/>
                <w:color w:val="000000" w:themeColor="text1"/>
              </w:rPr>
            </w:pPr>
            <w:r w:rsidRPr="009B665B">
              <w:rPr>
                <w:rFonts w:ascii="Arial" w:hAnsi="Arial" w:cs="Arial"/>
                <w:b/>
                <w:color w:val="000000" w:themeColor="text1"/>
              </w:rPr>
              <w:t>Low Socio-Economic Status School Communities National Partnership school</w:t>
            </w:r>
          </w:p>
        </w:tc>
        <w:tc>
          <w:tcPr>
            <w:tcW w:w="4252" w:type="dxa"/>
            <w:tcBorders>
              <w:top w:val="single" w:sz="4" w:space="0" w:color="auto"/>
              <w:left w:val="single" w:sz="4" w:space="0" w:color="auto"/>
              <w:bottom w:val="single" w:sz="4" w:space="0" w:color="auto"/>
              <w:right w:val="single" w:sz="4" w:space="0" w:color="auto"/>
            </w:tcBorders>
            <w:hideMark/>
          </w:tcPr>
          <w:p w14:paraId="336A6502" w14:textId="77777777" w:rsidR="00801B00" w:rsidRPr="009B665B" w:rsidRDefault="00801B00" w:rsidP="008308AC">
            <w:pPr>
              <w:spacing w:after="120"/>
              <w:rPr>
                <w:rFonts w:ascii="Arial" w:hAnsi="Arial" w:cs="Arial"/>
                <w:color w:val="000000" w:themeColor="text1"/>
              </w:rPr>
            </w:pPr>
            <w:r w:rsidRPr="009B665B">
              <w:rPr>
                <w:rFonts w:ascii="Arial" w:hAnsi="Arial" w:cs="Arial"/>
                <w:color w:val="000000" w:themeColor="text1"/>
              </w:rPr>
              <w:t>No</w:t>
            </w:r>
          </w:p>
        </w:tc>
      </w:tr>
    </w:tbl>
    <w:p w14:paraId="41808831" w14:textId="77777777" w:rsidR="00801B00" w:rsidRPr="00A35FE8" w:rsidRDefault="00801B00" w:rsidP="00CA255D">
      <w:pPr>
        <w:pStyle w:val="Heading3"/>
      </w:pPr>
      <w:r w:rsidRPr="009B665B">
        <w:t>School Background</w:t>
      </w:r>
    </w:p>
    <w:p w14:paraId="7AF5A03B" w14:textId="77777777" w:rsidR="00801B00" w:rsidRPr="009B665B" w:rsidRDefault="00801B00" w:rsidP="00CA255D">
      <w:r w:rsidRPr="009B665B">
        <w:t xml:space="preserve">St Clare’s is a coeducational Catholic high school in the Parramatta Diocese. </w:t>
      </w:r>
    </w:p>
    <w:p w14:paraId="3C10EEDF" w14:textId="77777777" w:rsidR="00801B00" w:rsidRPr="009B665B" w:rsidRDefault="00801B00" w:rsidP="00CA255D">
      <w:r w:rsidRPr="009B665B">
        <w:t xml:space="preserve">It is located in Hassall Grove, which is in the Mt Druitt area. The school is located in a low socio-economic area. </w:t>
      </w:r>
    </w:p>
    <w:p w14:paraId="70A8A92A" w14:textId="77777777" w:rsidR="00801B00" w:rsidRPr="009B665B" w:rsidRDefault="00801B00" w:rsidP="00CA255D">
      <w:r w:rsidRPr="009B665B">
        <w:t xml:space="preserve">The school caters for students from Years 7 to 10. The school currently has 764 students. Out of the 764 students, 752 are from a non-English speaking background. 25 students are from an Aboriginal or Torres Strait Islander. </w:t>
      </w:r>
    </w:p>
    <w:p w14:paraId="116EAD64" w14:textId="77777777" w:rsidR="00801B00" w:rsidRPr="009B665B" w:rsidRDefault="00801B00" w:rsidP="00CA255D">
      <w:r w:rsidRPr="009B665B">
        <w:t xml:space="preserve">A large proportion of students have literacy needs that have a direct effect on their progress in numeracy. This needs to be taken into account when developing a plan to improve the numeracy outcomes for students.  </w:t>
      </w:r>
    </w:p>
    <w:p w14:paraId="0ACD01C0" w14:textId="77777777" w:rsidR="00801B00" w:rsidRPr="009B665B" w:rsidRDefault="00801B00" w:rsidP="00CA255D">
      <w:pPr>
        <w:pStyle w:val="Heading3"/>
      </w:pPr>
      <w:r w:rsidRPr="009B665B">
        <w:t>ILNNP Approach</w:t>
      </w:r>
    </w:p>
    <w:p w14:paraId="75C8D95F" w14:textId="77777777" w:rsidR="00801B00" w:rsidRPr="009B665B" w:rsidRDefault="00801B00" w:rsidP="00CA255D">
      <w:r w:rsidRPr="009B665B">
        <w:t xml:space="preserve">The main approach used by the school has been to use ILNNP to further support the </w:t>
      </w:r>
      <w:r w:rsidRPr="009B665B">
        <w:rPr>
          <w:b/>
        </w:rPr>
        <w:t>Extending Mathematical Understanding (EMU)</w:t>
      </w:r>
      <w:r w:rsidRPr="009B665B">
        <w:t xml:space="preserve"> numeracy project which is used in other primary and secondary systemic schools in the Parramatta Diocese.  </w:t>
      </w:r>
    </w:p>
    <w:p w14:paraId="3547FB50" w14:textId="77777777" w:rsidR="00801B00" w:rsidRPr="009B665B" w:rsidRDefault="00801B00" w:rsidP="00CA255D">
      <w:r w:rsidRPr="009B665B">
        <w:t xml:space="preserve">The approach required all targeted students to complete a </w:t>
      </w:r>
      <w:r w:rsidRPr="009B665B">
        <w:rPr>
          <w:b/>
        </w:rPr>
        <w:t>Mathematics Assessment Interview (MAI)</w:t>
      </w:r>
      <w:r w:rsidRPr="009B665B">
        <w:t xml:space="preserve">, in order to identify specific vulnerabilities within the four numeracy domains of counting, addition and subtraction, multiplication and division and place value, where students needed further development. </w:t>
      </w:r>
    </w:p>
    <w:p w14:paraId="2580F1D3" w14:textId="77777777" w:rsidR="00801B00" w:rsidRPr="009B665B" w:rsidRDefault="00801B00" w:rsidP="00CA255D">
      <w:r w:rsidRPr="009B665B">
        <w:t xml:space="preserve">The MAI provided teachers with details regarding the areas where students are experiencing difficulties. </w:t>
      </w:r>
    </w:p>
    <w:p w14:paraId="5EC9E33F" w14:textId="77777777" w:rsidR="00801B00" w:rsidRPr="009B665B" w:rsidRDefault="00801B00" w:rsidP="00CA255D">
      <w:r w:rsidRPr="009B665B">
        <w:lastRenderedPageBreak/>
        <w:t>This helped teachers critically analyse how they taught mathematical concepts and develop their understanding of assessments and what makes an assessment an effective tool for learning.</w:t>
      </w:r>
    </w:p>
    <w:p w14:paraId="021FDF8D" w14:textId="77777777" w:rsidR="00801B00" w:rsidRPr="009B665B" w:rsidRDefault="00801B00" w:rsidP="00CA255D">
      <w:r w:rsidRPr="009B665B">
        <w:t xml:space="preserve">There were three teachers trained as numeracy </w:t>
      </w:r>
      <w:r w:rsidRPr="007F70B3">
        <w:t>specialist intervention teachers, as part</w:t>
      </w:r>
      <w:r w:rsidRPr="009B665B">
        <w:t xml:space="preserve"> of the numeracy project. </w:t>
      </w:r>
    </w:p>
    <w:p w14:paraId="1BCFDAC6" w14:textId="77777777" w:rsidR="00801B00" w:rsidRPr="009B665B" w:rsidRDefault="00801B00" w:rsidP="00CA255D">
      <w:r w:rsidRPr="009B665B">
        <w:t xml:space="preserve">Purchased increased resources for numeracy warm ups. This has assisted teachers in monitoring students’ progress. The greater access to manipulatives for example, has also allowed students to develop the required numeracy skills to experience success in the mathematics lesson. It has also been observed by the mathematics teachers that students tend to be more focused after a warm up. </w:t>
      </w:r>
    </w:p>
    <w:p w14:paraId="10089A67" w14:textId="77777777" w:rsidR="00801B00" w:rsidRPr="009B665B" w:rsidRDefault="00801B00" w:rsidP="00CA255D">
      <w:r w:rsidRPr="009B665B">
        <w:t>There has been a withdrawal 2</w:t>
      </w:r>
      <w:r w:rsidRPr="009B665B">
        <w:rPr>
          <w:vertAlign w:val="superscript"/>
        </w:rPr>
        <w:t>nd</w:t>
      </w:r>
      <w:r w:rsidRPr="009B665B">
        <w:t xml:space="preserve"> wave intervention program which has focused on students who have achieved well below the benchmark growth points in the four domains of the MAI. These students undertook a more focused program developing the student’s ability in the four domains. </w:t>
      </w:r>
    </w:p>
    <w:p w14:paraId="35181BF0" w14:textId="77777777" w:rsidR="00801B00" w:rsidRPr="009B665B" w:rsidRDefault="00801B00" w:rsidP="00CA255D">
      <w:r w:rsidRPr="009B665B">
        <w:t>This program has been very successful for both teachers and students. Teachers have been able to develop their understanding of how to teach basic numeracy concepts in a number of different ways. Students have also benefited as they have received the required time and learning experiences to be able to experience success in the four numeracy domains.</w:t>
      </w:r>
    </w:p>
    <w:p w14:paraId="78F49AB4" w14:textId="77777777" w:rsidR="00801B00" w:rsidRPr="009B665B" w:rsidRDefault="00801B00" w:rsidP="00CA255D">
      <w:r w:rsidRPr="009B665B">
        <w:t>The capacity of the Mathematics staff to teach and lead numeracy has been fostered by the in situ work of a Teaching Educator (TE)  and the release of teachers to work with both the TE and numeracy lead teachers, as well as the creation opportunities for collaborative planning and co-teaching with colleagues.</w:t>
      </w:r>
    </w:p>
    <w:p w14:paraId="5ABCFF35" w14:textId="77777777" w:rsidR="00801B00" w:rsidRPr="007F70B3" w:rsidRDefault="007F70B3" w:rsidP="00CA255D">
      <w:pPr>
        <w:pStyle w:val="Heading3"/>
      </w:pPr>
      <w:r>
        <w:t xml:space="preserve">Implementation </w:t>
      </w:r>
    </w:p>
    <w:p w14:paraId="1F977537" w14:textId="77777777" w:rsidR="00801B00" w:rsidRPr="009B665B" w:rsidRDefault="00801B00" w:rsidP="00CA255D">
      <w:r w:rsidRPr="009B665B">
        <w:t xml:space="preserve">Three teachers trained as numeracy specialist teachers. </w:t>
      </w:r>
    </w:p>
    <w:p w14:paraId="1078741C" w14:textId="77777777" w:rsidR="00801B00" w:rsidRPr="009B665B" w:rsidRDefault="00801B00" w:rsidP="00CA255D">
      <w:r w:rsidRPr="009B665B">
        <w:t>All targeted students completed an MAI in order to identify the areas within the four target numeracy domains that they were experiencing difficulty with. The MAI allowed teachers to determine the growth points students have achieved. This helped us identify which of the four domains required the greatest attention.</w:t>
      </w:r>
    </w:p>
    <w:p w14:paraId="780B0154" w14:textId="77777777" w:rsidR="00801B00" w:rsidRPr="009B665B" w:rsidRDefault="00801B00" w:rsidP="00CA255D">
      <w:r w:rsidRPr="009B665B">
        <w:t xml:space="preserve">Resources required by the school in order to help students develop their understanding in the four domains were identified, resulting in the development of the ‘maths matchbox kit’. These kits were structured to be used regularly in the classroom. </w:t>
      </w:r>
    </w:p>
    <w:p w14:paraId="5CF0C46B" w14:textId="09FCECA4" w:rsidR="00801B00" w:rsidRPr="00AC6DE8" w:rsidRDefault="00801B00" w:rsidP="00CA255D">
      <w:r w:rsidRPr="009B665B">
        <w:t>During 2013 teachers were tracked the progress of targeted students</w:t>
      </w:r>
      <w:r w:rsidR="00335885">
        <w:t xml:space="preserve"> in the four numeracy domains, </w:t>
      </w:r>
      <w:r w:rsidRPr="009B665B">
        <w:t xml:space="preserve">providing teachers with information on the required pedagogical direction for continued improvement. </w:t>
      </w:r>
    </w:p>
    <w:p w14:paraId="1BAC3535" w14:textId="238DFE14" w:rsidR="00801B00" w:rsidRPr="009B665B" w:rsidRDefault="00801B00" w:rsidP="00CA255D">
      <w:r w:rsidRPr="009B665B">
        <w:t>A withdrawal program was developed f</w:t>
      </w:r>
      <w:r w:rsidR="00335885">
        <w:t xml:space="preserve">or students identified as being </w:t>
      </w:r>
      <w:r w:rsidRPr="009B665B">
        <w:t xml:space="preserve">well below the benchmark growth points for their stage of learning. These students had the opportunity to develop their numeracy skills in small groups of three. </w:t>
      </w:r>
    </w:p>
    <w:p w14:paraId="38820127" w14:textId="77777777" w:rsidR="00801B00" w:rsidRPr="009B665B" w:rsidRDefault="00801B00" w:rsidP="00CA255D">
      <w:r w:rsidRPr="009B665B">
        <w:t xml:space="preserve">The students involved in the withdrawal program made the greatest amount of progress in the four domains. This is attributed to the focus of the sessions. Teachers were also able to develop their ability to teach basic numeracy concepts in a variety of ways and develop their ability to incorporate hands on resources. </w:t>
      </w:r>
    </w:p>
    <w:p w14:paraId="509D5FAE" w14:textId="77777777" w:rsidR="00801B00" w:rsidRPr="009B665B" w:rsidRDefault="00801B00" w:rsidP="00CA255D">
      <w:pPr>
        <w:pStyle w:val="Heading3"/>
      </w:pPr>
      <w:r w:rsidRPr="009B665B">
        <w:lastRenderedPageBreak/>
        <w:t>Progress/Outcomes</w:t>
      </w:r>
    </w:p>
    <w:p w14:paraId="406C7A8A" w14:textId="77777777" w:rsidR="00801B00" w:rsidRPr="009B665B" w:rsidRDefault="00801B00" w:rsidP="00CA255D">
      <w:r w:rsidRPr="009B665B">
        <w:t xml:space="preserve">For teachers the improvements seen through the schools’ participation in ILNNP have been mainly around the development of their ability to teach basic numeracy concepts in a stage four mathematics context. </w:t>
      </w:r>
    </w:p>
    <w:p w14:paraId="1CA5E24B" w14:textId="77777777" w:rsidR="00801B00" w:rsidRPr="009B665B" w:rsidRDefault="00801B00" w:rsidP="00CA255D">
      <w:r w:rsidRPr="009B665B">
        <w:t xml:space="preserve">In classrooms the use of numeracy warm ups is now embedded within the mathematics programs for 2014.The aim is to develop more resources and a bank of warm up activities that are directly linked to stage 4 and 5 mathematical content points. </w:t>
      </w:r>
    </w:p>
    <w:p w14:paraId="22E708C7" w14:textId="77777777" w:rsidR="00801B00" w:rsidRPr="009B665B" w:rsidRDefault="00801B00" w:rsidP="00CA255D">
      <w:r w:rsidRPr="009B665B">
        <w:t xml:space="preserve">Teachers have developed their understanding of assessment measures. The use of teacher observation as an assessment tool has been developed amongst all teachers involved in the program. </w:t>
      </w:r>
    </w:p>
    <w:p w14:paraId="1448703F" w14:textId="77777777" w:rsidR="00801B00" w:rsidRPr="00A35FE8" w:rsidRDefault="00801B00" w:rsidP="00CA255D">
      <w:r w:rsidRPr="009B665B">
        <w:t xml:space="preserve">The use of data to inform teaching has also been developed. Teachers have become more proficient at analysing data in order to recognise areas that require greater focus, as well as to analyse pedagogical approaches that are effective. </w:t>
      </w:r>
    </w:p>
    <w:p w14:paraId="3A06CBF9" w14:textId="77777777" w:rsidR="00801B00" w:rsidRPr="00A35FE8" w:rsidRDefault="00801B00" w:rsidP="00CA255D">
      <w:r w:rsidRPr="00A35FE8">
        <w:t xml:space="preserve">The benefits of participation in ILNNP will be maintained by ongoing teacher professional development, including an ongoing relationship with Teacher Educators. </w:t>
      </w:r>
    </w:p>
    <w:p w14:paraId="31CBD3F1" w14:textId="77777777" w:rsidR="00801B00" w:rsidRPr="00A35FE8" w:rsidRDefault="00801B00" w:rsidP="00CA255D">
      <w:r w:rsidRPr="00A35FE8">
        <w:t xml:space="preserve">The MAI will be administered for incoming Year 7 students in order to identify students requiring assistance. This will allow teachers to develop teaching and learning programs that have numeracy skill building activities embedded. </w:t>
      </w:r>
    </w:p>
    <w:p w14:paraId="738E9F23" w14:textId="77777777" w:rsidR="00801B00" w:rsidRPr="00A35FE8" w:rsidRDefault="00801B00" w:rsidP="00CA255D">
      <w:r w:rsidRPr="00A35FE8">
        <w:t xml:space="preserve">The intervention program will be maintained and it will be for a prescribed period of time. The time will depend on the students’ needs and the available resources. </w:t>
      </w:r>
    </w:p>
    <w:p w14:paraId="417BF2B5" w14:textId="77777777" w:rsidR="00801B00" w:rsidRPr="00A35FE8" w:rsidRDefault="00801B00" w:rsidP="00CA255D">
      <w:r w:rsidRPr="00A35FE8">
        <w:t xml:space="preserve">The main challenges are based on time and available financial resources. This will require forward planning, strategic leadership to resource and solve complex problems and creative teaching measures to continue with the benefits that have been gained from participating in this program.  </w:t>
      </w:r>
    </w:p>
    <w:p w14:paraId="611B9594" w14:textId="77777777" w:rsidR="00801B00" w:rsidRDefault="00801B00" w:rsidP="00801B00">
      <w:pPr>
        <w:rPr>
          <w:color w:val="000000" w:themeColor="text1"/>
          <w:sz w:val="24"/>
          <w:szCs w:val="24"/>
        </w:rPr>
      </w:pPr>
      <w:r>
        <w:rPr>
          <w:color w:val="000000" w:themeColor="text1"/>
          <w:sz w:val="24"/>
          <w:szCs w:val="24"/>
        </w:rPr>
        <w:br w:type="page"/>
      </w:r>
    </w:p>
    <w:p w14:paraId="7A464406" w14:textId="77777777" w:rsidR="00801B00" w:rsidRPr="009B665B" w:rsidRDefault="00C46A0B" w:rsidP="00CA255D">
      <w:pPr>
        <w:pStyle w:val="Heading2"/>
        <w:rPr>
          <w:u w:val="single"/>
        </w:rPr>
      </w:pPr>
      <w:r>
        <w:lastRenderedPageBreak/>
        <w:t>ILNNP SHOW</w:t>
      </w:r>
      <w:r w:rsidR="00C2780A">
        <w:t xml:space="preserve"> </w:t>
      </w:r>
      <w:r>
        <w:t xml:space="preserve">CASE </w:t>
      </w:r>
    </w:p>
    <w:tbl>
      <w:tblPr>
        <w:tblStyle w:val="TableGrid"/>
        <w:tblW w:w="0" w:type="auto"/>
        <w:tblLook w:val="04A0" w:firstRow="1" w:lastRow="0" w:firstColumn="1" w:lastColumn="0" w:noHBand="0" w:noVBand="1"/>
        <w:tblCaption w:val="ILNNP show case - St Joseph's Primary School"/>
        <w:tblDescription w:val="Data relating to St Joseph's Primary School"/>
      </w:tblPr>
      <w:tblGrid>
        <w:gridCol w:w="5495"/>
        <w:gridCol w:w="4252"/>
      </w:tblGrid>
      <w:tr w:rsidR="00801B00" w:rsidRPr="008308AC" w14:paraId="7C20C8E9" w14:textId="77777777" w:rsidTr="00C671FB">
        <w:trPr>
          <w:trHeight w:val="397"/>
        </w:trPr>
        <w:tc>
          <w:tcPr>
            <w:tcW w:w="5495" w:type="dxa"/>
            <w:shd w:val="clear" w:color="auto" w:fill="F2F2F2" w:themeFill="background1" w:themeFillShade="F2"/>
          </w:tcPr>
          <w:p w14:paraId="74ACA4A5"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School name</w:t>
            </w:r>
          </w:p>
        </w:tc>
        <w:tc>
          <w:tcPr>
            <w:tcW w:w="4252" w:type="dxa"/>
          </w:tcPr>
          <w:p w14:paraId="1E35418F"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St Joseph’s Primary School</w:t>
            </w:r>
          </w:p>
        </w:tc>
      </w:tr>
      <w:tr w:rsidR="00801B00" w:rsidRPr="008308AC" w14:paraId="352EB7DC" w14:textId="77777777" w:rsidTr="00C671FB">
        <w:trPr>
          <w:trHeight w:val="397"/>
        </w:trPr>
        <w:tc>
          <w:tcPr>
            <w:tcW w:w="5495" w:type="dxa"/>
            <w:shd w:val="clear" w:color="auto" w:fill="F2F2F2" w:themeFill="background1" w:themeFillShade="F2"/>
          </w:tcPr>
          <w:p w14:paraId="10C89B2B"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DEEWR school ID</w:t>
            </w:r>
          </w:p>
        </w:tc>
        <w:tc>
          <w:tcPr>
            <w:tcW w:w="4252" w:type="dxa"/>
          </w:tcPr>
          <w:p w14:paraId="7AF5724C"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1757</w:t>
            </w:r>
          </w:p>
        </w:tc>
      </w:tr>
      <w:tr w:rsidR="00801B00" w:rsidRPr="008308AC" w14:paraId="6986C908" w14:textId="77777777" w:rsidTr="00C671FB">
        <w:trPr>
          <w:trHeight w:val="397"/>
        </w:trPr>
        <w:tc>
          <w:tcPr>
            <w:tcW w:w="5495" w:type="dxa"/>
            <w:shd w:val="clear" w:color="auto" w:fill="F2F2F2" w:themeFill="background1" w:themeFillShade="F2"/>
          </w:tcPr>
          <w:p w14:paraId="5C503C46"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Suburb</w:t>
            </w:r>
          </w:p>
        </w:tc>
        <w:tc>
          <w:tcPr>
            <w:tcW w:w="4252" w:type="dxa"/>
          </w:tcPr>
          <w:p w14:paraId="0D2542F8"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Condobolin</w:t>
            </w:r>
          </w:p>
        </w:tc>
      </w:tr>
      <w:tr w:rsidR="00801B00" w:rsidRPr="008308AC" w14:paraId="43BABA31" w14:textId="77777777" w:rsidTr="00C671FB">
        <w:trPr>
          <w:trHeight w:val="397"/>
        </w:trPr>
        <w:tc>
          <w:tcPr>
            <w:tcW w:w="5495" w:type="dxa"/>
            <w:shd w:val="clear" w:color="auto" w:fill="F2F2F2" w:themeFill="background1" w:themeFillShade="F2"/>
          </w:tcPr>
          <w:p w14:paraId="72DB26CC"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State/Territory</w:t>
            </w:r>
          </w:p>
        </w:tc>
        <w:tc>
          <w:tcPr>
            <w:tcW w:w="4252" w:type="dxa"/>
          </w:tcPr>
          <w:p w14:paraId="5C6C59B7"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NSW</w:t>
            </w:r>
          </w:p>
        </w:tc>
      </w:tr>
      <w:tr w:rsidR="00801B00" w:rsidRPr="008308AC" w14:paraId="1D9167D2" w14:textId="77777777" w:rsidTr="00C671FB">
        <w:trPr>
          <w:trHeight w:val="397"/>
        </w:trPr>
        <w:tc>
          <w:tcPr>
            <w:tcW w:w="5495" w:type="dxa"/>
            <w:shd w:val="clear" w:color="auto" w:fill="F2F2F2" w:themeFill="background1" w:themeFillShade="F2"/>
          </w:tcPr>
          <w:p w14:paraId="6D85B52D"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Diocese</w:t>
            </w:r>
          </w:p>
        </w:tc>
        <w:tc>
          <w:tcPr>
            <w:tcW w:w="4252" w:type="dxa"/>
          </w:tcPr>
          <w:p w14:paraId="3D847536"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Wilcannia-Forbes</w:t>
            </w:r>
          </w:p>
        </w:tc>
      </w:tr>
      <w:tr w:rsidR="00801B00" w:rsidRPr="008308AC" w14:paraId="098A632C" w14:textId="77777777" w:rsidTr="00C671FB">
        <w:trPr>
          <w:trHeight w:val="397"/>
        </w:trPr>
        <w:tc>
          <w:tcPr>
            <w:tcW w:w="5495" w:type="dxa"/>
            <w:shd w:val="clear" w:color="auto" w:fill="F2F2F2" w:themeFill="background1" w:themeFillShade="F2"/>
          </w:tcPr>
          <w:p w14:paraId="6E48968A"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Sector</w:t>
            </w:r>
          </w:p>
        </w:tc>
        <w:tc>
          <w:tcPr>
            <w:tcW w:w="4252" w:type="dxa"/>
          </w:tcPr>
          <w:p w14:paraId="71C40F43"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 xml:space="preserve"> Catholic</w:t>
            </w:r>
          </w:p>
        </w:tc>
      </w:tr>
      <w:tr w:rsidR="00801B00" w:rsidRPr="008308AC" w14:paraId="1ADF69D6" w14:textId="77777777" w:rsidTr="00C671FB">
        <w:trPr>
          <w:trHeight w:val="397"/>
        </w:trPr>
        <w:tc>
          <w:tcPr>
            <w:tcW w:w="5495" w:type="dxa"/>
            <w:shd w:val="clear" w:color="auto" w:fill="F2F2F2" w:themeFill="background1" w:themeFillShade="F2"/>
          </w:tcPr>
          <w:p w14:paraId="1D0B3CC5"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School type</w:t>
            </w:r>
          </w:p>
        </w:tc>
        <w:tc>
          <w:tcPr>
            <w:tcW w:w="4252" w:type="dxa"/>
          </w:tcPr>
          <w:p w14:paraId="5327045E"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Primary</w:t>
            </w:r>
          </w:p>
        </w:tc>
      </w:tr>
      <w:tr w:rsidR="00801B00" w:rsidRPr="008308AC" w14:paraId="296F475C" w14:textId="77777777" w:rsidTr="00C671FB">
        <w:trPr>
          <w:trHeight w:val="397"/>
        </w:trPr>
        <w:tc>
          <w:tcPr>
            <w:tcW w:w="5495" w:type="dxa"/>
            <w:shd w:val="clear" w:color="auto" w:fill="F2F2F2" w:themeFill="background1" w:themeFillShade="F2"/>
          </w:tcPr>
          <w:p w14:paraId="07EBE880"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ARIA categories</w:t>
            </w:r>
          </w:p>
        </w:tc>
        <w:tc>
          <w:tcPr>
            <w:tcW w:w="4252" w:type="dxa"/>
          </w:tcPr>
          <w:p w14:paraId="00431AFF"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Remote</w:t>
            </w:r>
          </w:p>
        </w:tc>
      </w:tr>
      <w:tr w:rsidR="00801B00" w:rsidRPr="008308AC" w14:paraId="5DCCCF2B" w14:textId="77777777" w:rsidTr="00C671FB">
        <w:trPr>
          <w:trHeight w:val="397"/>
        </w:trPr>
        <w:tc>
          <w:tcPr>
            <w:tcW w:w="5495" w:type="dxa"/>
            <w:shd w:val="clear" w:color="auto" w:fill="F2F2F2" w:themeFill="background1" w:themeFillShade="F2"/>
          </w:tcPr>
          <w:p w14:paraId="2D115A09"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2013 enrolments</w:t>
            </w:r>
          </w:p>
        </w:tc>
        <w:tc>
          <w:tcPr>
            <w:tcW w:w="4252" w:type="dxa"/>
          </w:tcPr>
          <w:p w14:paraId="0DB7C352"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143</w:t>
            </w:r>
          </w:p>
        </w:tc>
      </w:tr>
      <w:tr w:rsidR="00801B00" w:rsidRPr="008308AC" w14:paraId="74C93323" w14:textId="77777777" w:rsidTr="00C671FB">
        <w:trPr>
          <w:trHeight w:val="397"/>
        </w:trPr>
        <w:tc>
          <w:tcPr>
            <w:tcW w:w="5495" w:type="dxa"/>
            <w:shd w:val="clear" w:color="auto" w:fill="F2F2F2" w:themeFill="background1" w:themeFillShade="F2"/>
          </w:tcPr>
          <w:p w14:paraId="15348F2C"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Number of Aboriginal and Torres Strait Islander students</w:t>
            </w:r>
          </w:p>
        </w:tc>
        <w:tc>
          <w:tcPr>
            <w:tcW w:w="4252" w:type="dxa"/>
          </w:tcPr>
          <w:p w14:paraId="1C6549B4"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24</w:t>
            </w:r>
          </w:p>
        </w:tc>
      </w:tr>
      <w:tr w:rsidR="00801B00" w:rsidRPr="008308AC" w14:paraId="071ED842" w14:textId="77777777" w:rsidTr="00C671FB">
        <w:trPr>
          <w:trHeight w:val="397"/>
        </w:trPr>
        <w:tc>
          <w:tcPr>
            <w:tcW w:w="5495" w:type="dxa"/>
            <w:shd w:val="clear" w:color="auto" w:fill="F2F2F2" w:themeFill="background1" w:themeFillShade="F2"/>
          </w:tcPr>
          <w:p w14:paraId="65BBC11F"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Number of students with a language background other than English</w:t>
            </w:r>
          </w:p>
        </w:tc>
        <w:tc>
          <w:tcPr>
            <w:tcW w:w="4252" w:type="dxa"/>
          </w:tcPr>
          <w:p w14:paraId="6EECA264"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1</w:t>
            </w:r>
          </w:p>
        </w:tc>
      </w:tr>
      <w:tr w:rsidR="00801B00" w:rsidRPr="008308AC" w14:paraId="6BE1B4B3" w14:textId="77777777" w:rsidTr="00C671FB">
        <w:trPr>
          <w:trHeight w:val="397"/>
        </w:trPr>
        <w:tc>
          <w:tcPr>
            <w:tcW w:w="5495" w:type="dxa"/>
            <w:shd w:val="clear" w:color="auto" w:fill="F2F2F2" w:themeFill="background1" w:themeFillShade="F2"/>
          </w:tcPr>
          <w:p w14:paraId="455B0E41"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2013 student attendance rate</w:t>
            </w:r>
          </w:p>
        </w:tc>
        <w:tc>
          <w:tcPr>
            <w:tcW w:w="4252" w:type="dxa"/>
          </w:tcPr>
          <w:p w14:paraId="513EA8E2"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93%</w:t>
            </w:r>
          </w:p>
        </w:tc>
      </w:tr>
      <w:tr w:rsidR="00801B00" w:rsidRPr="008308AC" w14:paraId="607644E4" w14:textId="77777777" w:rsidTr="00C671FB">
        <w:trPr>
          <w:trHeight w:val="397"/>
        </w:trPr>
        <w:tc>
          <w:tcPr>
            <w:tcW w:w="5495" w:type="dxa"/>
            <w:shd w:val="clear" w:color="auto" w:fill="F2F2F2" w:themeFill="background1" w:themeFillShade="F2"/>
          </w:tcPr>
          <w:p w14:paraId="4CDE259F"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Literacy and Numeracy National Partnership (LNNP) school</w:t>
            </w:r>
          </w:p>
        </w:tc>
        <w:tc>
          <w:tcPr>
            <w:tcW w:w="4252" w:type="dxa"/>
          </w:tcPr>
          <w:p w14:paraId="01562280"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No</w:t>
            </w:r>
          </w:p>
        </w:tc>
      </w:tr>
      <w:tr w:rsidR="00801B00" w:rsidRPr="008308AC" w14:paraId="4896CBD3" w14:textId="77777777" w:rsidTr="00C671FB">
        <w:trPr>
          <w:trHeight w:val="397"/>
        </w:trPr>
        <w:tc>
          <w:tcPr>
            <w:tcW w:w="5495" w:type="dxa"/>
            <w:shd w:val="clear" w:color="auto" w:fill="F2F2F2" w:themeFill="background1" w:themeFillShade="F2"/>
          </w:tcPr>
          <w:p w14:paraId="343DC81B" w14:textId="77777777" w:rsidR="00801B00" w:rsidRPr="008308AC" w:rsidRDefault="00801B00" w:rsidP="008308AC">
            <w:pPr>
              <w:spacing w:after="120"/>
              <w:rPr>
                <w:rFonts w:ascii="Arial" w:hAnsi="Arial" w:cs="Arial"/>
                <w:b/>
                <w:color w:val="000000" w:themeColor="text1"/>
              </w:rPr>
            </w:pPr>
            <w:r w:rsidRPr="008308AC">
              <w:rPr>
                <w:rFonts w:ascii="Arial" w:hAnsi="Arial" w:cs="Arial"/>
                <w:b/>
                <w:color w:val="000000" w:themeColor="text1"/>
              </w:rPr>
              <w:t>Low Socio-Economic Status School Communities National Partnership school</w:t>
            </w:r>
          </w:p>
        </w:tc>
        <w:tc>
          <w:tcPr>
            <w:tcW w:w="4252" w:type="dxa"/>
          </w:tcPr>
          <w:p w14:paraId="41327A9E" w14:textId="77777777" w:rsidR="00801B00" w:rsidRPr="008308AC" w:rsidRDefault="00801B00" w:rsidP="008308AC">
            <w:pPr>
              <w:spacing w:after="120"/>
              <w:rPr>
                <w:rFonts w:ascii="Arial" w:hAnsi="Arial" w:cs="Arial"/>
                <w:color w:val="000000" w:themeColor="text1"/>
              </w:rPr>
            </w:pPr>
            <w:r w:rsidRPr="008308AC">
              <w:rPr>
                <w:rFonts w:ascii="Arial" w:hAnsi="Arial" w:cs="Arial"/>
                <w:color w:val="000000" w:themeColor="text1"/>
              </w:rPr>
              <w:t xml:space="preserve"> No</w:t>
            </w:r>
          </w:p>
        </w:tc>
      </w:tr>
    </w:tbl>
    <w:p w14:paraId="5CEE1C57" w14:textId="77777777" w:rsidR="00801B00" w:rsidRPr="008308AC" w:rsidRDefault="00801B00" w:rsidP="00CA255D">
      <w:pPr>
        <w:pStyle w:val="Heading3"/>
      </w:pPr>
      <w:r w:rsidRPr="008308AC">
        <w:t>School Background</w:t>
      </w:r>
    </w:p>
    <w:p w14:paraId="35C20D7F" w14:textId="77777777" w:rsidR="00801B00" w:rsidRPr="008308AC" w:rsidRDefault="00801B00" w:rsidP="00CA255D">
      <w:r w:rsidRPr="008308AC">
        <w:t xml:space="preserve">St Joseph’s Primary is a parish based school located in Condobolin in the Diocese of Wilcania-Forbes. Geographically located in the centre of New South Wales on the banks of the Lachlan River and part of Wiradjuri country, Condobolin has a population of approximately 3000 people. </w:t>
      </w:r>
    </w:p>
    <w:p w14:paraId="708C9D72" w14:textId="6D81F53D" w:rsidR="00801B00" w:rsidRPr="008308AC" w:rsidRDefault="00801B00" w:rsidP="00CA255D">
      <w:r w:rsidRPr="008308AC">
        <w:t>This year with an enrolment of 143 students, there are seven classes: Kindergarten, Year 1, Year 2, two Stage 2 classes and two Stage 3 classes. Twenty one teaching and support staff make up</w:t>
      </w:r>
      <w:r w:rsidR="00C671FB">
        <w:t xml:space="preserve"> the staff population.</w:t>
      </w:r>
      <w:r w:rsidR="00C671FB" w:rsidRPr="008308AC">
        <w:t xml:space="preserve"> As</w:t>
      </w:r>
      <w:r w:rsidRPr="008308AC">
        <w:t xml:space="preserve"> St Joseph’s is in a rural area, the majority of students come fro</w:t>
      </w:r>
      <w:r w:rsidR="00C671FB">
        <w:t>m farming/ grazier backgrounds.</w:t>
      </w:r>
      <w:r w:rsidR="00C671FB" w:rsidRPr="008308AC">
        <w:rPr>
          <w:rFonts w:eastAsia="Times New Roman"/>
          <w:lang w:eastAsia="en-AU"/>
        </w:rPr>
        <w:t xml:space="preserve"> At</w:t>
      </w:r>
      <w:r w:rsidRPr="008308AC">
        <w:rPr>
          <w:rFonts w:eastAsia="Times New Roman"/>
          <w:lang w:eastAsia="en-AU"/>
        </w:rPr>
        <w:t xml:space="preserve"> St Joseph’s School there is a recognition that all children are unique and bring with them their own individual gifts and talents; some children find learning and socialising easy, while a small number find these acti</w:t>
      </w:r>
      <w:r w:rsidR="00CA255D">
        <w:rPr>
          <w:rFonts w:eastAsia="Times New Roman"/>
          <w:lang w:eastAsia="en-AU"/>
        </w:rPr>
        <w:t>vities daunting and stressful.</w:t>
      </w:r>
    </w:p>
    <w:p w14:paraId="5D811639" w14:textId="77777777" w:rsidR="00801B00" w:rsidRPr="008308AC" w:rsidRDefault="00801B00" w:rsidP="00CA255D">
      <w:pPr>
        <w:pStyle w:val="Heading3"/>
      </w:pPr>
      <w:r w:rsidRPr="008308AC">
        <w:t>ILNNP Approach</w:t>
      </w:r>
    </w:p>
    <w:p w14:paraId="3C3E73A1" w14:textId="77777777" w:rsidR="00801B00" w:rsidRPr="008308AC" w:rsidRDefault="00801B00" w:rsidP="00CA255D">
      <w:r w:rsidRPr="008308AC">
        <w:t xml:space="preserve">The ILNNP at St Joseph’s Primary School operates within a tiered approach, providing support for whole class, small groups and individuals. The school determined to focus on both literacy and numeracy in its approach. Professional learning was a critical dimension of the implementation of this project. </w:t>
      </w:r>
    </w:p>
    <w:p w14:paraId="59197452" w14:textId="33EE46E3" w:rsidR="00731D25" w:rsidRPr="00731D25" w:rsidRDefault="00731D25" w:rsidP="00CA255D">
      <w:r>
        <w:t>Approaches employed across whole class, small group and individual settings include:</w:t>
      </w:r>
    </w:p>
    <w:p w14:paraId="2ABB97DE" w14:textId="2C27C8D2" w:rsidR="00801B00" w:rsidRDefault="004B187F" w:rsidP="00CA255D">
      <w:pPr>
        <w:rPr>
          <w:i/>
        </w:rPr>
      </w:pPr>
      <w:r w:rsidRPr="004B187F">
        <w:rPr>
          <w:i/>
        </w:rPr>
        <w:t xml:space="preserve">Literacy </w:t>
      </w:r>
      <w:r>
        <w:rPr>
          <w:i/>
        </w:rPr>
        <w:t>–</w:t>
      </w:r>
      <w:r w:rsidRPr="004B187F">
        <w:rPr>
          <w:i/>
        </w:rPr>
        <w:t xml:space="preserve"> reading</w:t>
      </w:r>
    </w:p>
    <w:p w14:paraId="79BDF690" w14:textId="77777777" w:rsidR="00801B00" w:rsidRPr="00C671FB" w:rsidRDefault="00801B00" w:rsidP="00756999">
      <w:pPr>
        <w:pStyle w:val="ListParagraph"/>
        <w:numPr>
          <w:ilvl w:val="0"/>
          <w:numId w:val="24"/>
        </w:numPr>
      </w:pPr>
      <w:r w:rsidRPr="00C671FB">
        <w:t>Addition of reading strategies to the School’s English Sequence of Learning (aiming to finalise in 2014).</w:t>
      </w:r>
    </w:p>
    <w:p w14:paraId="07A8E721" w14:textId="77777777" w:rsidR="00801B00" w:rsidRPr="00C671FB" w:rsidRDefault="00801B00" w:rsidP="00756999">
      <w:pPr>
        <w:pStyle w:val="ListParagraph"/>
        <w:numPr>
          <w:ilvl w:val="0"/>
          <w:numId w:val="24"/>
        </w:numPr>
      </w:pPr>
      <w:r w:rsidRPr="00C671FB">
        <w:lastRenderedPageBreak/>
        <w:t xml:space="preserve">Professional learning focusing on the reading strategies and the explicit teaching of reading strategies. </w:t>
      </w:r>
    </w:p>
    <w:p w14:paraId="1F366B02" w14:textId="77777777" w:rsidR="00801B00" w:rsidRPr="008308AC" w:rsidRDefault="00801B00" w:rsidP="00756999">
      <w:pPr>
        <w:pStyle w:val="ListParagraph"/>
        <w:numPr>
          <w:ilvl w:val="0"/>
          <w:numId w:val="24"/>
        </w:numPr>
      </w:pPr>
      <w:r w:rsidRPr="008308AC">
        <w:t xml:space="preserve">Focus on explicit modelling of the reading strategies within the literacy block. </w:t>
      </w:r>
    </w:p>
    <w:p w14:paraId="05B3E367" w14:textId="77777777" w:rsidR="00801B00" w:rsidRPr="008308AC" w:rsidRDefault="00801B00" w:rsidP="00756999">
      <w:pPr>
        <w:pStyle w:val="ListParagraph"/>
        <w:numPr>
          <w:ilvl w:val="0"/>
          <w:numId w:val="24"/>
        </w:numPr>
      </w:pPr>
      <w:r w:rsidRPr="008308AC">
        <w:t xml:space="preserve">Support for the development of reading strategies within guided reading sessions. </w:t>
      </w:r>
    </w:p>
    <w:p w14:paraId="470B5A94" w14:textId="77777777" w:rsidR="00801B00" w:rsidRPr="008308AC" w:rsidRDefault="00801B00" w:rsidP="00756999">
      <w:pPr>
        <w:pStyle w:val="ListParagraph"/>
        <w:numPr>
          <w:ilvl w:val="0"/>
          <w:numId w:val="24"/>
        </w:numPr>
      </w:pPr>
      <w:r w:rsidRPr="008308AC">
        <w:t xml:space="preserve">1:1 reading support for identified students working below and well below the benchmark. </w:t>
      </w:r>
    </w:p>
    <w:p w14:paraId="199EC2F9" w14:textId="77777777" w:rsidR="00801B00" w:rsidRPr="008308AC" w:rsidRDefault="00801B00" w:rsidP="00756999">
      <w:pPr>
        <w:pStyle w:val="ListParagraph"/>
        <w:numPr>
          <w:ilvl w:val="0"/>
          <w:numId w:val="24"/>
        </w:numPr>
      </w:pPr>
      <w:r w:rsidRPr="008308AC">
        <w:t xml:space="preserve">The development of the ‘Reading Coach’ role with specific guidelines to support the student and the coach. </w:t>
      </w:r>
    </w:p>
    <w:p w14:paraId="7AAA90D0" w14:textId="016B39B2" w:rsidR="00801B00" w:rsidRPr="004B187F" w:rsidRDefault="004B187F" w:rsidP="00CA255D">
      <w:pPr>
        <w:rPr>
          <w:i/>
        </w:rPr>
      </w:pPr>
      <w:r w:rsidRPr="004B187F">
        <w:rPr>
          <w:i/>
        </w:rPr>
        <w:t>Numeracy -number</w:t>
      </w:r>
    </w:p>
    <w:p w14:paraId="324C1D20" w14:textId="77777777" w:rsidR="00801B00" w:rsidRPr="008308AC" w:rsidRDefault="00801B00" w:rsidP="00756999">
      <w:pPr>
        <w:pStyle w:val="ListParagraph"/>
        <w:numPr>
          <w:ilvl w:val="0"/>
          <w:numId w:val="25"/>
        </w:numPr>
      </w:pPr>
      <w:r w:rsidRPr="008308AC">
        <w:t xml:space="preserve">Integration of First Steps Mathematics. </w:t>
      </w:r>
    </w:p>
    <w:p w14:paraId="5E73FC75" w14:textId="77777777" w:rsidR="00801B00" w:rsidRPr="008308AC" w:rsidRDefault="00801B00" w:rsidP="00756999">
      <w:pPr>
        <w:pStyle w:val="ListParagraph"/>
        <w:numPr>
          <w:ilvl w:val="0"/>
          <w:numId w:val="25"/>
        </w:numPr>
      </w:pPr>
      <w:r w:rsidRPr="008308AC">
        <w:t xml:space="preserve">Close analysis of Sena data and the application of DENS, ICT and First Steps Maths activities.  </w:t>
      </w:r>
    </w:p>
    <w:p w14:paraId="22A8F5FD" w14:textId="77777777" w:rsidR="00801B00" w:rsidRPr="008308AC" w:rsidRDefault="00801B00" w:rsidP="00756999">
      <w:pPr>
        <w:pStyle w:val="ListParagraph"/>
        <w:numPr>
          <w:ilvl w:val="0"/>
          <w:numId w:val="25"/>
        </w:numPr>
      </w:pPr>
      <w:r w:rsidRPr="008308AC">
        <w:t xml:space="preserve">Additional in class support (small group) with NP Instructional Leader to support students working below and well below the benchmark. </w:t>
      </w:r>
    </w:p>
    <w:p w14:paraId="4024D8D1" w14:textId="77777777" w:rsidR="00801B00" w:rsidRPr="008308AC" w:rsidRDefault="00801B00" w:rsidP="00756999">
      <w:pPr>
        <w:pStyle w:val="ListParagraph"/>
        <w:numPr>
          <w:ilvl w:val="0"/>
          <w:numId w:val="25"/>
        </w:numPr>
      </w:pPr>
      <w:r w:rsidRPr="008308AC">
        <w:t xml:space="preserve">Quicksmart Numeracy – intervention program.  </w:t>
      </w:r>
    </w:p>
    <w:p w14:paraId="3F3A1C2E" w14:textId="77777777" w:rsidR="00801B00" w:rsidRPr="00C671FB" w:rsidRDefault="00801B00" w:rsidP="00F06623">
      <w:pPr>
        <w:pStyle w:val="Heading3"/>
      </w:pPr>
      <w:r w:rsidRPr="008308AC">
        <w:t xml:space="preserve">Implementation  </w:t>
      </w:r>
    </w:p>
    <w:p w14:paraId="3357E4EE" w14:textId="1D8B1697" w:rsidR="00801B00" w:rsidRPr="00F06623" w:rsidRDefault="004B187F" w:rsidP="00F06623">
      <w:pPr>
        <w:rPr>
          <w:i/>
        </w:rPr>
      </w:pPr>
      <w:r w:rsidRPr="00F06623">
        <w:rPr>
          <w:i/>
        </w:rPr>
        <w:t>Literacy - numeracy</w:t>
      </w:r>
    </w:p>
    <w:p w14:paraId="7F97C8C7" w14:textId="77777777" w:rsidR="00801B00" w:rsidRPr="008308AC" w:rsidRDefault="00801B00" w:rsidP="00F06623">
      <w:r w:rsidRPr="008308AC">
        <w:t>Professional learning cycles over a 3 week period were undertaken. Teachers engaged in a spirit of collaboration and sharing providing constructive peer feedback to each other. This has created a platform for more professional dialogue, sharing and collaboration.</w:t>
      </w:r>
    </w:p>
    <w:p w14:paraId="7CFE7925" w14:textId="77777777" w:rsidR="00801B00" w:rsidRPr="008308AC" w:rsidRDefault="00801B00" w:rsidP="00F06623">
      <w:r w:rsidRPr="008308AC">
        <w:t>All staff also participated in professional learning, including on:</w:t>
      </w:r>
    </w:p>
    <w:p w14:paraId="497A6E36" w14:textId="77777777" w:rsidR="00801B00" w:rsidRPr="008308AC" w:rsidRDefault="00C671FB" w:rsidP="00F06623">
      <w:r w:rsidRPr="008308AC">
        <w:t>The</w:t>
      </w:r>
      <w:r w:rsidR="00801B00" w:rsidRPr="008308AC">
        <w:t xml:space="preserve"> 18 reading strategies identified in the First Steps Reading resource. Staff re-familiarised themselves with the reading strategies. Based on analysis of student performance data, strategies most appropriate to each stage of learning were identified for focus - Creating Images, Skimming, Self-Questioning, Summarising &amp; Paraphrasing and Scanning. </w:t>
      </w:r>
    </w:p>
    <w:p w14:paraId="78E2EB80" w14:textId="77777777" w:rsidR="00801B00" w:rsidRPr="008308AC" w:rsidRDefault="00C671FB" w:rsidP="00F06623">
      <w:r w:rsidRPr="008308AC">
        <w:t>Fundamental</w:t>
      </w:r>
      <w:r w:rsidR="00801B00" w:rsidRPr="008308AC">
        <w:t xml:space="preserve"> reading strategies to the English Sequence of Learning; professional learning focusing on the reading strategies and explicit teaching of them.</w:t>
      </w:r>
    </w:p>
    <w:p w14:paraId="0102FED6" w14:textId="77777777" w:rsidR="00801B00" w:rsidRPr="008308AC" w:rsidRDefault="00801B00" w:rsidP="00F06623">
      <w:r w:rsidRPr="008308AC">
        <w:t xml:space="preserve">1:1 reading support for identified students working below and well below the benchmark. </w:t>
      </w:r>
    </w:p>
    <w:p w14:paraId="6AF713D5" w14:textId="77777777" w:rsidR="00801B00" w:rsidRPr="008308AC" w:rsidRDefault="00801B00" w:rsidP="00F06623">
      <w:r w:rsidRPr="008308AC">
        <w:t>The introduction of a “Reading Coach”, with identified students receiving daily reading support.  The Aboriginal Education Worker undertook further professional learning and has also taken on the role of “Reading Coach” to further support identified students.</w:t>
      </w:r>
    </w:p>
    <w:p w14:paraId="23C0C625" w14:textId="6DECB28C" w:rsidR="00801B00" w:rsidRPr="00F06623" w:rsidRDefault="004B187F" w:rsidP="00F06623">
      <w:pPr>
        <w:rPr>
          <w:i/>
        </w:rPr>
      </w:pPr>
      <w:r w:rsidRPr="00F06623">
        <w:rPr>
          <w:i/>
        </w:rPr>
        <w:t xml:space="preserve">Numeracy – number </w:t>
      </w:r>
    </w:p>
    <w:p w14:paraId="49F1C6F7" w14:textId="77777777" w:rsidR="00801B00" w:rsidRPr="008308AC" w:rsidRDefault="00801B00" w:rsidP="00F06623">
      <w:r w:rsidRPr="008308AC">
        <w:t>Teachers collaboratively developed agreed practice for the teaching of mathematics which includes First Steps in Mathematics and Quicksmart.</w:t>
      </w:r>
    </w:p>
    <w:p w14:paraId="5B6ADBE7" w14:textId="77777777" w:rsidR="00801B00" w:rsidRPr="008308AC" w:rsidRDefault="00801B00" w:rsidP="00F06623">
      <w:r w:rsidRPr="008308AC">
        <w:t>The Lead Teacher (Mathematics) facilitated professional learning for teachers and created First Steps resource boxes for each stage of learning.</w:t>
      </w:r>
    </w:p>
    <w:p w14:paraId="2D831585" w14:textId="77777777" w:rsidR="00801B00" w:rsidRPr="008308AC" w:rsidRDefault="00801B00" w:rsidP="00F06623">
      <w:r w:rsidRPr="008308AC">
        <w:t xml:space="preserve">All class teachers use the First Steps in Mathematics diagnostic tasks and activities, </w:t>
      </w:r>
      <w:r w:rsidR="00C671FB" w:rsidRPr="008308AC">
        <w:t>with Key</w:t>
      </w:r>
      <w:r w:rsidRPr="008308AC">
        <w:t xml:space="preserve"> Mathematical Understandings added to the school’s Sequence of Learning.</w:t>
      </w:r>
    </w:p>
    <w:p w14:paraId="49300B0C" w14:textId="296A95D1" w:rsidR="00801B00" w:rsidRPr="004B187F" w:rsidRDefault="00801B00" w:rsidP="00F06623">
      <w:r w:rsidRPr="008308AC">
        <w:lastRenderedPageBreak/>
        <w:t xml:space="preserve">The Instructional Leader facilitated; </w:t>
      </w:r>
      <w:r w:rsidRPr="004B187F">
        <w:t xml:space="preserve">the monitoring and tracking of data; diagnostic assessment using First Steps and DENS diagnostic tasks; </w:t>
      </w:r>
      <w:r w:rsidR="004B187F">
        <w:t xml:space="preserve"> and </w:t>
      </w:r>
      <w:r w:rsidRPr="004B187F">
        <w:t>a variety of tailored learning opportunities involving games and interactive whiteboard tasks; and</w:t>
      </w:r>
    </w:p>
    <w:p w14:paraId="53249983" w14:textId="77777777" w:rsidR="00801B00" w:rsidRPr="008308AC" w:rsidRDefault="00801B00" w:rsidP="00F06623">
      <w:r w:rsidRPr="008308AC">
        <w:t>support for Stage 2 classes during the Numeracy block, including small group work.</w:t>
      </w:r>
    </w:p>
    <w:p w14:paraId="3217A306" w14:textId="77777777" w:rsidR="00801B00" w:rsidRPr="008308AC" w:rsidRDefault="00801B00" w:rsidP="00F06623">
      <w:r w:rsidRPr="008308AC">
        <w:t>Five staff members (Principal, Curriculum Co-ordinator, NP Instructional Leader, Aboriginal Education Worker and a Teacher’s Aide</w:t>
      </w:r>
      <w:r w:rsidR="00C671FB" w:rsidRPr="008308AC">
        <w:t>) were</w:t>
      </w:r>
      <w:r w:rsidRPr="008308AC">
        <w:t xml:space="preserve"> trained in the use of the Quicksmart intervention. At the school a Quicksmart room was set up, resources were purchased and organised and students were pre-tested. Student data was analysed and future direction was established and planned for.  Individualised work was planned and delivered.</w:t>
      </w:r>
    </w:p>
    <w:p w14:paraId="4FD5DA19" w14:textId="77777777" w:rsidR="00801B00" w:rsidRPr="008308AC" w:rsidRDefault="00801B00" w:rsidP="00F06623">
      <w:r w:rsidRPr="008308AC">
        <w:t>Implementing Quicksmart was an enormous undertaking with a range of challenges along the way, including timetable adjustments. Staff at St Joseph’s have been very willing to accommodate Quicksmart and are seeing positive results. It has proved to be a valuable tool to support students in the area of Mathematics.</w:t>
      </w:r>
    </w:p>
    <w:p w14:paraId="1BC18702" w14:textId="77777777" w:rsidR="00801B00" w:rsidRPr="008308AC" w:rsidRDefault="00801B00" w:rsidP="00F06623">
      <w:pPr>
        <w:pStyle w:val="Heading3"/>
      </w:pPr>
      <w:r w:rsidRPr="008308AC">
        <w:t>Progress/Outcomes</w:t>
      </w:r>
    </w:p>
    <w:p w14:paraId="6A65086D" w14:textId="0A6158C1" w:rsidR="00801B00" w:rsidRPr="00C671FB" w:rsidRDefault="00801B00" w:rsidP="00F06623">
      <w:pPr>
        <w:pStyle w:val="Heading3"/>
      </w:pPr>
      <w:r w:rsidRPr="008308AC">
        <w:t xml:space="preserve">Modelled Reading- Explicit Teaching of Strategies &amp; Guided Practice </w:t>
      </w:r>
      <w:r w:rsidR="00C671FB" w:rsidRPr="008308AC">
        <w:t>to</w:t>
      </w:r>
      <w:r w:rsidRPr="008308AC">
        <w:t xml:space="preserve"> Develop Competence </w:t>
      </w:r>
    </w:p>
    <w:p w14:paraId="41014059" w14:textId="77777777" w:rsidR="00801B00" w:rsidRPr="008308AC" w:rsidRDefault="00801B00" w:rsidP="00F06623">
      <w:r w:rsidRPr="008308AC">
        <w:t>During K-6 goal setting and conferencing (reading), teachers noted that the students had developed a larger repertoire of reading strategies. They readily articulated their use of strategies such as creating images, self-questioning, skimming, summarising &amp; paraphrasing and scanning, a shift from only being able to articulate word identification strategies like sounding out, chunking, re-reading and reading on. They were able to demonstrate insights into how and why they applied specific strategies and identify newly learned reading strategies as areas that they wanted to develop further. Positive growth amongst many participating students was achieved, including T10 of the 28 students receiving 1:1 reading support reaching level 30.</w:t>
      </w:r>
    </w:p>
    <w:p w14:paraId="680E6EBF" w14:textId="77777777" w:rsidR="00801B00" w:rsidRPr="008308AC" w:rsidRDefault="00801B00" w:rsidP="00F06623">
      <w:r w:rsidRPr="008308AC">
        <w:t>In addition to progress in reading levels, these children have developed a metacognitive thinking vocabulary to discuss their reading achievements and identify areas they need to develop further.</w:t>
      </w:r>
    </w:p>
    <w:p w14:paraId="0CBB7C1E" w14:textId="77777777" w:rsidR="00801B00" w:rsidRPr="008308AC" w:rsidRDefault="00801B00" w:rsidP="00F06623">
      <w:pPr>
        <w:pStyle w:val="Heading3"/>
      </w:pPr>
      <w:r w:rsidRPr="008308AC">
        <w:t>Stage 2 Maths/ Stage 3 (Year 5) Maths</w:t>
      </w:r>
    </w:p>
    <w:p w14:paraId="0F953F80" w14:textId="77777777" w:rsidR="00801B00" w:rsidRPr="008308AC" w:rsidRDefault="00801B00" w:rsidP="00F06623">
      <w:r w:rsidRPr="008308AC">
        <w:t>Teachers feel valuable differentiation has being achieved.  Many identified children feel overwhelmed in a larger classroom environment and they have enjoyed working in a small group situation.  It has also created a more focussed environment for the mainstream children, thus improving their learning.</w:t>
      </w:r>
    </w:p>
    <w:p w14:paraId="6BB1D89B" w14:textId="77777777" w:rsidR="00801B00" w:rsidRPr="008308AC" w:rsidRDefault="00801B00" w:rsidP="00F06623">
      <w:pPr>
        <w:pStyle w:val="Heading3"/>
      </w:pPr>
      <w:r w:rsidRPr="008308AC">
        <w:t>Quicksmart Numeracy</w:t>
      </w:r>
    </w:p>
    <w:p w14:paraId="20CF9A9C" w14:textId="77777777" w:rsidR="00801B00" w:rsidRDefault="00801B00" w:rsidP="00F06623">
      <w:r w:rsidRPr="008308AC">
        <w:t xml:space="preserve">Quicksmart has increased confidence levels of students.  This has been observed by parents, classroom teachers and Quicksmart instructors. Student skill sets have developed significantly through their participation in the program, with improvements in both speed and accuracy. At this point students have participated for 17 weeks of a 30 week course, and are expected to show significant positive outcomes at the conclusion of the course. </w:t>
      </w:r>
    </w:p>
    <w:p w14:paraId="284B42E6" w14:textId="08DD30AA" w:rsidR="002F0925" w:rsidRPr="00C2780A" w:rsidRDefault="00824EA6" w:rsidP="00F06623">
      <w:pPr>
        <w:pStyle w:val="Heading2"/>
      </w:pPr>
      <w:r>
        <w:br w:type="page"/>
      </w:r>
      <w:r w:rsidR="00C2780A">
        <w:lastRenderedPageBreak/>
        <w:t>SECTION 5: SUSTAINABILITY</w:t>
      </w:r>
    </w:p>
    <w:p w14:paraId="6A524878" w14:textId="7A9CF804" w:rsidR="002F0925" w:rsidRPr="00C540A1" w:rsidRDefault="00C2780A" w:rsidP="00756999">
      <w:pPr>
        <w:pStyle w:val="Heading3"/>
        <w:numPr>
          <w:ilvl w:val="0"/>
          <w:numId w:val="5"/>
        </w:numPr>
        <w:ind w:left="426"/>
      </w:pPr>
      <w:r>
        <w:t>T</w:t>
      </w:r>
      <w:r w:rsidR="002F0925" w:rsidRPr="00C540A1">
        <w:t>he degree of sustainability of the approaches at the sector/school level</w:t>
      </w:r>
    </w:p>
    <w:p w14:paraId="71B31867" w14:textId="77777777" w:rsidR="002F0925" w:rsidRPr="00C540A1" w:rsidRDefault="002F0925" w:rsidP="00F06623">
      <w:r w:rsidRPr="00C540A1">
        <w:t>Analysis of school plans and school documents provide</w:t>
      </w:r>
      <w:r w:rsidR="00931D3B" w:rsidRPr="00C540A1">
        <w:t>s</w:t>
      </w:r>
      <w:r w:rsidRPr="00C540A1">
        <w:t xml:space="preserve"> extensive evidence of sustainable practices being developed under the Improving Literacy and Numeracy National Partnership. The practices detailed below include building teacher and leadership capacity and changes to structures, as well as the establishment of quality systems.</w:t>
      </w:r>
    </w:p>
    <w:p w14:paraId="7EBC2E6F" w14:textId="77777777" w:rsidR="002F0925" w:rsidRPr="00C540A1" w:rsidRDefault="00931D3B" w:rsidP="00F06623">
      <w:r w:rsidRPr="00C540A1">
        <w:t>All NSW s</w:t>
      </w:r>
      <w:r w:rsidR="002F0925" w:rsidRPr="00C540A1">
        <w:t>chools have developed sustainable and meaningful professional learning which has moved beyond information sessions to a model that:</w:t>
      </w:r>
    </w:p>
    <w:p w14:paraId="144E64D1" w14:textId="77777777" w:rsidR="002F0925" w:rsidRPr="00C540A1" w:rsidRDefault="002F0925" w:rsidP="00756999">
      <w:pPr>
        <w:pStyle w:val="ListParagraph"/>
        <w:numPr>
          <w:ilvl w:val="0"/>
          <w:numId w:val="26"/>
        </w:numPr>
      </w:pPr>
      <w:r w:rsidRPr="00C540A1">
        <w:t xml:space="preserve">has a clear outcome in mind </w:t>
      </w:r>
    </w:p>
    <w:p w14:paraId="1E7E6F95" w14:textId="77777777" w:rsidR="002F0925" w:rsidRPr="00C540A1" w:rsidRDefault="002F0925" w:rsidP="00756999">
      <w:pPr>
        <w:pStyle w:val="ListParagraph"/>
        <w:numPr>
          <w:ilvl w:val="0"/>
          <w:numId w:val="26"/>
        </w:numPr>
      </w:pPr>
      <w:r w:rsidRPr="00C540A1">
        <w:t>is evidence-based</w:t>
      </w:r>
    </w:p>
    <w:p w14:paraId="738B6FCE" w14:textId="77777777" w:rsidR="002F0925" w:rsidRPr="00C540A1" w:rsidRDefault="002F0925" w:rsidP="00756999">
      <w:pPr>
        <w:pStyle w:val="ListParagraph"/>
        <w:numPr>
          <w:ilvl w:val="0"/>
          <w:numId w:val="26"/>
        </w:numPr>
      </w:pPr>
      <w:r w:rsidRPr="00C540A1">
        <w:t>is linked to school, stage/faculty and individual teacher needs</w:t>
      </w:r>
    </w:p>
    <w:p w14:paraId="474D3962" w14:textId="77777777" w:rsidR="002F0925" w:rsidRPr="00C540A1" w:rsidRDefault="002F0925" w:rsidP="00756999">
      <w:pPr>
        <w:pStyle w:val="ListParagraph"/>
        <w:numPr>
          <w:ilvl w:val="0"/>
          <w:numId w:val="26"/>
        </w:numPr>
      </w:pPr>
      <w:r w:rsidRPr="00C540A1">
        <w:t>fosters ongoing conversation and collaboration</w:t>
      </w:r>
    </w:p>
    <w:p w14:paraId="789F2EB4" w14:textId="77777777" w:rsidR="002F0925" w:rsidRPr="00C540A1" w:rsidRDefault="002F0925" w:rsidP="00756999">
      <w:pPr>
        <w:pStyle w:val="ListParagraph"/>
        <w:numPr>
          <w:ilvl w:val="0"/>
          <w:numId w:val="26"/>
        </w:numPr>
      </w:pPr>
      <w:r w:rsidRPr="00C540A1">
        <w:t>is embedded in daily classroom practice</w:t>
      </w:r>
    </w:p>
    <w:p w14:paraId="0DCFA1E2" w14:textId="77777777" w:rsidR="002F0925" w:rsidRPr="00C540A1" w:rsidRDefault="002F0925" w:rsidP="00756999">
      <w:pPr>
        <w:pStyle w:val="ListParagraph"/>
        <w:numPr>
          <w:ilvl w:val="0"/>
          <w:numId w:val="26"/>
        </w:numPr>
      </w:pPr>
      <w:r w:rsidRPr="00C540A1">
        <w:t>provides support through mentoring/coaching programs</w:t>
      </w:r>
    </w:p>
    <w:p w14:paraId="7182238E" w14:textId="77777777" w:rsidR="002F0925" w:rsidRPr="00C540A1" w:rsidRDefault="002F0925" w:rsidP="00756999">
      <w:pPr>
        <w:pStyle w:val="ListParagraph"/>
        <w:numPr>
          <w:ilvl w:val="0"/>
          <w:numId w:val="26"/>
        </w:numPr>
      </w:pPr>
      <w:r w:rsidRPr="00C540A1">
        <w:t>is ongoing over a longer period of time</w:t>
      </w:r>
    </w:p>
    <w:p w14:paraId="289AF13A" w14:textId="77777777" w:rsidR="002F0925" w:rsidRPr="00C540A1" w:rsidRDefault="002F0925" w:rsidP="00756999">
      <w:pPr>
        <w:pStyle w:val="ListParagraph"/>
        <w:numPr>
          <w:ilvl w:val="0"/>
          <w:numId w:val="26"/>
        </w:numPr>
      </w:pPr>
      <w:r w:rsidRPr="00C540A1">
        <w:t>results in improved student learning.</w:t>
      </w:r>
    </w:p>
    <w:p w14:paraId="5B25149C" w14:textId="77777777" w:rsidR="002F0925" w:rsidRPr="00512AE1" w:rsidRDefault="00931D3B" w:rsidP="00F06623">
      <w:r w:rsidRPr="00C540A1">
        <w:t>NSW Government s</w:t>
      </w:r>
      <w:r w:rsidR="002F0925" w:rsidRPr="00C540A1">
        <w:t>chools ha</w:t>
      </w:r>
      <w:r w:rsidR="00512AE1">
        <w:t xml:space="preserve">ve built leadership capacity through </w:t>
      </w:r>
      <w:r w:rsidR="002F0925" w:rsidRPr="00512AE1">
        <w:t>school executive</w:t>
      </w:r>
      <w:r w:rsidR="00512AE1">
        <w:t>s</w:t>
      </w:r>
      <w:r w:rsidRPr="00512AE1">
        <w:t xml:space="preserve"> undertaking leadership and school improvement </w:t>
      </w:r>
      <w:r w:rsidR="00512AE1" w:rsidRPr="00512AE1">
        <w:t>training, providing</w:t>
      </w:r>
      <w:r w:rsidR="002F0925" w:rsidRPr="00512AE1">
        <w:t xml:space="preserve"> professional learning on data analysis </w:t>
      </w:r>
      <w:r w:rsidR="00512AE1">
        <w:t xml:space="preserve">the creation of </w:t>
      </w:r>
      <w:r w:rsidR="002F0925" w:rsidRPr="00512AE1">
        <w:t>principal networks</w:t>
      </w:r>
      <w:r w:rsidR="00512AE1">
        <w:t xml:space="preserve"> across New South Wales and the focus on a provision of </w:t>
      </w:r>
      <w:r w:rsidR="002F0925" w:rsidRPr="00512AE1">
        <w:t>leadership opportunities for aspiring leaders</w:t>
      </w:r>
      <w:r w:rsidR="00512AE1">
        <w:t>.</w:t>
      </w:r>
    </w:p>
    <w:p w14:paraId="38949D02" w14:textId="77777777" w:rsidR="00512AE1" w:rsidRDefault="00931D3B" w:rsidP="00F06623">
      <w:r w:rsidRPr="00C540A1">
        <w:t>Government s</w:t>
      </w:r>
      <w:r w:rsidR="002F0925" w:rsidRPr="00C540A1">
        <w:t>chools have</w:t>
      </w:r>
      <w:r w:rsidR="00512AE1">
        <w:t xml:space="preserve"> also focussed on building</w:t>
      </w:r>
      <w:r w:rsidR="002F0925" w:rsidRPr="00C540A1">
        <w:t xml:space="preserve"> teacher capacity </w:t>
      </w:r>
      <w:r w:rsidR="00512AE1">
        <w:t>through the</w:t>
      </w:r>
      <w:r w:rsidR="002F0925" w:rsidRPr="00C540A1">
        <w:t xml:space="preserve"> provis</w:t>
      </w:r>
      <w:r w:rsidR="00512AE1">
        <w:t xml:space="preserve">ion of professional learning on, </w:t>
      </w:r>
      <w:r w:rsidR="002F0925" w:rsidRPr="00512AE1">
        <w:t>data analysis</w:t>
      </w:r>
      <w:r w:rsidR="00512AE1">
        <w:t xml:space="preserve">, </w:t>
      </w:r>
      <w:r w:rsidR="002F0925" w:rsidRPr="00512AE1">
        <w:t>quality teaching and learning programs</w:t>
      </w:r>
      <w:r w:rsidR="00512AE1">
        <w:t xml:space="preserve">, </w:t>
      </w:r>
      <w:r w:rsidR="002F0925" w:rsidRPr="00512AE1">
        <w:t>curriculum-based assessments</w:t>
      </w:r>
      <w:r w:rsidR="00512AE1">
        <w:t xml:space="preserve">. Employing </w:t>
      </w:r>
      <w:r w:rsidR="002F0925" w:rsidRPr="00512AE1">
        <w:t>ICT as a tool to engage students</w:t>
      </w:r>
      <w:r w:rsidR="00512AE1">
        <w:t xml:space="preserve"> and </w:t>
      </w:r>
      <w:r w:rsidR="002F0925" w:rsidRPr="00512AE1">
        <w:t>using a</w:t>
      </w:r>
      <w:r w:rsidR="00512AE1">
        <w:t>n increased</w:t>
      </w:r>
      <w:r w:rsidR="002F0925" w:rsidRPr="00512AE1">
        <w:t xml:space="preserve"> range of assessment tools to identify students’ needs</w:t>
      </w:r>
      <w:r w:rsidR="00512AE1">
        <w:t xml:space="preserve"> has also increased teacher capacity whilst </w:t>
      </w:r>
      <w:r w:rsidR="002F0925" w:rsidRPr="00512AE1">
        <w:t>aligning pedagogical practices to the National Teaching Standards</w:t>
      </w:r>
      <w:r w:rsidR="00512AE1">
        <w:t xml:space="preserve">. </w:t>
      </w:r>
    </w:p>
    <w:p w14:paraId="385824A0" w14:textId="77777777" w:rsidR="00C504E2" w:rsidRPr="00C540A1" w:rsidRDefault="000B021D" w:rsidP="00F06623">
      <w:r w:rsidRPr="00C540A1">
        <w:t>Government s</w:t>
      </w:r>
      <w:r w:rsidR="00C504E2" w:rsidRPr="00C540A1">
        <w:t>chools</w:t>
      </w:r>
      <w:r w:rsidRPr="00C540A1">
        <w:t xml:space="preserve"> at a system level</w:t>
      </w:r>
      <w:r w:rsidR="00C504E2" w:rsidRPr="00C540A1">
        <w:t xml:space="preserve"> have established sustainable school structures including:</w:t>
      </w:r>
    </w:p>
    <w:p w14:paraId="2881F23B" w14:textId="77777777" w:rsidR="00C504E2" w:rsidRPr="00C540A1" w:rsidRDefault="000B021D" w:rsidP="00756999">
      <w:pPr>
        <w:pStyle w:val="ListParagraph"/>
        <w:numPr>
          <w:ilvl w:val="0"/>
          <w:numId w:val="27"/>
        </w:numPr>
      </w:pPr>
      <w:r w:rsidRPr="00C540A1">
        <w:t xml:space="preserve">introducing </w:t>
      </w:r>
      <w:r w:rsidR="00C504E2" w:rsidRPr="00C540A1">
        <w:t>mentoring/coaching programs</w:t>
      </w:r>
    </w:p>
    <w:p w14:paraId="1C368EB0" w14:textId="77777777" w:rsidR="00C504E2" w:rsidRPr="00C540A1" w:rsidRDefault="00C504E2" w:rsidP="00756999">
      <w:pPr>
        <w:pStyle w:val="ListParagraph"/>
        <w:numPr>
          <w:ilvl w:val="0"/>
          <w:numId w:val="27"/>
        </w:numPr>
      </w:pPr>
      <w:r w:rsidRPr="00C540A1">
        <w:t>integrating school targets into faculty plans</w:t>
      </w:r>
    </w:p>
    <w:p w14:paraId="740CB3D3" w14:textId="77777777" w:rsidR="00C504E2" w:rsidRPr="00C540A1" w:rsidRDefault="00C504E2" w:rsidP="00756999">
      <w:pPr>
        <w:pStyle w:val="ListParagraph"/>
        <w:numPr>
          <w:ilvl w:val="0"/>
          <w:numId w:val="27"/>
        </w:numPr>
      </w:pPr>
      <w:r w:rsidRPr="00C540A1">
        <w:t>restructuring of daily organisation, classes, timetables, teams, meetings, use of support staff, literacy/numeracy sessions</w:t>
      </w:r>
    </w:p>
    <w:p w14:paraId="265BA735" w14:textId="77777777" w:rsidR="00C504E2" w:rsidRPr="00C540A1" w:rsidRDefault="00C504E2" w:rsidP="00756999">
      <w:pPr>
        <w:pStyle w:val="ListParagraph"/>
        <w:numPr>
          <w:ilvl w:val="0"/>
          <w:numId w:val="27"/>
        </w:numPr>
      </w:pPr>
      <w:r w:rsidRPr="00C540A1">
        <w:t>the development of policies, professional learning matrices, scope and sequence</w:t>
      </w:r>
    </w:p>
    <w:p w14:paraId="252A51FB" w14:textId="77777777" w:rsidR="00C504E2" w:rsidRPr="00C540A1" w:rsidRDefault="00C504E2" w:rsidP="00756999">
      <w:pPr>
        <w:pStyle w:val="ListParagraph"/>
        <w:numPr>
          <w:ilvl w:val="0"/>
          <w:numId w:val="27"/>
        </w:numPr>
      </w:pPr>
      <w:r w:rsidRPr="00C540A1">
        <w:t>enhancing technology systems to improve learning opportunities for students and teachers</w:t>
      </w:r>
    </w:p>
    <w:p w14:paraId="6397C6B9" w14:textId="77777777" w:rsidR="00C504E2" w:rsidRPr="00C540A1" w:rsidRDefault="00C504E2" w:rsidP="00756999">
      <w:pPr>
        <w:pStyle w:val="ListParagraph"/>
        <w:numPr>
          <w:ilvl w:val="0"/>
          <w:numId w:val="27"/>
        </w:numPr>
      </w:pPr>
      <w:r w:rsidRPr="00C540A1">
        <w:t>enhancing recording, monitoring and reporting on student learning systems</w:t>
      </w:r>
    </w:p>
    <w:p w14:paraId="50AF9E6B" w14:textId="77777777" w:rsidR="00C504E2" w:rsidRPr="00C540A1" w:rsidRDefault="00C504E2" w:rsidP="00756999">
      <w:pPr>
        <w:pStyle w:val="ListParagraph"/>
        <w:numPr>
          <w:ilvl w:val="0"/>
          <w:numId w:val="27"/>
        </w:numPr>
      </w:pPr>
      <w:r w:rsidRPr="00C540A1">
        <w:t>developing individual learning plans and professional learning plan processes</w:t>
      </w:r>
    </w:p>
    <w:p w14:paraId="7C5D4855" w14:textId="77777777" w:rsidR="00C504E2" w:rsidRPr="00C540A1" w:rsidRDefault="00AA6EE1" w:rsidP="00756999">
      <w:pPr>
        <w:pStyle w:val="ListParagraph"/>
        <w:numPr>
          <w:ilvl w:val="0"/>
          <w:numId w:val="27"/>
        </w:numPr>
      </w:pPr>
      <w:r w:rsidRPr="00C540A1">
        <w:t>strengthen</w:t>
      </w:r>
      <w:r w:rsidR="00C504E2" w:rsidRPr="00C540A1">
        <w:t>ing community of schools activities including transition programs</w:t>
      </w:r>
    </w:p>
    <w:p w14:paraId="21ACE070" w14:textId="77777777" w:rsidR="00C504E2" w:rsidRPr="00C540A1" w:rsidRDefault="00AA6EE1" w:rsidP="00756999">
      <w:pPr>
        <w:pStyle w:val="ListParagraph"/>
        <w:numPr>
          <w:ilvl w:val="0"/>
          <w:numId w:val="27"/>
        </w:numPr>
      </w:pPr>
      <w:r w:rsidRPr="00C540A1">
        <w:t>supporting</w:t>
      </w:r>
      <w:r w:rsidR="00C504E2" w:rsidRPr="00C540A1">
        <w:t xml:space="preserve"> parent and community engagement and partnership strategies</w:t>
      </w:r>
    </w:p>
    <w:p w14:paraId="002AF066" w14:textId="77777777" w:rsidR="00C504E2" w:rsidRPr="00C540A1" w:rsidRDefault="00C504E2" w:rsidP="00756999">
      <w:pPr>
        <w:pStyle w:val="ListParagraph"/>
        <w:numPr>
          <w:ilvl w:val="0"/>
          <w:numId w:val="27"/>
        </w:numPr>
      </w:pPr>
      <w:r w:rsidRPr="00C540A1">
        <w:t>whole-school analysis of data to inform planning including targeted students and staffing</w:t>
      </w:r>
      <w:r w:rsidR="00AA6EE1" w:rsidRPr="00C540A1">
        <w:t>.</w:t>
      </w:r>
    </w:p>
    <w:p w14:paraId="0A552604" w14:textId="74B7D32E" w:rsidR="000B021D" w:rsidRPr="00C540A1" w:rsidRDefault="00DB19CD" w:rsidP="00F06623">
      <w:r w:rsidRPr="00C540A1">
        <w:t xml:space="preserve">All Independent schools </w:t>
      </w:r>
      <w:r w:rsidR="000B021D" w:rsidRPr="00C540A1">
        <w:t>understand</w:t>
      </w:r>
      <w:r w:rsidRPr="00C540A1">
        <w:t xml:space="preserve"> that to embed a significant change in practice takes time and that while major developments have occurred in the short time frame of this partnership in the effectiveness of the literacy or numeracy teaching, these new practices will still require monitoring and support. The </w:t>
      </w:r>
      <w:r w:rsidRPr="00C540A1">
        <w:lastRenderedPageBreak/>
        <w:t xml:space="preserve">adoption or refinements of the </w:t>
      </w:r>
      <w:r w:rsidR="00B459F7">
        <w:t>whole-school</w:t>
      </w:r>
      <w:r w:rsidRPr="00C540A1">
        <w:t xml:space="preserve"> three tier approach has delivered positive impacts on school planning, use of data and monitoring of student learning. This together with the cycles of data use, the increased skills of teachers in using data in their practice will also need to be continued to be supported at school level to ensure a sustained change. </w:t>
      </w:r>
    </w:p>
    <w:p w14:paraId="7FA01A54" w14:textId="77777777" w:rsidR="00650296" w:rsidRPr="00C540A1" w:rsidRDefault="00DB19CD" w:rsidP="00F06623">
      <w:r w:rsidRPr="00C540A1">
        <w:t>The improvements in the student learning delivered in the short timeframe of the partnership will provide the school leaders with the evidence that persisting and refining the new approaches will deliver even greater improvements in the future.</w:t>
      </w:r>
      <w:r w:rsidR="000B021D" w:rsidRPr="00C540A1">
        <w:t xml:space="preserve"> </w:t>
      </w:r>
      <w:r w:rsidRPr="00C540A1">
        <w:t xml:space="preserve">The efficacy of the strategies and approaches used </w:t>
      </w:r>
      <w:r w:rsidR="00ED6ECD" w:rsidRPr="00C540A1">
        <w:t xml:space="preserve">in Independent schools </w:t>
      </w:r>
      <w:r w:rsidRPr="00C540A1">
        <w:t>to deliver the improvements in teacher practice will also be a useful learning for any future attempts to implement significant change in practice or school culture.</w:t>
      </w:r>
    </w:p>
    <w:p w14:paraId="3C1EFD8B" w14:textId="77777777" w:rsidR="00851667" w:rsidRPr="00C540A1" w:rsidRDefault="00650296" w:rsidP="00F06623">
      <w:r w:rsidRPr="00C540A1">
        <w:t xml:space="preserve">Catholic Dioceses have approached their involvement in the National Partnership with sustainability as a </w:t>
      </w:r>
      <w:r w:rsidR="00851667" w:rsidRPr="00C540A1">
        <w:t xml:space="preserve">key </w:t>
      </w:r>
      <w:r w:rsidRPr="00C540A1">
        <w:t xml:space="preserve">consideration. Being aware that funding in support of teacher professional learning may be a challenge for many Dioceses beyond the conclusion of National Partnerships, they have been strategic in training coaches and specialists to help continue this valuable work. </w:t>
      </w:r>
    </w:p>
    <w:p w14:paraId="0BF1A3ED" w14:textId="77777777" w:rsidR="00851667" w:rsidRPr="00C540A1" w:rsidRDefault="00650296" w:rsidP="00F06623">
      <w:r w:rsidRPr="00C540A1">
        <w:t xml:space="preserve">Momentum will also be a challenge with the emphasis on the implementation of the National Curriculum from 2014.  It is hoped that established Learning Communities will have </w:t>
      </w:r>
      <w:r w:rsidR="00851667" w:rsidRPr="00C540A1">
        <w:t xml:space="preserve">developed </w:t>
      </w:r>
      <w:r w:rsidRPr="00C540A1">
        <w:t xml:space="preserve">‘in-built’ energy to guarantee their continuation beyond the life of the program. Success will generate interest and schools are willing to share expertise and good practice within and beyond the school. </w:t>
      </w:r>
    </w:p>
    <w:p w14:paraId="089E5B08" w14:textId="60D515F8" w:rsidR="00DB19CD" w:rsidRPr="00335885" w:rsidRDefault="00650296" w:rsidP="00F06623">
      <w:r w:rsidRPr="00C540A1">
        <w:t>With the improved use of the ‘language of learning’ teachers are able to more clearly share experiences and skills within the profession and to be involved in quality learning themselves beyond 2013. Leaders feel more able and as a collective benefit more confident to lead and share literacy and numeracy interventions. There is a degree of modelling and mentoring which will help with sustainability. The use of data has been demystified for many and these skills will be maintained with continued use. Many more staff recognise, support and encourage good and best practice and this will also help with</w:t>
      </w:r>
      <w:r w:rsidR="00335885">
        <w:t xml:space="preserve"> promotion and sustainability. </w:t>
      </w:r>
    </w:p>
    <w:p w14:paraId="3E170258" w14:textId="1DA8F8A5" w:rsidR="00847A64" w:rsidRPr="00F06623" w:rsidRDefault="00847A64" w:rsidP="00756999">
      <w:pPr>
        <w:pStyle w:val="Heading3"/>
        <w:numPr>
          <w:ilvl w:val="0"/>
          <w:numId w:val="5"/>
        </w:numPr>
        <w:ind w:left="426"/>
      </w:pPr>
      <w:r w:rsidRPr="00F06623">
        <w:t>Barriers or challenges to sustaining improvements</w:t>
      </w:r>
    </w:p>
    <w:p w14:paraId="13C1CBE7" w14:textId="7EE927CE" w:rsidR="00847A64" w:rsidRPr="00C540A1" w:rsidRDefault="000B602A" w:rsidP="00F06623">
      <w:r w:rsidRPr="00C540A1">
        <w:t>In NSW Government schools a</w:t>
      </w:r>
      <w:r w:rsidR="00847A64" w:rsidRPr="00C540A1">
        <w:t xml:space="preserve"> high </w:t>
      </w:r>
      <w:r w:rsidR="00851667" w:rsidRPr="00C540A1">
        <w:t>proportion</w:t>
      </w:r>
      <w:r w:rsidR="00847A64" w:rsidRPr="00C540A1">
        <w:t xml:space="preserve"> of</w:t>
      </w:r>
      <w:r w:rsidR="00FE1990">
        <w:t xml:space="preserve"> additional</w:t>
      </w:r>
      <w:r w:rsidR="00847A64" w:rsidRPr="00C540A1">
        <w:t xml:space="preserve"> casual and temporary staff </w:t>
      </w:r>
      <w:r w:rsidR="00FE1990">
        <w:t xml:space="preserve">employed through ILNNP program funds </w:t>
      </w:r>
      <w:r w:rsidR="00847A64" w:rsidRPr="00C540A1">
        <w:t>will not be retained following the cessation of the ILNNP resulting in reduced availability of:</w:t>
      </w:r>
    </w:p>
    <w:p w14:paraId="0CB81FE8" w14:textId="77777777" w:rsidR="00847A64" w:rsidRPr="00C540A1" w:rsidRDefault="00B60C40" w:rsidP="00756999">
      <w:pPr>
        <w:pStyle w:val="ListParagraph"/>
        <w:numPr>
          <w:ilvl w:val="0"/>
          <w:numId w:val="28"/>
        </w:numPr>
      </w:pPr>
      <w:r w:rsidRPr="00C540A1">
        <w:t>Teacher</w:t>
      </w:r>
      <w:r w:rsidR="00847A64" w:rsidRPr="00C540A1">
        <w:t xml:space="preserve"> release for professional learning, school-based and external</w:t>
      </w:r>
    </w:p>
    <w:p w14:paraId="0EACC999" w14:textId="77777777" w:rsidR="00847A64" w:rsidRPr="00C540A1" w:rsidRDefault="00B60C40" w:rsidP="00756999">
      <w:pPr>
        <w:pStyle w:val="ListParagraph"/>
        <w:numPr>
          <w:ilvl w:val="0"/>
          <w:numId w:val="28"/>
        </w:numPr>
      </w:pPr>
      <w:r w:rsidRPr="00C540A1">
        <w:t>Classroom</w:t>
      </w:r>
      <w:r w:rsidR="00847A64" w:rsidRPr="00C540A1">
        <w:t xml:space="preserve"> support for students including S</w:t>
      </w:r>
      <w:r w:rsidR="00AA6EE1" w:rsidRPr="00C540A1">
        <w:t xml:space="preserve">chool </w:t>
      </w:r>
      <w:r w:rsidR="00847A64" w:rsidRPr="00C540A1">
        <w:t>L</w:t>
      </w:r>
      <w:r w:rsidR="00AA6EE1" w:rsidRPr="00C540A1">
        <w:t xml:space="preserve">earning </w:t>
      </w:r>
      <w:r w:rsidR="00847A64" w:rsidRPr="00C540A1">
        <w:t>S</w:t>
      </w:r>
      <w:r w:rsidR="00AA6EE1" w:rsidRPr="00C540A1">
        <w:t xml:space="preserve">upport </w:t>
      </w:r>
      <w:r w:rsidR="00847A64" w:rsidRPr="00C540A1">
        <w:t>O</w:t>
      </w:r>
      <w:r w:rsidR="00AA6EE1" w:rsidRPr="00C540A1">
        <w:t>fficer (SLSO)</w:t>
      </w:r>
      <w:r w:rsidR="00847A64" w:rsidRPr="00C540A1">
        <w:t xml:space="preserve"> time</w:t>
      </w:r>
    </w:p>
    <w:p w14:paraId="15BE9C8B" w14:textId="77777777" w:rsidR="00847A64" w:rsidRPr="00C540A1" w:rsidRDefault="00B60C40" w:rsidP="00756999">
      <w:pPr>
        <w:pStyle w:val="ListParagraph"/>
        <w:numPr>
          <w:ilvl w:val="0"/>
          <w:numId w:val="28"/>
        </w:numPr>
      </w:pPr>
      <w:r w:rsidRPr="00C540A1">
        <w:t>M</w:t>
      </w:r>
      <w:r w:rsidR="00847A64" w:rsidRPr="00C540A1">
        <w:t>entoring/coaching of teachers</w:t>
      </w:r>
    </w:p>
    <w:p w14:paraId="4C884F8C" w14:textId="77777777" w:rsidR="00B60C40" w:rsidRPr="00A549CE" w:rsidRDefault="00B60C40" w:rsidP="00756999">
      <w:pPr>
        <w:pStyle w:val="ListParagraph"/>
        <w:numPr>
          <w:ilvl w:val="0"/>
          <w:numId w:val="28"/>
        </w:numPr>
      </w:pPr>
      <w:r w:rsidRPr="00C540A1">
        <w:t>Individual</w:t>
      </w:r>
      <w:r w:rsidR="00847A64" w:rsidRPr="00C540A1">
        <w:t xml:space="preserve"> support for targeted students</w:t>
      </w:r>
    </w:p>
    <w:p w14:paraId="2460798A" w14:textId="77777777" w:rsidR="00633650" w:rsidRDefault="00847A64" w:rsidP="00F06623">
      <w:r w:rsidRPr="00C540A1">
        <w:t xml:space="preserve">However, a number of </w:t>
      </w:r>
      <w:r w:rsidR="00A25E2C" w:rsidRPr="00C540A1">
        <w:t xml:space="preserve">Government </w:t>
      </w:r>
      <w:r w:rsidRPr="00C540A1">
        <w:t xml:space="preserve">schools have developed </w:t>
      </w:r>
      <w:r w:rsidR="00851667" w:rsidRPr="00C540A1">
        <w:t>alternative</w:t>
      </w:r>
      <w:r w:rsidRPr="00C540A1">
        <w:t xml:space="preserve"> systems or are planning to use other funding to continue practices that have been found to achieve success. Some schools intend to continue the practices established, but to a reduced degree.</w:t>
      </w:r>
    </w:p>
    <w:p w14:paraId="7D5F1214" w14:textId="77777777" w:rsidR="00B60C40" w:rsidRPr="00C540A1" w:rsidRDefault="00ED6ECD" w:rsidP="00F06623">
      <w:r w:rsidRPr="00C540A1">
        <w:t xml:space="preserve">NSW Independent schools have reported that </w:t>
      </w:r>
      <w:r w:rsidR="00E14955" w:rsidRPr="00C540A1">
        <w:t xml:space="preserve">with the cessation of ILNNP funding </w:t>
      </w:r>
      <w:r w:rsidRPr="00C540A1">
        <w:t>it will not be possible for the schools to maintain the increased levels of teacher aide support</w:t>
      </w:r>
      <w:r w:rsidR="00E14955" w:rsidRPr="00C540A1">
        <w:t>,</w:t>
      </w:r>
      <w:r w:rsidRPr="00C540A1">
        <w:t xml:space="preserve"> nor the increased hours of employment of specialised staff. </w:t>
      </w:r>
      <w:r w:rsidR="00A914BA" w:rsidRPr="00C540A1">
        <w:t>The</w:t>
      </w:r>
      <w:r w:rsidRPr="00C540A1">
        <w:t xml:space="preserve"> increased intensive focus</w:t>
      </w:r>
      <w:r w:rsidR="00A914BA" w:rsidRPr="00C540A1">
        <w:t xml:space="preserve"> and increased teacher capacity</w:t>
      </w:r>
      <w:r w:rsidRPr="00C540A1">
        <w:t xml:space="preserve"> have reduced, to some extent</w:t>
      </w:r>
      <w:r w:rsidR="00A914BA" w:rsidRPr="00C540A1">
        <w:t>,</w:t>
      </w:r>
      <w:r w:rsidRPr="00C540A1">
        <w:t xml:space="preserve"> t</w:t>
      </w:r>
      <w:r w:rsidR="00A914BA" w:rsidRPr="00C540A1">
        <w:t>he level of need in schools;</w:t>
      </w:r>
      <w:r w:rsidRPr="00C540A1">
        <w:t xml:space="preserve"> </w:t>
      </w:r>
      <w:r w:rsidR="00A914BA" w:rsidRPr="00C540A1">
        <w:t xml:space="preserve">however </w:t>
      </w:r>
      <w:r w:rsidRPr="00C540A1">
        <w:t xml:space="preserve">schools will still face time and funding challenges to ensure that the gains are not lost.  This is a particular challenge for the smaller and regional </w:t>
      </w:r>
      <w:r w:rsidRPr="00C540A1">
        <w:lastRenderedPageBreak/>
        <w:t xml:space="preserve">schools as the consultancy support this partnership provided to schools will also not be able to be sustained. </w:t>
      </w:r>
    </w:p>
    <w:p w14:paraId="434583C6" w14:textId="77777777" w:rsidR="00A25E2C" w:rsidRPr="00C540A1" w:rsidRDefault="00066056" w:rsidP="00F06623">
      <w:r w:rsidRPr="00C540A1">
        <w:t xml:space="preserve">The </w:t>
      </w:r>
      <w:r w:rsidR="00E47BCA" w:rsidRPr="00C540A1">
        <w:t xml:space="preserve">NSW </w:t>
      </w:r>
      <w:r w:rsidRPr="00C540A1">
        <w:t xml:space="preserve">Catholic sector reported </w:t>
      </w:r>
      <w:r w:rsidR="00AA1022" w:rsidRPr="00C540A1">
        <w:t>some concerns regarding distance and remoteness</w:t>
      </w:r>
      <w:r w:rsidR="00650296" w:rsidRPr="00C540A1">
        <w:t>. Although online learning (and in particular video-conferencing) is useful, the lack of access to casual staff prevents many schools from maximising the benefits it may offer to the sector. As staff move and leadership changes, the challenge for sustainability rises. Some of the rural Dioceses have developed</w:t>
      </w:r>
      <w:r w:rsidR="00A25E2C" w:rsidRPr="00C540A1">
        <w:t xml:space="preserve"> an all-of-Diocese approach</w:t>
      </w:r>
      <w:r w:rsidR="00650296" w:rsidRPr="00C540A1">
        <w:t xml:space="preserve"> to try and accommodate the teacher movement issue. Without the impetus that ‘program funding’ provides though guidelines, agreed timelines and outcomes, approaches etc. Dioceses and schools will need to be disciplined in their approaches and ensure that </w:t>
      </w:r>
      <w:r w:rsidR="00A25E2C" w:rsidRPr="00C540A1">
        <w:t xml:space="preserve">professional learning levels are maintained beyond 2013. </w:t>
      </w:r>
      <w:r w:rsidR="002F0925" w:rsidRPr="00C540A1">
        <w:t xml:space="preserve"> </w:t>
      </w:r>
    </w:p>
    <w:p w14:paraId="3CF531D4" w14:textId="47327B3A" w:rsidR="00F74475" w:rsidRPr="00C540A1" w:rsidRDefault="00ED6ECD" w:rsidP="00756999">
      <w:pPr>
        <w:pStyle w:val="Heading3"/>
        <w:numPr>
          <w:ilvl w:val="0"/>
          <w:numId w:val="5"/>
        </w:numPr>
        <w:ind w:left="426"/>
      </w:pPr>
      <w:r w:rsidRPr="00C540A1">
        <w:t>A</w:t>
      </w:r>
      <w:r w:rsidR="00F74475" w:rsidRPr="00C540A1">
        <w:t>dditional information about how the efforts applied under the ILNNP are complementing other state initiatives to improve literacy and numeracy.</w:t>
      </w:r>
    </w:p>
    <w:p w14:paraId="25855394" w14:textId="77777777" w:rsidR="00B3777B" w:rsidRPr="00C540A1" w:rsidRDefault="00B3777B" w:rsidP="00F06623">
      <w:r w:rsidRPr="00C540A1">
        <w:t>In NSW activities undertaken during the ILNNP have complemented ongoing state initiatives in the following areas:</w:t>
      </w:r>
    </w:p>
    <w:p w14:paraId="7FA7465D" w14:textId="77777777" w:rsidR="00F06623" w:rsidRDefault="00B3777B" w:rsidP="00F06623">
      <w:pPr>
        <w:spacing w:before="120" w:after="240" w:line="360" w:lineRule="auto"/>
        <w:rPr>
          <w:rFonts w:ascii="Arial" w:hAnsi="Arial" w:cs="Arial"/>
        </w:rPr>
      </w:pPr>
      <w:r w:rsidRPr="00F06623">
        <w:rPr>
          <w:rStyle w:val="Heading3Char"/>
          <w:rFonts w:eastAsiaTheme="minorHAnsi"/>
        </w:rPr>
        <w:t>The NSW Literacy and Numeracy Action Plan:</w:t>
      </w:r>
    </w:p>
    <w:p w14:paraId="06E42C23" w14:textId="4F436122" w:rsidR="00B3777B" w:rsidRPr="00C540A1" w:rsidRDefault="00B3777B" w:rsidP="00F06623">
      <w:r w:rsidRPr="00C540A1">
        <w:t>The whole-school approach under the ILNNP complements the $261 million NSW Literacy and Numeracy Action Plan, which aims to lift literacy and numeracy outcomes in years K-2 through:</w:t>
      </w:r>
    </w:p>
    <w:p w14:paraId="7A7DE63F" w14:textId="77777777" w:rsidR="00B3777B" w:rsidRPr="00C540A1" w:rsidRDefault="00B3777B" w:rsidP="00756999">
      <w:pPr>
        <w:pStyle w:val="ListParagraph"/>
        <w:numPr>
          <w:ilvl w:val="0"/>
          <w:numId w:val="29"/>
        </w:numPr>
      </w:pPr>
      <w:r w:rsidRPr="00C540A1">
        <w:t>Instruction leadership.</w:t>
      </w:r>
    </w:p>
    <w:p w14:paraId="4AF6ED2E" w14:textId="77777777" w:rsidR="00B3777B" w:rsidRPr="00A71E6A" w:rsidRDefault="00B3777B" w:rsidP="00756999">
      <w:pPr>
        <w:pStyle w:val="ListParagraph"/>
        <w:numPr>
          <w:ilvl w:val="0"/>
          <w:numId w:val="29"/>
        </w:numPr>
      </w:pPr>
      <w:r w:rsidRPr="00A71E6A">
        <w:t>Professional learning in the effective use of student data and in the effective delivery of literacy and numeracy teaching.</w:t>
      </w:r>
    </w:p>
    <w:p w14:paraId="7DF5E5EF" w14:textId="77777777" w:rsidR="00B3777B" w:rsidRDefault="00B3777B" w:rsidP="00756999">
      <w:pPr>
        <w:pStyle w:val="ListParagraph"/>
        <w:numPr>
          <w:ilvl w:val="0"/>
          <w:numId w:val="29"/>
        </w:numPr>
      </w:pPr>
      <w:r w:rsidRPr="00A71E6A">
        <w:t xml:space="preserve">Personalised learning to meet individual student needs. </w:t>
      </w:r>
    </w:p>
    <w:p w14:paraId="5D82F510" w14:textId="77777777" w:rsidR="00B3777B" w:rsidRPr="00B53C9E" w:rsidRDefault="00B3777B" w:rsidP="00F06623">
      <w:r>
        <w:t>Under the Literacy and Numeracy Action Plan, the NSW Government has committed lifting literacy and numeracy outcomes across government and non-government schools over five years. Each sector sets annual targets and report annually to the Minister for Education on progress in implementing the objectives of the Action Plan, including providing evidence of improvements in student literacy and numeracy performance.</w:t>
      </w:r>
    </w:p>
    <w:p w14:paraId="7E49F93C" w14:textId="77777777" w:rsidR="00F06623" w:rsidRDefault="00B3777B" w:rsidP="00F06623">
      <w:pPr>
        <w:spacing w:before="120" w:after="240" w:line="360" w:lineRule="auto"/>
        <w:rPr>
          <w:rFonts w:ascii="Arial" w:hAnsi="Arial" w:cs="Arial"/>
        </w:rPr>
      </w:pPr>
      <w:r w:rsidRPr="00F06623">
        <w:rPr>
          <w:rStyle w:val="Heading3Char"/>
          <w:rFonts w:eastAsiaTheme="minorHAnsi"/>
        </w:rPr>
        <w:t>Great Teaching Inspired Learning:</w:t>
      </w:r>
    </w:p>
    <w:p w14:paraId="04004EBE" w14:textId="76EB70C0" w:rsidR="00B3777B" w:rsidRDefault="00B3777B" w:rsidP="00F06623">
      <w:r>
        <w:t>This initiative</w:t>
      </w:r>
      <w:r w:rsidRPr="00A71E6A">
        <w:t xml:space="preserve"> work</w:t>
      </w:r>
      <w:r>
        <w:t>s</w:t>
      </w:r>
      <w:r w:rsidRPr="00A71E6A">
        <w:t xml:space="preserve"> to improve the quality of teaching and learning</w:t>
      </w:r>
      <w:r>
        <w:t xml:space="preserve"> in the areas of literacy and numeracy</w:t>
      </w:r>
      <w:r w:rsidRPr="00A71E6A">
        <w:t xml:space="preserve"> in all NSW schools. Specific emphasis is placed upon addressing the professional learning needs of teachers at the different stages of their careers.</w:t>
      </w:r>
    </w:p>
    <w:p w14:paraId="1AD98007" w14:textId="77777777" w:rsidR="00B3777B" w:rsidRDefault="00B3777B" w:rsidP="00F06623">
      <w:r>
        <w:t>Key features of this initiative which support improved literacy and numeracy instruction in NSW schools include:</w:t>
      </w:r>
    </w:p>
    <w:p w14:paraId="25115E71" w14:textId="77777777" w:rsidR="00B3777B" w:rsidRPr="009C4EA8" w:rsidRDefault="00B3777B" w:rsidP="00756999">
      <w:pPr>
        <w:pStyle w:val="ListParagraph"/>
        <w:numPr>
          <w:ilvl w:val="0"/>
          <w:numId w:val="30"/>
        </w:numPr>
      </w:pPr>
      <w:r>
        <w:t>Raising the academic standards required to enter teaching degrees, with e</w:t>
      </w:r>
      <w:r w:rsidRPr="009C4EA8">
        <w:t>ntrants to NSW undergraduate teaching programs to achieve HSC Band 5 results in a minimum of three subjects, one of which must by English.</w:t>
      </w:r>
    </w:p>
    <w:p w14:paraId="2660DCFC" w14:textId="77777777" w:rsidR="00B3777B" w:rsidRDefault="00B3777B" w:rsidP="00756999">
      <w:pPr>
        <w:pStyle w:val="ListParagraph"/>
        <w:numPr>
          <w:ilvl w:val="0"/>
          <w:numId w:val="30"/>
        </w:numPr>
      </w:pPr>
      <w:r>
        <w:t>The introduction of a mandatory literacy and numeracy assessment that pre-service teachers must pass before acceptance into their final year teaching rounds. This will ensure that teacher education graduates have levels of literacy and numeracy equivalent to those in the top 30 per cent of the population.</w:t>
      </w:r>
    </w:p>
    <w:p w14:paraId="6D0A7168" w14:textId="77777777" w:rsidR="00B3777B" w:rsidRDefault="00B3777B" w:rsidP="00756999">
      <w:pPr>
        <w:pStyle w:val="ListParagraph"/>
        <w:numPr>
          <w:ilvl w:val="0"/>
          <w:numId w:val="30"/>
        </w:numPr>
      </w:pPr>
      <w:r>
        <w:lastRenderedPageBreak/>
        <w:t>Teachers to be better prepared to interpret student assessment data to evaluate student learning and modify teaching practice.</w:t>
      </w:r>
    </w:p>
    <w:p w14:paraId="44AD9605" w14:textId="77777777" w:rsidR="00083AA2" w:rsidRPr="00A549CE" w:rsidRDefault="00B3777B" w:rsidP="00756999">
      <w:pPr>
        <w:pStyle w:val="ListParagraph"/>
        <w:numPr>
          <w:ilvl w:val="0"/>
          <w:numId w:val="30"/>
        </w:numPr>
      </w:pPr>
      <w:r>
        <w:t>Teachers supervising professional experience placements to be required to undertake professional learning to support their supervisory responsibilities.</w:t>
      </w:r>
    </w:p>
    <w:p w14:paraId="73F1C163" w14:textId="77777777" w:rsidR="00083AA2" w:rsidRDefault="00083AA2" w:rsidP="00C83BAF">
      <w:pPr>
        <w:spacing w:before="240" w:after="120"/>
        <w:rPr>
          <w:sz w:val="24"/>
          <w:szCs w:val="24"/>
        </w:rPr>
      </w:pPr>
    </w:p>
    <w:p w14:paraId="41515CA0" w14:textId="77777777" w:rsidR="00F06623" w:rsidRPr="00F74475" w:rsidRDefault="00F06623" w:rsidP="00C83BAF">
      <w:pPr>
        <w:spacing w:before="240" w:after="120"/>
        <w:rPr>
          <w:sz w:val="24"/>
          <w:szCs w:val="24"/>
        </w:rPr>
        <w:sectPr w:rsidR="00F06623" w:rsidRPr="00F74475" w:rsidSect="0078270C">
          <w:pgSz w:w="11906" w:h="16838"/>
          <w:pgMar w:top="1134" w:right="851" w:bottom="1134" w:left="1418" w:header="709" w:footer="709" w:gutter="0"/>
          <w:cols w:space="708"/>
          <w:docGrid w:linePitch="360"/>
        </w:sectPr>
      </w:pPr>
    </w:p>
    <w:p w14:paraId="67530BC1" w14:textId="0AC6CE2E" w:rsidR="001367E0" w:rsidRPr="00AB720F" w:rsidRDefault="001367E0" w:rsidP="00120A97">
      <w:pPr>
        <w:pStyle w:val="Heading3"/>
      </w:pPr>
      <w:r>
        <w:lastRenderedPageBreak/>
        <w:t>Appendix A</w:t>
      </w:r>
    </w:p>
    <w:p w14:paraId="0A2CB3FC" w14:textId="77777777" w:rsidR="00120A97" w:rsidRPr="00120A97" w:rsidRDefault="007E3EFE" w:rsidP="00120A97">
      <w:pPr>
        <w:pStyle w:val="Heading3"/>
      </w:pPr>
      <w:r w:rsidRPr="00120A97">
        <w:t>Table 1</w:t>
      </w:r>
    </w:p>
    <w:p w14:paraId="442DC7D6" w14:textId="700182BE" w:rsidR="0035355F" w:rsidRPr="00120A97" w:rsidRDefault="0035355F" w:rsidP="00120A97">
      <w:pPr>
        <w:pStyle w:val="Heading3"/>
      </w:pPr>
      <w:r w:rsidRPr="00120A97">
        <w:t>LIST OF PARTICIPATING SCHOOLS</w:t>
      </w:r>
    </w:p>
    <w:tbl>
      <w:tblPr>
        <w:tblStyle w:val="TableGrid"/>
        <w:tblW w:w="14345" w:type="dxa"/>
        <w:tblLayout w:type="fixed"/>
        <w:tblCellMar>
          <w:left w:w="28" w:type="dxa"/>
          <w:right w:w="28" w:type="dxa"/>
        </w:tblCellMar>
        <w:tblLook w:val="04A0" w:firstRow="1" w:lastRow="0" w:firstColumn="1" w:lastColumn="0" w:noHBand="0" w:noVBand="1"/>
        <w:tblCaption w:val="Appendix A - List of Participating Schools"/>
        <w:tblDescription w:val="Data relating to NSW schools"/>
      </w:tblPr>
      <w:tblGrid>
        <w:gridCol w:w="737"/>
        <w:gridCol w:w="1559"/>
        <w:gridCol w:w="709"/>
        <w:gridCol w:w="992"/>
        <w:gridCol w:w="1134"/>
        <w:gridCol w:w="1843"/>
        <w:gridCol w:w="1134"/>
        <w:gridCol w:w="1276"/>
        <w:gridCol w:w="1134"/>
        <w:gridCol w:w="1134"/>
        <w:gridCol w:w="1276"/>
        <w:gridCol w:w="1417"/>
      </w:tblGrid>
      <w:tr w:rsidR="00450CD4" w:rsidRPr="004E7532" w14:paraId="19E6C566" w14:textId="77777777" w:rsidTr="001367E0">
        <w:trPr>
          <w:tblHeader/>
        </w:trPr>
        <w:tc>
          <w:tcPr>
            <w:tcW w:w="73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hideMark/>
          </w:tcPr>
          <w:p w14:paraId="2B5844E5" w14:textId="77777777" w:rsidR="00450CD4" w:rsidRPr="004E7532" w:rsidRDefault="00450CD4" w:rsidP="002B5791">
            <w:pPr>
              <w:spacing w:line="276" w:lineRule="auto"/>
              <w:rPr>
                <w:b/>
                <w:color w:val="000000"/>
                <w:sz w:val="20"/>
                <w:szCs w:val="20"/>
              </w:rPr>
            </w:pPr>
            <w:r w:rsidRPr="004E7532">
              <w:rPr>
                <w:b/>
                <w:sz w:val="20"/>
                <w:szCs w:val="20"/>
              </w:rPr>
              <w:t xml:space="preserve">DEEWR ID </w:t>
            </w:r>
          </w:p>
        </w:tc>
        <w:tc>
          <w:tcPr>
            <w:tcW w:w="155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hideMark/>
          </w:tcPr>
          <w:p w14:paraId="7457CB19" w14:textId="77777777" w:rsidR="00450CD4" w:rsidRPr="004E7532" w:rsidRDefault="00450CD4" w:rsidP="002B5791">
            <w:pPr>
              <w:spacing w:line="276" w:lineRule="auto"/>
              <w:rPr>
                <w:b/>
                <w:color w:val="000000"/>
                <w:sz w:val="20"/>
                <w:szCs w:val="20"/>
              </w:rPr>
            </w:pPr>
            <w:r w:rsidRPr="004E7532">
              <w:rPr>
                <w:b/>
                <w:sz w:val="20"/>
                <w:szCs w:val="20"/>
              </w:rPr>
              <w:t>School Name</w:t>
            </w:r>
          </w:p>
        </w:tc>
        <w:tc>
          <w:tcPr>
            <w:tcW w:w="7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hideMark/>
          </w:tcPr>
          <w:p w14:paraId="671769FA" w14:textId="77777777" w:rsidR="00450CD4" w:rsidRPr="004E7532" w:rsidRDefault="00450CD4" w:rsidP="002B5791">
            <w:pPr>
              <w:spacing w:line="276" w:lineRule="auto"/>
              <w:rPr>
                <w:b/>
                <w:color w:val="000000"/>
                <w:sz w:val="20"/>
                <w:szCs w:val="20"/>
              </w:rPr>
            </w:pPr>
            <w:r w:rsidRPr="004E7532">
              <w:rPr>
                <w:b/>
                <w:sz w:val="20"/>
                <w:szCs w:val="20"/>
              </w:rPr>
              <w:t>Sector (G,C,I)</w:t>
            </w:r>
          </w:p>
        </w:tc>
        <w:tc>
          <w:tcPr>
            <w:tcW w:w="992"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hideMark/>
          </w:tcPr>
          <w:p w14:paraId="08498B3E" w14:textId="77777777" w:rsidR="00450CD4" w:rsidRPr="004E7532" w:rsidRDefault="00450CD4" w:rsidP="002B5791">
            <w:pPr>
              <w:spacing w:line="276" w:lineRule="auto"/>
              <w:rPr>
                <w:b/>
                <w:color w:val="000000"/>
                <w:sz w:val="20"/>
                <w:szCs w:val="20"/>
              </w:rPr>
            </w:pPr>
            <w:r w:rsidRPr="004E7532">
              <w:rPr>
                <w:b/>
                <w:sz w:val="20"/>
                <w:szCs w:val="20"/>
              </w:rPr>
              <w:t>MCEECTYA code</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hideMark/>
          </w:tcPr>
          <w:p w14:paraId="086F80D3" w14:textId="77777777" w:rsidR="00450CD4" w:rsidRPr="004E7532" w:rsidRDefault="00450CD4" w:rsidP="002B5791">
            <w:pPr>
              <w:spacing w:line="276" w:lineRule="auto"/>
              <w:rPr>
                <w:b/>
                <w:color w:val="000000"/>
                <w:sz w:val="20"/>
                <w:szCs w:val="20"/>
              </w:rPr>
            </w:pPr>
            <w:r w:rsidRPr="004E7532">
              <w:rPr>
                <w:b/>
                <w:sz w:val="20"/>
                <w:szCs w:val="20"/>
              </w:rPr>
              <w:t xml:space="preserve">Year levels with 2011 NAPLAN data, Reading and Numeracy </w:t>
            </w:r>
          </w:p>
        </w:tc>
        <w:tc>
          <w:tcPr>
            <w:tcW w:w="1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hideMark/>
          </w:tcPr>
          <w:p w14:paraId="38ADD414" w14:textId="77777777" w:rsidR="00450CD4" w:rsidRPr="004E7532" w:rsidRDefault="00450CD4" w:rsidP="002B5791">
            <w:pPr>
              <w:spacing w:line="276" w:lineRule="auto"/>
              <w:rPr>
                <w:b/>
                <w:color w:val="000000"/>
                <w:sz w:val="20"/>
                <w:szCs w:val="20"/>
              </w:rPr>
            </w:pPr>
            <w:r w:rsidRPr="004E7532">
              <w:rPr>
                <w:b/>
                <w:sz w:val="20"/>
                <w:szCs w:val="20"/>
              </w:rPr>
              <w:t>Address</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tcPr>
          <w:p w14:paraId="7FADCA4B" w14:textId="77777777" w:rsidR="00450CD4" w:rsidRPr="004E7532" w:rsidRDefault="00450CD4" w:rsidP="002B5791">
            <w:pPr>
              <w:spacing w:line="276" w:lineRule="auto"/>
              <w:rPr>
                <w:b/>
                <w:color w:val="000000"/>
                <w:sz w:val="20"/>
                <w:szCs w:val="20"/>
              </w:rPr>
            </w:pPr>
            <w:r w:rsidRPr="004E7532">
              <w:rPr>
                <w:b/>
                <w:sz w:val="20"/>
                <w:szCs w:val="20"/>
              </w:rPr>
              <w:t>Category*</w:t>
            </w:r>
          </w:p>
          <w:p w14:paraId="4936A6F1" w14:textId="77777777" w:rsidR="00450CD4" w:rsidRPr="004E7532" w:rsidRDefault="00450CD4" w:rsidP="002B5791">
            <w:pPr>
              <w:spacing w:line="276" w:lineRule="auto"/>
              <w:rPr>
                <w:b/>
                <w:color w:val="000000"/>
                <w:sz w:val="20"/>
                <w:szCs w:val="20"/>
              </w:rPr>
            </w:pPr>
            <w:r w:rsidRPr="004E7532">
              <w:rPr>
                <w:b/>
                <w:sz w:val="20"/>
                <w:szCs w:val="20"/>
              </w:rPr>
              <w:t>(indicate all that apply)</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tcPr>
          <w:p w14:paraId="6EC0E21A" w14:textId="4B833F9E" w:rsidR="00450CD4" w:rsidRPr="004E7532" w:rsidRDefault="00450CD4" w:rsidP="002B5791">
            <w:pPr>
              <w:autoSpaceDE w:val="0"/>
              <w:autoSpaceDN w:val="0"/>
              <w:adjustRightInd w:val="0"/>
              <w:spacing w:line="276" w:lineRule="auto"/>
              <w:jc w:val="center"/>
              <w:rPr>
                <w:rFonts w:cs="Corbel"/>
                <w:b/>
                <w:bCs/>
                <w:sz w:val="20"/>
                <w:szCs w:val="20"/>
              </w:rPr>
            </w:pPr>
            <w:r>
              <w:rPr>
                <w:rFonts w:ascii="Corbel" w:hAnsi="Corbel"/>
                <w:b/>
                <w:bCs/>
                <w:color w:val="000000"/>
                <w:sz w:val="20"/>
                <w:szCs w:val="20"/>
              </w:rPr>
              <w:t>Percentage of Students in B2B in 2011</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hideMark/>
          </w:tcPr>
          <w:p w14:paraId="78AEEF03" w14:textId="14E5ECF9" w:rsidR="00450CD4" w:rsidRPr="004E7532" w:rsidRDefault="00450CD4" w:rsidP="002B5791">
            <w:pPr>
              <w:autoSpaceDE w:val="0"/>
              <w:autoSpaceDN w:val="0"/>
              <w:adjustRightInd w:val="0"/>
              <w:spacing w:line="276" w:lineRule="auto"/>
              <w:jc w:val="center"/>
              <w:rPr>
                <w:rFonts w:cs="Corbel"/>
                <w:b/>
                <w:bCs/>
                <w:sz w:val="20"/>
                <w:szCs w:val="20"/>
              </w:rPr>
            </w:pPr>
            <w:r>
              <w:rPr>
                <w:rFonts w:ascii="Corbel" w:hAnsi="Corbel"/>
                <w:b/>
                <w:bCs/>
                <w:color w:val="000000"/>
                <w:sz w:val="20"/>
                <w:szCs w:val="20"/>
              </w:rPr>
              <w:t>Percentage of A&amp;TSI students in B2B in 2011</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tcPr>
          <w:p w14:paraId="6A1431C2" w14:textId="245C47D3" w:rsidR="00450CD4" w:rsidRPr="004E7532" w:rsidRDefault="00450CD4" w:rsidP="002B5791">
            <w:pPr>
              <w:autoSpaceDE w:val="0"/>
              <w:autoSpaceDN w:val="0"/>
              <w:adjustRightInd w:val="0"/>
              <w:spacing w:line="276" w:lineRule="auto"/>
              <w:jc w:val="center"/>
              <w:rPr>
                <w:rFonts w:cs="Corbel"/>
                <w:b/>
                <w:bCs/>
                <w:sz w:val="20"/>
                <w:szCs w:val="20"/>
              </w:rPr>
            </w:pPr>
            <w:r>
              <w:rPr>
                <w:rFonts w:ascii="Corbel" w:hAnsi="Corbel"/>
                <w:b/>
                <w:bCs/>
                <w:color w:val="000000"/>
                <w:sz w:val="20"/>
                <w:szCs w:val="20"/>
              </w:rPr>
              <w:t>Percentage of A&amp;TSI students who did not participate in NAPLAN in 2011</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tcPr>
          <w:p w14:paraId="23C5E06E" w14:textId="39830F9E" w:rsidR="00450CD4" w:rsidRPr="004E7532" w:rsidRDefault="00450CD4" w:rsidP="002B5791">
            <w:pPr>
              <w:autoSpaceDE w:val="0"/>
              <w:autoSpaceDN w:val="0"/>
              <w:adjustRightInd w:val="0"/>
              <w:spacing w:line="276" w:lineRule="auto"/>
              <w:jc w:val="center"/>
              <w:rPr>
                <w:rFonts w:cs="Corbel"/>
                <w:b/>
                <w:bCs/>
                <w:sz w:val="20"/>
                <w:szCs w:val="20"/>
              </w:rPr>
            </w:pPr>
            <w:r>
              <w:rPr>
                <w:rFonts w:ascii="Corbel" w:hAnsi="Corbel"/>
                <w:b/>
                <w:bCs/>
                <w:color w:val="000000"/>
                <w:sz w:val="20"/>
                <w:szCs w:val="20"/>
              </w:rPr>
              <w:t>Number of students in bottom 2 bands</w:t>
            </w:r>
          </w:p>
        </w:tc>
        <w:tc>
          <w:tcPr>
            <w:tcW w:w="141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28" w:type="dxa"/>
              <w:right w:w="28" w:type="dxa"/>
            </w:tcMar>
          </w:tcPr>
          <w:p w14:paraId="793FA696" w14:textId="00028BF5" w:rsidR="00450CD4" w:rsidRPr="004E7532" w:rsidRDefault="00450CD4" w:rsidP="002B5791">
            <w:pPr>
              <w:autoSpaceDE w:val="0"/>
              <w:autoSpaceDN w:val="0"/>
              <w:adjustRightInd w:val="0"/>
              <w:spacing w:line="276" w:lineRule="auto"/>
              <w:jc w:val="center"/>
              <w:rPr>
                <w:rFonts w:cs="Corbel"/>
                <w:b/>
                <w:bCs/>
                <w:sz w:val="20"/>
                <w:szCs w:val="20"/>
              </w:rPr>
            </w:pPr>
            <w:r>
              <w:rPr>
                <w:rFonts w:ascii="Corbel" w:hAnsi="Corbel"/>
                <w:b/>
                <w:bCs/>
                <w:color w:val="000000"/>
                <w:sz w:val="20"/>
                <w:szCs w:val="20"/>
              </w:rPr>
              <w:t>Number of A&amp;TSI students in bottom 2 bands</w:t>
            </w:r>
          </w:p>
        </w:tc>
      </w:tr>
      <w:tr w:rsidR="006716B4" w:rsidRPr="006716B4" w14:paraId="2C9C83D9" w14:textId="77777777" w:rsidTr="001367E0">
        <w:tblPrEx>
          <w:tblCellMar>
            <w:left w:w="108" w:type="dxa"/>
            <w:right w:w="108" w:type="dxa"/>
          </w:tblCellMar>
        </w:tblPrEx>
        <w:trPr>
          <w:trHeight w:val="465"/>
        </w:trPr>
        <w:tc>
          <w:tcPr>
            <w:tcW w:w="737" w:type="dxa"/>
            <w:noWrap/>
            <w:hideMark/>
          </w:tcPr>
          <w:p w14:paraId="1045281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10438</w:t>
            </w:r>
          </w:p>
        </w:tc>
        <w:tc>
          <w:tcPr>
            <w:tcW w:w="1559" w:type="dxa"/>
            <w:noWrap/>
            <w:hideMark/>
          </w:tcPr>
          <w:p w14:paraId="48203ED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Albury High School</w:t>
            </w:r>
          </w:p>
        </w:tc>
        <w:tc>
          <w:tcPr>
            <w:tcW w:w="709" w:type="dxa"/>
            <w:noWrap/>
            <w:hideMark/>
          </w:tcPr>
          <w:p w14:paraId="1816BB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B2FAC8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2EFB41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7FDCF9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Kiewa St</w:t>
            </w:r>
          </w:p>
        </w:tc>
        <w:tc>
          <w:tcPr>
            <w:tcW w:w="1134" w:type="dxa"/>
            <w:noWrap/>
            <w:hideMark/>
          </w:tcPr>
          <w:p w14:paraId="5F12072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51A97C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19.8</w:t>
            </w:r>
          </w:p>
        </w:tc>
        <w:tc>
          <w:tcPr>
            <w:tcW w:w="1134" w:type="dxa"/>
            <w:noWrap/>
            <w:hideMark/>
          </w:tcPr>
          <w:p w14:paraId="6E2D18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64.5</w:t>
            </w:r>
          </w:p>
        </w:tc>
        <w:tc>
          <w:tcPr>
            <w:tcW w:w="1134" w:type="dxa"/>
            <w:noWrap/>
            <w:hideMark/>
          </w:tcPr>
          <w:p w14:paraId="53232C1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19.0</w:t>
            </w:r>
          </w:p>
        </w:tc>
        <w:tc>
          <w:tcPr>
            <w:tcW w:w="1276" w:type="dxa"/>
            <w:noWrap/>
            <w:hideMark/>
          </w:tcPr>
          <w:p w14:paraId="075E89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152</w:t>
            </w:r>
          </w:p>
        </w:tc>
        <w:tc>
          <w:tcPr>
            <w:tcW w:w="1417" w:type="dxa"/>
            <w:noWrap/>
            <w:hideMark/>
          </w:tcPr>
          <w:p w14:paraId="50DC405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w:t>
            </w:r>
          </w:p>
        </w:tc>
      </w:tr>
      <w:tr w:rsidR="006716B4" w:rsidRPr="006716B4" w14:paraId="7225CC3C" w14:textId="77777777" w:rsidTr="001367E0">
        <w:tblPrEx>
          <w:tblCellMar>
            <w:left w:w="108" w:type="dxa"/>
            <w:right w:w="108" w:type="dxa"/>
          </w:tblCellMar>
        </w:tblPrEx>
        <w:trPr>
          <w:trHeight w:val="465"/>
        </w:trPr>
        <w:tc>
          <w:tcPr>
            <w:tcW w:w="737" w:type="dxa"/>
            <w:noWrap/>
            <w:hideMark/>
          </w:tcPr>
          <w:p w14:paraId="0B7AF18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10440</w:t>
            </w:r>
          </w:p>
        </w:tc>
        <w:tc>
          <w:tcPr>
            <w:tcW w:w="1559" w:type="dxa"/>
            <w:noWrap/>
            <w:hideMark/>
          </w:tcPr>
          <w:p w14:paraId="0691804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Albury North Public School</w:t>
            </w:r>
          </w:p>
        </w:tc>
        <w:tc>
          <w:tcPr>
            <w:tcW w:w="709" w:type="dxa"/>
            <w:noWrap/>
            <w:hideMark/>
          </w:tcPr>
          <w:p w14:paraId="16F2ACF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6E12CC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3780CED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38B556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868 Mate St</w:t>
            </w:r>
          </w:p>
        </w:tc>
        <w:tc>
          <w:tcPr>
            <w:tcW w:w="1134" w:type="dxa"/>
            <w:noWrap/>
            <w:hideMark/>
          </w:tcPr>
          <w:p w14:paraId="73577D8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E7841B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32.5</w:t>
            </w:r>
          </w:p>
        </w:tc>
        <w:tc>
          <w:tcPr>
            <w:tcW w:w="1134" w:type="dxa"/>
            <w:noWrap/>
            <w:hideMark/>
          </w:tcPr>
          <w:p w14:paraId="667F06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41.7</w:t>
            </w:r>
          </w:p>
        </w:tc>
        <w:tc>
          <w:tcPr>
            <w:tcW w:w="1134" w:type="dxa"/>
            <w:noWrap/>
            <w:hideMark/>
          </w:tcPr>
          <w:p w14:paraId="32345B7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DA57C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w:t>
            </w:r>
          </w:p>
        </w:tc>
        <w:tc>
          <w:tcPr>
            <w:tcW w:w="1417" w:type="dxa"/>
            <w:noWrap/>
            <w:hideMark/>
          </w:tcPr>
          <w:p w14:paraId="70B1DAD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3968A697" w14:textId="77777777" w:rsidTr="001367E0">
        <w:tblPrEx>
          <w:tblCellMar>
            <w:left w:w="108" w:type="dxa"/>
            <w:right w:w="108" w:type="dxa"/>
          </w:tblCellMar>
        </w:tblPrEx>
        <w:trPr>
          <w:trHeight w:val="465"/>
        </w:trPr>
        <w:tc>
          <w:tcPr>
            <w:tcW w:w="737" w:type="dxa"/>
            <w:noWrap/>
            <w:hideMark/>
          </w:tcPr>
          <w:p w14:paraId="2F1921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10442</w:t>
            </w:r>
          </w:p>
        </w:tc>
        <w:tc>
          <w:tcPr>
            <w:tcW w:w="1559" w:type="dxa"/>
            <w:noWrap/>
            <w:hideMark/>
          </w:tcPr>
          <w:p w14:paraId="7220F71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Albury West Public School</w:t>
            </w:r>
          </w:p>
        </w:tc>
        <w:tc>
          <w:tcPr>
            <w:tcW w:w="709" w:type="dxa"/>
            <w:noWrap/>
            <w:hideMark/>
          </w:tcPr>
          <w:p w14:paraId="75B3600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D77DB5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7A274B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07A5B2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Mott St</w:t>
            </w:r>
          </w:p>
        </w:tc>
        <w:tc>
          <w:tcPr>
            <w:tcW w:w="1134" w:type="dxa"/>
            <w:noWrap/>
            <w:hideMark/>
          </w:tcPr>
          <w:p w14:paraId="0107AE2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EAFDB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32.6</w:t>
            </w:r>
          </w:p>
        </w:tc>
        <w:tc>
          <w:tcPr>
            <w:tcW w:w="1134" w:type="dxa"/>
            <w:noWrap/>
            <w:hideMark/>
          </w:tcPr>
          <w:p w14:paraId="5B9754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57A4A90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7.7</w:t>
            </w:r>
          </w:p>
        </w:tc>
        <w:tc>
          <w:tcPr>
            <w:tcW w:w="1276" w:type="dxa"/>
            <w:noWrap/>
            <w:hideMark/>
          </w:tcPr>
          <w:p w14:paraId="62F5EA8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w:t>
            </w:r>
          </w:p>
        </w:tc>
        <w:tc>
          <w:tcPr>
            <w:tcW w:w="1417" w:type="dxa"/>
            <w:noWrap/>
            <w:hideMark/>
          </w:tcPr>
          <w:p w14:paraId="0F332D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w:t>
            </w:r>
          </w:p>
        </w:tc>
      </w:tr>
      <w:tr w:rsidR="006716B4" w:rsidRPr="006716B4" w14:paraId="76154017" w14:textId="77777777" w:rsidTr="001367E0">
        <w:tblPrEx>
          <w:tblCellMar>
            <w:left w:w="108" w:type="dxa"/>
            <w:right w:w="108" w:type="dxa"/>
          </w:tblCellMar>
        </w:tblPrEx>
        <w:trPr>
          <w:trHeight w:val="465"/>
        </w:trPr>
        <w:tc>
          <w:tcPr>
            <w:tcW w:w="737" w:type="dxa"/>
            <w:noWrap/>
            <w:hideMark/>
          </w:tcPr>
          <w:p w14:paraId="7ECBB33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14941</w:t>
            </w:r>
          </w:p>
        </w:tc>
        <w:tc>
          <w:tcPr>
            <w:tcW w:w="1559" w:type="dxa"/>
            <w:noWrap/>
            <w:hideMark/>
          </w:tcPr>
          <w:p w14:paraId="67A62B7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Ambarvale High School</w:t>
            </w:r>
          </w:p>
        </w:tc>
        <w:tc>
          <w:tcPr>
            <w:tcW w:w="709" w:type="dxa"/>
            <w:noWrap/>
            <w:hideMark/>
          </w:tcPr>
          <w:p w14:paraId="6CDDD41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51E2CC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1A7BD0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B0AC7D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Thomas Rose Drive</w:t>
            </w:r>
          </w:p>
        </w:tc>
        <w:tc>
          <w:tcPr>
            <w:tcW w:w="1134" w:type="dxa"/>
            <w:noWrap/>
            <w:hideMark/>
          </w:tcPr>
          <w:p w14:paraId="47A1ACA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069F7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45.5</w:t>
            </w:r>
          </w:p>
        </w:tc>
        <w:tc>
          <w:tcPr>
            <w:tcW w:w="1134" w:type="dxa"/>
            <w:noWrap/>
            <w:hideMark/>
          </w:tcPr>
          <w:p w14:paraId="1C5B4C8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58.6</w:t>
            </w:r>
          </w:p>
        </w:tc>
        <w:tc>
          <w:tcPr>
            <w:tcW w:w="1134" w:type="dxa"/>
            <w:noWrap/>
            <w:hideMark/>
          </w:tcPr>
          <w:p w14:paraId="7594741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10.5</w:t>
            </w:r>
          </w:p>
        </w:tc>
        <w:tc>
          <w:tcPr>
            <w:tcW w:w="1276" w:type="dxa"/>
            <w:noWrap/>
            <w:hideMark/>
          </w:tcPr>
          <w:p w14:paraId="5B35AE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245</w:t>
            </w:r>
          </w:p>
        </w:tc>
        <w:tc>
          <w:tcPr>
            <w:tcW w:w="1417" w:type="dxa"/>
            <w:noWrap/>
            <w:hideMark/>
          </w:tcPr>
          <w:p w14:paraId="3582CD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r>
      <w:tr w:rsidR="006716B4" w:rsidRPr="006716B4" w14:paraId="24CB308E" w14:textId="77777777" w:rsidTr="001367E0">
        <w:tblPrEx>
          <w:tblCellMar>
            <w:left w:w="108" w:type="dxa"/>
            <w:right w:w="108" w:type="dxa"/>
          </w:tblCellMar>
        </w:tblPrEx>
        <w:trPr>
          <w:trHeight w:val="465"/>
        </w:trPr>
        <w:tc>
          <w:tcPr>
            <w:tcW w:w="737" w:type="dxa"/>
            <w:noWrap/>
            <w:hideMark/>
          </w:tcPr>
          <w:p w14:paraId="28489B5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10196</w:t>
            </w:r>
          </w:p>
        </w:tc>
        <w:tc>
          <w:tcPr>
            <w:tcW w:w="1559" w:type="dxa"/>
            <w:noWrap/>
            <w:hideMark/>
          </w:tcPr>
          <w:p w14:paraId="047BD1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Ambarvale Public School</w:t>
            </w:r>
          </w:p>
        </w:tc>
        <w:tc>
          <w:tcPr>
            <w:tcW w:w="709" w:type="dxa"/>
            <w:noWrap/>
            <w:hideMark/>
          </w:tcPr>
          <w:p w14:paraId="1D2BF7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AD2BB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16D224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2C819C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Copperfield Drive</w:t>
            </w:r>
          </w:p>
        </w:tc>
        <w:tc>
          <w:tcPr>
            <w:tcW w:w="1134" w:type="dxa"/>
            <w:noWrap/>
            <w:hideMark/>
          </w:tcPr>
          <w:p w14:paraId="21913B3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B9A4E2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32.2</w:t>
            </w:r>
          </w:p>
        </w:tc>
        <w:tc>
          <w:tcPr>
            <w:tcW w:w="1134" w:type="dxa"/>
            <w:noWrap/>
            <w:hideMark/>
          </w:tcPr>
          <w:p w14:paraId="49B41F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1E3AB6E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D8849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49</w:t>
            </w:r>
          </w:p>
        </w:tc>
        <w:tc>
          <w:tcPr>
            <w:tcW w:w="1417" w:type="dxa"/>
            <w:noWrap/>
            <w:hideMark/>
          </w:tcPr>
          <w:p w14:paraId="0067AF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2854222C" w14:textId="77777777" w:rsidTr="001367E0">
        <w:tblPrEx>
          <w:tblCellMar>
            <w:left w:w="108" w:type="dxa"/>
            <w:right w:w="108" w:type="dxa"/>
          </w:tblCellMar>
        </w:tblPrEx>
        <w:trPr>
          <w:trHeight w:val="465"/>
        </w:trPr>
        <w:tc>
          <w:tcPr>
            <w:tcW w:w="737" w:type="dxa"/>
            <w:noWrap/>
            <w:hideMark/>
          </w:tcPr>
          <w:p w14:paraId="22126D9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8985</w:t>
            </w:r>
          </w:p>
        </w:tc>
        <w:tc>
          <w:tcPr>
            <w:tcW w:w="1559" w:type="dxa"/>
            <w:noWrap/>
            <w:hideMark/>
          </w:tcPr>
          <w:p w14:paraId="3803E07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Argenton Public School</w:t>
            </w:r>
          </w:p>
        </w:tc>
        <w:tc>
          <w:tcPr>
            <w:tcW w:w="709" w:type="dxa"/>
            <w:noWrap/>
            <w:hideMark/>
          </w:tcPr>
          <w:p w14:paraId="07C763E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74FE4D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1F09E8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A1F3C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Montgomery St</w:t>
            </w:r>
          </w:p>
        </w:tc>
        <w:tc>
          <w:tcPr>
            <w:tcW w:w="1134" w:type="dxa"/>
            <w:noWrap/>
            <w:hideMark/>
          </w:tcPr>
          <w:p w14:paraId="7B60301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421FA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20.6</w:t>
            </w:r>
          </w:p>
        </w:tc>
        <w:tc>
          <w:tcPr>
            <w:tcW w:w="1134" w:type="dxa"/>
            <w:noWrap/>
            <w:hideMark/>
          </w:tcPr>
          <w:p w14:paraId="169DCFD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11.1</w:t>
            </w:r>
          </w:p>
        </w:tc>
        <w:tc>
          <w:tcPr>
            <w:tcW w:w="1134" w:type="dxa"/>
            <w:noWrap/>
            <w:hideMark/>
          </w:tcPr>
          <w:p w14:paraId="3F3B9CD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CFC91E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c>
          <w:tcPr>
            <w:tcW w:w="1417" w:type="dxa"/>
            <w:noWrap/>
            <w:hideMark/>
          </w:tcPr>
          <w:p w14:paraId="30758A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6238F672" w14:textId="77777777" w:rsidTr="001367E0">
        <w:tblPrEx>
          <w:tblCellMar>
            <w:left w:w="108" w:type="dxa"/>
            <w:right w:w="108" w:type="dxa"/>
          </w:tblCellMar>
        </w:tblPrEx>
        <w:trPr>
          <w:trHeight w:val="465"/>
        </w:trPr>
        <w:tc>
          <w:tcPr>
            <w:tcW w:w="737" w:type="dxa"/>
            <w:noWrap/>
            <w:hideMark/>
          </w:tcPr>
          <w:p w14:paraId="3EAFCA1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9373</w:t>
            </w:r>
          </w:p>
        </w:tc>
        <w:tc>
          <w:tcPr>
            <w:tcW w:w="1559" w:type="dxa"/>
            <w:noWrap/>
            <w:hideMark/>
          </w:tcPr>
          <w:p w14:paraId="78E912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Armidale High School</w:t>
            </w:r>
          </w:p>
        </w:tc>
        <w:tc>
          <w:tcPr>
            <w:tcW w:w="709" w:type="dxa"/>
            <w:noWrap/>
            <w:hideMark/>
          </w:tcPr>
          <w:p w14:paraId="206FD90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DE6DA0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1C4841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B0498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Butler St</w:t>
            </w:r>
          </w:p>
        </w:tc>
        <w:tc>
          <w:tcPr>
            <w:tcW w:w="1134" w:type="dxa"/>
            <w:noWrap/>
            <w:hideMark/>
          </w:tcPr>
          <w:p w14:paraId="1A5B1C4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459797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679656C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76.5</w:t>
            </w:r>
          </w:p>
        </w:tc>
        <w:tc>
          <w:tcPr>
            <w:tcW w:w="1134" w:type="dxa"/>
            <w:noWrap/>
            <w:hideMark/>
          </w:tcPr>
          <w:p w14:paraId="0D8BC3C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13.3</w:t>
            </w:r>
          </w:p>
        </w:tc>
        <w:tc>
          <w:tcPr>
            <w:tcW w:w="1276" w:type="dxa"/>
            <w:noWrap/>
            <w:hideMark/>
          </w:tcPr>
          <w:p w14:paraId="45E22E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133</w:t>
            </w:r>
          </w:p>
        </w:tc>
        <w:tc>
          <w:tcPr>
            <w:tcW w:w="1417" w:type="dxa"/>
            <w:noWrap/>
            <w:hideMark/>
          </w:tcPr>
          <w:p w14:paraId="1114B3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w:t>
            </w:r>
          </w:p>
        </w:tc>
      </w:tr>
      <w:tr w:rsidR="006716B4" w:rsidRPr="006716B4" w14:paraId="3163B1C3" w14:textId="77777777" w:rsidTr="001367E0">
        <w:tblPrEx>
          <w:tblCellMar>
            <w:left w:w="108" w:type="dxa"/>
            <w:right w:w="108" w:type="dxa"/>
          </w:tblCellMar>
        </w:tblPrEx>
        <w:trPr>
          <w:trHeight w:val="465"/>
        </w:trPr>
        <w:tc>
          <w:tcPr>
            <w:tcW w:w="737" w:type="dxa"/>
            <w:noWrap/>
            <w:hideMark/>
          </w:tcPr>
          <w:p w14:paraId="3E53658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8587</w:t>
            </w:r>
          </w:p>
        </w:tc>
        <w:tc>
          <w:tcPr>
            <w:tcW w:w="1559" w:type="dxa"/>
            <w:noWrap/>
            <w:hideMark/>
          </w:tcPr>
          <w:p w14:paraId="206ADE6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Athelstane Public School</w:t>
            </w:r>
          </w:p>
        </w:tc>
        <w:tc>
          <w:tcPr>
            <w:tcW w:w="709" w:type="dxa"/>
            <w:noWrap/>
            <w:hideMark/>
          </w:tcPr>
          <w:p w14:paraId="3EE2367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75107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A9C1B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1D0E3D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Athelstane Ave</w:t>
            </w:r>
          </w:p>
        </w:tc>
        <w:tc>
          <w:tcPr>
            <w:tcW w:w="1134" w:type="dxa"/>
            <w:noWrap/>
            <w:hideMark/>
          </w:tcPr>
          <w:p w14:paraId="25C295A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4F36DD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40.1</w:t>
            </w:r>
          </w:p>
        </w:tc>
        <w:tc>
          <w:tcPr>
            <w:tcW w:w="1134" w:type="dxa"/>
            <w:noWrap/>
            <w:hideMark/>
          </w:tcPr>
          <w:p w14:paraId="79C908C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30636F7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276" w:type="dxa"/>
            <w:noWrap/>
            <w:hideMark/>
          </w:tcPr>
          <w:p w14:paraId="71B7537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77</w:t>
            </w:r>
          </w:p>
        </w:tc>
        <w:tc>
          <w:tcPr>
            <w:tcW w:w="1417" w:type="dxa"/>
            <w:noWrap/>
            <w:hideMark/>
          </w:tcPr>
          <w:p w14:paraId="210AAB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4E0F24A6" w14:textId="77777777" w:rsidTr="001367E0">
        <w:tblPrEx>
          <w:tblCellMar>
            <w:left w:w="108" w:type="dxa"/>
            <w:right w:w="108" w:type="dxa"/>
          </w:tblCellMar>
        </w:tblPrEx>
        <w:trPr>
          <w:trHeight w:val="465"/>
        </w:trPr>
        <w:tc>
          <w:tcPr>
            <w:tcW w:w="737" w:type="dxa"/>
            <w:noWrap/>
            <w:hideMark/>
          </w:tcPr>
          <w:p w14:paraId="58A75D8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10243</w:t>
            </w:r>
          </w:p>
        </w:tc>
        <w:tc>
          <w:tcPr>
            <w:tcW w:w="1559" w:type="dxa"/>
            <w:noWrap/>
            <w:hideMark/>
          </w:tcPr>
          <w:p w14:paraId="27BB0BA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Avoca Public School</w:t>
            </w:r>
          </w:p>
        </w:tc>
        <w:tc>
          <w:tcPr>
            <w:tcW w:w="709" w:type="dxa"/>
            <w:noWrap/>
            <w:hideMark/>
          </w:tcPr>
          <w:p w14:paraId="4DBA23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8F6F4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500080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D41BCC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Sheepwash Rd</w:t>
            </w:r>
          </w:p>
        </w:tc>
        <w:tc>
          <w:tcPr>
            <w:tcW w:w="1134" w:type="dxa"/>
            <w:noWrap/>
            <w:hideMark/>
          </w:tcPr>
          <w:p w14:paraId="3DF4FBC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7A6B21E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7B00B8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65BB32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99A9E1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c>
          <w:tcPr>
            <w:tcW w:w="1417" w:type="dxa"/>
            <w:noWrap/>
            <w:hideMark/>
          </w:tcPr>
          <w:p w14:paraId="1BB01B2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759ADC9A" w14:textId="77777777" w:rsidTr="001367E0">
        <w:tblPrEx>
          <w:tblCellMar>
            <w:left w:w="108" w:type="dxa"/>
            <w:right w:w="108" w:type="dxa"/>
          </w:tblCellMar>
        </w:tblPrEx>
        <w:trPr>
          <w:trHeight w:val="465"/>
        </w:trPr>
        <w:tc>
          <w:tcPr>
            <w:tcW w:w="737" w:type="dxa"/>
            <w:noWrap/>
            <w:hideMark/>
          </w:tcPr>
          <w:p w14:paraId="35FDE0F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9764</w:t>
            </w:r>
          </w:p>
        </w:tc>
        <w:tc>
          <w:tcPr>
            <w:tcW w:w="1559" w:type="dxa"/>
            <w:noWrap/>
            <w:hideMark/>
          </w:tcPr>
          <w:p w14:paraId="67ABB2A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Ballina High School</w:t>
            </w:r>
          </w:p>
        </w:tc>
        <w:tc>
          <w:tcPr>
            <w:tcW w:w="709" w:type="dxa"/>
            <w:noWrap/>
            <w:hideMark/>
          </w:tcPr>
          <w:p w14:paraId="40F18B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D80CD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14DA7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B2092C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Cherry St</w:t>
            </w:r>
          </w:p>
        </w:tc>
        <w:tc>
          <w:tcPr>
            <w:tcW w:w="1134" w:type="dxa"/>
            <w:noWrap/>
            <w:hideMark/>
          </w:tcPr>
          <w:p w14:paraId="6BABA0A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23E0D2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28.4</w:t>
            </w:r>
          </w:p>
        </w:tc>
        <w:tc>
          <w:tcPr>
            <w:tcW w:w="1134" w:type="dxa"/>
            <w:noWrap/>
            <w:hideMark/>
          </w:tcPr>
          <w:p w14:paraId="118AF1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60.0</w:t>
            </w:r>
          </w:p>
        </w:tc>
        <w:tc>
          <w:tcPr>
            <w:tcW w:w="1134" w:type="dxa"/>
            <w:noWrap/>
            <w:hideMark/>
          </w:tcPr>
          <w:p w14:paraId="1A4D4FF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25.8</w:t>
            </w:r>
          </w:p>
        </w:tc>
        <w:tc>
          <w:tcPr>
            <w:tcW w:w="1276" w:type="dxa"/>
            <w:noWrap/>
            <w:hideMark/>
          </w:tcPr>
          <w:p w14:paraId="2300A57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99</w:t>
            </w:r>
          </w:p>
        </w:tc>
        <w:tc>
          <w:tcPr>
            <w:tcW w:w="1417" w:type="dxa"/>
            <w:noWrap/>
            <w:hideMark/>
          </w:tcPr>
          <w:p w14:paraId="6AD7D88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w:t>
            </w:r>
          </w:p>
        </w:tc>
      </w:tr>
      <w:tr w:rsidR="006716B4" w:rsidRPr="006716B4" w14:paraId="6EF65BED" w14:textId="77777777" w:rsidTr="001367E0">
        <w:tblPrEx>
          <w:tblCellMar>
            <w:left w:w="108" w:type="dxa"/>
            <w:right w:w="108" w:type="dxa"/>
          </w:tblCellMar>
        </w:tblPrEx>
        <w:trPr>
          <w:trHeight w:val="465"/>
        </w:trPr>
        <w:tc>
          <w:tcPr>
            <w:tcW w:w="737" w:type="dxa"/>
            <w:noWrap/>
            <w:hideMark/>
          </w:tcPr>
          <w:p w14:paraId="510E023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6340</w:t>
            </w:r>
          </w:p>
        </w:tc>
        <w:tc>
          <w:tcPr>
            <w:tcW w:w="1559" w:type="dxa"/>
            <w:noWrap/>
            <w:hideMark/>
          </w:tcPr>
          <w:p w14:paraId="2178FF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Bankstown Girls High School</w:t>
            </w:r>
          </w:p>
        </w:tc>
        <w:tc>
          <w:tcPr>
            <w:tcW w:w="709" w:type="dxa"/>
            <w:noWrap/>
            <w:hideMark/>
          </w:tcPr>
          <w:p w14:paraId="39FF2D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D821BE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37596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11228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Mona St</w:t>
            </w:r>
          </w:p>
        </w:tc>
        <w:tc>
          <w:tcPr>
            <w:tcW w:w="1134" w:type="dxa"/>
            <w:noWrap/>
            <w:hideMark/>
          </w:tcPr>
          <w:p w14:paraId="10B9333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BED948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48.9</w:t>
            </w:r>
          </w:p>
        </w:tc>
        <w:tc>
          <w:tcPr>
            <w:tcW w:w="1134" w:type="dxa"/>
            <w:noWrap/>
            <w:hideMark/>
          </w:tcPr>
          <w:p w14:paraId="5467BB9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80.0</w:t>
            </w:r>
          </w:p>
        </w:tc>
        <w:tc>
          <w:tcPr>
            <w:tcW w:w="1134" w:type="dxa"/>
            <w:noWrap/>
            <w:hideMark/>
          </w:tcPr>
          <w:p w14:paraId="2A943A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276" w:type="dxa"/>
            <w:noWrap/>
            <w:hideMark/>
          </w:tcPr>
          <w:p w14:paraId="138EF51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207</w:t>
            </w:r>
          </w:p>
        </w:tc>
        <w:tc>
          <w:tcPr>
            <w:tcW w:w="1417" w:type="dxa"/>
            <w:noWrap/>
            <w:hideMark/>
          </w:tcPr>
          <w:p w14:paraId="6E5C88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1F4A1D7A" w14:textId="77777777" w:rsidTr="001367E0">
        <w:tblPrEx>
          <w:tblCellMar>
            <w:left w:w="108" w:type="dxa"/>
            <w:right w:w="108" w:type="dxa"/>
          </w:tblCellMar>
        </w:tblPrEx>
        <w:trPr>
          <w:trHeight w:val="465"/>
        </w:trPr>
        <w:tc>
          <w:tcPr>
            <w:tcW w:w="737" w:type="dxa"/>
            <w:noWrap/>
            <w:hideMark/>
          </w:tcPr>
          <w:p w14:paraId="7C3185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lastRenderedPageBreak/>
              <w:t>16648</w:t>
            </w:r>
          </w:p>
        </w:tc>
        <w:tc>
          <w:tcPr>
            <w:tcW w:w="1559" w:type="dxa"/>
            <w:noWrap/>
            <w:hideMark/>
          </w:tcPr>
          <w:p w14:paraId="12E75A0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Banora Point High School</w:t>
            </w:r>
          </w:p>
        </w:tc>
        <w:tc>
          <w:tcPr>
            <w:tcW w:w="709" w:type="dxa"/>
            <w:noWrap/>
            <w:hideMark/>
          </w:tcPr>
          <w:p w14:paraId="507478F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F51295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07ACD7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CC9FBB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Eucalyptus Drive</w:t>
            </w:r>
          </w:p>
        </w:tc>
        <w:tc>
          <w:tcPr>
            <w:tcW w:w="1134" w:type="dxa"/>
            <w:noWrap/>
            <w:hideMark/>
          </w:tcPr>
          <w:p w14:paraId="3BC9F93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E6B72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37.1</w:t>
            </w:r>
          </w:p>
        </w:tc>
        <w:tc>
          <w:tcPr>
            <w:tcW w:w="1134" w:type="dxa"/>
            <w:noWrap/>
            <w:hideMark/>
          </w:tcPr>
          <w:p w14:paraId="0B1939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44.8</w:t>
            </w:r>
          </w:p>
        </w:tc>
        <w:tc>
          <w:tcPr>
            <w:tcW w:w="1134" w:type="dxa"/>
            <w:noWrap/>
            <w:hideMark/>
          </w:tcPr>
          <w:p w14:paraId="61B8C66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6.3</w:t>
            </w:r>
          </w:p>
        </w:tc>
        <w:tc>
          <w:tcPr>
            <w:tcW w:w="1276" w:type="dxa"/>
            <w:noWrap/>
            <w:hideMark/>
          </w:tcPr>
          <w:p w14:paraId="08A0E9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129</w:t>
            </w:r>
          </w:p>
        </w:tc>
        <w:tc>
          <w:tcPr>
            <w:tcW w:w="1417" w:type="dxa"/>
            <w:noWrap/>
            <w:hideMark/>
          </w:tcPr>
          <w:p w14:paraId="202DFCD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w:t>
            </w:r>
          </w:p>
        </w:tc>
      </w:tr>
      <w:tr w:rsidR="006716B4" w:rsidRPr="006716B4" w14:paraId="67E84CDA" w14:textId="77777777" w:rsidTr="001367E0">
        <w:tblPrEx>
          <w:tblCellMar>
            <w:left w:w="108" w:type="dxa"/>
            <w:right w:w="108" w:type="dxa"/>
          </w:tblCellMar>
        </w:tblPrEx>
        <w:trPr>
          <w:trHeight w:val="465"/>
        </w:trPr>
        <w:tc>
          <w:tcPr>
            <w:tcW w:w="737" w:type="dxa"/>
            <w:noWrap/>
            <w:hideMark/>
          </w:tcPr>
          <w:p w14:paraId="7959827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10671</w:t>
            </w:r>
          </w:p>
        </w:tc>
        <w:tc>
          <w:tcPr>
            <w:tcW w:w="1559" w:type="dxa"/>
            <w:noWrap/>
            <w:hideMark/>
          </w:tcPr>
          <w:p w14:paraId="79EF3B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Barham High School</w:t>
            </w:r>
          </w:p>
        </w:tc>
        <w:tc>
          <w:tcPr>
            <w:tcW w:w="709" w:type="dxa"/>
            <w:noWrap/>
            <w:hideMark/>
          </w:tcPr>
          <w:p w14:paraId="69D59A8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2955D3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772702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E9A55D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Gonn St</w:t>
            </w:r>
          </w:p>
        </w:tc>
        <w:tc>
          <w:tcPr>
            <w:tcW w:w="1134" w:type="dxa"/>
            <w:noWrap/>
            <w:hideMark/>
          </w:tcPr>
          <w:p w14:paraId="71DCA30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8670F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21.6</w:t>
            </w:r>
          </w:p>
        </w:tc>
        <w:tc>
          <w:tcPr>
            <w:tcW w:w="1134" w:type="dxa"/>
            <w:noWrap/>
            <w:hideMark/>
          </w:tcPr>
          <w:p w14:paraId="64D101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414446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35E096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w:t>
            </w:r>
          </w:p>
        </w:tc>
        <w:tc>
          <w:tcPr>
            <w:tcW w:w="1417" w:type="dxa"/>
            <w:noWrap/>
            <w:hideMark/>
          </w:tcPr>
          <w:p w14:paraId="799BC5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4C470750" w14:textId="77777777" w:rsidTr="001367E0">
        <w:tblPrEx>
          <w:tblCellMar>
            <w:left w:w="108" w:type="dxa"/>
            <w:right w:w="108" w:type="dxa"/>
          </w:tblCellMar>
        </w:tblPrEx>
        <w:trPr>
          <w:trHeight w:val="465"/>
        </w:trPr>
        <w:tc>
          <w:tcPr>
            <w:tcW w:w="737" w:type="dxa"/>
            <w:noWrap/>
            <w:hideMark/>
          </w:tcPr>
          <w:p w14:paraId="55D92AA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9127</w:t>
            </w:r>
          </w:p>
        </w:tc>
        <w:tc>
          <w:tcPr>
            <w:tcW w:w="1559" w:type="dxa"/>
            <w:noWrap/>
            <w:hideMark/>
          </w:tcPr>
          <w:p w14:paraId="0745176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Barnsley Public School</w:t>
            </w:r>
          </w:p>
        </w:tc>
        <w:tc>
          <w:tcPr>
            <w:tcW w:w="709" w:type="dxa"/>
            <w:noWrap/>
            <w:hideMark/>
          </w:tcPr>
          <w:p w14:paraId="009F13F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1CD02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60EE954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BE1A5D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Cliffbrook St</w:t>
            </w:r>
          </w:p>
        </w:tc>
        <w:tc>
          <w:tcPr>
            <w:tcW w:w="1134" w:type="dxa"/>
            <w:noWrap/>
            <w:hideMark/>
          </w:tcPr>
          <w:p w14:paraId="5AA3721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B5D69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36.2</w:t>
            </w:r>
          </w:p>
        </w:tc>
        <w:tc>
          <w:tcPr>
            <w:tcW w:w="1134" w:type="dxa"/>
            <w:noWrap/>
            <w:hideMark/>
          </w:tcPr>
          <w:p w14:paraId="59A7F83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40.0</w:t>
            </w:r>
          </w:p>
        </w:tc>
        <w:tc>
          <w:tcPr>
            <w:tcW w:w="1134" w:type="dxa"/>
            <w:noWrap/>
            <w:hideMark/>
          </w:tcPr>
          <w:p w14:paraId="1BEAC26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82FE00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w:t>
            </w:r>
          </w:p>
        </w:tc>
        <w:tc>
          <w:tcPr>
            <w:tcW w:w="1417" w:type="dxa"/>
            <w:noWrap/>
            <w:hideMark/>
          </w:tcPr>
          <w:p w14:paraId="7FB134E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6451EA70" w14:textId="77777777" w:rsidTr="001367E0">
        <w:tblPrEx>
          <w:tblCellMar>
            <w:left w:w="108" w:type="dxa"/>
            <w:right w:w="108" w:type="dxa"/>
          </w:tblCellMar>
        </w:tblPrEx>
        <w:trPr>
          <w:trHeight w:val="465"/>
        </w:trPr>
        <w:tc>
          <w:tcPr>
            <w:tcW w:w="737" w:type="dxa"/>
            <w:noWrap/>
            <w:hideMark/>
          </w:tcPr>
          <w:p w14:paraId="5BF064E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8570</w:t>
            </w:r>
          </w:p>
        </w:tc>
        <w:tc>
          <w:tcPr>
            <w:tcW w:w="1559" w:type="dxa"/>
            <w:noWrap/>
            <w:hideMark/>
          </w:tcPr>
          <w:p w14:paraId="305BA76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Bass High School</w:t>
            </w:r>
          </w:p>
        </w:tc>
        <w:tc>
          <w:tcPr>
            <w:tcW w:w="709" w:type="dxa"/>
            <w:noWrap/>
            <w:hideMark/>
          </w:tcPr>
          <w:p w14:paraId="473281D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7AD25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879D40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4C8B03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Hume Hwy &amp; Arundle Rd</w:t>
            </w:r>
          </w:p>
        </w:tc>
        <w:tc>
          <w:tcPr>
            <w:tcW w:w="1134" w:type="dxa"/>
            <w:noWrap/>
            <w:hideMark/>
          </w:tcPr>
          <w:p w14:paraId="221C2DD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E17ED2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58.8</w:t>
            </w:r>
          </w:p>
        </w:tc>
        <w:tc>
          <w:tcPr>
            <w:tcW w:w="1134" w:type="dxa"/>
            <w:noWrap/>
            <w:hideMark/>
          </w:tcPr>
          <w:p w14:paraId="66F276D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37.5</w:t>
            </w:r>
          </w:p>
        </w:tc>
        <w:tc>
          <w:tcPr>
            <w:tcW w:w="1134" w:type="dxa"/>
            <w:noWrap/>
            <w:hideMark/>
          </w:tcPr>
          <w:p w14:paraId="7EC514D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20.0</w:t>
            </w:r>
          </w:p>
        </w:tc>
        <w:tc>
          <w:tcPr>
            <w:tcW w:w="1276" w:type="dxa"/>
            <w:noWrap/>
            <w:hideMark/>
          </w:tcPr>
          <w:p w14:paraId="69BDE2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285</w:t>
            </w:r>
          </w:p>
        </w:tc>
        <w:tc>
          <w:tcPr>
            <w:tcW w:w="1417" w:type="dxa"/>
            <w:noWrap/>
            <w:hideMark/>
          </w:tcPr>
          <w:p w14:paraId="34B023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464657DB" w14:textId="77777777" w:rsidTr="001367E0">
        <w:tblPrEx>
          <w:tblCellMar>
            <w:left w:w="108" w:type="dxa"/>
            <w:right w:w="108" w:type="dxa"/>
          </w:tblCellMar>
        </w:tblPrEx>
        <w:trPr>
          <w:trHeight w:val="465"/>
        </w:trPr>
        <w:tc>
          <w:tcPr>
            <w:tcW w:w="737" w:type="dxa"/>
            <w:noWrap/>
            <w:hideMark/>
          </w:tcPr>
          <w:p w14:paraId="359BA65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10975</w:t>
            </w:r>
          </w:p>
        </w:tc>
        <w:tc>
          <w:tcPr>
            <w:tcW w:w="1559" w:type="dxa"/>
            <w:noWrap/>
            <w:hideMark/>
          </w:tcPr>
          <w:p w14:paraId="2F489D9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Bathurst Public School</w:t>
            </w:r>
          </w:p>
        </w:tc>
        <w:tc>
          <w:tcPr>
            <w:tcW w:w="709" w:type="dxa"/>
            <w:noWrap/>
            <w:hideMark/>
          </w:tcPr>
          <w:p w14:paraId="0FD3534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92D6F1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1F0C22C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F9EAFB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George St</w:t>
            </w:r>
          </w:p>
        </w:tc>
        <w:tc>
          <w:tcPr>
            <w:tcW w:w="1134" w:type="dxa"/>
            <w:noWrap/>
            <w:hideMark/>
          </w:tcPr>
          <w:p w14:paraId="75C8CD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33728B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20.1</w:t>
            </w:r>
          </w:p>
        </w:tc>
        <w:tc>
          <w:tcPr>
            <w:tcW w:w="1134" w:type="dxa"/>
            <w:noWrap/>
            <w:hideMark/>
          </w:tcPr>
          <w:p w14:paraId="4C63B0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45.5</w:t>
            </w:r>
          </w:p>
        </w:tc>
        <w:tc>
          <w:tcPr>
            <w:tcW w:w="1134" w:type="dxa"/>
            <w:noWrap/>
            <w:hideMark/>
          </w:tcPr>
          <w:p w14:paraId="2775FE0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8.3</w:t>
            </w:r>
          </w:p>
        </w:tc>
        <w:tc>
          <w:tcPr>
            <w:tcW w:w="1276" w:type="dxa"/>
            <w:noWrap/>
            <w:hideMark/>
          </w:tcPr>
          <w:p w14:paraId="749E43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w:t>
            </w:r>
          </w:p>
        </w:tc>
        <w:tc>
          <w:tcPr>
            <w:tcW w:w="1417" w:type="dxa"/>
            <w:noWrap/>
            <w:hideMark/>
          </w:tcPr>
          <w:p w14:paraId="768ACF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r>
      <w:tr w:rsidR="006716B4" w:rsidRPr="006716B4" w14:paraId="4719D8DC" w14:textId="77777777" w:rsidTr="001367E0">
        <w:tblPrEx>
          <w:tblCellMar>
            <w:left w:w="108" w:type="dxa"/>
            <w:right w:w="108" w:type="dxa"/>
          </w:tblCellMar>
        </w:tblPrEx>
        <w:trPr>
          <w:trHeight w:val="465"/>
        </w:trPr>
        <w:tc>
          <w:tcPr>
            <w:tcW w:w="737" w:type="dxa"/>
            <w:noWrap/>
            <w:hideMark/>
          </w:tcPr>
          <w:p w14:paraId="13A552F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10976</w:t>
            </w:r>
          </w:p>
        </w:tc>
        <w:tc>
          <w:tcPr>
            <w:tcW w:w="1559" w:type="dxa"/>
            <w:noWrap/>
            <w:hideMark/>
          </w:tcPr>
          <w:p w14:paraId="486D730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Bathurst South Public School</w:t>
            </w:r>
          </w:p>
        </w:tc>
        <w:tc>
          <w:tcPr>
            <w:tcW w:w="709" w:type="dxa"/>
            <w:noWrap/>
            <w:hideMark/>
          </w:tcPr>
          <w:p w14:paraId="29E19E9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F8DED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12E327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F80F1B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Havannah St</w:t>
            </w:r>
          </w:p>
        </w:tc>
        <w:tc>
          <w:tcPr>
            <w:tcW w:w="1134" w:type="dxa"/>
            <w:noWrap/>
            <w:hideMark/>
          </w:tcPr>
          <w:p w14:paraId="00C5E2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281E8D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29.2</w:t>
            </w:r>
          </w:p>
        </w:tc>
        <w:tc>
          <w:tcPr>
            <w:tcW w:w="1134" w:type="dxa"/>
            <w:noWrap/>
            <w:hideMark/>
          </w:tcPr>
          <w:p w14:paraId="0CCEE89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68.8</w:t>
            </w:r>
          </w:p>
        </w:tc>
        <w:tc>
          <w:tcPr>
            <w:tcW w:w="1134" w:type="dxa"/>
            <w:noWrap/>
            <w:hideMark/>
          </w:tcPr>
          <w:p w14:paraId="78BE7F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F3A31E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w:t>
            </w:r>
          </w:p>
        </w:tc>
        <w:tc>
          <w:tcPr>
            <w:tcW w:w="1417" w:type="dxa"/>
            <w:noWrap/>
            <w:hideMark/>
          </w:tcPr>
          <w:p w14:paraId="3699D8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2DD4CD5A" w14:textId="77777777" w:rsidTr="001367E0">
        <w:tblPrEx>
          <w:tblCellMar>
            <w:left w:w="108" w:type="dxa"/>
            <w:right w:w="108" w:type="dxa"/>
          </w:tblCellMar>
        </w:tblPrEx>
        <w:trPr>
          <w:trHeight w:val="465"/>
        </w:trPr>
        <w:tc>
          <w:tcPr>
            <w:tcW w:w="737" w:type="dxa"/>
            <w:noWrap/>
            <w:hideMark/>
          </w:tcPr>
          <w:p w14:paraId="45A1475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10977</w:t>
            </w:r>
          </w:p>
        </w:tc>
        <w:tc>
          <w:tcPr>
            <w:tcW w:w="1559" w:type="dxa"/>
            <w:noWrap/>
            <w:hideMark/>
          </w:tcPr>
          <w:p w14:paraId="573B93A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Bathurst West Public School</w:t>
            </w:r>
          </w:p>
        </w:tc>
        <w:tc>
          <w:tcPr>
            <w:tcW w:w="709" w:type="dxa"/>
            <w:noWrap/>
            <w:hideMark/>
          </w:tcPr>
          <w:p w14:paraId="239C31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A22FDE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6B7410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E9A158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Suttor St</w:t>
            </w:r>
          </w:p>
        </w:tc>
        <w:tc>
          <w:tcPr>
            <w:tcW w:w="1134" w:type="dxa"/>
            <w:noWrap/>
            <w:hideMark/>
          </w:tcPr>
          <w:p w14:paraId="5838A7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078C9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04E4F68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78.6</w:t>
            </w:r>
          </w:p>
        </w:tc>
        <w:tc>
          <w:tcPr>
            <w:tcW w:w="1134" w:type="dxa"/>
            <w:noWrap/>
            <w:hideMark/>
          </w:tcPr>
          <w:p w14:paraId="5ED291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6.7</w:t>
            </w:r>
          </w:p>
        </w:tc>
        <w:tc>
          <w:tcPr>
            <w:tcW w:w="1276" w:type="dxa"/>
            <w:noWrap/>
            <w:hideMark/>
          </w:tcPr>
          <w:p w14:paraId="4F2B849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67</w:t>
            </w:r>
          </w:p>
        </w:tc>
        <w:tc>
          <w:tcPr>
            <w:tcW w:w="1417" w:type="dxa"/>
            <w:noWrap/>
            <w:hideMark/>
          </w:tcPr>
          <w:p w14:paraId="538B9B6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w:t>
            </w:r>
          </w:p>
        </w:tc>
      </w:tr>
      <w:tr w:rsidR="006716B4" w:rsidRPr="006716B4" w14:paraId="49A12877" w14:textId="77777777" w:rsidTr="001367E0">
        <w:tblPrEx>
          <w:tblCellMar>
            <w:left w:w="108" w:type="dxa"/>
            <w:right w:w="108" w:type="dxa"/>
          </w:tblCellMar>
        </w:tblPrEx>
        <w:trPr>
          <w:trHeight w:val="465"/>
        </w:trPr>
        <w:tc>
          <w:tcPr>
            <w:tcW w:w="737" w:type="dxa"/>
            <w:noWrap/>
            <w:hideMark/>
          </w:tcPr>
          <w:p w14:paraId="57D6CBD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9496</w:t>
            </w:r>
          </w:p>
        </w:tc>
        <w:tc>
          <w:tcPr>
            <w:tcW w:w="1559" w:type="dxa"/>
            <w:noWrap/>
            <w:hideMark/>
          </w:tcPr>
          <w:p w14:paraId="6657B2C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Bellata Public School</w:t>
            </w:r>
          </w:p>
        </w:tc>
        <w:tc>
          <w:tcPr>
            <w:tcW w:w="709" w:type="dxa"/>
            <w:noWrap/>
            <w:hideMark/>
          </w:tcPr>
          <w:p w14:paraId="4D725FC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7D1F7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0D0AA37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C2DE46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Gurley St</w:t>
            </w:r>
          </w:p>
        </w:tc>
        <w:tc>
          <w:tcPr>
            <w:tcW w:w="1134" w:type="dxa"/>
            <w:noWrap/>
            <w:hideMark/>
          </w:tcPr>
          <w:p w14:paraId="37A0D50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01A616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37.5</w:t>
            </w:r>
          </w:p>
        </w:tc>
        <w:tc>
          <w:tcPr>
            <w:tcW w:w="1134" w:type="dxa"/>
            <w:noWrap/>
            <w:hideMark/>
          </w:tcPr>
          <w:p w14:paraId="7F17E57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2CBDF4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2416B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c>
          <w:tcPr>
            <w:tcW w:w="1417" w:type="dxa"/>
            <w:noWrap/>
            <w:hideMark/>
          </w:tcPr>
          <w:p w14:paraId="52D17C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139771AB" w14:textId="77777777" w:rsidTr="001367E0">
        <w:tblPrEx>
          <w:tblCellMar>
            <w:left w:w="108" w:type="dxa"/>
            <w:right w:w="108" w:type="dxa"/>
          </w:tblCellMar>
        </w:tblPrEx>
        <w:trPr>
          <w:trHeight w:val="465"/>
        </w:trPr>
        <w:tc>
          <w:tcPr>
            <w:tcW w:w="737" w:type="dxa"/>
            <w:noWrap/>
            <w:hideMark/>
          </w:tcPr>
          <w:p w14:paraId="469A366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6362</w:t>
            </w:r>
          </w:p>
        </w:tc>
        <w:tc>
          <w:tcPr>
            <w:tcW w:w="1559" w:type="dxa"/>
            <w:noWrap/>
            <w:hideMark/>
          </w:tcPr>
          <w:p w14:paraId="2525A06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Bellingen High School</w:t>
            </w:r>
          </w:p>
        </w:tc>
        <w:tc>
          <w:tcPr>
            <w:tcW w:w="709" w:type="dxa"/>
            <w:noWrap/>
            <w:hideMark/>
          </w:tcPr>
          <w:p w14:paraId="2F865AF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05D8D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FFBF01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F35CE8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1125 Waterfall Way</w:t>
            </w:r>
          </w:p>
        </w:tc>
        <w:tc>
          <w:tcPr>
            <w:tcW w:w="1134" w:type="dxa"/>
            <w:noWrap/>
            <w:hideMark/>
          </w:tcPr>
          <w:p w14:paraId="7E40479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3082B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6B7C82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22AC98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276" w:type="dxa"/>
            <w:noWrap/>
            <w:hideMark/>
          </w:tcPr>
          <w:p w14:paraId="525256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90</w:t>
            </w:r>
          </w:p>
        </w:tc>
        <w:tc>
          <w:tcPr>
            <w:tcW w:w="1417" w:type="dxa"/>
            <w:noWrap/>
            <w:hideMark/>
          </w:tcPr>
          <w:p w14:paraId="3BDFCB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w:t>
            </w:r>
          </w:p>
        </w:tc>
      </w:tr>
      <w:tr w:rsidR="006716B4" w:rsidRPr="006716B4" w14:paraId="63CF54FD" w14:textId="77777777" w:rsidTr="001367E0">
        <w:tblPrEx>
          <w:tblCellMar>
            <w:left w:w="108" w:type="dxa"/>
            <w:right w:w="108" w:type="dxa"/>
          </w:tblCellMar>
        </w:tblPrEx>
        <w:trPr>
          <w:trHeight w:val="465"/>
        </w:trPr>
        <w:tc>
          <w:tcPr>
            <w:tcW w:w="737" w:type="dxa"/>
            <w:noWrap/>
            <w:hideMark/>
          </w:tcPr>
          <w:p w14:paraId="33F0717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8739</w:t>
            </w:r>
          </w:p>
        </w:tc>
        <w:tc>
          <w:tcPr>
            <w:tcW w:w="1559" w:type="dxa"/>
            <w:noWrap/>
            <w:hideMark/>
          </w:tcPr>
          <w:p w14:paraId="2A3D622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Belmont High School</w:t>
            </w:r>
          </w:p>
        </w:tc>
        <w:tc>
          <w:tcPr>
            <w:tcW w:w="709" w:type="dxa"/>
            <w:noWrap/>
            <w:hideMark/>
          </w:tcPr>
          <w:p w14:paraId="0FEB6B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58424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496E04A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CB48C9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424 Pacific Highway</w:t>
            </w:r>
          </w:p>
        </w:tc>
        <w:tc>
          <w:tcPr>
            <w:tcW w:w="1134" w:type="dxa"/>
            <w:noWrap/>
            <w:hideMark/>
          </w:tcPr>
          <w:p w14:paraId="5582A9F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0BE4C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25.8</w:t>
            </w:r>
          </w:p>
        </w:tc>
        <w:tc>
          <w:tcPr>
            <w:tcW w:w="1134" w:type="dxa"/>
            <w:noWrap/>
            <w:hideMark/>
          </w:tcPr>
          <w:p w14:paraId="6F8F952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48.6</w:t>
            </w:r>
          </w:p>
        </w:tc>
        <w:tc>
          <w:tcPr>
            <w:tcW w:w="1134" w:type="dxa"/>
            <w:noWrap/>
            <w:hideMark/>
          </w:tcPr>
          <w:p w14:paraId="725A0E5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14.3</w:t>
            </w:r>
          </w:p>
        </w:tc>
        <w:tc>
          <w:tcPr>
            <w:tcW w:w="1276" w:type="dxa"/>
            <w:noWrap/>
            <w:hideMark/>
          </w:tcPr>
          <w:p w14:paraId="03E55F0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198</w:t>
            </w:r>
          </w:p>
        </w:tc>
        <w:tc>
          <w:tcPr>
            <w:tcW w:w="1417" w:type="dxa"/>
            <w:noWrap/>
            <w:hideMark/>
          </w:tcPr>
          <w:p w14:paraId="117C2CC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r>
      <w:tr w:rsidR="006716B4" w:rsidRPr="006716B4" w14:paraId="18134FC8" w14:textId="77777777" w:rsidTr="001367E0">
        <w:tblPrEx>
          <w:tblCellMar>
            <w:left w:w="108" w:type="dxa"/>
            <w:right w:w="108" w:type="dxa"/>
          </w:tblCellMar>
        </w:tblPrEx>
        <w:trPr>
          <w:trHeight w:val="465"/>
        </w:trPr>
        <w:tc>
          <w:tcPr>
            <w:tcW w:w="737" w:type="dxa"/>
            <w:noWrap/>
            <w:hideMark/>
          </w:tcPr>
          <w:p w14:paraId="23FC67A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8560</w:t>
            </w:r>
          </w:p>
        </w:tc>
        <w:tc>
          <w:tcPr>
            <w:tcW w:w="1559" w:type="dxa"/>
            <w:noWrap/>
            <w:hideMark/>
          </w:tcPr>
          <w:p w14:paraId="2521EB5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Belmore South Public School</w:t>
            </w:r>
          </w:p>
        </w:tc>
        <w:tc>
          <w:tcPr>
            <w:tcW w:w="709" w:type="dxa"/>
            <w:noWrap/>
            <w:hideMark/>
          </w:tcPr>
          <w:p w14:paraId="214DD80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26618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1CF85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146B7E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Nelson Ave &amp; Canterbury Rd</w:t>
            </w:r>
          </w:p>
        </w:tc>
        <w:tc>
          <w:tcPr>
            <w:tcW w:w="1134" w:type="dxa"/>
            <w:noWrap/>
            <w:hideMark/>
          </w:tcPr>
          <w:p w14:paraId="4109CBC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FDC11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23.9</w:t>
            </w:r>
          </w:p>
        </w:tc>
        <w:tc>
          <w:tcPr>
            <w:tcW w:w="1134" w:type="dxa"/>
            <w:noWrap/>
            <w:hideMark/>
          </w:tcPr>
          <w:p w14:paraId="289729E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4A3009D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FF6656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w:t>
            </w:r>
          </w:p>
        </w:tc>
        <w:tc>
          <w:tcPr>
            <w:tcW w:w="1417" w:type="dxa"/>
            <w:noWrap/>
            <w:hideMark/>
          </w:tcPr>
          <w:p w14:paraId="1A9D1A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CE9273C" w14:textId="77777777" w:rsidTr="001367E0">
        <w:tblPrEx>
          <w:tblCellMar>
            <w:left w:w="108" w:type="dxa"/>
            <w:right w:w="108" w:type="dxa"/>
          </w:tblCellMar>
        </w:tblPrEx>
        <w:trPr>
          <w:trHeight w:val="465"/>
        </w:trPr>
        <w:tc>
          <w:tcPr>
            <w:tcW w:w="737" w:type="dxa"/>
            <w:noWrap/>
            <w:hideMark/>
          </w:tcPr>
          <w:p w14:paraId="37E8757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10185</w:t>
            </w:r>
          </w:p>
        </w:tc>
        <w:tc>
          <w:tcPr>
            <w:tcW w:w="1559" w:type="dxa"/>
            <w:noWrap/>
            <w:hideMark/>
          </w:tcPr>
          <w:p w14:paraId="6BEF06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Bemboka Public School</w:t>
            </w:r>
          </w:p>
        </w:tc>
        <w:tc>
          <w:tcPr>
            <w:tcW w:w="709" w:type="dxa"/>
            <w:noWrap/>
            <w:hideMark/>
          </w:tcPr>
          <w:p w14:paraId="4BD89BF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FE503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1FCE3B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5C54B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Kameruka St</w:t>
            </w:r>
          </w:p>
        </w:tc>
        <w:tc>
          <w:tcPr>
            <w:tcW w:w="1134" w:type="dxa"/>
            <w:noWrap/>
            <w:hideMark/>
          </w:tcPr>
          <w:p w14:paraId="3CEDF0C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F3B9B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39.5</w:t>
            </w:r>
          </w:p>
        </w:tc>
        <w:tc>
          <w:tcPr>
            <w:tcW w:w="1134" w:type="dxa"/>
            <w:noWrap/>
            <w:hideMark/>
          </w:tcPr>
          <w:p w14:paraId="7CCF0B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2DF7BE1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444DE9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w:t>
            </w:r>
          </w:p>
        </w:tc>
        <w:tc>
          <w:tcPr>
            <w:tcW w:w="1417" w:type="dxa"/>
            <w:noWrap/>
            <w:hideMark/>
          </w:tcPr>
          <w:p w14:paraId="311CE77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26D42324" w14:textId="77777777" w:rsidTr="001367E0">
        <w:tblPrEx>
          <w:tblCellMar>
            <w:left w:w="108" w:type="dxa"/>
            <w:right w:w="108" w:type="dxa"/>
          </w:tblCellMar>
        </w:tblPrEx>
        <w:trPr>
          <w:trHeight w:val="465"/>
        </w:trPr>
        <w:tc>
          <w:tcPr>
            <w:tcW w:w="737" w:type="dxa"/>
            <w:noWrap/>
            <w:hideMark/>
          </w:tcPr>
          <w:p w14:paraId="5793028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10276</w:t>
            </w:r>
          </w:p>
        </w:tc>
        <w:tc>
          <w:tcPr>
            <w:tcW w:w="1559" w:type="dxa"/>
            <w:noWrap/>
            <w:hideMark/>
          </w:tcPr>
          <w:p w14:paraId="3DD6190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Berinba Public School</w:t>
            </w:r>
          </w:p>
        </w:tc>
        <w:tc>
          <w:tcPr>
            <w:tcW w:w="709" w:type="dxa"/>
            <w:noWrap/>
            <w:hideMark/>
          </w:tcPr>
          <w:p w14:paraId="598A8BF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32850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CA8336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BC8D70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Church St</w:t>
            </w:r>
          </w:p>
        </w:tc>
        <w:tc>
          <w:tcPr>
            <w:tcW w:w="1134" w:type="dxa"/>
            <w:noWrap/>
            <w:hideMark/>
          </w:tcPr>
          <w:p w14:paraId="72ECFA0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84004D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28.4</w:t>
            </w:r>
          </w:p>
        </w:tc>
        <w:tc>
          <w:tcPr>
            <w:tcW w:w="1134" w:type="dxa"/>
            <w:noWrap/>
            <w:hideMark/>
          </w:tcPr>
          <w:p w14:paraId="1B070F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66.7</w:t>
            </w:r>
          </w:p>
        </w:tc>
        <w:tc>
          <w:tcPr>
            <w:tcW w:w="1134" w:type="dxa"/>
            <w:noWrap/>
            <w:hideMark/>
          </w:tcPr>
          <w:p w14:paraId="78DF79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04B29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w:t>
            </w:r>
          </w:p>
        </w:tc>
        <w:tc>
          <w:tcPr>
            <w:tcW w:w="1417" w:type="dxa"/>
            <w:noWrap/>
            <w:hideMark/>
          </w:tcPr>
          <w:p w14:paraId="4E86DCD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r>
      <w:tr w:rsidR="006716B4" w:rsidRPr="006716B4" w14:paraId="648E5874" w14:textId="77777777" w:rsidTr="001367E0">
        <w:tblPrEx>
          <w:tblCellMar>
            <w:left w:w="108" w:type="dxa"/>
            <w:right w:w="108" w:type="dxa"/>
          </w:tblCellMar>
        </w:tblPrEx>
        <w:trPr>
          <w:trHeight w:val="465"/>
        </w:trPr>
        <w:tc>
          <w:tcPr>
            <w:tcW w:w="737" w:type="dxa"/>
            <w:noWrap/>
            <w:hideMark/>
          </w:tcPr>
          <w:p w14:paraId="3354E48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9969</w:t>
            </w:r>
          </w:p>
        </w:tc>
        <w:tc>
          <w:tcPr>
            <w:tcW w:w="1559" w:type="dxa"/>
            <w:noWrap/>
            <w:hideMark/>
          </w:tcPr>
          <w:p w14:paraId="5AD0280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Berkeley Public School</w:t>
            </w:r>
          </w:p>
        </w:tc>
        <w:tc>
          <w:tcPr>
            <w:tcW w:w="709" w:type="dxa"/>
            <w:noWrap/>
            <w:hideMark/>
          </w:tcPr>
          <w:p w14:paraId="7E9D2AC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E7DF22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70BF72F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BA9915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George St</w:t>
            </w:r>
          </w:p>
        </w:tc>
        <w:tc>
          <w:tcPr>
            <w:tcW w:w="1134" w:type="dxa"/>
            <w:noWrap/>
            <w:hideMark/>
          </w:tcPr>
          <w:p w14:paraId="3339B8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860725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32.2</w:t>
            </w:r>
          </w:p>
        </w:tc>
        <w:tc>
          <w:tcPr>
            <w:tcW w:w="1134" w:type="dxa"/>
            <w:noWrap/>
            <w:hideMark/>
          </w:tcPr>
          <w:p w14:paraId="37100E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44.4</w:t>
            </w:r>
          </w:p>
        </w:tc>
        <w:tc>
          <w:tcPr>
            <w:tcW w:w="1134" w:type="dxa"/>
            <w:noWrap/>
            <w:hideMark/>
          </w:tcPr>
          <w:p w14:paraId="7DF9339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276" w:type="dxa"/>
            <w:noWrap/>
            <w:hideMark/>
          </w:tcPr>
          <w:p w14:paraId="5C3CFA4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w:t>
            </w:r>
          </w:p>
        </w:tc>
        <w:tc>
          <w:tcPr>
            <w:tcW w:w="1417" w:type="dxa"/>
            <w:noWrap/>
            <w:hideMark/>
          </w:tcPr>
          <w:p w14:paraId="2A5A482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r>
      <w:tr w:rsidR="006716B4" w:rsidRPr="006716B4" w14:paraId="1E279A80" w14:textId="77777777" w:rsidTr="001367E0">
        <w:tblPrEx>
          <w:tblCellMar>
            <w:left w:w="108" w:type="dxa"/>
            <w:right w:w="108" w:type="dxa"/>
          </w:tblCellMar>
        </w:tblPrEx>
        <w:trPr>
          <w:trHeight w:val="465"/>
        </w:trPr>
        <w:tc>
          <w:tcPr>
            <w:tcW w:w="737" w:type="dxa"/>
            <w:noWrap/>
            <w:hideMark/>
          </w:tcPr>
          <w:p w14:paraId="43E4500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10424</w:t>
            </w:r>
          </w:p>
        </w:tc>
        <w:tc>
          <w:tcPr>
            <w:tcW w:w="1559" w:type="dxa"/>
            <w:noWrap/>
            <w:hideMark/>
          </w:tcPr>
          <w:p w14:paraId="28DE057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Berridale Public School</w:t>
            </w:r>
          </w:p>
        </w:tc>
        <w:tc>
          <w:tcPr>
            <w:tcW w:w="709" w:type="dxa"/>
            <w:noWrap/>
            <w:hideMark/>
          </w:tcPr>
          <w:p w14:paraId="68855F0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F9C83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12675F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2CC276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Oliver St</w:t>
            </w:r>
          </w:p>
        </w:tc>
        <w:tc>
          <w:tcPr>
            <w:tcW w:w="1134" w:type="dxa"/>
            <w:noWrap/>
            <w:hideMark/>
          </w:tcPr>
          <w:p w14:paraId="0D0FC58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11987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3B65F5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18E780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19FE61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w:t>
            </w:r>
          </w:p>
        </w:tc>
        <w:tc>
          <w:tcPr>
            <w:tcW w:w="1417" w:type="dxa"/>
            <w:noWrap/>
            <w:hideMark/>
          </w:tcPr>
          <w:p w14:paraId="4E4A94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0C990084" w14:textId="77777777" w:rsidTr="001367E0">
        <w:tblPrEx>
          <w:tblCellMar>
            <w:left w:w="108" w:type="dxa"/>
            <w:right w:w="108" w:type="dxa"/>
          </w:tblCellMar>
        </w:tblPrEx>
        <w:trPr>
          <w:trHeight w:val="465"/>
        </w:trPr>
        <w:tc>
          <w:tcPr>
            <w:tcW w:w="737" w:type="dxa"/>
            <w:noWrap/>
            <w:hideMark/>
          </w:tcPr>
          <w:p w14:paraId="705EDC2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lastRenderedPageBreak/>
              <w:t>7821</w:t>
            </w:r>
          </w:p>
        </w:tc>
        <w:tc>
          <w:tcPr>
            <w:tcW w:w="1559" w:type="dxa"/>
            <w:noWrap/>
            <w:hideMark/>
          </w:tcPr>
          <w:p w14:paraId="023041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Bert Oldfield Public School</w:t>
            </w:r>
          </w:p>
        </w:tc>
        <w:tc>
          <w:tcPr>
            <w:tcW w:w="709" w:type="dxa"/>
            <w:noWrap/>
            <w:hideMark/>
          </w:tcPr>
          <w:p w14:paraId="1049A45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431B57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20B27E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10710C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Oldfield Rd</w:t>
            </w:r>
          </w:p>
        </w:tc>
        <w:tc>
          <w:tcPr>
            <w:tcW w:w="1134" w:type="dxa"/>
            <w:noWrap/>
            <w:hideMark/>
          </w:tcPr>
          <w:p w14:paraId="371A804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EB8C8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25.5</w:t>
            </w:r>
          </w:p>
        </w:tc>
        <w:tc>
          <w:tcPr>
            <w:tcW w:w="1134" w:type="dxa"/>
            <w:noWrap/>
            <w:hideMark/>
          </w:tcPr>
          <w:p w14:paraId="61F7E30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37.5</w:t>
            </w:r>
          </w:p>
        </w:tc>
        <w:tc>
          <w:tcPr>
            <w:tcW w:w="1134" w:type="dxa"/>
            <w:noWrap/>
            <w:hideMark/>
          </w:tcPr>
          <w:p w14:paraId="7DCE3E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C4AC54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w:t>
            </w:r>
          </w:p>
        </w:tc>
        <w:tc>
          <w:tcPr>
            <w:tcW w:w="1417" w:type="dxa"/>
            <w:noWrap/>
            <w:hideMark/>
          </w:tcPr>
          <w:p w14:paraId="0B7E6F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354CC05B" w14:textId="77777777" w:rsidTr="001367E0">
        <w:tblPrEx>
          <w:tblCellMar>
            <w:left w:w="108" w:type="dxa"/>
            <w:right w:w="108" w:type="dxa"/>
          </w:tblCellMar>
        </w:tblPrEx>
        <w:trPr>
          <w:trHeight w:val="465"/>
        </w:trPr>
        <w:tc>
          <w:tcPr>
            <w:tcW w:w="737" w:type="dxa"/>
            <w:noWrap/>
            <w:hideMark/>
          </w:tcPr>
          <w:p w14:paraId="64B56F8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8593</w:t>
            </w:r>
          </w:p>
        </w:tc>
        <w:tc>
          <w:tcPr>
            <w:tcW w:w="1559" w:type="dxa"/>
            <w:noWrap/>
            <w:hideMark/>
          </w:tcPr>
          <w:p w14:paraId="1F83F13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Bexley Public School</w:t>
            </w:r>
          </w:p>
        </w:tc>
        <w:tc>
          <w:tcPr>
            <w:tcW w:w="709" w:type="dxa"/>
            <w:noWrap/>
            <w:hideMark/>
          </w:tcPr>
          <w:p w14:paraId="23C8E7A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D6AC48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40191D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B4473B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Forest Rd</w:t>
            </w:r>
          </w:p>
        </w:tc>
        <w:tc>
          <w:tcPr>
            <w:tcW w:w="1134" w:type="dxa"/>
            <w:noWrap/>
            <w:hideMark/>
          </w:tcPr>
          <w:p w14:paraId="4C181D6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42DD8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30.1</w:t>
            </w:r>
          </w:p>
        </w:tc>
        <w:tc>
          <w:tcPr>
            <w:tcW w:w="1134" w:type="dxa"/>
            <w:noWrap/>
            <w:hideMark/>
          </w:tcPr>
          <w:p w14:paraId="7DDD7A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34BAE9C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1A80D0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w:t>
            </w:r>
          </w:p>
        </w:tc>
        <w:tc>
          <w:tcPr>
            <w:tcW w:w="1417" w:type="dxa"/>
            <w:noWrap/>
            <w:hideMark/>
          </w:tcPr>
          <w:p w14:paraId="270992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1BBDE73C" w14:textId="77777777" w:rsidTr="001367E0">
        <w:tblPrEx>
          <w:tblCellMar>
            <w:left w:w="108" w:type="dxa"/>
            <w:right w:w="108" w:type="dxa"/>
          </w:tblCellMar>
        </w:tblPrEx>
        <w:trPr>
          <w:trHeight w:val="465"/>
        </w:trPr>
        <w:tc>
          <w:tcPr>
            <w:tcW w:w="737" w:type="dxa"/>
            <w:noWrap/>
            <w:hideMark/>
          </w:tcPr>
          <w:p w14:paraId="5C7C294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9923</w:t>
            </w:r>
          </w:p>
        </w:tc>
        <w:tc>
          <w:tcPr>
            <w:tcW w:w="1559" w:type="dxa"/>
            <w:noWrap/>
            <w:hideMark/>
          </w:tcPr>
          <w:p w14:paraId="2249670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Bilambil Public School</w:t>
            </w:r>
          </w:p>
        </w:tc>
        <w:tc>
          <w:tcPr>
            <w:tcW w:w="709" w:type="dxa"/>
            <w:noWrap/>
            <w:hideMark/>
          </w:tcPr>
          <w:p w14:paraId="7503011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F4D9F0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2FD9C6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0A0EDD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Bilambil Rd</w:t>
            </w:r>
          </w:p>
        </w:tc>
        <w:tc>
          <w:tcPr>
            <w:tcW w:w="1134" w:type="dxa"/>
            <w:noWrap/>
            <w:hideMark/>
          </w:tcPr>
          <w:p w14:paraId="48D267E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AE874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16.0</w:t>
            </w:r>
          </w:p>
        </w:tc>
        <w:tc>
          <w:tcPr>
            <w:tcW w:w="1134" w:type="dxa"/>
            <w:noWrap/>
            <w:hideMark/>
          </w:tcPr>
          <w:p w14:paraId="52CB9C6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683B5C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8465F1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c>
          <w:tcPr>
            <w:tcW w:w="1417" w:type="dxa"/>
            <w:noWrap/>
            <w:hideMark/>
          </w:tcPr>
          <w:p w14:paraId="4EBBF5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02054B19" w14:textId="77777777" w:rsidTr="001367E0">
        <w:tblPrEx>
          <w:tblCellMar>
            <w:left w:w="108" w:type="dxa"/>
            <w:right w:w="108" w:type="dxa"/>
          </w:tblCellMar>
        </w:tblPrEx>
        <w:trPr>
          <w:trHeight w:val="465"/>
        </w:trPr>
        <w:tc>
          <w:tcPr>
            <w:tcW w:w="737" w:type="dxa"/>
            <w:noWrap/>
            <w:hideMark/>
          </w:tcPr>
          <w:p w14:paraId="5F5CA9F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10513</w:t>
            </w:r>
          </w:p>
        </w:tc>
        <w:tc>
          <w:tcPr>
            <w:tcW w:w="1559" w:type="dxa"/>
            <w:noWrap/>
            <w:hideMark/>
          </w:tcPr>
          <w:p w14:paraId="00F2037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Billabong High School</w:t>
            </w:r>
          </w:p>
        </w:tc>
        <w:tc>
          <w:tcPr>
            <w:tcW w:w="709" w:type="dxa"/>
            <w:noWrap/>
            <w:hideMark/>
          </w:tcPr>
          <w:p w14:paraId="5F7A9FD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E524E1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68A0DD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941A9F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Gordon St</w:t>
            </w:r>
          </w:p>
        </w:tc>
        <w:tc>
          <w:tcPr>
            <w:tcW w:w="1134" w:type="dxa"/>
            <w:noWrap/>
            <w:hideMark/>
          </w:tcPr>
          <w:p w14:paraId="1722B0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8D98E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26.3</w:t>
            </w:r>
          </w:p>
        </w:tc>
        <w:tc>
          <w:tcPr>
            <w:tcW w:w="1134" w:type="dxa"/>
            <w:noWrap/>
            <w:hideMark/>
          </w:tcPr>
          <w:p w14:paraId="3D4F69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20.0</w:t>
            </w:r>
          </w:p>
        </w:tc>
        <w:tc>
          <w:tcPr>
            <w:tcW w:w="1134" w:type="dxa"/>
            <w:noWrap/>
            <w:hideMark/>
          </w:tcPr>
          <w:p w14:paraId="2A8031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276" w:type="dxa"/>
            <w:noWrap/>
            <w:hideMark/>
          </w:tcPr>
          <w:p w14:paraId="130790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57</w:t>
            </w:r>
          </w:p>
        </w:tc>
        <w:tc>
          <w:tcPr>
            <w:tcW w:w="1417" w:type="dxa"/>
            <w:noWrap/>
            <w:hideMark/>
          </w:tcPr>
          <w:p w14:paraId="243435E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322E67DB" w14:textId="77777777" w:rsidTr="001367E0">
        <w:tblPrEx>
          <w:tblCellMar>
            <w:left w:w="108" w:type="dxa"/>
            <w:right w:w="108" w:type="dxa"/>
          </w:tblCellMar>
        </w:tblPrEx>
        <w:trPr>
          <w:trHeight w:val="465"/>
        </w:trPr>
        <w:tc>
          <w:tcPr>
            <w:tcW w:w="737" w:type="dxa"/>
            <w:noWrap/>
            <w:hideMark/>
          </w:tcPr>
          <w:p w14:paraId="201E9F9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10282</w:t>
            </w:r>
          </w:p>
        </w:tc>
        <w:tc>
          <w:tcPr>
            <w:tcW w:w="1559" w:type="dxa"/>
            <w:noWrap/>
            <w:hideMark/>
          </w:tcPr>
          <w:p w14:paraId="51DCAB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Binalong Public School</w:t>
            </w:r>
          </w:p>
        </w:tc>
        <w:tc>
          <w:tcPr>
            <w:tcW w:w="709" w:type="dxa"/>
            <w:noWrap/>
            <w:hideMark/>
          </w:tcPr>
          <w:p w14:paraId="19B25A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A42B3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1BDAE1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702CF1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Dickinson St</w:t>
            </w:r>
          </w:p>
        </w:tc>
        <w:tc>
          <w:tcPr>
            <w:tcW w:w="1134" w:type="dxa"/>
            <w:noWrap/>
            <w:hideMark/>
          </w:tcPr>
          <w:p w14:paraId="01CFB06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7AFFDD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134" w:type="dxa"/>
            <w:noWrap/>
            <w:hideMark/>
          </w:tcPr>
          <w:p w14:paraId="55AB17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1FA9B3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C63763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c>
          <w:tcPr>
            <w:tcW w:w="1417" w:type="dxa"/>
            <w:noWrap/>
            <w:hideMark/>
          </w:tcPr>
          <w:p w14:paraId="1EBC204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2E174D43" w14:textId="77777777" w:rsidTr="001367E0">
        <w:tblPrEx>
          <w:tblCellMar>
            <w:left w:w="108" w:type="dxa"/>
            <w:right w:w="108" w:type="dxa"/>
          </w:tblCellMar>
        </w:tblPrEx>
        <w:trPr>
          <w:trHeight w:val="465"/>
        </w:trPr>
        <w:tc>
          <w:tcPr>
            <w:tcW w:w="737" w:type="dxa"/>
            <w:noWrap/>
            <w:hideMark/>
          </w:tcPr>
          <w:p w14:paraId="39531B4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8965</w:t>
            </w:r>
          </w:p>
        </w:tc>
        <w:tc>
          <w:tcPr>
            <w:tcW w:w="1559" w:type="dxa"/>
            <w:noWrap/>
            <w:hideMark/>
          </w:tcPr>
          <w:p w14:paraId="4449F05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Biraban Public School</w:t>
            </w:r>
          </w:p>
        </w:tc>
        <w:tc>
          <w:tcPr>
            <w:tcW w:w="709" w:type="dxa"/>
            <w:noWrap/>
            <w:hideMark/>
          </w:tcPr>
          <w:p w14:paraId="639553D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2BEB8C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19C350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505965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Beckley St</w:t>
            </w:r>
          </w:p>
        </w:tc>
        <w:tc>
          <w:tcPr>
            <w:tcW w:w="1134" w:type="dxa"/>
            <w:noWrap/>
            <w:hideMark/>
          </w:tcPr>
          <w:p w14:paraId="7265E23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9A565C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31.5</w:t>
            </w:r>
          </w:p>
        </w:tc>
        <w:tc>
          <w:tcPr>
            <w:tcW w:w="1134" w:type="dxa"/>
            <w:noWrap/>
            <w:hideMark/>
          </w:tcPr>
          <w:p w14:paraId="693E438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14B09F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6DA4F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c>
          <w:tcPr>
            <w:tcW w:w="1417" w:type="dxa"/>
            <w:noWrap/>
            <w:hideMark/>
          </w:tcPr>
          <w:p w14:paraId="103A77E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3918AA8F" w14:textId="77777777" w:rsidTr="001367E0">
        <w:tblPrEx>
          <w:tblCellMar>
            <w:left w:w="108" w:type="dxa"/>
            <w:right w:w="108" w:type="dxa"/>
          </w:tblCellMar>
        </w:tblPrEx>
        <w:trPr>
          <w:trHeight w:val="465"/>
        </w:trPr>
        <w:tc>
          <w:tcPr>
            <w:tcW w:w="737" w:type="dxa"/>
            <w:noWrap/>
            <w:hideMark/>
          </w:tcPr>
          <w:p w14:paraId="4EFBC37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7795</w:t>
            </w:r>
          </w:p>
        </w:tc>
        <w:tc>
          <w:tcPr>
            <w:tcW w:w="1559" w:type="dxa"/>
            <w:noWrap/>
            <w:hideMark/>
          </w:tcPr>
          <w:p w14:paraId="2B870BB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Birrong Boys High School</w:t>
            </w:r>
          </w:p>
        </w:tc>
        <w:tc>
          <w:tcPr>
            <w:tcW w:w="709" w:type="dxa"/>
            <w:noWrap/>
            <w:hideMark/>
          </w:tcPr>
          <w:p w14:paraId="76DA4B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F8F07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D30D3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538BB8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Rodd St</w:t>
            </w:r>
          </w:p>
        </w:tc>
        <w:tc>
          <w:tcPr>
            <w:tcW w:w="1134" w:type="dxa"/>
            <w:noWrap/>
            <w:hideMark/>
          </w:tcPr>
          <w:p w14:paraId="1C7FF6A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42623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59.2</w:t>
            </w:r>
          </w:p>
        </w:tc>
        <w:tc>
          <w:tcPr>
            <w:tcW w:w="1134" w:type="dxa"/>
            <w:noWrap/>
            <w:hideMark/>
          </w:tcPr>
          <w:p w14:paraId="763980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171459D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2C87C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171</w:t>
            </w:r>
          </w:p>
        </w:tc>
        <w:tc>
          <w:tcPr>
            <w:tcW w:w="1417" w:type="dxa"/>
            <w:noWrap/>
            <w:hideMark/>
          </w:tcPr>
          <w:p w14:paraId="604B05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6AAE4ABC" w14:textId="77777777" w:rsidTr="001367E0">
        <w:tblPrEx>
          <w:tblCellMar>
            <w:left w:w="108" w:type="dxa"/>
            <w:right w:w="108" w:type="dxa"/>
          </w:tblCellMar>
        </w:tblPrEx>
        <w:trPr>
          <w:trHeight w:val="465"/>
        </w:trPr>
        <w:tc>
          <w:tcPr>
            <w:tcW w:w="737" w:type="dxa"/>
            <w:noWrap/>
            <w:hideMark/>
          </w:tcPr>
          <w:p w14:paraId="0253F32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7796</w:t>
            </w:r>
          </w:p>
        </w:tc>
        <w:tc>
          <w:tcPr>
            <w:tcW w:w="1559" w:type="dxa"/>
            <w:noWrap/>
            <w:hideMark/>
          </w:tcPr>
          <w:p w14:paraId="69A4431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Birrong Girls High School</w:t>
            </w:r>
          </w:p>
        </w:tc>
        <w:tc>
          <w:tcPr>
            <w:tcW w:w="709" w:type="dxa"/>
            <w:noWrap/>
            <w:hideMark/>
          </w:tcPr>
          <w:p w14:paraId="5DAF737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EEEB6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6D4F9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3736BB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Cooper Rd</w:t>
            </w:r>
          </w:p>
        </w:tc>
        <w:tc>
          <w:tcPr>
            <w:tcW w:w="1134" w:type="dxa"/>
            <w:noWrap/>
            <w:hideMark/>
          </w:tcPr>
          <w:p w14:paraId="7DF79C9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F3E987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40.5</w:t>
            </w:r>
          </w:p>
        </w:tc>
        <w:tc>
          <w:tcPr>
            <w:tcW w:w="1134" w:type="dxa"/>
            <w:noWrap/>
            <w:hideMark/>
          </w:tcPr>
          <w:p w14:paraId="3F6C81D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62.5</w:t>
            </w:r>
          </w:p>
        </w:tc>
        <w:tc>
          <w:tcPr>
            <w:tcW w:w="1134" w:type="dxa"/>
            <w:noWrap/>
            <w:hideMark/>
          </w:tcPr>
          <w:p w14:paraId="40BF24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FD5D6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248</w:t>
            </w:r>
          </w:p>
        </w:tc>
        <w:tc>
          <w:tcPr>
            <w:tcW w:w="1417" w:type="dxa"/>
            <w:noWrap/>
            <w:hideMark/>
          </w:tcPr>
          <w:p w14:paraId="498411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570F3122" w14:textId="77777777" w:rsidTr="001367E0">
        <w:tblPrEx>
          <w:tblCellMar>
            <w:left w:w="108" w:type="dxa"/>
            <w:right w:w="108" w:type="dxa"/>
          </w:tblCellMar>
        </w:tblPrEx>
        <w:trPr>
          <w:trHeight w:val="465"/>
        </w:trPr>
        <w:tc>
          <w:tcPr>
            <w:tcW w:w="737" w:type="dxa"/>
            <w:noWrap/>
            <w:hideMark/>
          </w:tcPr>
          <w:p w14:paraId="3B760D6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7827</w:t>
            </w:r>
          </w:p>
        </w:tc>
        <w:tc>
          <w:tcPr>
            <w:tcW w:w="1559" w:type="dxa"/>
            <w:noWrap/>
            <w:hideMark/>
          </w:tcPr>
          <w:p w14:paraId="3AEBF8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Blacktown Boys High School</w:t>
            </w:r>
          </w:p>
        </w:tc>
        <w:tc>
          <w:tcPr>
            <w:tcW w:w="709" w:type="dxa"/>
            <w:noWrap/>
            <w:hideMark/>
          </w:tcPr>
          <w:p w14:paraId="099A3B0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CD6D10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81F06A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94F75E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Sunnyholt Rd &amp; Fifth Ave</w:t>
            </w:r>
          </w:p>
        </w:tc>
        <w:tc>
          <w:tcPr>
            <w:tcW w:w="1134" w:type="dxa"/>
            <w:noWrap/>
            <w:hideMark/>
          </w:tcPr>
          <w:p w14:paraId="386B306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32DBC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36.6</w:t>
            </w:r>
          </w:p>
        </w:tc>
        <w:tc>
          <w:tcPr>
            <w:tcW w:w="1134" w:type="dxa"/>
            <w:noWrap/>
            <w:hideMark/>
          </w:tcPr>
          <w:p w14:paraId="0C946B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55.6</w:t>
            </w:r>
          </w:p>
        </w:tc>
        <w:tc>
          <w:tcPr>
            <w:tcW w:w="1134" w:type="dxa"/>
            <w:noWrap/>
            <w:hideMark/>
          </w:tcPr>
          <w:p w14:paraId="34FE6E0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w:t>
            </w:r>
          </w:p>
        </w:tc>
        <w:tc>
          <w:tcPr>
            <w:tcW w:w="1276" w:type="dxa"/>
            <w:noWrap/>
            <w:hideMark/>
          </w:tcPr>
          <w:p w14:paraId="1FD09D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104</w:t>
            </w:r>
          </w:p>
        </w:tc>
        <w:tc>
          <w:tcPr>
            <w:tcW w:w="1417" w:type="dxa"/>
            <w:noWrap/>
            <w:hideMark/>
          </w:tcPr>
          <w:p w14:paraId="212D046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r>
      <w:tr w:rsidR="006716B4" w:rsidRPr="006716B4" w14:paraId="0894D0D3" w14:textId="77777777" w:rsidTr="001367E0">
        <w:tblPrEx>
          <w:tblCellMar>
            <w:left w:w="108" w:type="dxa"/>
            <w:right w:w="108" w:type="dxa"/>
          </w:tblCellMar>
        </w:tblPrEx>
        <w:trPr>
          <w:trHeight w:val="465"/>
        </w:trPr>
        <w:tc>
          <w:tcPr>
            <w:tcW w:w="737" w:type="dxa"/>
            <w:noWrap/>
            <w:hideMark/>
          </w:tcPr>
          <w:p w14:paraId="7CDCC6A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7828</w:t>
            </w:r>
          </w:p>
        </w:tc>
        <w:tc>
          <w:tcPr>
            <w:tcW w:w="1559" w:type="dxa"/>
            <w:noWrap/>
            <w:hideMark/>
          </w:tcPr>
          <w:p w14:paraId="3CBD8F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Blacktown Girls High School</w:t>
            </w:r>
          </w:p>
        </w:tc>
        <w:tc>
          <w:tcPr>
            <w:tcW w:w="709" w:type="dxa"/>
            <w:noWrap/>
            <w:hideMark/>
          </w:tcPr>
          <w:p w14:paraId="4F3C6F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C8AA0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D42FA0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D7E5E3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Fifth Ave</w:t>
            </w:r>
          </w:p>
        </w:tc>
        <w:tc>
          <w:tcPr>
            <w:tcW w:w="1134" w:type="dxa"/>
            <w:noWrap/>
            <w:hideMark/>
          </w:tcPr>
          <w:p w14:paraId="13F254D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2AE11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39.7</w:t>
            </w:r>
          </w:p>
        </w:tc>
        <w:tc>
          <w:tcPr>
            <w:tcW w:w="1134" w:type="dxa"/>
            <w:noWrap/>
            <w:hideMark/>
          </w:tcPr>
          <w:p w14:paraId="7ADC81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66.7</w:t>
            </w:r>
          </w:p>
        </w:tc>
        <w:tc>
          <w:tcPr>
            <w:tcW w:w="1134" w:type="dxa"/>
            <w:noWrap/>
            <w:hideMark/>
          </w:tcPr>
          <w:p w14:paraId="786433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7.1</w:t>
            </w:r>
          </w:p>
        </w:tc>
        <w:tc>
          <w:tcPr>
            <w:tcW w:w="1276" w:type="dxa"/>
            <w:noWrap/>
            <w:hideMark/>
          </w:tcPr>
          <w:p w14:paraId="372437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156</w:t>
            </w:r>
          </w:p>
        </w:tc>
        <w:tc>
          <w:tcPr>
            <w:tcW w:w="1417" w:type="dxa"/>
            <w:noWrap/>
            <w:hideMark/>
          </w:tcPr>
          <w:p w14:paraId="0369B01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w:t>
            </w:r>
          </w:p>
        </w:tc>
      </w:tr>
      <w:tr w:rsidR="006716B4" w:rsidRPr="006716B4" w14:paraId="1A8DDA27" w14:textId="77777777" w:rsidTr="001367E0">
        <w:tblPrEx>
          <w:tblCellMar>
            <w:left w:w="108" w:type="dxa"/>
            <w:right w:w="108" w:type="dxa"/>
          </w:tblCellMar>
        </w:tblPrEx>
        <w:trPr>
          <w:trHeight w:val="465"/>
        </w:trPr>
        <w:tc>
          <w:tcPr>
            <w:tcW w:w="737" w:type="dxa"/>
            <w:noWrap/>
            <w:hideMark/>
          </w:tcPr>
          <w:p w14:paraId="501BF5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7829</w:t>
            </w:r>
          </w:p>
        </w:tc>
        <w:tc>
          <w:tcPr>
            <w:tcW w:w="1559" w:type="dxa"/>
            <w:noWrap/>
            <w:hideMark/>
          </w:tcPr>
          <w:p w14:paraId="5B98FC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Blacktown North Public School</w:t>
            </w:r>
          </w:p>
        </w:tc>
        <w:tc>
          <w:tcPr>
            <w:tcW w:w="709" w:type="dxa"/>
            <w:noWrap/>
            <w:hideMark/>
          </w:tcPr>
          <w:p w14:paraId="1727860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24D01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F48E2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A20EB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 Bessemer St</w:t>
            </w:r>
          </w:p>
        </w:tc>
        <w:tc>
          <w:tcPr>
            <w:tcW w:w="1134" w:type="dxa"/>
            <w:noWrap/>
            <w:hideMark/>
          </w:tcPr>
          <w:p w14:paraId="0C0294B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A0F7B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1F04D3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173F378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F42ACE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w:t>
            </w:r>
          </w:p>
        </w:tc>
        <w:tc>
          <w:tcPr>
            <w:tcW w:w="1417" w:type="dxa"/>
            <w:noWrap/>
            <w:hideMark/>
          </w:tcPr>
          <w:p w14:paraId="6BF113B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450FBDFF" w14:textId="77777777" w:rsidTr="001367E0">
        <w:tblPrEx>
          <w:tblCellMar>
            <w:left w:w="108" w:type="dxa"/>
            <w:right w:w="108" w:type="dxa"/>
          </w:tblCellMar>
        </w:tblPrEx>
        <w:trPr>
          <w:trHeight w:val="465"/>
        </w:trPr>
        <w:tc>
          <w:tcPr>
            <w:tcW w:w="737" w:type="dxa"/>
            <w:noWrap/>
            <w:hideMark/>
          </w:tcPr>
          <w:p w14:paraId="4EF6C41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7832</w:t>
            </w:r>
          </w:p>
        </w:tc>
        <w:tc>
          <w:tcPr>
            <w:tcW w:w="1559" w:type="dxa"/>
            <w:noWrap/>
            <w:hideMark/>
          </w:tcPr>
          <w:p w14:paraId="6BCD697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Blacktown West Public School</w:t>
            </w:r>
          </w:p>
        </w:tc>
        <w:tc>
          <w:tcPr>
            <w:tcW w:w="709" w:type="dxa"/>
            <w:noWrap/>
            <w:hideMark/>
          </w:tcPr>
          <w:p w14:paraId="4254D70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BC9C9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73DBF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6D5969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Lancaster St</w:t>
            </w:r>
          </w:p>
        </w:tc>
        <w:tc>
          <w:tcPr>
            <w:tcW w:w="1134" w:type="dxa"/>
            <w:noWrap/>
            <w:hideMark/>
          </w:tcPr>
          <w:p w14:paraId="3AFF7A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61895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32.9</w:t>
            </w:r>
          </w:p>
        </w:tc>
        <w:tc>
          <w:tcPr>
            <w:tcW w:w="1134" w:type="dxa"/>
            <w:noWrap/>
            <w:hideMark/>
          </w:tcPr>
          <w:p w14:paraId="2833B6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71.4</w:t>
            </w:r>
          </w:p>
        </w:tc>
        <w:tc>
          <w:tcPr>
            <w:tcW w:w="1134" w:type="dxa"/>
            <w:noWrap/>
            <w:hideMark/>
          </w:tcPr>
          <w:p w14:paraId="62F557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20.0</w:t>
            </w:r>
          </w:p>
        </w:tc>
        <w:tc>
          <w:tcPr>
            <w:tcW w:w="1276" w:type="dxa"/>
            <w:noWrap/>
            <w:hideMark/>
          </w:tcPr>
          <w:p w14:paraId="792245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72</w:t>
            </w:r>
          </w:p>
        </w:tc>
        <w:tc>
          <w:tcPr>
            <w:tcW w:w="1417" w:type="dxa"/>
            <w:noWrap/>
            <w:hideMark/>
          </w:tcPr>
          <w:p w14:paraId="32E2E2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29A8AE65" w14:textId="77777777" w:rsidTr="001367E0">
        <w:tblPrEx>
          <w:tblCellMar>
            <w:left w:w="108" w:type="dxa"/>
            <w:right w:w="108" w:type="dxa"/>
          </w:tblCellMar>
        </w:tblPrEx>
        <w:trPr>
          <w:trHeight w:val="465"/>
        </w:trPr>
        <w:tc>
          <w:tcPr>
            <w:tcW w:w="737" w:type="dxa"/>
            <w:noWrap/>
            <w:hideMark/>
          </w:tcPr>
          <w:p w14:paraId="07F8B15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9780</w:t>
            </w:r>
          </w:p>
        </w:tc>
        <w:tc>
          <w:tcPr>
            <w:tcW w:w="1559" w:type="dxa"/>
            <w:noWrap/>
            <w:hideMark/>
          </w:tcPr>
          <w:p w14:paraId="6AB6FD1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Blakebrook Public School</w:t>
            </w:r>
          </w:p>
        </w:tc>
        <w:tc>
          <w:tcPr>
            <w:tcW w:w="709" w:type="dxa"/>
            <w:noWrap/>
            <w:hideMark/>
          </w:tcPr>
          <w:p w14:paraId="0918299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F0004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EC81E1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E36C62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Rosehill Rd</w:t>
            </w:r>
          </w:p>
        </w:tc>
        <w:tc>
          <w:tcPr>
            <w:tcW w:w="1134" w:type="dxa"/>
            <w:noWrap/>
            <w:hideMark/>
          </w:tcPr>
          <w:p w14:paraId="365C745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3E769C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32.3</w:t>
            </w:r>
          </w:p>
        </w:tc>
        <w:tc>
          <w:tcPr>
            <w:tcW w:w="1134" w:type="dxa"/>
            <w:noWrap/>
            <w:hideMark/>
          </w:tcPr>
          <w:p w14:paraId="2FD2823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39D945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F49463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w:t>
            </w:r>
          </w:p>
        </w:tc>
        <w:tc>
          <w:tcPr>
            <w:tcW w:w="1417" w:type="dxa"/>
            <w:noWrap/>
            <w:hideMark/>
          </w:tcPr>
          <w:p w14:paraId="1917306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7364ADA8" w14:textId="77777777" w:rsidTr="001367E0">
        <w:tblPrEx>
          <w:tblCellMar>
            <w:left w:w="108" w:type="dxa"/>
            <w:right w:w="108" w:type="dxa"/>
          </w:tblCellMar>
        </w:tblPrEx>
        <w:trPr>
          <w:trHeight w:val="465"/>
        </w:trPr>
        <w:tc>
          <w:tcPr>
            <w:tcW w:w="737" w:type="dxa"/>
            <w:noWrap/>
            <w:hideMark/>
          </w:tcPr>
          <w:p w14:paraId="47371D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10998</w:t>
            </w:r>
          </w:p>
        </w:tc>
        <w:tc>
          <w:tcPr>
            <w:tcW w:w="1559" w:type="dxa"/>
            <w:noWrap/>
            <w:hideMark/>
          </w:tcPr>
          <w:p w14:paraId="286FC18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Blayney High School</w:t>
            </w:r>
          </w:p>
        </w:tc>
        <w:tc>
          <w:tcPr>
            <w:tcW w:w="709" w:type="dxa"/>
            <w:noWrap/>
            <w:hideMark/>
          </w:tcPr>
          <w:p w14:paraId="6260FC7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DC31F1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018C09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45BE94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Water St</w:t>
            </w:r>
          </w:p>
        </w:tc>
        <w:tc>
          <w:tcPr>
            <w:tcW w:w="1134" w:type="dxa"/>
            <w:noWrap/>
            <w:hideMark/>
          </w:tcPr>
          <w:p w14:paraId="0511CB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6CAD9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31.6</w:t>
            </w:r>
          </w:p>
        </w:tc>
        <w:tc>
          <w:tcPr>
            <w:tcW w:w="1134" w:type="dxa"/>
            <w:noWrap/>
            <w:hideMark/>
          </w:tcPr>
          <w:p w14:paraId="7F0EF5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15.4</w:t>
            </w:r>
          </w:p>
        </w:tc>
        <w:tc>
          <w:tcPr>
            <w:tcW w:w="1134" w:type="dxa"/>
            <w:noWrap/>
            <w:hideMark/>
          </w:tcPr>
          <w:p w14:paraId="7BE0CC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276" w:type="dxa"/>
            <w:noWrap/>
            <w:hideMark/>
          </w:tcPr>
          <w:p w14:paraId="7A09FF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77</w:t>
            </w:r>
          </w:p>
        </w:tc>
        <w:tc>
          <w:tcPr>
            <w:tcW w:w="1417" w:type="dxa"/>
            <w:noWrap/>
            <w:hideMark/>
          </w:tcPr>
          <w:p w14:paraId="6CAE3C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6D199B4B" w14:textId="77777777" w:rsidTr="001367E0">
        <w:tblPrEx>
          <w:tblCellMar>
            <w:left w:w="108" w:type="dxa"/>
            <w:right w:w="108" w:type="dxa"/>
          </w:tblCellMar>
        </w:tblPrEx>
        <w:trPr>
          <w:trHeight w:val="465"/>
        </w:trPr>
        <w:tc>
          <w:tcPr>
            <w:tcW w:w="737" w:type="dxa"/>
            <w:noWrap/>
            <w:hideMark/>
          </w:tcPr>
          <w:p w14:paraId="78670A9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10999</w:t>
            </w:r>
          </w:p>
        </w:tc>
        <w:tc>
          <w:tcPr>
            <w:tcW w:w="1559" w:type="dxa"/>
            <w:noWrap/>
            <w:hideMark/>
          </w:tcPr>
          <w:p w14:paraId="240DB60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Blayney Public School</w:t>
            </w:r>
          </w:p>
        </w:tc>
        <w:tc>
          <w:tcPr>
            <w:tcW w:w="709" w:type="dxa"/>
            <w:noWrap/>
            <w:hideMark/>
          </w:tcPr>
          <w:p w14:paraId="3D0D9B9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E16B04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57760F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7311AB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Lindsay St</w:t>
            </w:r>
          </w:p>
        </w:tc>
        <w:tc>
          <w:tcPr>
            <w:tcW w:w="1134" w:type="dxa"/>
            <w:noWrap/>
            <w:hideMark/>
          </w:tcPr>
          <w:p w14:paraId="61DA075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45864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26.6</w:t>
            </w:r>
          </w:p>
        </w:tc>
        <w:tc>
          <w:tcPr>
            <w:tcW w:w="1134" w:type="dxa"/>
            <w:noWrap/>
            <w:hideMark/>
          </w:tcPr>
          <w:p w14:paraId="4E24CD8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74ECE6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F4AAA1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w:t>
            </w:r>
          </w:p>
        </w:tc>
        <w:tc>
          <w:tcPr>
            <w:tcW w:w="1417" w:type="dxa"/>
            <w:noWrap/>
            <w:hideMark/>
          </w:tcPr>
          <w:p w14:paraId="2E6B7F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5E2AF796" w14:textId="77777777" w:rsidTr="001367E0">
        <w:tblPrEx>
          <w:tblCellMar>
            <w:left w:w="108" w:type="dxa"/>
            <w:right w:w="108" w:type="dxa"/>
          </w:tblCellMar>
        </w:tblPrEx>
        <w:trPr>
          <w:trHeight w:val="465"/>
        </w:trPr>
        <w:tc>
          <w:tcPr>
            <w:tcW w:w="737" w:type="dxa"/>
            <w:noWrap/>
            <w:hideMark/>
          </w:tcPr>
          <w:p w14:paraId="0A6787A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lastRenderedPageBreak/>
              <w:t>11001</w:t>
            </w:r>
          </w:p>
        </w:tc>
        <w:tc>
          <w:tcPr>
            <w:tcW w:w="1559" w:type="dxa"/>
            <w:noWrap/>
            <w:hideMark/>
          </w:tcPr>
          <w:p w14:paraId="40CBF1C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Bletchington Public School</w:t>
            </w:r>
          </w:p>
        </w:tc>
        <w:tc>
          <w:tcPr>
            <w:tcW w:w="709" w:type="dxa"/>
            <w:noWrap/>
            <w:hideMark/>
          </w:tcPr>
          <w:p w14:paraId="6B08210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1E82E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3356B63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09A6CB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Matthews Ave</w:t>
            </w:r>
          </w:p>
        </w:tc>
        <w:tc>
          <w:tcPr>
            <w:tcW w:w="1134" w:type="dxa"/>
            <w:noWrap/>
            <w:hideMark/>
          </w:tcPr>
          <w:p w14:paraId="5F48D26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7BC051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19.0</w:t>
            </w:r>
          </w:p>
        </w:tc>
        <w:tc>
          <w:tcPr>
            <w:tcW w:w="1134" w:type="dxa"/>
            <w:noWrap/>
            <w:hideMark/>
          </w:tcPr>
          <w:p w14:paraId="531D31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22133B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6CF5B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w:t>
            </w:r>
          </w:p>
        </w:tc>
        <w:tc>
          <w:tcPr>
            <w:tcW w:w="1417" w:type="dxa"/>
            <w:noWrap/>
            <w:hideMark/>
          </w:tcPr>
          <w:p w14:paraId="6BEC2A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54AF8CC3" w14:textId="77777777" w:rsidTr="001367E0">
        <w:tblPrEx>
          <w:tblCellMar>
            <w:left w:w="108" w:type="dxa"/>
            <w:right w:w="108" w:type="dxa"/>
          </w:tblCellMar>
        </w:tblPrEx>
        <w:trPr>
          <w:trHeight w:val="465"/>
        </w:trPr>
        <w:tc>
          <w:tcPr>
            <w:tcW w:w="737" w:type="dxa"/>
            <w:noWrap/>
            <w:hideMark/>
          </w:tcPr>
          <w:p w14:paraId="316924C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14949</w:t>
            </w:r>
          </w:p>
        </w:tc>
        <w:tc>
          <w:tcPr>
            <w:tcW w:w="1559" w:type="dxa"/>
            <w:noWrap/>
            <w:hideMark/>
          </w:tcPr>
          <w:p w14:paraId="29B41C9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Bligh Park Public School</w:t>
            </w:r>
          </w:p>
        </w:tc>
        <w:tc>
          <w:tcPr>
            <w:tcW w:w="709" w:type="dxa"/>
            <w:noWrap/>
            <w:hideMark/>
          </w:tcPr>
          <w:p w14:paraId="7DB8A45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F858A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115A1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5E651F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Alexander St</w:t>
            </w:r>
          </w:p>
        </w:tc>
        <w:tc>
          <w:tcPr>
            <w:tcW w:w="1134" w:type="dxa"/>
            <w:noWrap/>
            <w:hideMark/>
          </w:tcPr>
          <w:p w14:paraId="0FE243B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64CDA6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28.8</w:t>
            </w:r>
          </w:p>
        </w:tc>
        <w:tc>
          <w:tcPr>
            <w:tcW w:w="1134" w:type="dxa"/>
            <w:noWrap/>
            <w:hideMark/>
          </w:tcPr>
          <w:p w14:paraId="7D62DB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20.0</w:t>
            </w:r>
          </w:p>
        </w:tc>
        <w:tc>
          <w:tcPr>
            <w:tcW w:w="1134" w:type="dxa"/>
            <w:noWrap/>
            <w:hideMark/>
          </w:tcPr>
          <w:p w14:paraId="547AB9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9.1</w:t>
            </w:r>
          </w:p>
        </w:tc>
        <w:tc>
          <w:tcPr>
            <w:tcW w:w="1276" w:type="dxa"/>
            <w:noWrap/>
            <w:hideMark/>
          </w:tcPr>
          <w:p w14:paraId="0320936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62</w:t>
            </w:r>
          </w:p>
        </w:tc>
        <w:tc>
          <w:tcPr>
            <w:tcW w:w="1417" w:type="dxa"/>
            <w:noWrap/>
            <w:hideMark/>
          </w:tcPr>
          <w:p w14:paraId="13C3AC2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161A9E64" w14:textId="77777777" w:rsidTr="001367E0">
        <w:tblPrEx>
          <w:tblCellMar>
            <w:left w:w="108" w:type="dxa"/>
            <w:right w:w="108" w:type="dxa"/>
          </w:tblCellMar>
        </w:tblPrEx>
        <w:trPr>
          <w:trHeight w:val="465"/>
        </w:trPr>
        <w:tc>
          <w:tcPr>
            <w:tcW w:w="737" w:type="dxa"/>
            <w:noWrap/>
            <w:hideMark/>
          </w:tcPr>
          <w:p w14:paraId="6DB801B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9654</w:t>
            </w:r>
          </w:p>
        </w:tc>
        <w:tc>
          <w:tcPr>
            <w:tcW w:w="1559" w:type="dxa"/>
            <w:noWrap/>
            <w:hideMark/>
          </w:tcPr>
          <w:p w14:paraId="47267A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Boambee Public School</w:t>
            </w:r>
          </w:p>
        </w:tc>
        <w:tc>
          <w:tcPr>
            <w:tcW w:w="709" w:type="dxa"/>
            <w:noWrap/>
            <w:hideMark/>
          </w:tcPr>
          <w:p w14:paraId="2A2479B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45E68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44DBDC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1A6165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30 Lindsays Rd</w:t>
            </w:r>
          </w:p>
        </w:tc>
        <w:tc>
          <w:tcPr>
            <w:tcW w:w="1134" w:type="dxa"/>
            <w:noWrap/>
            <w:hideMark/>
          </w:tcPr>
          <w:p w14:paraId="1BB35E7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B3C062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22.3</w:t>
            </w:r>
          </w:p>
        </w:tc>
        <w:tc>
          <w:tcPr>
            <w:tcW w:w="1134" w:type="dxa"/>
            <w:noWrap/>
            <w:hideMark/>
          </w:tcPr>
          <w:p w14:paraId="58C4B0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0CB410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2E5A9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w:t>
            </w:r>
          </w:p>
        </w:tc>
        <w:tc>
          <w:tcPr>
            <w:tcW w:w="1417" w:type="dxa"/>
            <w:noWrap/>
            <w:hideMark/>
          </w:tcPr>
          <w:p w14:paraId="6FAE8B1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22769A05" w14:textId="77777777" w:rsidTr="001367E0">
        <w:tblPrEx>
          <w:tblCellMar>
            <w:left w:w="108" w:type="dxa"/>
            <w:right w:w="108" w:type="dxa"/>
          </w:tblCellMar>
        </w:tblPrEx>
        <w:trPr>
          <w:trHeight w:val="465"/>
        </w:trPr>
        <w:tc>
          <w:tcPr>
            <w:tcW w:w="737" w:type="dxa"/>
            <w:noWrap/>
            <w:hideMark/>
          </w:tcPr>
          <w:p w14:paraId="163B1C4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10175</w:t>
            </w:r>
          </w:p>
        </w:tc>
        <w:tc>
          <w:tcPr>
            <w:tcW w:w="1559" w:type="dxa"/>
            <w:noWrap/>
            <w:hideMark/>
          </w:tcPr>
          <w:p w14:paraId="74B7866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Bodalla Public School</w:t>
            </w:r>
          </w:p>
        </w:tc>
        <w:tc>
          <w:tcPr>
            <w:tcW w:w="709" w:type="dxa"/>
            <w:noWrap/>
            <w:hideMark/>
          </w:tcPr>
          <w:p w14:paraId="3FAB543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ACA8A2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722377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6B7509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Potato Point Rd</w:t>
            </w:r>
          </w:p>
        </w:tc>
        <w:tc>
          <w:tcPr>
            <w:tcW w:w="1134" w:type="dxa"/>
            <w:noWrap/>
            <w:hideMark/>
          </w:tcPr>
          <w:p w14:paraId="319A66D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B6878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19.5</w:t>
            </w:r>
          </w:p>
        </w:tc>
        <w:tc>
          <w:tcPr>
            <w:tcW w:w="1134" w:type="dxa"/>
            <w:noWrap/>
            <w:hideMark/>
          </w:tcPr>
          <w:p w14:paraId="41D2C0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54.5</w:t>
            </w:r>
          </w:p>
        </w:tc>
        <w:tc>
          <w:tcPr>
            <w:tcW w:w="1134" w:type="dxa"/>
            <w:noWrap/>
            <w:hideMark/>
          </w:tcPr>
          <w:p w14:paraId="4D2FBB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B3159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c>
          <w:tcPr>
            <w:tcW w:w="1417" w:type="dxa"/>
            <w:noWrap/>
            <w:hideMark/>
          </w:tcPr>
          <w:p w14:paraId="6F4E1B3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02E29229" w14:textId="77777777" w:rsidTr="001367E0">
        <w:tblPrEx>
          <w:tblCellMar>
            <w:left w:w="108" w:type="dxa"/>
            <w:right w:w="108" w:type="dxa"/>
          </w:tblCellMar>
        </w:tblPrEx>
        <w:trPr>
          <w:trHeight w:val="465"/>
        </w:trPr>
        <w:tc>
          <w:tcPr>
            <w:tcW w:w="737" w:type="dxa"/>
            <w:noWrap/>
            <w:hideMark/>
          </w:tcPr>
          <w:p w14:paraId="3AFF7C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9532</w:t>
            </w:r>
          </w:p>
        </w:tc>
        <w:tc>
          <w:tcPr>
            <w:tcW w:w="1559" w:type="dxa"/>
            <w:noWrap/>
            <w:hideMark/>
          </w:tcPr>
          <w:p w14:paraId="7658D7D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Booral Public School</w:t>
            </w:r>
          </w:p>
        </w:tc>
        <w:tc>
          <w:tcPr>
            <w:tcW w:w="709" w:type="dxa"/>
            <w:noWrap/>
            <w:hideMark/>
          </w:tcPr>
          <w:p w14:paraId="495CADD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386ED0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6A3EDA2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8453E5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2800 Bucketts Way</w:t>
            </w:r>
          </w:p>
        </w:tc>
        <w:tc>
          <w:tcPr>
            <w:tcW w:w="1134" w:type="dxa"/>
            <w:noWrap/>
            <w:hideMark/>
          </w:tcPr>
          <w:p w14:paraId="6374DCA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541DF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14.0</w:t>
            </w:r>
          </w:p>
        </w:tc>
        <w:tc>
          <w:tcPr>
            <w:tcW w:w="1134" w:type="dxa"/>
            <w:noWrap/>
            <w:hideMark/>
          </w:tcPr>
          <w:p w14:paraId="1B1848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0DAEADD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14F7C6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c>
          <w:tcPr>
            <w:tcW w:w="1417" w:type="dxa"/>
            <w:noWrap/>
            <w:hideMark/>
          </w:tcPr>
          <w:p w14:paraId="616536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63F5D445" w14:textId="77777777" w:rsidTr="001367E0">
        <w:tblPrEx>
          <w:tblCellMar>
            <w:left w:w="108" w:type="dxa"/>
            <w:right w:w="108" w:type="dxa"/>
          </w:tblCellMar>
        </w:tblPrEx>
        <w:trPr>
          <w:trHeight w:val="465"/>
        </w:trPr>
        <w:tc>
          <w:tcPr>
            <w:tcW w:w="737" w:type="dxa"/>
            <w:noWrap/>
            <w:hideMark/>
          </w:tcPr>
          <w:p w14:paraId="490DD2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10284</w:t>
            </w:r>
          </w:p>
        </w:tc>
        <w:tc>
          <w:tcPr>
            <w:tcW w:w="1559" w:type="dxa"/>
            <w:noWrap/>
            <w:hideMark/>
          </w:tcPr>
          <w:p w14:paraId="3259633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Boorowa Central School</w:t>
            </w:r>
          </w:p>
        </w:tc>
        <w:tc>
          <w:tcPr>
            <w:tcW w:w="709" w:type="dxa"/>
            <w:noWrap/>
            <w:hideMark/>
          </w:tcPr>
          <w:p w14:paraId="2A40105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6BEDD5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133F7F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060DD9D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Pudman St</w:t>
            </w:r>
          </w:p>
        </w:tc>
        <w:tc>
          <w:tcPr>
            <w:tcW w:w="1134" w:type="dxa"/>
            <w:noWrap/>
            <w:hideMark/>
          </w:tcPr>
          <w:p w14:paraId="5C6A996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08B897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23.1</w:t>
            </w:r>
          </w:p>
        </w:tc>
        <w:tc>
          <w:tcPr>
            <w:tcW w:w="1134" w:type="dxa"/>
            <w:noWrap/>
            <w:hideMark/>
          </w:tcPr>
          <w:p w14:paraId="04246E0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40.0</w:t>
            </w:r>
          </w:p>
        </w:tc>
        <w:tc>
          <w:tcPr>
            <w:tcW w:w="1134" w:type="dxa"/>
            <w:noWrap/>
            <w:hideMark/>
          </w:tcPr>
          <w:p w14:paraId="049E8C7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17F88D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w:t>
            </w:r>
          </w:p>
        </w:tc>
        <w:tc>
          <w:tcPr>
            <w:tcW w:w="1417" w:type="dxa"/>
            <w:noWrap/>
            <w:hideMark/>
          </w:tcPr>
          <w:p w14:paraId="24B237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66088691" w14:textId="77777777" w:rsidTr="001367E0">
        <w:tblPrEx>
          <w:tblCellMar>
            <w:left w:w="108" w:type="dxa"/>
            <w:right w:w="108" w:type="dxa"/>
          </w:tblCellMar>
        </w:tblPrEx>
        <w:trPr>
          <w:trHeight w:val="465"/>
        </w:trPr>
        <w:tc>
          <w:tcPr>
            <w:tcW w:w="737" w:type="dxa"/>
            <w:noWrap/>
            <w:hideMark/>
          </w:tcPr>
          <w:p w14:paraId="68DD34E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24735</w:t>
            </w:r>
          </w:p>
        </w:tc>
        <w:tc>
          <w:tcPr>
            <w:tcW w:w="1559" w:type="dxa"/>
            <w:noWrap/>
            <w:hideMark/>
          </w:tcPr>
          <w:p w14:paraId="094379F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Bourke-Walgett School of Distance Education</w:t>
            </w:r>
          </w:p>
        </w:tc>
        <w:tc>
          <w:tcPr>
            <w:tcW w:w="709" w:type="dxa"/>
            <w:noWrap/>
            <w:hideMark/>
          </w:tcPr>
          <w:p w14:paraId="7CAA5F0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F0C84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w:t>
            </w:r>
          </w:p>
        </w:tc>
        <w:tc>
          <w:tcPr>
            <w:tcW w:w="1134" w:type="dxa"/>
            <w:noWrap/>
            <w:hideMark/>
          </w:tcPr>
          <w:p w14:paraId="0E35D8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2B04FC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Green Street</w:t>
            </w:r>
          </w:p>
        </w:tc>
        <w:tc>
          <w:tcPr>
            <w:tcW w:w="1134" w:type="dxa"/>
            <w:noWrap/>
            <w:hideMark/>
          </w:tcPr>
          <w:p w14:paraId="00F1B2E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53691C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11.1</w:t>
            </w:r>
          </w:p>
        </w:tc>
        <w:tc>
          <w:tcPr>
            <w:tcW w:w="1134" w:type="dxa"/>
            <w:noWrap/>
            <w:hideMark/>
          </w:tcPr>
          <w:p w14:paraId="0274CA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5582F56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276" w:type="dxa"/>
            <w:noWrap/>
            <w:hideMark/>
          </w:tcPr>
          <w:p w14:paraId="1C0E02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c>
          <w:tcPr>
            <w:tcW w:w="1417" w:type="dxa"/>
            <w:noWrap/>
            <w:hideMark/>
          </w:tcPr>
          <w:p w14:paraId="6077912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66B354F3" w14:textId="77777777" w:rsidTr="001367E0">
        <w:tblPrEx>
          <w:tblCellMar>
            <w:left w:w="108" w:type="dxa"/>
            <w:right w:w="108" w:type="dxa"/>
          </w:tblCellMar>
        </w:tblPrEx>
        <w:trPr>
          <w:trHeight w:val="465"/>
        </w:trPr>
        <w:tc>
          <w:tcPr>
            <w:tcW w:w="737" w:type="dxa"/>
            <w:noWrap/>
            <w:hideMark/>
          </w:tcPr>
          <w:p w14:paraId="701F5D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10415</w:t>
            </w:r>
          </w:p>
        </w:tc>
        <w:tc>
          <w:tcPr>
            <w:tcW w:w="1559" w:type="dxa"/>
            <w:noWrap/>
            <w:hideMark/>
          </w:tcPr>
          <w:p w14:paraId="7E4405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Braidwood Central School</w:t>
            </w:r>
          </w:p>
        </w:tc>
        <w:tc>
          <w:tcPr>
            <w:tcW w:w="709" w:type="dxa"/>
            <w:noWrap/>
            <w:hideMark/>
          </w:tcPr>
          <w:p w14:paraId="129C11C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862C0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4F70AA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303EFB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Wilson St</w:t>
            </w:r>
          </w:p>
        </w:tc>
        <w:tc>
          <w:tcPr>
            <w:tcW w:w="1134" w:type="dxa"/>
            <w:noWrap/>
            <w:hideMark/>
          </w:tcPr>
          <w:p w14:paraId="7B33658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DCB44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28.8</w:t>
            </w:r>
          </w:p>
        </w:tc>
        <w:tc>
          <w:tcPr>
            <w:tcW w:w="1134" w:type="dxa"/>
            <w:noWrap/>
            <w:hideMark/>
          </w:tcPr>
          <w:p w14:paraId="7A04A6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43.8</w:t>
            </w:r>
          </w:p>
        </w:tc>
        <w:tc>
          <w:tcPr>
            <w:tcW w:w="1134" w:type="dxa"/>
            <w:noWrap/>
            <w:hideMark/>
          </w:tcPr>
          <w:p w14:paraId="1F8008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DE328B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82</w:t>
            </w:r>
          </w:p>
        </w:tc>
        <w:tc>
          <w:tcPr>
            <w:tcW w:w="1417" w:type="dxa"/>
            <w:noWrap/>
            <w:hideMark/>
          </w:tcPr>
          <w:p w14:paraId="5E9DCC4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r>
      <w:tr w:rsidR="006716B4" w:rsidRPr="006716B4" w14:paraId="4C612E25" w14:textId="77777777" w:rsidTr="001367E0">
        <w:tblPrEx>
          <w:tblCellMar>
            <w:left w:w="108" w:type="dxa"/>
            <w:right w:w="108" w:type="dxa"/>
          </w:tblCellMar>
        </w:tblPrEx>
        <w:trPr>
          <w:trHeight w:val="465"/>
        </w:trPr>
        <w:tc>
          <w:tcPr>
            <w:tcW w:w="737" w:type="dxa"/>
            <w:noWrap/>
            <w:hideMark/>
          </w:tcPr>
          <w:p w14:paraId="08CEEA3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10422</w:t>
            </w:r>
          </w:p>
        </w:tc>
        <w:tc>
          <w:tcPr>
            <w:tcW w:w="1559" w:type="dxa"/>
            <w:noWrap/>
            <w:hideMark/>
          </w:tcPr>
          <w:p w14:paraId="04FBDDB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Bredbo Public School</w:t>
            </w:r>
          </w:p>
        </w:tc>
        <w:tc>
          <w:tcPr>
            <w:tcW w:w="709" w:type="dxa"/>
            <w:noWrap/>
            <w:hideMark/>
          </w:tcPr>
          <w:p w14:paraId="4D7606A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3EB207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E488A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FE62B3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Monaro Hwy</w:t>
            </w:r>
          </w:p>
        </w:tc>
        <w:tc>
          <w:tcPr>
            <w:tcW w:w="1134" w:type="dxa"/>
            <w:noWrap/>
            <w:hideMark/>
          </w:tcPr>
          <w:p w14:paraId="2C14797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88431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21.4</w:t>
            </w:r>
          </w:p>
        </w:tc>
        <w:tc>
          <w:tcPr>
            <w:tcW w:w="1134" w:type="dxa"/>
            <w:noWrap/>
            <w:hideMark/>
          </w:tcPr>
          <w:p w14:paraId="727A5D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B5A47A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17B0B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c>
          <w:tcPr>
            <w:tcW w:w="1417" w:type="dxa"/>
            <w:noWrap/>
            <w:hideMark/>
          </w:tcPr>
          <w:p w14:paraId="586240E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1DDFD2C1" w14:textId="77777777" w:rsidTr="001367E0">
        <w:tblPrEx>
          <w:tblCellMar>
            <w:left w:w="108" w:type="dxa"/>
            <w:right w:w="108" w:type="dxa"/>
          </w:tblCellMar>
        </w:tblPrEx>
        <w:trPr>
          <w:trHeight w:val="465"/>
        </w:trPr>
        <w:tc>
          <w:tcPr>
            <w:tcW w:w="737" w:type="dxa"/>
            <w:noWrap/>
            <w:hideMark/>
          </w:tcPr>
          <w:p w14:paraId="473412D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8547</w:t>
            </w:r>
          </w:p>
        </w:tc>
        <w:tc>
          <w:tcPr>
            <w:tcW w:w="1559" w:type="dxa"/>
            <w:noWrap/>
            <w:hideMark/>
          </w:tcPr>
          <w:p w14:paraId="33C299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Bringelly Public School</w:t>
            </w:r>
          </w:p>
        </w:tc>
        <w:tc>
          <w:tcPr>
            <w:tcW w:w="709" w:type="dxa"/>
            <w:noWrap/>
            <w:hideMark/>
          </w:tcPr>
          <w:p w14:paraId="4B8562C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72A9D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8D97BC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A6E8E3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Northern Rd</w:t>
            </w:r>
          </w:p>
        </w:tc>
        <w:tc>
          <w:tcPr>
            <w:tcW w:w="1134" w:type="dxa"/>
            <w:noWrap/>
            <w:hideMark/>
          </w:tcPr>
          <w:p w14:paraId="2E5360D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FB64E0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31.0</w:t>
            </w:r>
          </w:p>
        </w:tc>
        <w:tc>
          <w:tcPr>
            <w:tcW w:w="1134" w:type="dxa"/>
            <w:noWrap/>
            <w:hideMark/>
          </w:tcPr>
          <w:p w14:paraId="1FDB3D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38D525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3FD89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w:t>
            </w:r>
          </w:p>
        </w:tc>
        <w:tc>
          <w:tcPr>
            <w:tcW w:w="1417" w:type="dxa"/>
            <w:noWrap/>
            <w:hideMark/>
          </w:tcPr>
          <w:p w14:paraId="109777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086AF1B0" w14:textId="77777777" w:rsidTr="001367E0">
        <w:tblPrEx>
          <w:tblCellMar>
            <w:left w:w="108" w:type="dxa"/>
            <w:right w:w="108" w:type="dxa"/>
          </w:tblCellMar>
        </w:tblPrEx>
        <w:trPr>
          <w:trHeight w:val="465"/>
        </w:trPr>
        <w:tc>
          <w:tcPr>
            <w:tcW w:w="737" w:type="dxa"/>
            <w:noWrap/>
            <w:hideMark/>
          </w:tcPr>
          <w:p w14:paraId="2EA4F6E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8704</w:t>
            </w:r>
          </w:p>
        </w:tc>
        <w:tc>
          <w:tcPr>
            <w:tcW w:w="1559" w:type="dxa"/>
            <w:noWrap/>
            <w:hideMark/>
          </w:tcPr>
          <w:p w14:paraId="09A1C08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Brisbane Water Secondary College Umina Campus</w:t>
            </w:r>
          </w:p>
        </w:tc>
        <w:tc>
          <w:tcPr>
            <w:tcW w:w="709" w:type="dxa"/>
            <w:noWrap/>
            <w:hideMark/>
          </w:tcPr>
          <w:p w14:paraId="1D630FF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C6887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12883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A4F9F3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Edward St</w:t>
            </w:r>
          </w:p>
        </w:tc>
        <w:tc>
          <w:tcPr>
            <w:tcW w:w="1134" w:type="dxa"/>
            <w:noWrap/>
            <w:hideMark/>
          </w:tcPr>
          <w:p w14:paraId="7B9C035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B3995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33.4</w:t>
            </w:r>
          </w:p>
        </w:tc>
        <w:tc>
          <w:tcPr>
            <w:tcW w:w="1134" w:type="dxa"/>
            <w:noWrap/>
            <w:hideMark/>
          </w:tcPr>
          <w:p w14:paraId="5B3C2CA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35.1</w:t>
            </w:r>
          </w:p>
        </w:tc>
        <w:tc>
          <w:tcPr>
            <w:tcW w:w="1134" w:type="dxa"/>
            <w:noWrap/>
            <w:hideMark/>
          </w:tcPr>
          <w:p w14:paraId="2E8AEF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9.1</w:t>
            </w:r>
          </w:p>
        </w:tc>
        <w:tc>
          <w:tcPr>
            <w:tcW w:w="1276" w:type="dxa"/>
            <w:noWrap/>
            <w:hideMark/>
          </w:tcPr>
          <w:p w14:paraId="2309FEA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351</w:t>
            </w:r>
          </w:p>
        </w:tc>
        <w:tc>
          <w:tcPr>
            <w:tcW w:w="1417" w:type="dxa"/>
            <w:noWrap/>
            <w:hideMark/>
          </w:tcPr>
          <w:p w14:paraId="517B760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w:t>
            </w:r>
          </w:p>
        </w:tc>
      </w:tr>
      <w:tr w:rsidR="006716B4" w:rsidRPr="006716B4" w14:paraId="1673A25E" w14:textId="77777777" w:rsidTr="001367E0">
        <w:tblPrEx>
          <w:tblCellMar>
            <w:left w:w="108" w:type="dxa"/>
            <w:right w:w="108" w:type="dxa"/>
          </w:tblCellMar>
        </w:tblPrEx>
        <w:trPr>
          <w:trHeight w:val="465"/>
        </w:trPr>
        <w:tc>
          <w:tcPr>
            <w:tcW w:w="737" w:type="dxa"/>
            <w:noWrap/>
            <w:hideMark/>
          </w:tcPr>
          <w:p w14:paraId="09C6A0F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7709</w:t>
            </w:r>
          </w:p>
        </w:tc>
        <w:tc>
          <w:tcPr>
            <w:tcW w:w="1559" w:type="dxa"/>
            <w:noWrap/>
            <w:hideMark/>
          </w:tcPr>
          <w:p w14:paraId="2418F34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Brookvale Public School</w:t>
            </w:r>
          </w:p>
        </w:tc>
        <w:tc>
          <w:tcPr>
            <w:tcW w:w="709" w:type="dxa"/>
            <w:noWrap/>
            <w:hideMark/>
          </w:tcPr>
          <w:p w14:paraId="6C39A75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AD55F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6ADCEE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4E7036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Old Pittwater Rd</w:t>
            </w:r>
          </w:p>
        </w:tc>
        <w:tc>
          <w:tcPr>
            <w:tcW w:w="1134" w:type="dxa"/>
            <w:noWrap/>
            <w:hideMark/>
          </w:tcPr>
          <w:p w14:paraId="1D7B5D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0BC80A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15.1</w:t>
            </w:r>
          </w:p>
        </w:tc>
        <w:tc>
          <w:tcPr>
            <w:tcW w:w="1134" w:type="dxa"/>
            <w:noWrap/>
            <w:hideMark/>
          </w:tcPr>
          <w:p w14:paraId="7AA087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7B714A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432267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w:t>
            </w:r>
          </w:p>
        </w:tc>
        <w:tc>
          <w:tcPr>
            <w:tcW w:w="1417" w:type="dxa"/>
            <w:noWrap/>
            <w:hideMark/>
          </w:tcPr>
          <w:p w14:paraId="52FB86E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6331BC68" w14:textId="77777777" w:rsidTr="001367E0">
        <w:tblPrEx>
          <w:tblCellMar>
            <w:left w:w="108" w:type="dxa"/>
            <w:right w:w="108" w:type="dxa"/>
          </w:tblCellMar>
        </w:tblPrEx>
        <w:trPr>
          <w:trHeight w:val="465"/>
        </w:trPr>
        <w:tc>
          <w:tcPr>
            <w:tcW w:w="737" w:type="dxa"/>
            <w:noWrap/>
            <w:hideMark/>
          </w:tcPr>
          <w:p w14:paraId="6D289E1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6431</w:t>
            </w:r>
          </w:p>
        </w:tc>
        <w:tc>
          <w:tcPr>
            <w:tcW w:w="1559" w:type="dxa"/>
            <w:noWrap/>
            <w:hideMark/>
          </w:tcPr>
          <w:p w14:paraId="4A454C5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Bulahdelah Central School</w:t>
            </w:r>
          </w:p>
        </w:tc>
        <w:tc>
          <w:tcPr>
            <w:tcW w:w="709" w:type="dxa"/>
            <w:noWrap/>
            <w:hideMark/>
          </w:tcPr>
          <w:p w14:paraId="5F8F899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09E3E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71D9030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2D55990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 Meade Street</w:t>
            </w:r>
          </w:p>
        </w:tc>
        <w:tc>
          <w:tcPr>
            <w:tcW w:w="1134" w:type="dxa"/>
            <w:noWrap/>
            <w:hideMark/>
          </w:tcPr>
          <w:p w14:paraId="47DD77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63BFD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32.4</w:t>
            </w:r>
          </w:p>
        </w:tc>
        <w:tc>
          <w:tcPr>
            <w:tcW w:w="1134" w:type="dxa"/>
            <w:noWrap/>
            <w:hideMark/>
          </w:tcPr>
          <w:p w14:paraId="166E3F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54.2</w:t>
            </w:r>
          </w:p>
        </w:tc>
        <w:tc>
          <w:tcPr>
            <w:tcW w:w="1134" w:type="dxa"/>
            <w:noWrap/>
            <w:hideMark/>
          </w:tcPr>
          <w:p w14:paraId="1E741E9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13.3</w:t>
            </w:r>
          </w:p>
        </w:tc>
        <w:tc>
          <w:tcPr>
            <w:tcW w:w="1276" w:type="dxa"/>
            <w:noWrap/>
            <w:hideMark/>
          </w:tcPr>
          <w:p w14:paraId="67C78D0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115</w:t>
            </w:r>
          </w:p>
        </w:tc>
        <w:tc>
          <w:tcPr>
            <w:tcW w:w="1417" w:type="dxa"/>
            <w:noWrap/>
            <w:hideMark/>
          </w:tcPr>
          <w:p w14:paraId="6D7957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w:t>
            </w:r>
          </w:p>
        </w:tc>
      </w:tr>
      <w:tr w:rsidR="006716B4" w:rsidRPr="006716B4" w14:paraId="37C660AD" w14:textId="77777777" w:rsidTr="001367E0">
        <w:tblPrEx>
          <w:tblCellMar>
            <w:left w:w="108" w:type="dxa"/>
            <w:right w:w="108" w:type="dxa"/>
          </w:tblCellMar>
        </w:tblPrEx>
        <w:trPr>
          <w:trHeight w:val="465"/>
        </w:trPr>
        <w:tc>
          <w:tcPr>
            <w:tcW w:w="737" w:type="dxa"/>
            <w:noWrap/>
            <w:hideMark/>
          </w:tcPr>
          <w:p w14:paraId="0615DB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lastRenderedPageBreak/>
              <w:t>9910</w:t>
            </w:r>
          </w:p>
        </w:tc>
        <w:tc>
          <w:tcPr>
            <w:tcW w:w="1559" w:type="dxa"/>
            <w:noWrap/>
            <w:hideMark/>
          </w:tcPr>
          <w:p w14:paraId="0F9F9CD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Burringbar Public School</w:t>
            </w:r>
          </w:p>
        </w:tc>
        <w:tc>
          <w:tcPr>
            <w:tcW w:w="709" w:type="dxa"/>
            <w:noWrap/>
            <w:hideMark/>
          </w:tcPr>
          <w:p w14:paraId="79501CB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169D4E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41935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619CCF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59 Burringbar Road</w:t>
            </w:r>
          </w:p>
        </w:tc>
        <w:tc>
          <w:tcPr>
            <w:tcW w:w="1134" w:type="dxa"/>
            <w:noWrap/>
            <w:hideMark/>
          </w:tcPr>
          <w:p w14:paraId="56D94D3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973177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26.1</w:t>
            </w:r>
          </w:p>
        </w:tc>
        <w:tc>
          <w:tcPr>
            <w:tcW w:w="1134" w:type="dxa"/>
            <w:noWrap/>
            <w:hideMark/>
          </w:tcPr>
          <w:p w14:paraId="7F57C85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65AE37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798FCF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w:t>
            </w:r>
          </w:p>
        </w:tc>
        <w:tc>
          <w:tcPr>
            <w:tcW w:w="1417" w:type="dxa"/>
            <w:noWrap/>
            <w:hideMark/>
          </w:tcPr>
          <w:p w14:paraId="732D9B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25F12CB1" w14:textId="77777777" w:rsidTr="001367E0">
        <w:tblPrEx>
          <w:tblCellMar>
            <w:left w:w="108" w:type="dxa"/>
            <w:right w:w="108" w:type="dxa"/>
          </w:tblCellMar>
        </w:tblPrEx>
        <w:trPr>
          <w:trHeight w:val="465"/>
        </w:trPr>
        <w:tc>
          <w:tcPr>
            <w:tcW w:w="737" w:type="dxa"/>
            <w:noWrap/>
            <w:hideMark/>
          </w:tcPr>
          <w:p w14:paraId="50779AF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11003</w:t>
            </w:r>
          </w:p>
        </w:tc>
        <w:tc>
          <w:tcPr>
            <w:tcW w:w="1559" w:type="dxa"/>
            <w:noWrap/>
            <w:hideMark/>
          </w:tcPr>
          <w:p w14:paraId="178213C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Calare Public School</w:t>
            </w:r>
          </w:p>
        </w:tc>
        <w:tc>
          <w:tcPr>
            <w:tcW w:w="709" w:type="dxa"/>
            <w:noWrap/>
            <w:hideMark/>
          </w:tcPr>
          <w:p w14:paraId="743DD6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34C1D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1A10F6D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7D9C08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Wentworth Lane</w:t>
            </w:r>
          </w:p>
        </w:tc>
        <w:tc>
          <w:tcPr>
            <w:tcW w:w="1134" w:type="dxa"/>
            <w:noWrap/>
            <w:hideMark/>
          </w:tcPr>
          <w:p w14:paraId="17BC4E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E16422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17.5</w:t>
            </w:r>
          </w:p>
        </w:tc>
        <w:tc>
          <w:tcPr>
            <w:tcW w:w="1134" w:type="dxa"/>
            <w:noWrap/>
            <w:hideMark/>
          </w:tcPr>
          <w:p w14:paraId="26F40D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38.5</w:t>
            </w:r>
          </w:p>
        </w:tc>
        <w:tc>
          <w:tcPr>
            <w:tcW w:w="1134" w:type="dxa"/>
            <w:noWrap/>
            <w:hideMark/>
          </w:tcPr>
          <w:p w14:paraId="7BA6CC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13.3</w:t>
            </w:r>
          </w:p>
        </w:tc>
        <w:tc>
          <w:tcPr>
            <w:tcW w:w="1276" w:type="dxa"/>
            <w:noWrap/>
            <w:hideMark/>
          </w:tcPr>
          <w:p w14:paraId="4907C25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w:t>
            </w:r>
          </w:p>
        </w:tc>
        <w:tc>
          <w:tcPr>
            <w:tcW w:w="1417" w:type="dxa"/>
            <w:noWrap/>
            <w:hideMark/>
          </w:tcPr>
          <w:p w14:paraId="49B7A9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r>
      <w:tr w:rsidR="006716B4" w:rsidRPr="006716B4" w14:paraId="4DAD4FBE" w14:textId="77777777" w:rsidTr="001367E0">
        <w:tblPrEx>
          <w:tblCellMar>
            <w:left w:w="108" w:type="dxa"/>
            <w:right w:w="108" w:type="dxa"/>
          </w:tblCellMar>
        </w:tblPrEx>
        <w:trPr>
          <w:trHeight w:val="465"/>
        </w:trPr>
        <w:tc>
          <w:tcPr>
            <w:tcW w:w="737" w:type="dxa"/>
            <w:noWrap/>
            <w:hideMark/>
          </w:tcPr>
          <w:p w14:paraId="304C56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9028</w:t>
            </w:r>
          </w:p>
        </w:tc>
        <w:tc>
          <w:tcPr>
            <w:tcW w:w="1559" w:type="dxa"/>
            <w:noWrap/>
            <w:hideMark/>
          </w:tcPr>
          <w:p w14:paraId="7B976CD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Callaghan College Wallsend Campus</w:t>
            </w:r>
          </w:p>
        </w:tc>
        <w:tc>
          <w:tcPr>
            <w:tcW w:w="709" w:type="dxa"/>
            <w:noWrap/>
            <w:hideMark/>
          </w:tcPr>
          <w:p w14:paraId="7B3735A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012B89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393F45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B50996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Macquarie St</w:t>
            </w:r>
          </w:p>
        </w:tc>
        <w:tc>
          <w:tcPr>
            <w:tcW w:w="1134" w:type="dxa"/>
            <w:noWrap/>
            <w:hideMark/>
          </w:tcPr>
          <w:p w14:paraId="6E1975C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1C94F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33.7</w:t>
            </w:r>
          </w:p>
        </w:tc>
        <w:tc>
          <w:tcPr>
            <w:tcW w:w="1134" w:type="dxa"/>
            <w:noWrap/>
            <w:hideMark/>
          </w:tcPr>
          <w:p w14:paraId="030C2D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54.4</w:t>
            </w:r>
          </w:p>
        </w:tc>
        <w:tc>
          <w:tcPr>
            <w:tcW w:w="1134" w:type="dxa"/>
            <w:noWrap/>
            <w:hideMark/>
          </w:tcPr>
          <w:p w14:paraId="052B68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14.3</w:t>
            </w:r>
          </w:p>
        </w:tc>
        <w:tc>
          <w:tcPr>
            <w:tcW w:w="1276" w:type="dxa"/>
            <w:noWrap/>
            <w:hideMark/>
          </w:tcPr>
          <w:p w14:paraId="6D4A90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283</w:t>
            </w:r>
          </w:p>
        </w:tc>
        <w:tc>
          <w:tcPr>
            <w:tcW w:w="1417" w:type="dxa"/>
            <w:noWrap/>
            <w:hideMark/>
          </w:tcPr>
          <w:p w14:paraId="608AF3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w:t>
            </w:r>
          </w:p>
        </w:tc>
      </w:tr>
      <w:tr w:rsidR="006716B4" w:rsidRPr="006716B4" w14:paraId="095A229E" w14:textId="77777777" w:rsidTr="001367E0">
        <w:tblPrEx>
          <w:tblCellMar>
            <w:left w:w="108" w:type="dxa"/>
            <w:right w:w="108" w:type="dxa"/>
          </w:tblCellMar>
        </w:tblPrEx>
        <w:trPr>
          <w:trHeight w:val="465"/>
        </w:trPr>
        <w:tc>
          <w:tcPr>
            <w:tcW w:w="737" w:type="dxa"/>
            <w:noWrap/>
            <w:hideMark/>
          </w:tcPr>
          <w:p w14:paraId="0CD913B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16626</w:t>
            </w:r>
          </w:p>
        </w:tc>
        <w:tc>
          <w:tcPr>
            <w:tcW w:w="1559" w:type="dxa"/>
            <w:noWrap/>
            <w:hideMark/>
          </w:tcPr>
          <w:p w14:paraId="7ED6890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Callala Public School</w:t>
            </w:r>
          </w:p>
        </w:tc>
        <w:tc>
          <w:tcPr>
            <w:tcW w:w="709" w:type="dxa"/>
            <w:noWrap/>
            <w:hideMark/>
          </w:tcPr>
          <w:p w14:paraId="0753D6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64BF66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1B39A66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DB108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Emmett St</w:t>
            </w:r>
          </w:p>
        </w:tc>
        <w:tc>
          <w:tcPr>
            <w:tcW w:w="1134" w:type="dxa"/>
            <w:noWrap/>
            <w:hideMark/>
          </w:tcPr>
          <w:p w14:paraId="5B9807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260D24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30.4</w:t>
            </w:r>
          </w:p>
        </w:tc>
        <w:tc>
          <w:tcPr>
            <w:tcW w:w="1134" w:type="dxa"/>
            <w:noWrap/>
            <w:hideMark/>
          </w:tcPr>
          <w:p w14:paraId="0770FD0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46.2</w:t>
            </w:r>
          </w:p>
        </w:tc>
        <w:tc>
          <w:tcPr>
            <w:tcW w:w="1134" w:type="dxa"/>
            <w:noWrap/>
            <w:hideMark/>
          </w:tcPr>
          <w:p w14:paraId="14A72D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C8ACB9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w:t>
            </w:r>
          </w:p>
        </w:tc>
        <w:tc>
          <w:tcPr>
            <w:tcW w:w="1417" w:type="dxa"/>
            <w:noWrap/>
            <w:hideMark/>
          </w:tcPr>
          <w:p w14:paraId="23B246F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0775B576" w14:textId="77777777" w:rsidTr="001367E0">
        <w:tblPrEx>
          <w:tblCellMar>
            <w:left w:w="108" w:type="dxa"/>
            <w:right w:w="108" w:type="dxa"/>
          </w:tblCellMar>
        </w:tblPrEx>
        <w:trPr>
          <w:trHeight w:val="465"/>
        </w:trPr>
        <w:tc>
          <w:tcPr>
            <w:tcW w:w="737" w:type="dxa"/>
            <w:noWrap/>
            <w:hideMark/>
          </w:tcPr>
          <w:p w14:paraId="61EEBE8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16184</w:t>
            </w:r>
          </w:p>
        </w:tc>
        <w:tc>
          <w:tcPr>
            <w:tcW w:w="1559" w:type="dxa"/>
            <w:noWrap/>
            <w:hideMark/>
          </w:tcPr>
          <w:p w14:paraId="1F10CE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Cambridge Gardens Public School</w:t>
            </w:r>
          </w:p>
        </w:tc>
        <w:tc>
          <w:tcPr>
            <w:tcW w:w="709" w:type="dxa"/>
            <w:noWrap/>
            <w:hideMark/>
          </w:tcPr>
          <w:p w14:paraId="62D6EB6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A113B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23438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86E44C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Trinity Drive</w:t>
            </w:r>
          </w:p>
        </w:tc>
        <w:tc>
          <w:tcPr>
            <w:tcW w:w="1134" w:type="dxa"/>
            <w:noWrap/>
            <w:hideMark/>
          </w:tcPr>
          <w:p w14:paraId="59520FB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C30BB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30.3</w:t>
            </w:r>
          </w:p>
        </w:tc>
        <w:tc>
          <w:tcPr>
            <w:tcW w:w="1134" w:type="dxa"/>
            <w:noWrap/>
            <w:hideMark/>
          </w:tcPr>
          <w:p w14:paraId="348347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37.5</w:t>
            </w:r>
          </w:p>
        </w:tc>
        <w:tc>
          <w:tcPr>
            <w:tcW w:w="1134" w:type="dxa"/>
            <w:noWrap/>
            <w:hideMark/>
          </w:tcPr>
          <w:p w14:paraId="2B56B75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8C49A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w:t>
            </w:r>
          </w:p>
        </w:tc>
        <w:tc>
          <w:tcPr>
            <w:tcW w:w="1417" w:type="dxa"/>
            <w:noWrap/>
            <w:hideMark/>
          </w:tcPr>
          <w:p w14:paraId="695546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3013315C" w14:textId="77777777" w:rsidTr="001367E0">
        <w:tblPrEx>
          <w:tblCellMar>
            <w:left w:w="108" w:type="dxa"/>
            <w:right w:w="108" w:type="dxa"/>
          </w:tblCellMar>
        </w:tblPrEx>
        <w:trPr>
          <w:trHeight w:val="465"/>
        </w:trPr>
        <w:tc>
          <w:tcPr>
            <w:tcW w:w="737" w:type="dxa"/>
            <w:noWrap/>
            <w:hideMark/>
          </w:tcPr>
          <w:p w14:paraId="49BF350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10685</w:t>
            </w:r>
          </w:p>
        </w:tc>
        <w:tc>
          <w:tcPr>
            <w:tcW w:w="1559" w:type="dxa"/>
            <w:noWrap/>
            <w:hideMark/>
          </w:tcPr>
          <w:p w14:paraId="47621A1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Cambridge Park High School</w:t>
            </w:r>
          </w:p>
        </w:tc>
        <w:tc>
          <w:tcPr>
            <w:tcW w:w="709" w:type="dxa"/>
            <w:noWrap/>
            <w:hideMark/>
          </w:tcPr>
          <w:p w14:paraId="1990E3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6679C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FDF1C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D59FB6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Harrow Rd</w:t>
            </w:r>
          </w:p>
        </w:tc>
        <w:tc>
          <w:tcPr>
            <w:tcW w:w="1134" w:type="dxa"/>
            <w:noWrap/>
            <w:hideMark/>
          </w:tcPr>
          <w:p w14:paraId="200E204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8F9A5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47.0</w:t>
            </w:r>
          </w:p>
        </w:tc>
        <w:tc>
          <w:tcPr>
            <w:tcW w:w="1134" w:type="dxa"/>
            <w:noWrap/>
            <w:hideMark/>
          </w:tcPr>
          <w:p w14:paraId="7C4E170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59.1</w:t>
            </w:r>
          </w:p>
        </w:tc>
        <w:tc>
          <w:tcPr>
            <w:tcW w:w="1134" w:type="dxa"/>
            <w:noWrap/>
            <w:hideMark/>
          </w:tcPr>
          <w:p w14:paraId="5AD756D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8.0</w:t>
            </w:r>
          </w:p>
        </w:tc>
        <w:tc>
          <w:tcPr>
            <w:tcW w:w="1276" w:type="dxa"/>
            <w:noWrap/>
            <w:hideMark/>
          </w:tcPr>
          <w:p w14:paraId="122B5F6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180</w:t>
            </w:r>
          </w:p>
        </w:tc>
        <w:tc>
          <w:tcPr>
            <w:tcW w:w="1417" w:type="dxa"/>
            <w:noWrap/>
            <w:hideMark/>
          </w:tcPr>
          <w:p w14:paraId="24F6EDF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w:t>
            </w:r>
          </w:p>
        </w:tc>
      </w:tr>
      <w:tr w:rsidR="006716B4" w:rsidRPr="006716B4" w14:paraId="79700469" w14:textId="77777777" w:rsidTr="001367E0">
        <w:tblPrEx>
          <w:tblCellMar>
            <w:left w:w="108" w:type="dxa"/>
            <w:right w:w="108" w:type="dxa"/>
          </w:tblCellMar>
        </w:tblPrEx>
        <w:trPr>
          <w:trHeight w:val="465"/>
        </w:trPr>
        <w:tc>
          <w:tcPr>
            <w:tcW w:w="737" w:type="dxa"/>
            <w:noWrap/>
            <w:hideMark/>
          </w:tcPr>
          <w:p w14:paraId="6B59651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10687</w:t>
            </w:r>
          </w:p>
        </w:tc>
        <w:tc>
          <w:tcPr>
            <w:tcW w:w="1559" w:type="dxa"/>
            <w:noWrap/>
            <w:hideMark/>
          </w:tcPr>
          <w:p w14:paraId="5F883F4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Cambridge Park Public School</w:t>
            </w:r>
          </w:p>
        </w:tc>
        <w:tc>
          <w:tcPr>
            <w:tcW w:w="709" w:type="dxa"/>
            <w:noWrap/>
            <w:hideMark/>
          </w:tcPr>
          <w:p w14:paraId="08F086D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E71F6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50CFA4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DEB762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35 Oxford St</w:t>
            </w:r>
          </w:p>
        </w:tc>
        <w:tc>
          <w:tcPr>
            <w:tcW w:w="1134" w:type="dxa"/>
            <w:noWrap/>
            <w:hideMark/>
          </w:tcPr>
          <w:p w14:paraId="6D216F2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6B1AD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29.8</w:t>
            </w:r>
          </w:p>
        </w:tc>
        <w:tc>
          <w:tcPr>
            <w:tcW w:w="1134" w:type="dxa"/>
            <w:noWrap/>
            <w:hideMark/>
          </w:tcPr>
          <w:p w14:paraId="5950E6D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37.1</w:t>
            </w:r>
          </w:p>
        </w:tc>
        <w:tc>
          <w:tcPr>
            <w:tcW w:w="1134" w:type="dxa"/>
            <w:noWrap/>
            <w:hideMark/>
          </w:tcPr>
          <w:p w14:paraId="0FB4977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18.2</w:t>
            </w:r>
          </w:p>
        </w:tc>
        <w:tc>
          <w:tcPr>
            <w:tcW w:w="1276" w:type="dxa"/>
            <w:noWrap/>
            <w:hideMark/>
          </w:tcPr>
          <w:p w14:paraId="1E24073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64</w:t>
            </w:r>
          </w:p>
        </w:tc>
        <w:tc>
          <w:tcPr>
            <w:tcW w:w="1417" w:type="dxa"/>
            <w:noWrap/>
            <w:hideMark/>
          </w:tcPr>
          <w:p w14:paraId="67350E3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w:t>
            </w:r>
          </w:p>
        </w:tc>
      </w:tr>
      <w:tr w:rsidR="006716B4" w:rsidRPr="006716B4" w14:paraId="15C028CF" w14:textId="77777777" w:rsidTr="001367E0">
        <w:tblPrEx>
          <w:tblCellMar>
            <w:left w:w="108" w:type="dxa"/>
            <w:right w:w="108" w:type="dxa"/>
          </w:tblCellMar>
        </w:tblPrEx>
        <w:trPr>
          <w:trHeight w:val="465"/>
        </w:trPr>
        <w:tc>
          <w:tcPr>
            <w:tcW w:w="737" w:type="dxa"/>
            <w:noWrap/>
            <w:hideMark/>
          </w:tcPr>
          <w:p w14:paraId="5966309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7591</w:t>
            </w:r>
          </w:p>
        </w:tc>
        <w:tc>
          <w:tcPr>
            <w:tcW w:w="1559" w:type="dxa"/>
            <w:noWrap/>
            <w:hideMark/>
          </w:tcPr>
          <w:p w14:paraId="4062379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Camdenville Public School</w:t>
            </w:r>
          </w:p>
        </w:tc>
        <w:tc>
          <w:tcPr>
            <w:tcW w:w="709" w:type="dxa"/>
            <w:noWrap/>
            <w:hideMark/>
          </w:tcPr>
          <w:p w14:paraId="12FC756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A31A5F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DB81C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B28DC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Laura St</w:t>
            </w:r>
          </w:p>
        </w:tc>
        <w:tc>
          <w:tcPr>
            <w:tcW w:w="1134" w:type="dxa"/>
            <w:noWrap/>
            <w:hideMark/>
          </w:tcPr>
          <w:p w14:paraId="699151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06ECA27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17.0</w:t>
            </w:r>
          </w:p>
        </w:tc>
        <w:tc>
          <w:tcPr>
            <w:tcW w:w="1134" w:type="dxa"/>
            <w:noWrap/>
            <w:hideMark/>
          </w:tcPr>
          <w:p w14:paraId="3F21F5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14DF2D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0E3A55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w:t>
            </w:r>
          </w:p>
        </w:tc>
        <w:tc>
          <w:tcPr>
            <w:tcW w:w="1417" w:type="dxa"/>
            <w:noWrap/>
            <w:hideMark/>
          </w:tcPr>
          <w:p w14:paraId="484B8F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20A4F0FB" w14:textId="77777777" w:rsidTr="001367E0">
        <w:tblPrEx>
          <w:tblCellMar>
            <w:left w:w="108" w:type="dxa"/>
            <w:right w:w="108" w:type="dxa"/>
          </w:tblCellMar>
        </w:tblPrEx>
        <w:trPr>
          <w:trHeight w:val="465"/>
        </w:trPr>
        <w:tc>
          <w:tcPr>
            <w:tcW w:w="737" w:type="dxa"/>
            <w:noWrap/>
            <w:hideMark/>
          </w:tcPr>
          <w:p w14:paraId="07EA4B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10201</w:t>
            </w:r>
          </w:p>
        </w:tc>
        <w:tc>
          <w:tcPr>
            <w:tcW w:w="1559" w:type="dxa"/>
            <w:noWrap/>
            <w:hideMark/>
          </w:tcPr>
          <w:p w14:paraId="426F2B1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Campbelltown High School</w:t>
            </w:r>
          </w:p>
        </w:tc>
        <w:tc>
          <w:tcPr>
            <w:tcW w:w="709" w:type="dxa"/>
            <w:noWrap/>
            <w:hideMark/>
          </w:tcPr>
          <w:p w14:paraId="3DD6194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995A5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CF6E8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73A15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Beverley Rd</w:t>
            </w:r>
          </w:p>
        </w:tc>
        <w:tc>
          <w:tcPr>
            <w:tcW w:w="1134" w:type="dxa"/>
            <w:noWrap/>
            <w:hideMark/>
          </w:tcPr>
          <w:p w14:paraId="5A4980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0CC31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36.5</w:t>
            </w:r>
          </w:p>
        </w:tc>
        <w:tc>
          <w:tcPr>
            <w:tcW w:w="1134" w:type="dxa"/>
            <w:noWrap/>
            <w:hideMark/>
          </w:tcPr>
          <w:p w14:paraId="44830EE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44.4</w:t>
            </w:r>
          </w:p>
        </w:tc>
        <w:tc>
          <w:tcPr>
            <w:tcW w:w="1134" w:type="dxa"/>
            <w:noWrap/>
            <w:hideMark/>
          </w:tcPr>
          <w:p w14:paraId="72DF707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w:t>
            </w:r>
          </w:p>
        </w:tc>
        <w:tc>
          <w:tcPr>
            <w:tcW w:w="1276" w:type="dxa"/>
            <w:noWrap/>
            <w:hideMark/>
          </w:tcPr>
          <w:p w14:paraId="00EA2FB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278</w:t>
            </w:r>
          </w:p>
        </w:tc>
        <w:tc>
          <w:tcPr>
            <w:tcW w:w="1417" w:type="dxa"/>
            <w:noWrap/>
            <w:hideMark/>
          </w:tcPr>
          <w:p w14:paraId="3335590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w:t>
            </w:r>
          </w:p>
        </w:tc>
      </w:tr>
      <w:tr w:rsidR="006716B4" w:rsidRPr="006716B4" w14:paraId="0BA41A87" w14:textId="77777777" w:rsidTr="001367E0">
        <w:tblPrEx>
          <w:tblCellMar>
            <w:left w:w="108" w:type="dxa"/>
            <w:right w:w="108" w:type="dxa"/>
          </w:tblCellMar>
        </w:tblPrEx>
        <w:trPr>
          <w:trHeight w:val="465"/>
        </w:trPr>
        <w:tc>
          <w:tcPr>
            <w:tcW w:w="737" w:type="dxa"/>
            <w:noWrap/>
            <w:hideMark/>
          </w:tcPr>
          <w:p w14:paraId="72BD9C3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10202</w:t>
            </w:r>
          </w:p>
        </w:tc>
        <w:tc>
          <w:tcPr>
            <w:tcW w:w="1559" w:type="dxa"/>
            <w:noWrap/>
            <w:hideMark/>
          </w:tcPr>
          <w:p w14:paraId="6F1E058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Campbelltown North Public School</w:t>
            </w:r>
          </w:p>
        </w:tc>
        <w:tc>
          <w:tcPr>
            <w:tcW w:w="709" w:type="dxa"/>
            <w:noWrap/>
            <w:hideMark/>
          </w:tcPr>
          <w:p w14:paraId="6DC7596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3BE596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87998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BE2AB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Thomas St &amp; Rudd Rd</w:t>
            </w:r>
          </w:p>
        </w:tc>
        <w:tc>
          <w:tcPr>
            <w:tcW w:w="1134" w:type="dxa"/>
            <w:noWrap/>
            <w:hideMark/>
          </w:tcPr>
          <w:p w14:paraId="01D7E74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2D0E88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18.3</w:t>
            </w:r>
          </w:p>
        </w:tc>
        <w:tc>
          <w:tcPr>
            <w:tcW w:w="1134" w:type="dxa"/>
            <w:noWrap/>
            <w:hideMark/>
          </w:tcPr>
          <w:p w14:paraId="3375A3C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45.0</w:t>
            </w:r>
          </w:p>
        </w:tc>
        <w:tc>
          <w:tcPr>
            <w:tcW w:w="1134" w:type="dxa"/>
            <w:noWrap/>
            <w:hideMark/>
          </w:tcPr>
          <w:p w14:paraId="431878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276" w:type="dxa"/>
            <w:noWrap/>
            <w:hideMark/>
          </w:tcPr>
          <w:p w14:paraId="1CD1193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w:t>
            </w:r>
          </w:p>
        </w:tc>
        <w:tc>
          <w:tcPr>
            <w:tcW w:w="1417" w:type="dxa"/>
            <w:noWrap/>
            <w:hideMark/>
          </w:tcPr>
          <w:p w14:paraId="1CBFF8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w:t>
            </w:r>
          </w:p>
        </w:tc>
      </w:tr>
      <w:tr w:rsidR="006716B4" w:rsidRPr="006716B4" w14:paraId="08787D24" w14:textId="77777777" w:rsidTr="001367E0">
        <w:tblPrEx>
          <w:tblCellMar>
            <w:left w:w="108" w:type="dxa"/>
            <w:right w:w="108" w:type="dxa"/>
          </w:tblCellMar>
        </w:tblPrEx>
        <w:trPr>
          <w:trHeight w:val="465"/>
        </w:trPr>
        <w:tc>
          <w:tcPr>
            <w:tcW w:w="737" w:type="dxa"/>
            <w:noWrap/>
            <w:hideMark/>
          </w:tcPr>
          <w:p w14:paraId="319A6E0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6343</w:t>
            </w:r>
          </w:p>
        </w:tc>
        <w:tc>
          <w:tcPr>
            <w:tcW w:w="1559" w:type="dxa"/>
            <w:noWrap/>
            <w:hideMark/>
          </w:tcPr>
          <w:p w14:paraId="0C7B08B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Canobolas Rural Technology High School</w:t>
            </w:r>
          </w:p>
        </w:tc>
        <w:tc>
          <w:tcPr>
            <w:tcW w:w="709" w:type="dxa"/>
            <w:noWrap/>
            <w:hideMark/>
          </w:tcPr>
          <w:p w14:paraId="6709FA9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4E06A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306A0C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F76074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Icely Rd</w:t>
            </w:r>
          </w:p>
        </w:tc>
        <w:tc>
          <w:tcPr>
            <w:tcW w:w="1134" w:type="dxa"/>
            <w:noWrap/>
            <w:hideMark/>
          </w:tcPr>
          <w:p w14:paraId="1E02A10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5E8B98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45.3</w:t>
            </w:r>
          </w:p>
        </w:tc>
        <w:tc>
          <w:tcPr>
            <w:tcW w:w="1134" w:type="dxa"/>
            <w:noWrap/>
            <w:hideMark/>
          </w:tcPr>
          <w:p w14:paraId="2C23238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70.5</w:t>
            </w:r>
          </w:p>
        </w:tc>
        <w:tc>
          <w:tcPr>
            <w:tcW w:w="1134" w:type="dxa"/>
            <w:noWrap/>
            <w:hideMark/>
          </w:tcPr>
          <w:p w14:paraId="5B179D1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24.3</w:t>
            </w:r>
          </w:p>
        </w:tc>
        <w:tc>
          <w:tcPr>
            <w:tcW w:w="1276" w:type="dxa"/>
            <w:noWrap/>
            <w:hideMark/>
          </w:tcPr>
          <w:p w14:paraId="33F205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276</w:t>
            </w:r>
          </w:p>
        </w:tc>
        <w:tc>
          <w:tcPr>
            <w:tcW w:w="1417" w:type="dxa"/>
            <w:noWrap/>
            <w:hideMark/>
          </w:tcPr>
          <w:p w14:paraId="66D15A0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79</w:t>
            </w:r>
          </w:p>
        </w:tc>
      </w:tr>
      <w:tr w:rsidR="006716B4" w:rsidRPr="006716B4" w14:paraId="5B621944" w14:textId="77777777" w:rsidTr="001367E0">
        <w:tblPrEx>
          <w:tblCellMar>
            <w:left w:w="108" w:type="dxa"/>
            <w:right w:w="108" w:type="dxa"/>
          </w:tblCellMar>
        </w:tblPrEx>
        <w:trPr>
          <w:trHeight w:val="465"/>
        </w:trPr>
        <w:tc>
          <w:tcPr>
            <w:tcW w:w="737" w:type="dxa"/>
            <w:noWrap/>
            <w:hideMark/>
          </w:tcPr>
          <w:p w14:paraId="11658E7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6392</w:t>
            </w:r>
          </w:p>
        </w:tc>
        <w:tc>
          <w:tcPr>
            <w:tcW w:w="1559" w:type="dxa"/>
            <w:noWrap/>
            <w:hideMark/>
          </w:tcPr>
          <w:p w14:paraId="0016600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Canterbury Boys High School</w:t>
            </w:r>
          </w:p>
        </w:tc>
        <w:tc>
          <w:tcPr>
            <w:tcW w:w="709" w:type="dxa"/>
            <w:noWrap/>
            <w:hideMark/>
          </w:tcPr>
          <w:p w14:paraId="756E408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1AF96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823F6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6BD49D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Holden St</w:t>
            </w:r>
          </w:p>
        </w:tc>
        <w:tc>
          <w:tcPr>
            <w:tcW w:w="1134" w:type="dxa"/>
            <w:noWrap/>
            <w:hideMark/>
          </w:tcPr>
          <w:p w14:paraId="66C671C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607D3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34.2</w:t>
            </w:r>
          </w:p>
        </w:tc>
        <w:tc>
          <w:tcPr>
            <w:tcW w:w="1134" w:type="dxa"/>
            <w:noWrap/>
            <w:hideMark/>
          </w:tcPr>
          <w:p w14:paraId="555291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5B95D9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ECFA14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116</w:t>
            </w:r>
          </w:p>
        </w:tc>
        <w:tc>
          <w:tcPr>
            <w:tcW w:w="1417" w:type="dxa"/>
            <w:noWrap/>
            <w:hideMark/>
          </w:tcPr>
          <w:p w14:paraId="1E69C97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490012FF" w14:textId="77777777" w:rsidTr="001367E0">
        <w:tblPrEx>
          <w:tblCellMar>
            <w:left w:w="108" w:type="dxa"/>
            <w:right w:w="108" w:type="dxa"/>
          </w:tblCellMar>
        </w:tblPrEx>
        <w:trPr>
          <w:trHeight w:val="465"/>
        </w:trPr>
        <w:tc>
          <w:tcPr>
            <w:tcW w:w="737" w:type="dxa"/>
            <w:noWrap/>
            <w:hideMark/>
          </w:tcPr>
          <w:p w14:paraId="5D7033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10414</w:t>
            </w:r>
          </w:p>
        </w:tc>
        <w:tc>
          <w:tcPr>
            <w:tcW w:w="1559" w:type="dxa"/>
            <w:noWrap/>
            <w:hideMark/>
          </w:tcPr>
          <w:p w14:paraId="3470A6E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Captains Flat Public School</w:t>
            </w:r>
          </w:p>
        </w:tc>
        <w:tc>
          <w:tcPr>
            <w:tcW w:w="709" w:type="dxa"/>
            <w:noWrap/>
            <w:hideMark/>
          </w:tcPr>
          <w:p w14:paraId="60BF8D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F92770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20EDEC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2A87EE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Montgomery St</w:t>
            </w:r>
          </w:p>
        </w:tc>
        <w:tc>
          <w:tcPr>
            <w:tcW w:w="1134" w:type="dxa"/>
            <w:noWrap/>
            <w:hideMark/>
          </w:tcPr>
          <w:p w14:paraId="7518F5B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998A96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57.1</w:t>
            </w:r>
          </w:p>
        </w:tc>
        <w:tc>
          <w:tcPr>
            <w:tcW w:w="1134" w:type="dxa"/>
            <w:noWrap/>
            <w:hideMark/>
          </w:tcPr>
          <w:p w14:paraId="50A8C3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755ACD6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786B85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c>
          <w:tcPr>
            <w:tcW w:w="1417" w:type="dxa"/>
            <w:noWrap/>
            <w:hideMark/>
          </w:tcPr>
          <w:p w14:paraId="465BC0C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0E528F86" w14:textId="77777777" w:rsidTr="001367E0">
        <w:tblPrEx>
          <w:tblCellMar>
            <w:left w:w="108" w:type="dxa"/>
            <w:right w:w="108" w:type="dxa"/>
          </w:tblCellMar>
        </w:tblPrEx>
        <w:trPr>
          <w:trHeight w:val="465"/>
        </w:trPr>
        <w:tc>
          <w:tcPr>
            <w:tcW w:w="737" w:type="dxa"/>
            <w:noWrap/>
            <w:hideMark/>
          </w:tcPr>
          <w:p w14:paraId="22E5A60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8999</w:t>
            </w:r>
          </w:p>
        </w:tc>
        <w:tc>
          <w:tcPr>
            <w:tcW w:w="1559" w:type="dxa"/>
            <w:noWrap/>
            <w:hideMark/>
          </w:tcPr>
          <w:p w14:paraId="5F1EB81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Cardiff High School</w:t>
            </w:r>
          </w:p>
        </w:tc>
        <w:tc>
          <w:tcPr>
            <w:tcW w:w="709" w:type="dxa"/>
            <w:noWrap/>
            <w:hideMark/>
          </w:tcPr>
          <w:p w14:paraId="38889BD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BCECF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77F0111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FCDCF9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Boronia St</w:t>
            </w:r>
          </w:p>
        </w:tc>
        <w:tc>
          <w:tcPr>
            <w:tcW w:w="1134" w:type="dxa"/>
            <w:noWrap/>
            <w:hideMark/>
          </w:tcPr>
          <w:p w14:paraId="25A2B5E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E28CF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34.5</w:t>
            </w:r>
          </w:p>
        </w:tc>
        <w:tc>
          <w:tcPr>
            <w:tcW w:w="1134" w:type="dxa"/>
            <w:noWrap/>
            <w:hideMark/>
          </w:tcPr>
          <w:p w14:paraId="2EA6D2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63.5</w:t>
            </w:r>
          </w:p>
        </w:tc>
        <w:tc>
          <w:tcPr>
            <w:tcW w:w="1134" w:type="dxa"/>
            <w:noWrap/>
            <w:hideMark/>
          </w:tcPr>
          <w:p w14:paraId="50D75B1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w:t>
            </w:r>
          </w:p>
        </w:tc>
        <w:tc>
          <w:tcPr>
            <w:tcW w:w="1276" w:type="dxa"/>
            <w:noWrap/>
            <w:hideMark/>
          </w:tcPr>
          <w:p w14:paraId="70CEF9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160</w:t>
            </w:r>
          </w:p>
        </w:tc>
        <w:tc>
          <w:tcPr>
            <w:tcW w:w="1417" w:type="dxa"/>
            <w:noWrap/>
            <w:hideMark/>
          </w:tcPr>
          <w:p w14:paraId="4F586CC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w:t>
            </w:r>
          </w:p>
        </w:tc>
      </w:tr>
      <w:tr w:rsidR="006716B4" w:rsidRPr="006716B4" w14:paraId="47792F69" w14:textId="77777777" w:rsidTr="001367E0">
        <w:tblPrEx>
          <w:tblCellMar>
            <w:left w:w="108" w:type="dxa"/>
            <w:right w:w="108" w:type="dxa"/>
          </w:tblCellMar>
        </w:tblPrEx>
        <w:trPr>
          <w:trHeight w:val="465"/>
        </w:trPr>
        <w:tc>
          <w:tcPr>
            <w:tcW w:w="737" w:type="dxa"/>
            <w:noWrap/>
            <w:hideMark/>
          </w:tcPr>
          <w:p w14:paraId="1058D1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lastRenderedPageBreak/>
              <w:t>9731</w:t>
            </w:r>
          </w:p>
        </w:tc>
        <w:tc>
          <w:tcPr>
            <w:tcW w:w="1559" w:type="dxa"/>
            <w:noWrap/>
            <w:hideMark/>
          </w:tcPr>
          <w:p w14:paraId="3A5AF95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Casino High School</w:t>
            </w:r>
          </w:p>
        </w:tc>
        <w:tc>
          <w:tcPr>
            <w:tcW w:w="709" w:type="dxa"/>
            <w:noWrap/>
            <w:hideMark/>
          </w:tcPr>
          <w:p w14:paraId="4F1B393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26FEE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7B28B1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32D2C9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Queensland Rd</w:t>
            </w:r>
          </w:p>
        </w:tc>
        <w:tc>
          <w:tcPr>
            <w:tcW w:w="1134" w:type="dxa"/>
            <w:noWrap/>
            <w:hideMark/>
          </w:tcPr>
          <w:p w14:paraId="5715BC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7ECAA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47.1</w:t>
            </w:r>
          </w:p>
        </w:tc>
        <w:tc>
          <w:tcPr>
            <w:tcW w:w="1134" w:type="dxa"/>
            <w:noWrap/>
            <w:hideMark/>
          </w:tcPr>
          <w:p w14:paraId="4D43A53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71.7</w:t>
            </w:r>
          </w:p>
        </w:tc>
        <w:tc>
          <w:tcPr>
            <w:tcW w:w="1134" w:type="dxa"/>
            <w:noWrap/>
            <w:hideMark/>
          </w:tcPr>
          <w:p w14:paraId="3726CE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9.4</w:t>
            </w:r>
          </w:p>
        </w:tc>
        <w:tc>
          <w:tcPr>
            <w:tcW w:w="1276" w:type="dxa"/>
            <w:noWrap/>
            <w:hideMark/>
          </w:tcPr>
          <w:p w14:paraId="66D79C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238</w:t>
            </w:r>
          </w:p>
        </w:tc>
        <w:tc>
          <w:tcPr>
            <w:tcW w:w="1417" w:type="dxa"/>
            <w:noWrap/>
            <w:hideMark/>
          </w:tcPr>
          <w:p w14:paraId="789356E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w:t>
            </w:r>
          </w:p>
        </w:tc>
      </w:tr>
      <w:tr w:rsidR="006716B4" w:rsidRPr="006716B4" w14:paraId="36ACEB37" w14:textId="77777777" w:rsidTr="001367E0">
        <w:tblPrEx>
          <w:tblCellMar>
            <w:left w:w="108" w:type="dxa"/>
            <w:right w:w="108" w:type="dxa"/>
          </w:tblCellMar>
        </w:tblPrEx>
        <w:trPr>
          <w:trHeight w:val="465"/>
        </w:trPr>
        <w:tc>
          <w:tcPr>
            <w:tcW w:w="737" w:type="dxa"/>
            <w:noWrap/>
            <w:hideMark/>
          </w:tcPr>
          <w:p w14:paraId="0F1CAD0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6505</w:t>
            </w:r>
          </w:p>
        </w:tc>
        <w:tc>
          <w:tcPr>
            <w:tcW w:w="1559" w:type="dxa"/>
            <w:noWrap/>
            <w:hideMark/>
          </w:tcPr>
          <w:p w14:paraId="5A26D63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Casula High School</w:t>
            </w:r>
          </w:p>
        </w:tc>
        <w:tc>
          <w:tcPr>
            <w:tcW w:w="709" w:type="dxa"/>
            <w:noWrap/>
            <w:hideMark/>
          </w:tcPr>
          <w:p w14:paraId="1EF59CD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F8E53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225165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3D7934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Myall Rd</w:t>
            </w:r>
          </w:p>
        </w:tc>
        <w:tc>
          <w:tcPr>
            <w:tcW w:w="1134" w:type="dxa"/>
            <w:noWrap/>
            <w:hideMark/>
          </w:tcPr>
          <w:p w14:paraId="0038D13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EBE47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44.5</w:t>
            </w:r>
          </w:p>
        </w:tc>
        <w:tc>
          <w:tcPr>
            <w:tcW w:w="1134" w:type="dxa"/>
            <w:noWrap/>
            <w:hideMark/>
          </w:tcPr>
          <w:p w14:paraId="04DA23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3FA3A7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4687B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190</w:t>
            </w:r>
          </w:p>
        </w:tc>
        <w:tc>
          <w:tcPr>
            <w:tcW w:w="1417" w:type="dxa"/>
            <w:noWrap/>
            <w:hideMark/>
          </w:tcPr>
          <w:p w14:paraId="375E45E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r>
      <w:tr w:rsidR="006716B4" w:rsidRPr="006716B4" w14:paraId="03957021" w14:textId="77777777" w:rsidTr="001367E0">
        <w:tblPrEx>
          <w:tblCellMar>
            <w:left w:w="108" w:type="dxa"/>
            <w:right w:w="108" w:type="dxa"/>
          </w:tblCellMar>
        </w:tblPrEx>
        <w:trPr>
          <w:trHeight w:val="465"/>
        </w:trPr>
        <w:tc>
          <w:tcPr>
            <w:tcW w:w="737" w:type="dxa"/>
            <w:noWrap/>
            <w:hideMark/>
          </w:tcPr>
          <w:p w14:paraId="22C8623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10222</w:t>
            </w:r>
          </w:p>
        </w:tc>
        <w:tc>
          <w:tcPr>
            <w:tcW w:w="1559" w:type="dxa"/>
            <w:noWrap/>
            <w:hideMark/>
          </w:tcPr>
          <w:p w14:paraId="7C6CAB8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Cawdor Public School</w:t>
            </w:r>
          </w:p>
        </w:tc>
        <w:tc>
          <w:tcPr>
            <w:tcW w:w="709" w:type="dxa"/>
            <w:noWrap/>
            <w:hideMark/>
          </w:tcPr>
          <w:p w14:paraId="6FFD21D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D0775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24473C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7192E0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865 Cawdor Rd</w:t>
            </w:r>
          </w:p>
        </w:tc>
        <w:tc>
          <w:tcPr>
            <w:tcW w:w="1134" w:type="dxa"/>
            <w:noWrap/>
            <w:hideMark/>
          </w:tcPr>
          <w:p w14:paraId="3C07422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D825F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28.6</w:t>
            </w:r>
          </w:p>
        </w:tc>
        <w:tc>
          <w:tcPr>
            <w:tcW w:w="1134" w:type="dxa"/>
            <w:noWrap/>
            <w:hideMark/>
          </w:tcPr>
          <w:p w14:paraId="0DA923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2CCDA1D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276" w:type="dxa"/>
            <w:noWrap/>
            <w:hideMark/>
          </w:tcPr>
          <w:p w14:paraId="67C5AE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c>
          <w:tcPr>
            <w:tcW w:w="1417" w:type="dxa"/>
            <w:noWrap/>
            <w:hideMark/>
          </w:tcPr>
          <w:p w14:paraId="25CB4EA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006A2E4" w14:textId="77777777" w:rsidTr="001367E0">
        <w:tblPrEx>
          <w:tblCellMar>
            <w:left w:w="108" w:type="dxa"/>
            <w:right w:w="108" w:type="dxa"/>
          </w:tblCellMar>
        </w:tblPrEx>
        <w:trPr>
          <w:trHeight w:val="465"/>
        </w:trPr>
        <w:tc>
          <w:tcPr>
            <w:tcW w:w="737" w:type="dxa"/>
            <w:noWrap/>
            <w:hideMark/>
          </w:tcPr>
          <w:p w14:paraId="16FB677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6420</w:t>
            </w:r>
          </w:p>
        </w:tc>
        <w:tc>
          <w:tcPr>
            <w:tcW w:w="1559" w:type="dxa"/>
            <w:noWrap/>
            <w:hideMark/>
          </w:tcPr>
          <w:p w14:paraId="45BC68D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Cessnock High School</w:t>
            </w:r>
          </w:p>
        </w:tc>
        <w:tc>
          <w:tcPr>
            <w:tcW w:w="709" w:type="dxa"/>
            <w:noWrap/>
            <w:hideMark/>
          </w:tcPr>
          <w:p w14:paraId="680FC81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07B0F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4C11DE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48E31B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Aberdare St</w:t>
            </w:r>
          </w:p>
        </w:tc>
        <w:tc>
          <w:tcPr>
            <w:tcW w:w="1134" w:type="dxa"/>
            <w:noWrap/>
            <w:hideMark/>
          </w:tcPr>
          <w:p w14:paraId="3E1635F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52006B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41.0</w:t>
            </w:r>
          </w:p>
        </w:tc>
        <w:tc>
          <w:tcPr>
            <w:tcW w:w="1134" w:type="dxa"/>
            <w:noWrap/>
            <w:hideMark/>
          </w:tcPr>
          <w:p w14:paraId="68AE5BB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61.7</w:t>
            </w:r>
          </w:p>
        </w:tc>
        <w:tc>
          <w:tcPr>
            <w:tcW w:w="1134" w:type="dxa"/>
            <w:noWrap/>
            <w:hideMark/>
          </w:tcPr>
          <w:p w14:paraId="040269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13.9</w:t>
            </w:r>
          </w:p>
        </w:tc>
        <w:tc>
          <w:tcPr>
            <w:tcW w:w="1276" w:type="dxa"/>
            <w:noWrap/>
            <w:hideMark/>
          </w:tcPr>
          <w:p w14:paraId="6BA79EF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165</w:t>
            </w:r>
          </w:p>
        </w:tc>
        <w:tc>
          <w:tcPr>
            <w:tcW w:w="1417" w:type="dxa"/>
            <w:noWrap/>
            <w:hideMark/>
          </w:tcPr>
          <w:p w14:paraId="188B389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w:t>
            </w:r>
          </w:p>
        </w:tc>
      </w:tr>
      <w:tr w:rsidR="006716B4" w:rsidRPr="006716B4" w14:paraId="32D63ECD" w14:textId="77777777" w:rsidTr="001367E0">
        <w:tblPrEx>
          <w:tblCellMar>
            <w:left w:w="108" w:type="dxa"/>
            <w:right w:w="108" w:type="dxa"/>
          </w:tblCellMar>
        </w:tblPrEx>
        <w:trPr>
          <w:trHeight w:val="465"/>
        </w:trPr>
        <w:tc>
          <w:tcPr>
            <w:tcW w:w="737" w:type="dxa"/>
            <w:noWrap/>
            <w:hideMark/>
          </w:tcPr>
          <w:p w14:paraId="09A3DAD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9278</w:t>
            </w:r>
          </w:p>
        </w:tc>
        <w:tc>
          <w:tcPr>
            <w:tcW w:w="1559" w:type="dxa"/>
            <w:noWrap/>
            <w:hideMark/>
          </w:tcPr>
          <w:p w14:paraId="6E0F7E6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Cessnock Public School</w:t>
            </w:r>
          </w:p>
        </w:tc>
        <w:tc>
          <w:tcPr>
            <w:tcW w:w="709" w:type="dxa"/>
            <w:noWrap/>
            <w:hideMark/>
          </w:tcPr>
          <w:p w14:paraId="637087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F1332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4E88FD7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871591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Rawson St</w:t>
            </w:r>
          </w:p>
        </w:tc>
        <w:tc>
          <w:tcPr>
            <w:tcW w:w="1134" w:type="dxa"/>
            <w:noWrap/>
            <w:hideMark/>
          </w:tcPr>
          <w:p w14:paraId="2F736F1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A78C3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35.0</w:t>
            </w:r>
          </w:p>
        </w:tc>
        <w:tc>
          <w:tcPr>
            <w:tcW w:w="1134" w:type="dxa"/>
            <w:noWrap/>
            <w:hideMark/>
          </w:tcPr>
          <w:p w14:paraId="05EB4E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39.3</w:t>
            </w:r>
          </w:p>
        </w:tc>
        <w:tc>
          <w:tcPr>
            <w:tcW w:w="1134" w:type="dxa"/>
            <w:noWrap/>
            <w:hideMark/>
          </w:tcPr>
          <w:p w14:paraId="2F26D9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276" w:type="dxa"/>
            <w:noWrap/>
            <w:hideMark/>
          </w:tcPr>
          <w:p w14:paraId="008334A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w:t>
            </w:r>
          </w:p>
        </w:tc>
        <w:tc>
          <w:tcPr>
            <w:tcW w:w="1417" w:type="dxa"/>
            <w:noWrap/>
            <w:hideMark/>
          </w:tcPr>
          <w:p w14:paraId="44880FE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416E0422" w14:textId="77777777" w:rsidTr="001367E0">
        <w:tblPrEx>
          <w:tblCellMar>
            <w:left w:w="108" w:type="dxa"/>
            <w:right w:w="108" w:type="dxa"/>
          </w:tblCellMar>
        </w:tblPrEx>
        <w:trPr>
          <w:trHeight w:val="465"/>
        </w:trPr>
        <w:tc>
          <w:tcPr>
            <w:tcW w:w="737" w:type="dxa"/>
            <w:noWrap/>
            <w:hideMark/>
          </w:tcPr>
          <w:p w14:paraId="6033FA6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9281</w:t>
            </w:r>
          </w:p>
        </w:tc>
        <w:tc>
          <w:tcPr>
            <w:tcW w:w="1559" w:type="dxa"/>
            <w:noWrap/>
            <w:hideMark/>
          </w:tcPr>
          <w:p w14:paraId="451A9A5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Cessnock West Public School</w:t>
            </w:r>
          </w:p>
        </w:tc>
        <w:tc>
          <w:tcPr>
            <w:tcW w:w="709" w:type="dxa"/>
            <w:noWrap/>
            <w:hideMark/>
          </w:tcPr>
          <w:p w14:paraId="289FA95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02F344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7DF4AB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E6EEF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Wollombi &amp; Campbell Sts</w:t>
            </w:r>
          </w:p>
        </w:tc>
        <w:tc>
          <w:tcPr>
            <w:tcW w:w="1134" w:type="dxa"/>
            <w:noWrap/>
            <w:hideMark/>
          </w:tcPr>
          <w:p w14:paraId="70E2EA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C4B37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31.0</w:t>
            </w:r>
          </w:p>
        </w:tc>
        <w:tc>
          <w:tcPr>
            <w:tcW w:w="1134" w:type="dxa"/>
            <w:noWrap/>
            <w:hideMark/>
          </w:tcPr>
          <w:p w14:paraId="7C9DCF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4D26524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22E519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w:t>
            </w:r>
          </w:p>
        </w:tc>
        <w:tc>
          <w:tcPr>
            <w:tcW w:w="1417" w:type="dxa"/>
            <w:noWrap/>
            <w:hideMark/>
          </w:tcPr>
          <w:p w14:paraId="55FC0C3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w:t>
            </w:r>
          </w:p>
        </w:tc>
      </w:tr>
      <w:tr w:rsidR="006716B4" w:rsidRPr="006716B4" w14:paraId="63E9A9DC" w14:textId="77777777" w:rsidTr="001367E0">
        <w:tblPrEx>
          <w:tblCellMar>
            <w:left w:w="108" w:type="dxa"/>
            <w:right w:w="108" w:type="dxa"/>
          </w:tblCellMar>
        </w:tblPrEx>
        <w:trPr>
          <w:trHeight w:val="465"/>
        </w:trPr>
        <w:tc>
          <w:tcPr>
            <w:tcW w:w="737" w:type="dxa"/>
            <w:noWrap/>
            <w:hideMark/>
          </w:tcPr>
          <w:p w14:paraId="34A157E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9545</w:t>
            </w:r>
          </w:p>
        </w:tc>
        <w:tc>
          <w:tcPr>
            <w:tcW w:w="1559" w:type="dxa"/>
            <w:noWrap/>
            <w:hideMark/>
          </w:tcPr>
          <w:p w14:paraId="2CB5302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Chatham High School</w:t>
            </w:r>
          </w:p>
        </w:tc>
        <w:tc>
          <w:tcPr>
            <w:tcW w:w="709" w:type="dxa"/>
            <w:noWrap/>
            <w:hideMark/>
          </w:tcPr>
          <w:p w14:paraId="3E05F53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59DABD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0CD5C43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FD5A13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 Vincents &amp; Davis Sts</w:t>
            </w:r>
          </w:p>
        </w:tc>
        <w:tc>
          <w:tcPr>
            <w:tcW w:w="1134" w:type="dxa"/>
            <w:noWrap/>
            <w:hideMark/>
          </w:tcPr>
          <w:p w14:paraId="4197758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A84AA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44.8</w:t>
            </w:r>
          </w:p>
        </w:tc>
        <w:tc>
          <w:tcPr>
            <w:tcW w:w="1134" w:type="dxa"/>
            <w:noWrap/>
            <w:hideMark/>
          </w:tcPr>
          <w:p w14:paraId="7E7EEDD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72.2</w:t>
            </w:r>
          </w:p>
        </w:tc>
        <w:tc>
          <w:tcPr>
            <w:tcW w:w="1134" w:type="dxa"/>
            <w:noWrap/>
            <w:hideMark/>
          </w:tcPr>
          <w:p w14:paraId="6677C3C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26.9</w:t>
            </w:r>
          </w:p>
        </w:tc>
        <w:tc>
          <w:tcPr>
            <w:tcW w:w="1276" w:type="dxa"/>
            <w:noWrap/>
            <w:hideMark/>
          </w:tcPr>
          <w:p w14:paraId="1B9F4FD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179</w:t>
            </w:r>
          </w:p>
        </w:tc>
        <w:tc>
          <w:tcPr>
            <w:tcW w:w="1417" w:type="dxa"/>
            <w:noWrap/>
            <w:hideMark/>
          </w:tcPr>
          <w:p w14:paraId="49C69FB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65</w:t>
            </w:r>
          </w:p>
        </w:tc>
      </w:tr>
      <w:tr w:rsidR="006716B4" w:rsidRPr="006716B4" w14:paraId="7E690B33" w14:textId="77777777" w:rsidTr="001367E0">
        <w:tblPrEx>
          <w:tblCellMar>
            <w:left w:w="108" w:type="dxa"/>
            <w:right w:w="108" w:type="dxa"/>
          </w:tblCellMar>
        </w:tblPrEx>
        <w:trPr>
          <w:trHeight w:val="465"/>
        </w:trPr>
        <w:tc>
          <w:tcPr>
            <w:tcW w:w="737" w:type="dxa"/>
            <w:noWrap/>
            <w:hideMark/>
          </w:tcPr>
          <w:p w14:paraId="1626453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9546</w:t>
            </w:r>
          </w:p>
        </w:tc>
        <w:tc>
          <w:tcPr>
            <w:tcW w:w="1559" w:type="dxa"/>
            <w:noWrap/>
            <w:hideMark/>
          </w:tcPr>
          <w:p w14:paraId="553A6F8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Chatham Public School</w:t>
            </w:r>
          </w:p>
        </w:tc>
        <w:tc>
          <w:tcPr>
            <w:tcW w:w="709" w:type="dxa"/>
            <w:noWrap/>
            <w:hideMark/>
          </w:tcPr>
          <w:p w14:paraId="3DD657E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2F61C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16B1D7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F964C7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Chatham Ave</w:t>
            </w:r>
          </w:p>
        </w:tc>
        <w:tc>
          <w:tcPr>
            <w:tcW w:w="1134" w:type="dxa"/>
            <w:noWrap/>
            <w:hideMark/>
          </w:tcPr>
          <w:p w14:paraId="0400AF1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94A36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29.5</w:t>
            </w:r>
          </w:p>
        </w:tc>
        <w:tc>
          <w:tcPr>
            <w:tcW w:w="1134" w:type="dxa"/>
            <w:noWrap/>
            <w:hideMark/>
          </w:tcPr>
          <w:p w14:paraId="1F1BFC0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29.2</w:t>
            </w:r>
          </w:p>
        </w:tc>
        <w:tc>
          <w:tcPr>
            <w:tcW w:w="1134" w:type="dxa"/>
            <w:noWrap/>
            <w:hideMark/>
          </w:tcPr>
          <w:p w14:paraId="0FA101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EC8F40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w:t>
            </w:r>
          </w:p>
        </w:tc>
        <w:tc>
          <w:tcPr>
            <w:tcW w:w="1417" w:type="dxa"/>
            <w:noWrap/>
            <w:hideMark/>
          </w:tcPr>
          <w:p w14:paraId="6E4594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r>
      <w:tr w:rsidR="006716B4" w:rsidRPr="006716B4" w14:paraId="04C90E43" w14:textId="77777777" w:rsidTr="001367E0">
        <w:tblPrEx>
          <w:tblCellMar>
            <w:left w:w="108" w:type="dxa"/>
            <w:right w:w="108" w:type="dxa"/>
          </w:tblCellMar>
        </w:tblPrEx>
        <w:trPr>
          <w:trHeight w:val="465"/>
        </w:trPr>
        <w:tc>
          <w:tcPr>
            <w:tcW w:w="737" w:type="dxa"/>
            <w:noWrap/>
            <w:hideMark/>
          </w:tcPr>
          <w:p w14:paraId="1EDFA83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9707</w:t>
            </w:r>
          </w:p>
        </w:tc>
        <w:tc>
          <w:tcPr>
            <w:tcW w:w="1559" w:type="dxa"/>
            <w:noWrap/>
            <w:hideMark/>
          </w:tcPr>
          <w:p w14:paraId="054586E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Chatsworth Island Public School</w:t>
            </w:r>
          </w:p>
        </w:tc>
        <w:tc>
          <w:tcPr>
            <w:tcW w:w="709" w:type="dxa"/>
            <w:noWrap/>
            <w:hideMark/>
          </w:tcPr>
          <w:p w14:paraId="5755DB0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3BFBC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DA801B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15662E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Chatsworth Island Rd</w:t>
            </w:r>
          </w:p>
        </w:tc>
        <w:tc>
          <w:tcPr>
            <w:tcW w:w="1134" w:type="dxa"/>
            <w:noWrap/>
            <w:hideMark/>
          </w:tcPr>
          <w:p w14:paraId="1A1C41A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91098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24.0</w:t>
            </w:r>
          </w:p>
        </w:tc>
        <w:tc>
          <w:tcPr>
            <w:tcW w:w="1134" w:type="dxa"/>
            <w:noWrap/>
            <w:hideMark/>
          </w:tcPr>
          <w:p w14:paraId="1CAF0DD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134" w:type="dxa"/>
            <w:noWrap/>
            <w:hideMark/>
          </w:tcPr>
          <w:p w14:paraId="02B221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6B49C6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417" w:type="dxa"/>
            <w:noWrap/>
            <w:hideMark/>
          </w:tcPr>
          <w:p w14:paraId="59E0166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1B033473" w14:textId="77777777" w:rsidTr="001367E0">
        <w:tblPrEx>
          <w:tblCellMar>
            <w:left w:w="108" w:type="dxa"/>
            <w:right w:w="108" w:type="dxa"/>
          </w:tblCellMar>
        </w:tblPrEx>
        <w:trPr>
          <w:trHeight w:val="465"/>
        </w:trPr>
        <w:tc>
          <w:tcPr>
            <w:tcW w:w="737" w:type="dxa"/>
            <w:noWrap/>
            <w:hideMark/>
          </w:tcPr>
          <w:p w14:paraId="3034CD2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8673</w:t>
            </w:r>
          </w:p>
        </w:tc>
        <w:tc>
          <w:tcPr>
            <w:tcW w:w="1559" w:type="dxa"/>
            <w:noWrap/>
            <w:hideMark/>
          </w:tcPr>
          <w:p w14:paraId="74AEF61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Chertsey Primary School</w:t>
            </w:r>
          </w:p>
        </w:tc>
        <w:tc>
          <w:tcPr>
            <w:tcW w:w="709" w:type="dxa"/>
            <w:noWrap/>
            <w:hideMark/>
          </w:tcPr>
          <w:p w14:paraId="772458B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86BC4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963738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75526B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Willow Rd</w:t>
            </w:r>
          </w:p>
        </w:tc>
        <w:tc>
          <w:tcPr>
            <w:tcW w:w="1134" w:type="dxa"/>
            <w:noWrap/>
            <w:hideMark/>
          </w:tcPr>
          <w:p w14:paraId="08BA23C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7FC3E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26.8</w:t>
            </w:r>
          </w:p>
        </w:tc>
        <w:tc>
          <w:tcPr>
            <w:tcW w:w="1134" w:type="dxa"/>
            <w:noWrap/>
            <w:hideMark/>
          </w:tcPr>
          <w:p w14:paraId="52FA463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28.6</w:t>
            </w:r>
          </w:p>
        </w:tc>
        <w:tc>
          <w:tcPr>
            <w:tcW w:w="1134" w:type="dxa"/>
            <w:noWrap/>
            <w:hideMark/>
          </w:tcPr>
          <w:p w14:paraId="666506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CB05D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w:t>
            </w:r>
          </w:p>
        </w:tc>
        <w:tc>
          <w:tcPr>
            <w:tcW w:w="1417" w:type="dxa"/>
            <w:noWrap/>
            <w:hideMark/>
          </w:tcPr>
          <w:p w14:paraId="24F30B3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154971DA" w14:textId="77777777" w:rsidTr="001367E0">
        <w:tblPrEx>
          <w:tblCellMar>
            <w:left w:w="108" w:type="dxa"/>
            <w:right w:w="108" w:type="dxa"/>
          </w:tblCellMar>
        </w:tblPrEx>
        <w:trPr>
          <w:trHeight w:val="465"/>
        </w:trPr>
        <w:tc>
          <w:tcPr>
            <w:tcW w:w="737" w:type="dxa"/>
            <w:noWrap/>
            <w:hideMark/>
          </w:tcPr>
          <w:p w14:paraId="64FFDAF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6469</w:t>
            </w:r>
          </w:p>
        </w:tc>
        <w:tc>
          <w:tcPr>
            <w:tcW w:w="1559" w:type="dxa"/>
            <w:noWrap/>
            <w:hideMark/>
          </w:tcPr>
          <w:p w14:paraId="468048F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Chester Hill High School</w:t>
            </w:r>
          </w:p>
        </w:tc>
        <w:tc>
          <w:tcPr>
            <w:tcW w:w="709" w:type="dxa"/>
            <w:noWrap/>
            <w:hideMark/>
          </w:tcPr>
          <w:p w14:paraId="427C02A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A7E68C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E8594C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5A92F8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Kenward Ave</w:t>
            </w:r>
          </w:p>
        </w:tc>
        <w:tc>
          <w:tcPr>
            <w:tcW w:w="1134" w:type="dxa"/>
            <w:noWrap/>
            <w:hideMark/>
          </w:tcPr>
          <w:p w14:paraId="7691C9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1EC23D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48.4</w:t>
            </w:r>
          </w:p>
        </w:tc>
        <w:tc>
          <w:tcPr>
            <w:tcW w:w="1134" w:type="dxa"/>
            <w:noWrap/>
            <w:hideMark/>
          </w:tcPr>
          <w:p w14:paraId="6B26ED8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58.3</w:t>
            </w:r>
          </w:p>
        </w:tc>
        <w:tc>
          <w:tcPr>
            <w:tcW w:w="1134" w:type="dxa"/>
            <w:noWrap/>
            <w:hideMark/>
          </w:tcPr>
          <w:p w14:paraId="4F74384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276" w:type="dxa"/>
            <w:noWrap/>
            <w:hideMark/>
          </w:tcPr>
          <w:p w14:paraId="389EDD0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287</w:t>
            </w:r>
          </w:p>
        </w:tc>
        <w:tc>
          <w:tcPr>
            <w:tcW w:w="1417" w:type="dxa"/>
            <w:noWrap/>
            <w:hideMark/>
          </w:tcPr>
          <w:p w14:paraId="4191E6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r>
      <w:tr w:rsidR="006716B4" w:rsidRPr="006716B4" w14:paraId="6142F9CC" w14:textId="77777777" w:rsidTr="001367E0">
        <w:tblPrEx>
          <w:tblCellMar>
            <w:left w:w="108" w:type="dxa"/>
            <w:right w:w="108" w:type="dxa"/>
          </w:tblCellMar>
        </w:tblPrEx>
        <w:trPr>
          <w:trHeight w:val="465"/>
        </w:trPr>
        <w:tc>
          <w:tcPr>
            <w:tcW w:w="737" w:type="dxa"/>
            <w:noWrap/>
            <w:hideMark/>
          </w:tcPr>
          <w:p w14:paraId="3DA176F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8149</w:t>
            </w:r>
          </w:p>
        </w:tc>
        <w:tc>
          <w:tcPr>
            <w:tcW w:w="1559" w:type="dxa"/>
            <w:noWrap/>
            <w:hideMark/>
          </w:tcPr>
          <w:p w14:paraId="765E83A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Chester Hill Public School</w:t>
            </w:r>
          </w:p>
        </w:tc>
        <w:tc>
          <w:tcPr>
            <w:tcW w:w="709" w:type="dxa"/>
            <w:noWrap/>
            <w:hideMark/>
          </w:tcPr>
          <w:p w14:paraId="22EC886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73A04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7CE72D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6186A1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Proctor Pde</w:t>
            </w:r>
          </w:p>
        </w:tc>
        <w:tc>
          <w:tcPr>
            <w:tcW w:w="1134" w:type="dxa"/>
            <w:noWrap/>
            <w:hideMark/>
          </w:tcPr>
          <w:p w14:paraId="71ABA35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0A715E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29.8</w:t>
            </w:r>
          </w:p>
        </w:tc>
        <w:tc>
          <w:tcPr>
            <w:tcW w:w="1134" w:type="dxa"/>
            <w:noWrap/>
            <w:hideMark/>
          </w:tcPr>
          <w:p w14:paraId="0500272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71EA835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CBCA2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89</w:t>
            </w:r>
          </w:p>
        </w:tc>
        <w:tc>
          <w:tcPr>
            <w:tcW w:w="1417" w:type="dxa"/>
            <w:noWrap/>
            <w:hideMark/>
          </w:tcPr>
          <w:p w14:paraId="7BA76E6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31933FC8" w14:textId="77777777" w:rsidTr="001367E0">
        <w:tblPrEx>
          <w:tblCellMar>
            <w:left w:w="108" w:type="dxa"/>
            <w:right w:w="108" w:type="dxa"/>
          </w:tblCellMar>
        </w:tblPrEx>
        <w:trPr>
          <w:trHeight w:val="465"/>
        </w:trPr>
        <w:tc>
          <w:tcPr>
            <w:tcW w:w="737" w:type="dxa"/>
            <w:noWrap/>
            <w:hideMark/>
          </w:tcPr>
          <w:p w14:paraId="6175F08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17407</w:t>
            </w:r>
          </w:p>
        </w:tc>
        <w:tc>
          <w:tcPr>
            <w:tcW w:w="1559" w:type="dxa"/>
            <w:noWrap/>
            <w:hideMark/>
          </w:tcPr>
          <w:p w14:paraId="0499810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Chifley College Bidwill Campus</w:t>
            </w:r>
          </w:p>
        </w:tc>
        <w:tc>
          <w:tcPr>
            <w:tcW w:w="709" w:type="dxa"/>
            <w:noWrap/>
            <w:hideMark/>
          </w:tcPr>
          <w:p w14:paraId="0FF89BE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F82A2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1A1B6D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3F0068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Maple Rd</w:t>
            </w:r>
          </w:p>
        </w:tc>
        <w:tc>
          <w:tcPr>
            <w:tcW w:w="1134" w:type="dxa"/>
            <w:noWrap/>
            <w:hideMark/>
          </w:tcPr>
          <w:p w14:paraId="7A36901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A431E5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60.7</w:t>
            </w:r>
          </w:p>
        </w:tc>
        <w:tc>
          <w:tcPr>
            <w:tcW w:w="1134" w:type="dxa"/>
            <w:noWrap/>
            <w:hideMark/>
          </w:tcPr>
          <w:p w14:paraId="1BEFFB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72.1</w:t>
            </w:r>
          </w:p>
        </w:tc>
        <w:tc>
          <w:tcPr>
            <w:tcW w:w="1134" w:type="dxa"/>
            <w:noWrap/>
            <w:hideMark/>
          </w:tcPr>
          <w:p w14:paraId="608496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8.3</w:t>
            </w:r>
          </w:p>
        </w:tc>
        <w:tc>
          <w:tcPr>
            <w:tcW w:w="1276" w:type="dxa"/>
            <w:noWrap/>
            <w:hideMark/>
          </w:tcPr>
          <w:p w14:paraId="598388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260</w:t>
            </w:r>
          </w:p>
        </w:tc>
        <w:tc>
          <w:tcPr>
            <w:tcW w:w="1417" w:type="dxa"/>
            <w:noWrap/>
            <w:hideMark/>
          </w:tcPr>
          <w:p w14:paraId="262341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w:t>
            </w:r>
          </w:p>
        </w:tc>
      </w:tr>
      <w:tr w:rsidR="006716B4" w:rsidRPr="006716B4" w14:paraId="403B2662" w14:textId="77777777" w:rsidTr="001367E0">
        <w:tblPrEx>
          <w:tblCellMar>
            <w:left w:w="108" w:type="dxa"/>
            <w:right w:w="108" w:type="dxa"/>
          </w:tblCellMar>
        </w:tblPrEx>
        <w:trPr>
          <w:trHeight w:val="465"/>
        </w:trPr>
        <w:tc>
          <w:tcPr>
            <w:tcW w:w="737" w:type="dxa"/>
            <w:noWrap/>
            <w:hideMark/>
          </w:tcPr>
          <w:p w14:paraId="7902B56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6354</w:t>
            </w:r>
          </w:p>
        </w:tc>
        <w:tc>
          <w:tcPr>
            <w:tcW w:w="1559" w:type="dxa"/>
            <w:noWrap/>
            <w:hideMark/>
          </w:tcPr>
          <w:p w14:paraId="77F6BA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Chifley College Dunheved Campus</w:t>
            </w:r>
          </w:p>
        </w:tc>
        <w:tc>
          <w:tcPr>
            <w:tcW w:w="709" w:type="dxa"/>
            <w:noWrap/>
            <w:hideMark/>
          </w:tcPr>
          <w:p w14:paraId="4F6E66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9698ED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19906C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6A5B6C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Maple Rd</w:t>
            </w:r>
          </w:p>
        </w:tc>
        <w:tc>
          <w:tcPr>
            <w:tcW w:w="1134" w:type="dxa"/>
            <w:noWrap/>
            <w:hideMark/>
          </w:tcPr>
          <w:p w14:paraId="3E61591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7A2AF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74.5</w:t>
            </w:r>
          </w:p>
        </w:tc>
        <w:tc>
          <w:tcPr>
            <w:tcW w:w="1134" w:type="dxa"/>
            <w:noWrap/>
            <w:hideMark/>
          </w:tcPr>
          <w:p w14:paraId="77272E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78.0</w:t>
            </w:r>
          </w:p>
        </w:tc>
        <w:tc>
          <w:tcPr>
            <w:tcW w:w="1134" w:type="dxa"/>
            <w:noWrap/>
            <w:hideMark/>
          </w:tcPr>
          <w:p w14:paraId="3531FC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34.1</w:t>
            </w:r>
          </w:p>
        </w:tc>
        <w:tc>
          <w:tcPr>
            <w:tcW w:w="1276" w:type="dxa"/>
            <w:noWrap/>
            <w:hideMark/>
          </w:tcPr>
          <w:p w14:paraId="59A882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181</w:t>
            </w:r>
          </w:p>
        </w:tc>
        <w:tc>
          <w:tcPr>
            <w:tcW w:w="1417" w:type="dxa"/>
            <w:noWrap/>
            <w:hideMark/>
          </w:tcPr>
          <w:p w14:paraId="30AB8C8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w:t>
            </w:r>
          </w:p>
        </w:tc>
      </w:tr>
      <w:tr w:rsidR="006716B4" w:rsidRPr="006716B4" w14:paraId="68FF1856" w14:textId="77777777" w:rsidTr="001367E0">
        <w:tblPrEx>
          <w:tblCellMar>
            <w:left w:w="108" w:type="dxa"/>
            <w:right w:w="108" w:type="dxa"/>
          </w:tblCellMar>
        </w:tblPrEx>
        <w:trPr>
          <w:trHeight w:val="465"/>
        </w:trPr>
        <w:tc>
          <w:tcPr>
            <w:tcW w:w="737" w:type="dxa"/>
            <w:noWrap/>
            <w:hideMark/>
          </w:tcPr>
          <w:p w14:paraId="383C436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lastRenderedPageBreak/>
              <w:t>6356</w:t>
            </w:r>
          </w:p>
        </w:tc>
        <w:tc>
          <w:tcPr>
            <w:tcW w:w="1559" w:type="dxa"/>
            <w:noWrap/>
            <w:hideMark/>
          </w:tcPr>
          <w:p w14:paraId="7AF3DE4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Chifley College Mount Druitt Campus</w:t>
            </w:r>
          </w:p>
        </w:tc>
        <w:tc>
          <w:tcPr>
            <w:tcW w:w="709" w:type="dxa"/>
            <w:noWrap/>
            <w:hideMark/>
          </w:tcPr>
          <w:p w14:paraId="78A230C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13692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5A5898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A98FC7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Stuart St</w:t>
            </w:r>
          </w:p>
        </w:tc>
        <w:tc>
          <w:tcPr>
            <w:tcW w:w="1134" w:type="dxa"/>
            <w:noWrap/>
            <w:hideMark/>
          </w:tcPr>
          <w:p w14:paraId="3A1A6E6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30B6A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66.9</w:t>
            </w:r>
          </w:p>
        </w:tc>
        <w:tc>
          <w:tcPr>
            <w:tcW w:w="1134" w:type="dxa"/>
            <w:noWrap/>
            <w:hideMark/>
          </w:tcPr>
          <w:p w14:paraId="080533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77.8</w:t>
            </w:r>
          </w:p>
        </w:tc>
        <w:tc>
          <w:tcPr>
            <w:tcW w:w="1134" w:type="dxa"/>
            <w:noWrap/>
            <w:hideMark/>
          </w:tcPr>
          <w:p w14:paraId="4AA86AE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15.6</w:t>
            </w:r>
          </w:p>
        </w:tc>
        <w:tc>
          <w:tcPr>
            <w:tcW w:w="1276" w:type="dxa"/>
            <w:noWrap/>
            <w:hideMark/>
          </w:tcPr>
          <w:p w14:paraId="3A19A1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360</w:t>
            </w:r>
          </w:p>
        </w:tc>
        <w:tc>
          <w:tcPr>
            <w:tcW w:w="1417" w:type="dxa"/>
            <w:noWrap/>
            <w:hideMark/>
          </w:tcPr>
          <w:p w14:paraId="046670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w:t>
            </w:r>
          </w:p>
        </w:tc>
      </w:tr>
      <w:tr w:rsidR="006716B4" w:rsidRPr="006716B4" w14:paraId="33B5F86C" w14:textId="77777777" w:rsidTr="001367E0">
        <w:tblPrEx>
          <w:tblCellMar>
            <w:left w:w="108" w:type="dxa"/>
            <w:right w:w="108" w:type="dxa"/>
          </w:tblCellMar>
        </w:tblPrEx>
        <w:trPr>
          <w:trHeight w:val="465"/>
        </w:trPr>
        <w:tc>
          <w:tcPr>
            <w:tcW w:w="737" w:type="dxa"/>
            <w:noWrap/>
            <w:hideMark/>
          </w:tcPr>
          <w:p w14:paraId="1D557EC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10820</w:t>
            </w:r>
          </w:p>
        </w:tc>
        <w:tc>
          <w:tcPr>
            <w:tcW w:w="1559" w:type="dxa"/>
            <w:noWrap/>
            <w:hideMark/>
          </w:tcPr>
          <w:p w14:paraId="73EC479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Chifley College Shalvey Campus</w:t>
            </w:r>
          </w:p>
        </w:tc>
        <w:tc>
          <w:tcPr>
            <w:tcW w:w="709" w:type="dxa"/>
            <w:noWrap/>
            <w:hideMark/>
          </w:tcPr>
          <w:p w14:paraId="4A84574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21457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160DE7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C427C6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Noumea St</w:t>
            </w:r>
          </w:p>
        </w:tc>
        <w:tc>
          <w:tcPr>
            <w:tcW w:w="1134" w:type="dxa"/>
            <w:noWrap/>
            <w:hideMark/>
          </w:tcPr>
          <w:p w14:paraId="0DAA5B4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B7D461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65.7</w:t>
            </w:r>
          </w:p>
        </w:tc>
        <w:tc>
          <w:tcPr>
            <w:tcW w:w="1134" w:type="dxa"/>
            <w:noWrap/>
            <w:hideMark/>
          </w:tcPr>
          <w:p w14:paraId="6FF654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67.5</w:t>
            </w:r>
          </w:p>
        </w:tc>
        <w:tc>
          <w:tcPr>
            <w:tcW w:w="1134" w:type="dxa"/>
            <w:noWrap/>
            <w:hideMark/>
          </w:tcPr>
          <w:p w14:paraId="5812517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10.4</w:t>
            </w:r>
          </w:p>
        </w:tc>
        <w:tc>
          <w:tcPr>
            <w:tcW w:w="1276" w:type="dxa"/>
            <w:noWrap/>
            <w:hideMark/>
          </w:tcPr>
          <w:p w14:paraId="51CBF0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238</w:t>
            </w:r>
          </w:p>
        </w:tc>
        <w:tc>
          <w:tcPr>
            <w:tcW w:w="1417" w:type="dxa"/>
            <w:noWrap/>
            <w:hideMark/>
          </w:tcPr>
          <w:p w14:paraId="17DA7B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w:t>
            </w:r>
          </w:p>
        </w:tc>
      </w:tr>
      <w:tr w:rsidR="006716B4" w:rsidRPr="006716B4" w14:paraId="2DDC378E" w14:textId="77777777" w:rsidTr="001367E0">
        <w:tblPrEx>
          <w:tblCellMar>
            <w:left w:w="108" w:type="dxa"/>
            <w:right w:w="108" w:type="dxa"/>
          </w:tblCellMar>
        </w:tblPrEx>
        <w:trPr>
          <w:trHeight w:val="465"/>
        </w:trPr>
        <w:tc>
          <w:tcPr>
            <w:tcW w:w="737" w:type="dxa"/>
            <w:noWrap/>
            <w:hideMark/>
          </w:tcPr>
          <w:p w14:paraId="670822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7566</w:t>
            </w:r>
          </w:p>
        </w:tc>
        <w:tc>
          <w:tcPr>
            <w:tcW w:w="1559" w:type="dxa"/>
            <w:noWrap/>
            <w:hideMark/>
          </w:tcPr>
          <w:p w14:paraId="3E1A856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Chifley Public School</w:t>
            </w:r>
          </w:p>
        </w:tc>
        <w:tc>
          <w:tcPr>
            <w:tcW w:w="709" w:type="dxa"/>
            <w:noWrap/>
            <w:hideMark/>
          </w:tcPr>
          <w:p w14:paraId="1A7B93F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1E70C6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7D4417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4E0F90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Mitchell St</w:t>
            </w:r>
          </w:p>
        </w:tc>
        <w:tc>
          <w:tcPr>
            <w:tcW w:w="1134" w:type="dxa"/>
            <w:noWrap/>
            <w:hideMark/>
          </w:tcPr>
          <w:p w14:paraId="55BD75B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05A3C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14.7</w:t>
            </w:r>
          </w:p>
        </w:tc>
        <w:tc>
          <w:tcPr>
            <w:tcW w:w="1134" w:type="dxa"/>
            <w:noWrap/>
            <w:hideMark/>
          </w:tcPr>
          <w:p w14:paraId="00D5DB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276357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90ECDB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w:t>
            </w:r>
          </w:p>
        </w:tc>
        <w:tc>
          <w:tcPr>
            <w:tcW w:w="1417" w:type="dxa"/>
            <w:noWrap/>
            <w:hideMark/>
          </w:tcPr>
          <w:p w14:paraId="37F785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40550FA1" w14:textId="77777777" w:rsidTr="001367E0">
        <w:tblPrEx>
          <w:tblCellMar>
            <w:left w:w="108" w:type="dxa"/>
            <w:right w:w="108" w:type="dxa"/>
          </w:tblCellMar>
        </w:tblPrEx>
        <w:trPr>
          <w:trHeight w:val="465"/>
        </w:trPr>
        <w:tc>
          <w:tcPr>
            <w:tcW w:w="737" w:type="dxa"/>
            <w:noWrap/>
            <w:hideMark/>
          </w:tcPr>
          <w:p w14:paraId="744C0F6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15984</w:t>
            </w:r>
          </w:p>
        </w:tc>
        <w:tc>
          <w:tcPr>
            <w:tcW w:w="1559" w:type="dxa"/>
            <w:noWrap/>
            <w:hideMark/>
          </w:tcPr>
          <w:p w14:paraId="24F729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Claremont Meadows Public School</w:t>
            </w:r>
          </w:p>
        </w:tc>
        <w:tc>
          <w:tcPr>
            <w:tcW w:w="709" w:type="dxa"/>
            <w:noWrap/>
            <w:hideMark/>
          </w:tcPr>
          <w:p w14:paraId="390A5E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DD76E7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CB4FC7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646D83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Sunflower Drive</w:t>
            </w:r>
          </w:p>
        </w:tc>
        <w:tc>
          <w:tcPr>
            <w:tcW w:w="1134" w:type="dxa"/>
            <w:noWrap/>
            <w:hideMark/>
          </w:tcPr>
          <w:p w14:paraId="56E0C40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7CC9C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31.2</w:t>
            </w:r>
          </w:p>
        </w:tc>
        <w:tc>
          <w:tcPr>
            <w:tcW w:w="1134" w:type="dxa"/>
            <w:noWrap/>
            <w:hideMark/>
          </w:tcPr>
          <w:p w14:paraId="4FA56C2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83.3</w:t>
            </w:r>
          </w:p>
        </w:tc>
        <w:tc>
          <w:tcPr>
            <w:tcW w:w="1134" w:type="dxa"/>
            <w:noWrap/>
            <w:hideMark/>
          </w:tcPr>
          <w:p w14:paraId="1832F32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276" w:type="dxa"/>
            <w:noWrap/>
            <w:hideMark/>
          </w:tcPr>
          <w:p w14:paraId="75A7EB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64</w:t>
            </w:r>
          </w:p>
        </w:tc>
        <w:tc>
          <w:tcPr>
            <w:tcW w:w="1417" w:type="dxa"/>
            <w:noWrap/>
            <w:hideMark/>
          </w:tcPr>
          <w:p w14:paraId="460170E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3F20D6DF" w14:textId="77777777" w:rsidTr="001367E0">
        <w:tblPrEx>
          <w:tblCellMar>
            <w:left w:w="108" w:type="dxa"/>
            <w:right w:w="108" w:type="dxa"/>
          </w:tblCellMar>
        </w:tblPrEx>
        <w:trPr>
          <w:trHeight w:val="465"/>
        </w:trPr>
        <w:tc>
          <w:tcPr>
            <w:tcW w:w="737" w:type="dxa"/>
            <w:noWrap/>
            <w:hideMark/>
          </w:tcPr>
          <w:p w14:paraId="1A4578C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9164</w:t>
            </w:r>
          </w:p>
        </w:tc>
        <w:tc>
          <w:tcPr>
            <w:tcW w:w="1559" w:type="dxa"/>
            <w:noWrap/>
            <w:hideMark/>
          </w:tcPr>
          <w:p w14:paraId="7637CD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Clarence Town Public School</w:t>
            </w:r>
          </w:p>
        </w:tc>
        <w:tc>
          <w:tcPr>
            <w:tcW w:w="709" w:type="dxa"/>
            <w:noWrap/>
            <w:hideMark/>
          </w:tcPr>
          <w:p w14:paraId="55CFB11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BC9ED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CA013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421D87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Queen St</w:t>
            </w:r>
          </w:p>
        </w:tc>
        <w:tc>
          <w:tcPr>
            <w:tcW w:w="1134" w:type="dxa"/>
            <w:noWrap/>
            <w:hideMark/>
          </w:tcPr>
          <w:p w14:paraId="7179CD1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8BD6A8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45ACBD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0EEAAB4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BBA7A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w:t>
            </w:r>
          </w:p>
        </w:tc>
        <w:tc>
          <w:tcPr>
            <w:tcW w:w="1417" w:type="dxa"/>
            <w:noWrap/>
            <w:hideMark/>
          </w:tcPr>
          <w:p w14:paraId="1BEBC6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0F23C311" w14:textId="77777777" w:rsidTr="001367E0">
        <w:tblPrEx>
          <w:tblCellMar>
            <w:left w:w="108" w:type="dxa"/>
            <w:right w:w="108" w:type="dxa"/>
          </w:tblCellMar>
        </w:tblPrEx>
        <w:trPr>
          <w:trHeight w:val="465"/>
        </w:trPr>
        <w:tc>
          <w:tcPr>
            <w:tcW w:w="737" w:type="dxa"/>
            <w:noWrap/>
            <w:hideMark/>
          </w:tcPr>
          <w:p w14:paraId="69DFF22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17890</w:t>
            </w:r>
          </w:p>
        </w:tc>
        <w:tc>
          <w:tcPr>
            <w:tcW w:w="1559" w:type="dxa"/>
            <w:noWrap/>
            <w:hideMark/>
          </w:tcPr>
          <w:p w14:paraId="4F5933B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Cleveland Street Intensive English High School</w:t>
            </w:r>
          </w:p>
        </w:tc>
        <w:tc>
          <w:tcPr>
            <w:tcW w:w="709" w:type="dxa"/>
            <w:noWrap/>
            <w:hideMark/>
          </w:tcPr>
          <w:p w14:paraId="2C217E6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BFBBCA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380BD6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CEE68B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Cnr Chalmers &amp; Cleveland Sts</w:t>
            </w:r>
          </w:p>
        </w:tc>
        <w:tc>
          <w:tcPr>
            <w:tcW w:w="1134" w:type="dxa"/>
            <w:noWrap/>
            <w:hideMark/>
          </w:tcPr>
          <w:p w14:paraId="01330D1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E8A0D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51.2</w:t>
            </w:r>
          </w:p>
        </w:tc>
        <w:tc>
          <w:tcPr>
            <w:tcW w:w="1134" w:type="dxa"/>
            <w:noWrap/>
            <w:hideMark/>
          </w:tcPr>
          <w:p w14:paraId="3132529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7298169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FA818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w:t>
            </w:r>
          </w:p>
        </w:tc>
        <w:tc>
          <w:tcPr>
            <w:tcW w:w="1417" w:type="dxa"/>
            <w:noWrap/>
            <w:hideMark/>
          </w:tcPr>
          <w:p w14:paraId="7EAEB35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73F3620" w14:textId="77777777" w:rsidTr="001367E0">
        <w:tblPrEx>
          <w:tblCellMar>
            <w:left w:w="108" w:type="dxa"/>
            <w:right w:w="108" w:type="dxa"/>
          </w:tblCellMar>
        </w:tblPrEx>
        <w:trPr>
          <w:trHeight w:val="465"/>
        </w:trPr>
        <w:tc>
          <w:tcPr>
            <w:tcW w:w="737" w:type="dxa"/>
            <w:noWrap/>
            <w:hideMark/>
          </w:tcPr>
          <w:p w14:paraId="69FF133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6481</w:t>
            </w:r>
          </w:p>
        </w:tc>
        <w:tc>
          <w:tcPr>
            <w:tcW w:w="1559" w:type="dxa"/>
            <w:noWrap/>
            <w:hideMark/>
          </w:tcPr>
          <w:p w14:paraId="79909C4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Cobar High School</w:t>
            </w:r>
          </w:p>
        </w:tc>
        <w:tc>
          <w:tcPr>
            <w:tcW w:w="709" w:type="dxa"/>
            <w:noWrap/>
            <w:hideMark/>
          </w:tcPr>
          <w:p w14:paraId="3BC89A0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9C9BB9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w:t>
            </w:r>
          </w:p>
        </w:tc>
        <w:tc>
          <w:tcPr>
            <w:tcW w:w="1134" w:type="dxa"/>
            <w:noWrap/>
            <w:hideMark/>
          </w:tcPr>
          <w:p w14:paraId="6B2F2A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B8EF5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Wetherell Cres</w:t>
            </w:r>
          </w:p>
        </w:tc>
        <w:tc>
          <w:tcPr>
            <w:tcW w:w="1134" w:type="dxa"/>
            <w:noWrap/>
            <w:hideMark/>
          </w:tcPr>
          <w:p w14:paraId="0678B7B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02D36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43.1</w:t>
            </w:r>
          </w:p>
        </w:tc>
        <w:tc>
          <w:tcPr>
            <w:tcW w:w="1134" w:type="dxa"/>
            <w:noWrap/>
            <w:hideMark/>
          </w:tcPr>
          <w:p w14:paraId="419F4D8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48.4</w:t>
            </w:r>
          </w:p>
        </w:tc>
        <w:tc>
          <w:tcPr>
            <w:tcW w:w="1134" w:type="dxa"/>
            <w:noWrap/>
            <w:hideMark/>
          </w:tcPr>
          <w:p w14:paraId="176EDEB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20.0</w:t>
            </w:r>
          </w:p>
        </w:tc>
        <w:tc>
          <w:tcPr>
            <w:tcW w:w="1276" w:type="dxa"/>
            <w:noWrap/>
            <w:hideMark/>
          </w:tcPr>
          <w:p w14:paraId="1362A0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78</w:t>
            </w:r>
          </w:p>
        </w:tc>
        <w:tc>
          <w:tcPr>
            <w:tcW w:w="1417" w:type="dxa"/>
            <w:noWrap/>
            <w:hideMark/>
          </w:tcPr>
          <w:p w14:paraId="49AE1A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w:t>
            </w:r>
          </w:p>
        </w:tc>
      </w:tr>
      <w:tr w:rsidR="006716B4" w:rsidRPr="006716B4" w14:paraId="3DC4FBBA" w14:textId="77777777" w:rsidTr="001367E0">
        <w:tblPrEx>
          <w:tblCellMar>
            <w:left w:w="108" w:type="dxa"/>
            <w:right w:w="108" w:type="dxa"/>
          </w:tblCellMar>
        </w:tblPrEx>
        <w:trPr>
          <w:trHeight w:val="465"/>
        </w:trPr>
        <w:tc>
          <w:tcPr>
            <w:tcW w:w="737" w:type="dxa"/>
            <w:noWrap/>
            <w:hideMark/>
          </w:tcPr>
          <w:p w14:paraId="0F0C3B9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10620</w:t>
            </w:r>
          </w:p>
        </w:tc>
        <w:tc>
          <w:tcPr>
            <w:tcW w:w="1559" w:type="dxa"/>
            <w:noWrap/>
            <w:hideMark/>
          </w:tcPr>
          <w:p w14:paraId="63572B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Coleambally Central School</w:t>
            </w:r>
          </w:p>
        </w:tc>
        <w:tc>
          <w:tcPr>
            <w:tcW w:w="709" w:type="dxa"/>
            <w:noWrap/>
            <w:hideMark/>
          </w:tcPr>
          <w:p w14:paraId="222BF1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AE79F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72E3EE1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2D325CF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Kingfisher Ave</w:t>
            </w:r>
          </w:p>
        </w:tc>
        <w:tc>
          <w:tcPr>
            <w:tcW w:w="1134" w:type="dxa"/>
            <w:noWrap/>
            <w:hideMark/>
          </w:tcPr>
          <w:p w14:paraId="00267EB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FD862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27.9</w:t>
            </w:r>
          </w:p>
        </w:tc>
        <w:tc>
          <w:tcPr>
            <w:tcW w:w="1134" w:type="dxa"/>
            <w:noWrap/>
            <w:hideMark/>
          </w:tcPr>
          <w:p w14:paraId="0B38C36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1BAC6E7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11628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w:t>
            </w:r>
          </w:p>
        </w:tc>
        <w:tc>
          <w:tcPr>
            <w:tcW w:w="1417" w:type="dxa"/>
            <w:noWrap/>
            <w:hideMark/>
          </w:tcPr>
          <w:p w14:paraId="0A1E0C2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4B88FB86" w14:textId="77777777" w:rsidTr="001367E0">
        <w:tblPrEx>
          <w:tblCellMar>
            <w:left w:w="108" w:type="dxa"/>
            <w:right w:w="108" w:type="dxa"/>
          </w:tblCellMar>
        </w:tblPrEx>
        <w:trPr>
          <w:trHeight w:val="465"/>
        </w:trPr>
        <w:tc>
          <w:tcPr>
            <w:tcW w:w="737" w:type="dxa"/>
            <w:noWrap/>
            <w:hideMark/>
          </w:tcPr>
          <w:p w14:paraId="48F9D3F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10273</w:t>
            </w:r>
          </w:p>
        </w:tc>
        <w:tc>
          <w:tcPr>
            <w:tcW w:w="1559" w:type="dxa"/>
            <w:noWrap/>
            <w:hideMark/>
          </w:tcPr>
          <w:p w14:paraId="3345192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Collector Public School</w:t>
            </w:r>
          </w:p>
        </w:tc>
        <w:tc>
          <w:tcPr>
            <w:tcW w:w="709" w:type="dxa"/>
            <w:noWrap/>
            <w:hideMark/>
          </w:tcPr>
          <w:p w14:paraId="7CE1A0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6CA464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48F79FC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EB8C0B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Lorn St</w:t>
            </w:r>
          </w:p>
        </w:tc>
        <w:tc>
          <w:tcPr>
            <w:tcW w:w="1134" w:type="dxa"/>
            <w:noWrap/>
            <w:hideMark/>
          </w:tcPr>
          <w:p w14:paraId="70C56A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083F71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41AB9F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700B14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416CB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c>
          <w:tcPr>
            <w:tcW w:w="1417" w:type="dxa"/>
            <w:noWrap/>
            <w:hideMark/>
          </w:tcPr>
          <w:p w14:paraId="297D6B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25485CA0" w14:textId="77777777" w:rsidTr="001367E0">
        <w:tblPrEx>
          <w:tblCellMar>
            <w:left w:w="108" w:type="dxa"/>
            <w:right w:w="108" w:type="dxa"/>
          </w:tblCellMar>
        </w:tblPrEx>
        <w:trPr>
          <w:trHeight w:val="465"/>
        </w:trPr>
        <w:tc>
          <w:tcPr>
            <w:tcW w:w="737" w:type="dxa"/>
            <w:noWrap/>
            <w:hideMark/>
          </w:tcPr>
          <w:p w14:paraId="61262C2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6353</w:t>
            </w:r>
          </w:p>
        </w:tc>
        <w:tc>
          <w:tcPr>
            <w:tcW w:w="1559" w:type="dxa"/>
            <w:noWrap/>
            <w:hideMark/>
          </w:tcPr>
          <w:p w14:paraId="1077CF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Colyton High School</w:t>
            </w:r>
          </w:p>
        </w:tc>
        <w:tc>
          <w:tcPr>
            <w:tcW w:w="709" w:type="dxa"/>
            <w:noWrap/>
            <w:hideMark/>
          </w:tcPr>
          <w:p w14:paraId="5F6A93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6BBCEB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DF6F83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69DEBE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37-53 Carpenter St</w:t>
            </w:r>
          </w:p>
        </w:tc>
        <w:tc>
          <w:tcPr>
            <w:tcW w:w="1134" w:type="dxa"/>
            <w:noWrap/>
            <w:hideMark/>
          </w:tcPr>
          <w:p w14:paraId="336F585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19D5C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53.5</w:t>
            </w:r>
          </w:p>
        </w:tc>
        <w:tc>
          <w:tcPr>
            <w:tcW w:w="1134" w:type="dxa"/>
            <w:noWrap/>
            <w:hideMark/>
          </w:tcPr>
          <w:p w14:paraId="1CEB97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52.8</w:t>
            </w:r>
          </w:p>
        </w:tc>
        <w:tc>
          <w:tcPr>
            <w:tcW w:w="1134" w:type="dxa"/>
            <w:noWrap/>
            <w:hideMark/>
          </w:tcPr>
          <w:p w14:paraId="1525775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w:t>
            </w:r>
          </w:p>
        </w:tc>
        <w:tc>
          <w:tcPr>
            <w:tcW w:w="1276" w:type="dxa"/>
            <w:noWrap/>
            <w:hideMark/>
          </w:tcPr>
          <w:p w14:paraId="595F71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295</w:t>
            </w:r>
          </w:p>
        </w:tc>
        <w:tc>
          <w:tcPr>
            <w:tcW w:w="1417" w:type="dxa"/>
            <w:noWrap/>
            <w:hideMark/>
          </w:tcPr>
          <w:p w14:paraId="3D95577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w:t>
            </w:r>
          </w:p>
        </w:tc>
      </w:tr>
      <w:tr w:rsidR="006716B4" w:rsidRPr="006716B4" w14:paraId="44D63F83" w14:textId="77777777" w:rsidTr="001367E0">
        <w:tblPrEx>
          <w:tblCellMar>
            <w:left w:w="108" w:type="dxa"/>
            <w:right w:w="108" w:type="dxa"/>
          </w:tblCellMar>
        </w:tblPrEx>
        <w:trPr>
          <w:trHeight w:val="465"/>
        </w:trPr>
        <w:tc>
          <w:tcPr>
            <w:tcW w:w="737" w:type="dxa"/>
            <w:noWrap/>
            <w:hideMark/>
          </w:tcPr>
          <w:p w14:paraId="6416200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10762</w:t>
            </w:r>
          </w:p>
        </w:tc>
        <w:tc>
          <w:tcPr>
            <w:tcW w:w="1559" w:type="dxa"/>
            <w:noWrap/>
            <w:hideMark/>
          </w:tcPr>
          <w:p w14:paraId="3FD82F7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Comleroy Road Public School</w:t>
            </w:r>
          </w:p>
        </w:tc>
        <w:tc>
          <w:tcPr>
            <w:tcW w:w="709" w:type="dxa"/>
            <w:noWrap/>
            <w:hideMark/>
          </w:tcPr>
          <w:p w14:paraId="63A2EB6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C2CFD0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4F4852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3A53A9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McMahons Rd</w:t>
            </w:r>
          </w:p>
        </w:tc>
        <w:tc>
          <w:tcPr>
            <w:tcW w:w="1134" w:type="dxa"/>
            <w:noWrap/>
            <w:hideMark/>
          </w:tcPr>
          <w:p w14:paraId="44C6157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E314E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15.2</w:t>
            </w:r>
          </w:p>
        </w:tc>
        <w:tc>
          <w:tcPr>
            <w:tcW w:w="1134" w:type="dxa"/>
            <w:noWrap/>
            <w:hideMark/>
          </w:tcPr>
          <w:p w14:paraId="449651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5B1CD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11722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c>
          <w:tcPr>
            <w:tcW w:w="1417" w:type="dxa"/>
            <w:noWrap/>
            <w:hideMark/>
          </w:tcPr>
          <w:p w14:paraId="0F90E60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2FA8059A" w14:textId="77777777" w:rsidTr="001367E0">
        <w:tblPrEx>
          <w:tblCellMar>
            <w:left w:w="108" w:type="dxa"/>
            <w:right w:w="108" w:type="dxa"/>
          </w:tblCellMar>
        </w:tblPrEx>
        <w:trPr>
          <w:trHeight w:val="465"/>
        </w:trPr>
        <w:tc>
          <w:tcPr>
            <w:tcW w:w="737" w:type="dxa"/>
            <w:noWrap/>
            <w:hideMark/>
          </w:tcPr>
          <w:p w14:paraId="6A4F66A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8579</w:t>
            </w:r>
          </w:p>
        </w:tc>
        <w:tc>
          <w:tcPr>
            <w:tcW w:w="1559" w:type="dxa"/>
            <w:noWrap/>
            <w:hideMark/>
          </w:tcPr>
          <w:p w14:paraId="0322A56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Condell Park High School</w:t>
            </w:r>
          </w:p>
        </w:tc>
        <w:tc>
          <w:tcPr>
            <w:tcW w:w="709" w:type="dxa"/>
            <w:noWrap/>
            <w:hideMark/>
          </w:tcPr>
          <w:p w14:paraId="6330673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2F47A0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7FB4A1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E5660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Third Ave</w:t>
            </w:r>
          </w:p>
        </w:tc>
        <w:tc>
          <w:tcPr>
            <w:tcW w:w="1134" w:type="dxa"/>
            <w:noWrap/>
            <w:hideMark/>
          </w:tcPr>
          <w:p w14:paraId="62CE2E6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AD75A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55.5</w:t>
            </w:r>
          </w:p>
        </w:tc>
        <w:tc>
          <w:tcPr>
            <w:tcW w:w="1134" w:type="dxa"/>
            <w:noWrap/>
            <w:hideMark/>
          </w:tcPr>
          <w:p w14:paraId="52ACFBA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13ED8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3161E0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198</w:t>
            </w:r>
          </w:p>
        </w:tc>
        <w:tc>
          <w:tcPr>
            <w:tcW w:w="1417" w:type="dxa"/>
            <w:noWrap/>
            <w:hideMark/>
          </w:tcPr>
          <w:p w14:paraId="328B93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E903801" w14:textId="77777777" w:rsidTr="001367E0">
        <w:tblPrEx>
          <w:tblCellMar>
            <w:left w:w="108" w:type="dxa"/>
            <w:right w:w="108" w:type="dxa"/>
          </w:tblCellMar>
        </w:tblPrEx>
        <w:trPr>
          <w:trHeight w:val="465"/>
        </w:trPr>
        <w:tc>
          <w:tcPr>
            <w:tcW w:w="737" w:type="dxa"/>
            <w:noWrap/>
            <w:hideMark/>
          </w:tcPr>
          <w:p w14:paraId="5BEBB11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8580</w:t>
            </w:r>
          </w:p>
        </w:tc>
        <w:tc>
          <w:tcPr>
            <w:tcW w:w="1559" w:type="dxa"/>
            <w:noWrap/>
            <w:hideMark/>
          </w:tcPr>
          <w:p w14:paraId="7BF4EE5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Condell Park Public School</w:t>
            </w:r>
          </w:p>
        </w:tc>
        <w:tc>
          <w:tcPr>
            <w:tcW w:w="709" w:type="dxa"/>
            <w:noWrap/>
            <w:hideMark/>
          </w:tcPr>
          <w:p w14:paraId="7E690BB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EF2A86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E33FB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B3E3D1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Augusta St</w:t>
            </w:r>
          </w:p>
        </w:tc>
        <w:tc>
          <w:tcPr>
            <w:tcW w:w="1134" w:type="dxa"/>
            <w:noWrap/>
            <w:hideMark/>
          </w:tcPr>
          <w:p w14:paraId="6DBA077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4BE8E2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33.7</w:t>
            </w:r>
          </w:p>
        </w:tc>
        <w:tc>
          <w:tcPr>
            <w:tcW w:w="1134" w:type="dxa"/>
            <w:noWrap/>
            <w:hideMark/>
          </w:tcPr>
          <w:p w14:paraId="6D60EB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3A2BEC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225764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w:t>
            </w:r>
          </w:p>
        </w:tc>
        <w:tc>
          <w:tcPr>
            <w:tcW w:w="1417" w:type="dxa"/>
            <w:noWrap/>
            <w:hideMark/>
          </w:tcPr>
          <w:p w14:paraId="32388D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36FE0C6C" w14:textId="77777777" w:rsidTr="001367E0">
        <w:tblPrEx>
          <w:tblCellMar>
            <w:left w:w="108" w:type="dxa"/>
            <w:right w:w="108" w:type="dxa"/>
          </w:tblCellMar>
        </w:tblPrEx>
        <w:trPr>
          <w:trHeight w:val="465"/>
        </w:trPr>
        <w:tc>
          <w:tcPr>
            <w:tcW w:w="737" w:type="dxa"/>
            <w:noWrap/>
            <w:hideMark/>
          </w:tcPr>
          <w:p w14:paraId="3DC1511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9913</w:t>
            </w:r>
          </w:p>
        </w:tc>
        <w:tc>
          <w:tcPr>
            <w:tcW w:w="1559" w:type="dxa"/>
            <w:noWrap/>
            <w:hideMark/>
          </w:tcPr>
          <w:p w14:paraId="3C5080D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Condong Public School</w:t>
            </w:r>
          </w:p>
        </w:tc>
        <w:tc>
          <w:tcPr>
            <w:tcW w:w="709" w:type="dxa"/>
            <w:noWrap/>
            <w:hideMark/>
          </w:tcPr>
          <w:p w14:paraId="776BE61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166D15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607A51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F88D8E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McLeod St</w:t>
            </w:r>
          </w:p>
        </w:tc>
        <w:tc>
          <w:tcPr>
            <w:tcW w:w="1134" w:type="dxa"/>
            <w:noWrap/>
            <w:hideMark/>
          </w:tcPr>
          <w:p w14:paraId="4FF60C0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D3766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28.6</w:t>
            </w:r>
          </w:p>
        </w:tc>
        <w:tc>
          <w:tcPr>
            <w:tcW w:w="1134" w:type="dxa"/>
            <w:noWrap/>
            <w:hideMark/>
          </w:tcPr>
          <w:p w14:paraId="415FF6F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199296D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7B1443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c>
          <w:tcPr>
            <w:tcW w:w="1417" w:type="dxa"/>
            <w:noWrap/>
            <w:hideMark/>
          </w:tcPr>
          <w:p w14:paraId="5691EB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7FBC245C" w14:textId="77777777" w:rsidTr="001367E0">
        <w:tblPrEx>
          <w:tblCellMar>
            <w:left w:w="108" w:type="dxa"/>
            <w:right w:w="108" w:type="dxa"/>
          </w:tblCellMar>
        </w:tblPrEx>
        <w:trPr>
          <w:trHeight w:val="465"/>
        </w:trPr>
        <w:tc>
          <w:tcPr>
            <w:tcW w:w="737" w:type="dxa"/>
            <w:noWrap/>
            <w:hideMark/>
          </w:tcPr>
          <w:p w14:paraId="4B2F5E5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lastRenderedPageBreak/>
              <w:t>9936</w:t>
            </w:r>
          </w:p>
        </w:tc>
        <w:tc>
          <w:tcPr>
            <w:tcW w:w="1559" w:type="dxa"/>
            <w:noWrap/>
            <w:hideMark/>
          </w:tcPr>
          <w:p w14:paraId="7342A73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Coniston Public School</w:t>
            </w:r>
          </w:p>
        </w:tc>
        <w:tc>
          <w:tcPr>
            <w:tcW w:w="709" w:type="dxa"/>
            <w:noWrap/>
            <w:hideMark/>
          </w:tcPr>
          <w:p w14:paraId="5F15B5A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EE5DAC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3307A0D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6B35FE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Auburn St</w:t>
            </w:r>
          </w:p>
        </w:tc>
        <w:tc>
          <w:tcPr>
            <w:tcW w:w="1134" w:type="dxa"/>
            <w:noWrap/>
            <w:hideMark/>
          </w:tcPr>
          <w:p w14:paraId="6A7319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CA261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28.1</w:t>
            </w:r>
          </w:p>
        </w:tc>
        <w:tc>
          <w:tcPr>
            <w:tcW w:w="1134" w:type="dxa"/>
            <w:noWrap/>
            <w:hideMark/>
          </w:tcPr>
          <w:p w14:paraId="5C79D6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4925D4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B4F2B0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w:t>
            </w:r>
          </w:p>
        </w:tc>
        <w:tc>
          <w:tcPr>
            <w:tcW w:w="1417" w:type="dxa"/>
            <w:noWrap/>
            <w:hideMark/>
          </w:tcPr>
          <w:p w14:paraId="373177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CC90DD4" w14:textId="77777777" w:rsidTr="001367E0">
        <w:tblPrEx>
          <w:tblCellMar>
            <w:left w:w="108" w:type="dxa"/>
            <w:right w:w="108" w:type="dxa"/>
          </w:tblCellMar>
        </w:tblPrEx>
        <w:trPr>
          <w:trHeight w:val="465"/>
        </w:trPr>
        <w:tc>
          <w:tcPr>
            <w:tcW w:w="737" w:type="dxa"/>
            <w:noWrap/>
            <w:hideMark/>
          </w:tcPr>
          <w:p w14:paraId="6FCBE2D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10428</w:t>
            </w:r>
          </w:p>
        </w:tc>
        <w:tc>
          <w:tcPr>
            <w:tcW w:w="1559" w:type="dxa"/>
            <w:noWrap/>
            <w:hideMark/>
          </w:tcPr>
          <w:p w14:paraId="7BCB4BD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Cooma Public School</w:t>
            </w:r>
          </w:p>
        </w:tc>
        <w:tc>
          <w:tcPr>
            <w:tcW w:w="709" w:type="dxa"/>
            <w:noWrap/>
            <w:hideMark/>
          </w:tcPr>
          <w:p w14:paraId="412883C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A54C7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1801C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AC37F0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Commissioner St</w:t>
            </w:r>
          </w:p>
        </w:tc>
        <w:tc>
          <w:tcPr>
            <w:tcW w:w="1134" w:type="dxa"/>
            <w:noWrap/>
            <w:hideMark/>
          </w:tcPr>
          <w:p w14:paraId="58EDA2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F72DE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17.4</w:t>
            </w:r>
          </w:p>
        </w:tc>
        <w:tc>
          <w:tcPr>
            <w:tcW w:w="1134" w:type="dxa"/>
            <w:noWrap/>
            <w:hideMark/>
          </w:tcPr>
          <w:p w14:paraId="64D1AB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134" w:type="dxa"/>
            <w:noWrap/>
            <w:hideMark/>
          </w:tcPr>
          <w:p w14:paraId="5ABBC7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0F2C7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w:t>
            </w:r>
          </w:p>
        </w:tc>
        <w:tc>
          <w:tcPr>
            <w:tcW w:w="1417" w:type="dxa"/>
            <w:noWrap/>
            <w:hideMark/>
          </w:tcPr>
          <w:p w14:paraId="2CCC82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0DE79155" w14:textId="77777777" w:rsidTr="001367E0">
        <w:tblPrEx>
          <w:tblCellMar>
            <w:left w:w="108" w:type="dxa"/>
            <w:right w:w="108" w:type="dxa"/>
          </w:tblCellMar>
        </w:tblPrEx>
        <w:trPr>
          <w:trHeight w:val="465"/>
        </w:trPr>
        <w:tc>
          <w:tcPr>
            <w:tcW w:w="737" w:type="dxa"/>
            <w:noWrap/>
            <w:hideMark/>
          </w:tcPr>
          <w:p w14:paraId="08245E8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6378</w:t>
            </w:r>
          </w:p>
        </w:tc>
        <w:tc>
          <w:tcPr>
            <w:tcW w:w="1559" w:type="dxa"/>
            <w:noWrap/>
            <w:hideMark/>
          </w:tcPr>
          <w:p w14:paraId="764B12B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Coomealla High School</w:t>
            </w:r>
          </w:p>
        </w:tc>
        <w:tc>
          <w:tcPr>
            <w:tcW w:w="709" w:type="dxa"/>
            <w:noWrap/>
            <w:hideMark/>
          </w:tcPr>
          <w:p w14:paraId="391A071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68EEC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42405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4ED616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Silver City Hwy</w:t>
            </w:r>
          </w:p>
        </w:tc>
        <w:tc>
          <w:tcPr>
            <w:tcW w:w="1134" w:type="dxa"/>
            <w:noWrap/>
            <w:hideMark/>
          </w:tcPr>
          <w:p w14:paraId="71BF5A6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4FB158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43.9</w:t>
            </w:r>
          </w:p>
        </w:tc>
        <w:tc>
          <w:tcPr>
            <w:tcW w:w="1134" w:type="dxa"/>
            <w:noWrap/>
            <w:hideMark/>
          </w:tcPr>
          <w:p w14:paraId="3F75B1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90.9</w:t>
            </w:r>
          </w:p>
        </w:tc>
        <w:tc>
          <w:tcPr>
            <w:tcW w:w="1134" w:type="dxa"/>
            <w:noWrap/>
            <w:hideMark/>
          </w:tcPr>
          <w:p w14:paraId="211D38C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276" w:type="dxa"/>
            <w:noWrap/>
            <w:hideMark/>
          </w:tcPr>
          <w:p w14:paraId="791890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90</w:t>
            </w:r>
          </w:p>
        </w:tc>
        <w:tc>
          <w:tcPr>
            <w:tcW w:w="1417" w:type="dxa"/>
            <w:noWrap/>
            <w:hideMark/>
          </w:tcPr>
          <w:p w14:paraId="3E5CEC7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w:t>
            </w:r>
          </w:p>
        </w:tc>
      </w:tr>
      <w:tr w:rsidR="006716B4" w:rsidRPr="006716B4" w14:paraId="7A39FC7D" w14:textId="77777777" w:rsidTr="001367E0">
        <w:tblPrEx>
          <w:tblCellMar>
            <w:left w:w="108" w:type="dxa"/>
            <w:right w:w="108" w:type="dxa"/>
          </w:tblCellMar>
        </w:tblPrEx>
        <w:trPr>
          <w:trHeight w:val="465"/>
        </w:trPr>
        <w:tc>
          <w:tcPr>
            <w:tcW w:w="737" w:type="dxa"/>
            <w:noWrap/>
            <w:hideMark/>
          </w:tcPr>
          <w:p w14:paraId="07BF1B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8737</w:t>
            </w:r>
          </w:p>
        </w:tc>
        <w:tc>
          <w:tcPr>
            <w:tcW w:w="1559" w:type="dxa"/>
            <w:noWrap/>
            <w:hideMark/>
          </w:tcPr>
          <w:p w14:paraId="497CE1B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Cooranbong Public School</w:t>
            </w:r>
          </w:p>
        </w:tc>
        <w:tc>
          <w:tcPr>
            <w:tcW w:w="709" w:type="dxa"/>
            <w:noWrap/>
            <w:hideMark/>
          </w:tcPr>
          <w:p w14:paraId="56ECF5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B9B301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6B90CE8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D50DC2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Government Rd</w:t>
            </w:r>
          </w:p>
        </w:tc>
        <w:tc>
          <w:tcPr>
            <w:tcW w:w="1134" w:type="dxa"/>
            <w:noWrap/>
            <w:hideMark/>
          </w:tcPr>
          <w:p w14:paraId="121A916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0499A2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33.6</w:t>
            </w:r>
          </w:p>
        </w:tc>
        <w:tc>
          <w:tcPr>
            <w:tcW w:w="1134" w:type="dxa"/>
            <w:noWrap/>
            <w:hideMark/>
          </w:tcPr>
          <w:p w14:paraId="42AA98D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66.7</w:t>
            </w:r>
          </w:p>
        </w:tc>
        <w:tc>
          <w:tcPr>
            <w:tcW w:w="1134" w:type="dxa"/>
            <w:noWrap/>
            <w:hideMark/>
          </w:tcPr>
          <w:p w14:paraId="25B53F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554C6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w:t>
            </w:r>
          </w:p>
        </w:tc>
        <w:tc>
          <w:tcPr>
            <w:tcW w:w="1417" w:type="dxa"/>
            <w:noWrap/>
            <w:hideMark/>
          </w:tcPr>
          <w:p w14:paraId="1049CC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r>
      <w:tr w:rsidR="006716B4" w:rsidRPr="006716B4" w14:paraId="67F2AE0D" w14:textId="77777777" w:rsidTr="001367E0">
        <w:tblPrEx>
          <w:tblCellMar>
            <w:left w:w="108" w:type="dxa"/>
            <w:right w:w="108" w:type="dxa"/>
          </w:tblCellMar>
        </w:tblPrEx>
        <w:trPr>
          <w:trHeight w:val="465"/>
        </w:trPr>
        <w:tc>
          <w:tcPr>
            <w:tcW w:w="737" w:type="dxa"/>
            <w:noWrap/>
            <w:hideMark/>
          </w:tcPr>
          <w:p w14:paraId="1D9846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9790</w:t>
            </w:r>
          </w:p>
        </w:tc>
        <w:tc>
          <w:tcPr>
            <w:tcW w:w="1559" w:type="dxa"/>
            <w:noWrap/>
            <w:hideMark/>
          </w:tcPr>
          <w:p w14:paraId="75D505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Corndale Public School</w:t>
            </w:r>
          </w:p>
        </w:tc>
        <w:tc>
          <w:tcPr>
            <w:tcW w:w="709" w:type="dxa"/>
            <w:noWrap/>
            <w:hideMark/>
          </w:tcPr>
          <w:p w14:paraId="08467B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30796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52A52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3A5A1C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Corndale Rd</w:t>
            </w:r>
          </w:p>
        </w:tc>
        <w:tc>
          <w:tcPr>
            <w:tcW w:w="1134" w:type="dxa"/>
            <w:noWrap/>
            <w:hideMark/>
          </w:tcPr>
          <w:p w14:paraId="643B544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31C5E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41.7</w:t>
            </w:r>
          </w:p>
        </w:tc>
        <w:tc>
          <w:tcPr>
            <w:tcW w:w="1134" w:type="dxa"/>
            <w:noWrap/>
            <w:hideMark/>
          </w:tcPr>
          <w:p w14:paraId="025FCF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309C89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0487A2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c>
          <w:tcPr>
            <w:tcW w:w="1417" w:type="dxa"/>
            <w:noWrap/>
            <w:hideMark/>
          </w:tcPr>
          <w:p w14:paraId="778297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7FCB72A5" w14:textId="77777777" w:rsidTr="001367E0">
        <w:tblPrEx>
          <w:tblCellMar>
            <w:left w:w="108" w:type="dxa"/>
            <w:right w:w="108" w:type="dxa"/>
          </w:tblCellMar>
        </w:tblPrEx>
        <w:trPr>
          <w:trHeight w:val="465"/>
        </w:trPr>
        <w:tc>
          <w:tcPr>
            <w:tcW w:w="737" w:type="dxa"/>
            <w:noWrap/>
            <w:hideMark/>
          </w:tcPr>
          <w:p w14:paraId="640C0B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10464</w:t>
            </w:r>
          </w:p>
        </w:tc>
        <w:tc>
          <w:tcPr>
            <w:tcW w:w="1559" w:type="dxa"/>
            <w:noWrap/>
            <w:hideMark/>
          </w:tcPr>
          <w:p w14:paraId="3D1E50B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Corowa High School</w:t>
            </w:r>
          </w:p>
        </w:tc>
        <w:tc>
          <w:tcPr>
            <w:tcW w:w="709" w:type="dxa"/>
            <w:noWrap/>
            <w:hideMark/>
          </w:tcPr>
          <w:p w14:paraId="4F0BAF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E46C0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4B4D9B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B5EEB4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Redlands Rd</w:t>
            </w:r>
          </w:p>
        </w:tc>
        <w:tc>
          <w:tcPr>
            <w:tcW w:w="1134" w:type="dxa"/>
            <w:noWrap/>
            <w:hideMark/>
          </w:tcPr>
          <w:p w14:paraId="0374DA8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4F088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26.7</w:t>
            </w:r>
          </w:p>
        </w:tc>
        <w:tc>
          <w:tcPr>
            <w:tcW w:w="1134" w:type="dxa"/>
            <w:noWrap/>
            <w:hideMark/>
          </w:tcPr>
          <w:p w14:paraId="0AA6AD0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3747BEF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6765ED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97</w:t>
            </w:r>
          </w:p>
        </w:tc>
        <w:tc>
          <w:tcPr>
            <w:tcW w:w="1417" w:type="dxa"/>
            <w:noWrap/>
            <w:hideMark/>
          </w:tcPr>
          <w:p w14:paraId="1620B4F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7AEB6D61" w14:textId="77777777" w:rsidTr="001367E0">
        <w:tblPrEx>
          <w:tblCellMar>
            <w:left w:w="108" w:type="dxa"/>
            <w:right w:w="108" w:type="dxa"/>
          </w:tblCellMar>
        </w:tblPrEx>
        <w:trPr>
          <w:trHeight w:val="465"/>
        </w:trPr>
        <w:tc>
          <w:tcPr>
            <w:tcW w:w="737" w:type="dxa"/>
            <w:noWrap/>
            <w:hideMark/>
          </w:tcPr>
          <w:p w14:paraId="3AFA1B0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9709</w:t>
            </w:r>
          </w:p>
        </w:tc>
        <w:tc>
          <w:tcPr>
            <w:tcW w:w="1559" w:type="dxa"/>
            <w:noWrap/>
            <w:hideMark/>
          </w:tcPr>
          <w:p w14:paraId="27EAC0F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Coutts Crossing Public School</w:t>
            </w:r>
          </w:p>
        </w:tc>
        <w:tc>
          <w:tcPr>
            <w:tcW w:w="709" w:type="dxa"/>
            <w:noWrap/>
            <w:hideMark/>
          </w:tcPr>
          <w:p w14:paraId="73F9A8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BB409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54DC61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5886BE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Armidale Rd</w:t>
            </w:r>
          </w:p>
        </w:tc>
        <w:tc>
          <w:tcPr>
            <w:tcW w:w="1134" w:type="dxa"/>
            <w:noWrap/>
            <w:hideMark/>
          </w:tcPr>
          <w:p w14:paraId="7DA0B9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A05372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32.4</w:t>
            </w:r>
          </w:p>
        </w:tc>
        <w:tc>
          <w:tcPr>
            <w:tcW w:w="1134" w:type="dxa"/>
            <w:noWrap/>
            <w:hideMark/>
          </w:tcPr>
          <w:p w14:paraId="5522B8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3012A97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6FB5EE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417" w:type="dxa"/>
            <w:noWrap/>
            <w:hideMark/>
          </w:tcPr>
          <w:p w14:paraId="047440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2FD33565" w14:textId="77777777" w:rsidTr="001367E0">
        <w:tblPrEx>
          <w:tblCellMar>
            <w:left w:w="108" w:type="dxa"/>
            <w:right w:w="108" w:type="dxa"/>
          </w:tblCellMar>
        </w:tblPrEx>
        <w:trPr>
          <w:trHeight w:val="465"/>
        </w:trPr>
        <w:tc>
          <w:tcPr>
            <w:tcW w:w="737" w:type="dxa"/>
            <w:noWrap/>
            <w:hideMark/>
          </w:tcPr>
          <w:p w14:paraId="34D025A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15109</w:t>
            </w:r>
          </w:p>
        </w:tc>
        <w:tc>
          <w:tcPr>
            <w:tcW w:w="1559" w:type="dxa"/>
            <w:noWrap/>
            <w:hideMark/>
          </w:tcPr>
          <w:p w14:paraId="3041B52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Cranebrook High School</w:t>
            </w:r>
          </w:p>
        </w:tc>
        <w:tc>
          <w:tcPr>
            <w:tcW w:w="709" w:type="dxa"/>
            <w:noWrap/>
            <w:hideMark/>
          </w:tcPr>
          <w:p w14:paraId="63CFCDE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61AA88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7C010D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E52109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Hosking St</w:t>
            </w:r>
          </w:p>
        </w:tc>
        <w:tc>
          <w:tcPr>
            <w:tcW w:w="1134" w:type="dxa"/>
            <w:noWrap/>
            <w:hideMark/>
          </w:tcPr>
          <w:p w14:paraId="0D537BE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6C5EB5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52.7</w:t>
            </w:r>
          </w:p>
        </w:tc>
        <w:tc>
          <w:tcPr>
            <w:tcW w:w="1134" w:type="dxa"/>
            <w:noWrap/>
            <w:hideMark/>
          </w:tcPr>
          <w:p w14:paraId="01E35E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70.9</w:t>
            </w:r>
          </w:p>
        </w:tc>
        <w:tc>
          <w:tcPr>
            <w:tcW w:w="1134" w:type="dxa"/>
            <w:noWrap/>
            <w:hideMark/>
          </w:tcPr>
          <w:p w14:paraId="0AB896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19.2</w:t>
            </w:r>
          </w:p>
        </w:tc>
        <w:tc>
          <w:tcPr>
            <w:tcW w:w="1276" w:type="dxa"/>
            <w:noWrap/>
            <w:hideMark/>
          </w:tcPr>
          <w:p w14:paraId="666AA17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307</w:t>
            </w:r>
          </w:p>
        </w:tc>
        <w:tc>
          <w:tcPr>
            <w:tcW w:w="1417" w:type="dxa"/>
            <w:noWrap/>
            <w:hideMark/>
          </w:tcPr>
          <w:p w14:paraId="23C0A0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w:t>
            </w:r>
          </w:p>
        </w:tc>
      </w:tr>
      <w:tr w:rsidR="006716B4" w:rsidRPr="006716B4" w14:paraId="25A2DAB1" w14:textId="77777777" w:rsidTr="001367E0">
        <w:tblPrEx>
          <w:tblCellMar>
            <w:left w:w="108" w:type="dxa"/>
            <w:right w:w="108" w:type="dxa"/>
          </w:tblCellMar>
        </w:tblPrEx>
        <w:trPr>
          <w:trHeight w:val="465"/>
        </w:trPr>
        <w:tc>
          <w:tcPr>
            <w:tcW w:w="737" w:type="dxa"/>
            <w:noWrap/>
            <w:hideMark/>
          </w:tcPr>
          <w:p w14:paraId="54B421B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10790</w:t>
            </w:r>
          </w:p>
        </w:tc>
        <w:tc>
          <w:tcPr>
            <w:tcW w:w="1559" w:type="dxa"/>
            <w:noWrap/>
            <w:hideMark/>
          </w:tcPr>
          <w:p w14:paraId="1D7EEC0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Crawford Public School</w:t>
            </w:r>
          </w:p>
        </w:tc>
        <w:tc>
          <w:tcPr>
            <w:tcW w:w="709" w:type="dxa"/>
            <w:noWrap/>
            <w:hideMark/>
          </w:tcPr>
          <w:p w14:paraId="2932CF3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D4474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62424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3A5D5A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Power St</w:t>
            </w:r>
          </w:p>
        </w:tc>
        <w:tc>
          <w:tcPr>
            <w:tcW w:w="1134" w:type="dxa"/>
            <w:noWrap/>
            <w:hideMark/>
          </w:tcPr>
          <w:p w14:paraId="5C01113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FFE97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29.6</w:t>
            </w:r>
          </w:p>
        </w:tc>
        <w:tc>
          <w:tcPr>
            <w:tcW w:w="1134" w:type="dxa"/>
            <w:noWrap/>
            <w:hideMark/>
          </w:tcPr>
          <w:p w14:paraId="54F72F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35.3</w:t>
            </w:r>
          </w:p>
        </w:tc>
        <w:tc>
          <w:tcPr>
            <w:tcW w:w="1134" w:type="dxa"/>
            <w:noWrap/>
            <w:hideMark/>
          </w:tcPr>
          <w:p w14:paraId="29F7CBB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24EA2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80</w:t>
            </w:r>
          </w:p>
        </w:tc>
        <w:tc>
          <w:tcPr>
            <w:tcW w:w="1417" w:type="dxa"/>
            <w:noWrap/>
            <w:hideMark/>
          </w:tcPr>
          <w:p w14:paraId="3DB6B7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r>
      <w:tr w:rsidR="006716B4" w:rsidRPr="006716B4" w14:paraId="74687B34" w14:textId="77777777" w:rsidTr="001367E0">
        <w:tblPrEx>
          <w:tblCellMar>
            <w:left w:w="108" w:type="dxa"/>
            <w:right w:w="108" w:type="dxa"/>
          </w:tblCellMar>
        </w:tblPrEx>
        <w:trPr>
          <w:trHeight w:val="465"/>
        </w:trPr>
        <w:tc>
          <w:tcPr>
            <w:tcW w:w="737" w:type="dxa"/>
            <w:noWrap/>
            <w:hideMark/>
          </w:tcPr>
          <w:p w14:paraId="73AC8A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11080</w:t>
            </w:r>
          </w:p>
        </w:tc>
        <w:tc>
          <w:tcPr>
            <w:tcW w:w="1559" w:type="dxa"/>
            <w:noWrap/>
            <w:hideMark/>
          </w:tcPr>
          <w:p w14:paraId="3D444E3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Cudgegong Valley Public School</w:t>
            </w:r>
          </w:p>
        </w:tc>
        <w:tc>
          <w:tcPr>
            <w:tcW w:w="709" w:type="dxa"/>
            <w:noWrap/>
            <w:hideMark/>
          </w:tcPr>
          <w:p w14:paraId="0078DA8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763A1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042C9BB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E5E8D8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Madeira Rd</w:t>
            </w:r>
          </w:p>
        </w:tc>
        <w:tc>
          <w:tcPr>
            <w:tcW w:w="1134" w:type="dxa"/>
            <w:noWrap/>
            <w:hideMark/>
          </w:tcPr>
          <w:p w14:paraId="4C6849E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7E84F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19.4</w:t>
            </w:r>
          </w:p>
        </w:tc>
        <w:tc>
          <w:tcPr>
            <w:tcW w:w="1134" w:type="dxa"/>
            <w:noWrap/>
            <w:hideMark/>
          </w:tcPr>
          <w:p w14:paraId="0643A1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6B88B6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6C53BA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65</w:t>
            </w:r>
          </w:p>
        </w:tc>
        <w:tc>
          <w:tcPr>
            <w:tcW w:w="1417" w:type="dxa"/>
            <w:noWrap/>
            <w:hideMark/>
          </w:tcPr>
          <w:p w14:paraId="078E2D3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4CD0611A" w14:textId="77777777" w:rsidTr="001367E0">
        <w:tblPrEx>
          <w:tblCellMar>
            <w:left w:w="108" w:type="dxa"/>
            <w:right w:w="108" w:type="dxa"/>
          </w:tblCellMar>
        </w:tblPrEx>
        <w:trPr>
          <w:trHeight w:val="465"/>
        </w:trPr>
        <w:tc>
          <w:tcPr>
            <w:tcW w:w="737" w:type="dxa"/>
            <w:noWrap/>
            <w:hideMark/>
          </w:tcPr>
          <w:p w14:paraId="674B61E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10070</w:t>
            </w:r>
          </w:p>
        </w:tc>
        <w:tc>
          <w:tcPr>
            <w:tcW w:w="1559" w:type="dxa"/>
            <w:noWrap/>
            <w:hideMark/>
          </w:tcPr>
          <w:p w14:paraId="51F746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Culburra Public School</w:t>
            </w:r>
          </w:p>
        </w:tc>
        <w:tc>
          <w:tcPr>
            <w:tcW w:w="709" w:type="dxa"/>
            <w:noWrap/>
            <w:hideMark/>
          </w:tcPr>
          <w:p w14:paraId="164B87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A882C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0522E8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72F327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Carlton Cres</w:t>
            </w:r>
          </w:p>
        </w:tc>
        <w:tc>
          <w:tcPr>
            <w:tcW w:w="1134" w:type="dxa"/>
            <w:noWrap/>
            <w:hideMark/>
          </w:tcPr>
          <w:p w14:paraId="58AF02B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D076B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36.1</w:t>
            </w:r>
          </w:p>
        </w:tc>
        <w:tc>
          <w:tcPr>
            <w:tcW w:w="1134" w:type="dxa"/>
            <w:noWrap/>
            <w:hideMark/>
          </w:tcPr>
          <w:p w14:paraId="30A8DCD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42.5</w:t>
            </w:r>
          </w:p>
        </w:tc>
        <w:tc>
          <w:tcPr>
            <w:tcW w:w="1134" w:type="dxa"/>
            <w:noWrap/>
            <w:hideMark/>
          </w:tcPr>
          <w:p w14:paraId="592C34D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FF3D9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w:t>
            </w:r>
          </w:p>
        </w:tc>
        <w:tc>
          <w:tcPr>
            <w:tcW w:w="1417" w:type="dxa"/>
            <w:noWrap/>
            <w:hideMark/>
          </w:tcPr>
          <w:p w14:paraId="18F367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r>
      <w:tr w:rsidR="006716B4" w:rsidRPr="006716B4" w14:paraId="2AE6EE0E" w14:textId="77777777" w:rsidTr="001367E0">
        <w:tblPrEx>
          <w:tblCellMar>
            <w:left w:w="108" w:type="dxa"/>
            <w:right w:w="108" w:type="dxa"/>
          </w:tblCellMar>
        </w:tblPrEx>
        <w:trPr>
          <w:trHeight w:val="465"/>
        </w:trPr>
        <w:tc>
          <w:tcPr>
            <w:tcW w:w="737" w:type="dxa"/>
            <w:noWrap/>
            <w:hideMark/>
          </w:tcPr>
          <w:p w14:paraId="7129FCE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10514</w:t>
            </w:r>
          </w:p>
        </w:tc>
        <w:tc>
          <w:tcPr>
            <w:tcW w:w="1559" w:type="dxa"/>
            <w:noWrap/>
            <w:hideMark/>
          </w:tcPr>
          <w:p w14:paraId="72D74D2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Culcairn Public School</w:t>
            </w:r>
          </w:p>
        </w:tc>
        <w:tc>
          <w:tcPr>
            <w:tcW w:w="709" w:type="dxa"/>
            <w:noWrap/>
            <w:hideMark/>
          </w:tcPr>
          <w:p w14:paraId="48B7D65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FA5B2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2C6401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A96A1B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Balfour St</w:t>
            </w:r>
          </w:p>
        </w:tc>
        <w:tc>
          <w:tcPr>
            <w:tcW w:w="1134" w:type="dxa"/>
            <w:noWrap/>
            <w:hideMark/>
          </w:tcPr>
          <w:p w14:paraId="6FC74C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BDAA52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22.7</w:t>
            </w:r>
          </w:p>
        </w:tc>
        <w:tc>
          <w:tcPr>
            <w:tcW w:w="1134" w:type="dxa"/>
            <w:noWrap/>
            <w:hideMark/>
          </w:tcPr>
          <w:p w14:paraId="1DFE77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4642E02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E9DEEA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w:t>
            </w:r>
          </w:p>
        </w:tc>
        <w:tc>
          <w:tcPr>
            <w:tcW w:w="1417" w:type="dxa"/>
            <w:noWrap/>
            <w:hideMark/>
          </w:tcPr>
          <w:p w14:paraId="5BD8E5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26BAEF95" w14:textId="77777777" w:rsidTr="001367E0">
        <w:tblPrEx>
          <w:tblCellMar>
            <w:left w:w="108" w:type="dxa"/>
            <w:right w:w="108" w:type="dxa"/>
          </w:tblCellMar>
        </w:tblPrEx>
        <w:trPr>
          <w:trHeight w:val="465"/>
        </w:trPr>
        <w:tc>
          <w:tcPr>
            <w:tcW w:w="737" w:type="dxa"/>
            <w:noWrap/>
            <w:hideMark/>
          </w:tcPr>
          <w:p w14:paraId="784745E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17412</w:t>
            </w:r>
          </w:p>
        </w:tc>
        <w:tc>
          <w:tcPr>
            <w:tcW w:w="1559" w:type="dxa"/>
            <w:noWrap/>
            <w:hideMark/>
          </w:tcPr>
          <w:p w14:paraId="6152BA2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Cundletown Public School</w:t>
            </w:r>
          </w:p>
        </w:tc>
        <w:tc>
          <w:tcPr>
            <w:tcW w:w="709" w:type="dxa"/>
            <w:noWrap/>
            <w:hideMark/>
          </w:tcPr>
          <w:p w14:paraId="3DBCBD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CAF01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0D5DBC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75C675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High St</w:t>
            </w:r>
          </w:p>
        </w:tc>
        <w:tc>
          <w:tcPr>
            <w:tcW w:w="1134" w:type="dxa"/>
            <w:noWrap/>
            <w:hideMark/>
          </w:tcPr>
          <w:p w14:paraId="4EF426A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77ABB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27.8</w:t>
            </w:r>
          </w:p>
        </w:tc>
        <w:tc>
          <w:tcPr>
            <w:tcW w:w="1134" w:type="dxa"/>
            <w:noWrap/>
            <w:hideMark/>
          </w:tcPr>
          <w:p w14:paraId="0A7E460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2951F34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7EFD2F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w:t>
            </w:r>
          </w:p>
        </w:tc>
        <w:tc>
          <w:tcPr>
            <w:tcW w:w="1417" w:type="dxa"/>
            <w:noWrap/>
            <w:hideMark/>
          </w:tcPr>
          <w:p w14:paraId="567D79E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23FFB659" w14:textId="77777777" w:rsidTr="001367E0">
        <w:tblPrEx>
          <w:tblCellMar>
            <w:left w:w="108" w:type="dxa"/>
            <w:right w:w="108" w:type="dxa"/>
          </w:tblCellMar>
        </w:tblPrEx>
        <w:trPr>
          <w:trHeight w:val="465"/>
        </w:trPr>
        <w:tc>
          <w:tcPr>
            <w:tcW w:w="737" w:type="dxa"/>
            <w:noWrap/>
            <w:hideMark/>
          </w:tcPr>
          <w:p w14:paraId="6C85FE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10623</w:t>
            </w:r>
          </w:p>
        </w:tc>
        <w:tc>
          <w:tcPr>
            <w:tcW w:w="1559" w:type="dxa"/>
            <w:noWrap/>
            <w:hideMark/>
          </w:tcPr>
          <w:p w14:paraId="6B7B604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Deniliquin High School</w:t>
            </w:r>
          </w:p>
        </w:tc>
        <w:tc>
          <w:tcPr>
            <w:tcW w:w="709" w:type="dxa"/>
            <w:noWrap/>
            <w:hideMark/>
          </w:tcPr>
          <w:p w14:paraId="7729ED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E88E9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056AB9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A4B6ED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Harfleur St</w:t>
            </w:r>
          </w:p>
        </w:tc>
        <w:tc>
          <w:tcPr>
            <w:tcW w:w="1134" w:type="dxa"/>
            <w:noWrap/>
            <w:hideMark/>
          </w:tcPr>
          <w:p w14:paraId="6AE7EC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E698FE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33.1</w:t>
            </w:r>
          </w:p>
        </w:tc>
        <w:tc>
          <w:tcPr>
            <w:tcW w:w="1134" w:type="dxa"/>
            <w:noWrap/>
            <w:hideMark/>
          </w:tcPr>
          <w:p w14:paraId="12C30FE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61.5</w:t>
            </w:r>
          </w:p>
        </w:tc>
        <w:tc>
          <w:tcPr>
            <w:tcW w:w="1134" w:type="dxa"/>
            <w:noWrap/>
            <w:hideMark/>
          </w:tcPr>
          <w:p w14:paraId="6045C9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18.8</w:t>
            </w:r>
          </w:p>
        </w:tc>
        <w:tc>
          <w:tcPr>
            <w:tcW w:w="1276" w:type="dxa"/>
            <w:noWrap/>
            <w:hideMark/>
          </w:tcPr>
          <w:p w14:paraId="704140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136</w:t>
            </w:r>
          </w:p>
        </w:tc>
        <w:tc>
          <w:tcPr>
            <w:tcW w:w="1417" w:type="dxa"/>
            <w:noWrap/>
            <w:hideMark/>
          </w:tcPr>
          <w:p w14:paraId="124960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w:t>
            </w:r>
          </w:p>
        </w:tc>
      </w:tr>
      <w:tr w:rsidR="006716B4" w:rsidRPr="006716B4" w14:paraId="040C1188" w14:textId="77777777" w:rsidTr="001367E0">
        <w:tblPrEx>
          <w:tblCellMar>
            <w:left w:w="108" w:type="dxa"/>
            <w:right w:w="108" w:type="dxa"/>
          </w:tblCellMar>
        </w:tblPrEx>
        <w:trPr>
          <w:trHeight w:val="465"/>
        </w:trPr>
        <w:tc>
          <w:tcPr>
            <w:tcW w:w="737" w:type="dxa"/>
            <w:noWrap/>
            <w:hideMark/>
          </w:tcPr>
          <w:p w14:paraId="240348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10974</w:t>
            </w:r>
          </w:p>
        </w:tc>
        <w:tc>
          <w:tcPr>
            <w:tcW w:w="1559" w:type="dxa"/>
            <w:noWrap/>
            <w:hideMark/>
          </w:tcPr>
          <w:p w14:paraId="2CFD699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 xml:space="preserve">Denison College of Secondary </w:t>
            </w:r>
            <w:r w:rsidRPr="006716B4">
              <w:rPr>
                <w:rFonts w:eastAsia="Times New Roman" w:cs="Times New Roman"/>
                <w:color w:val="000000"/>
                <w:sz w:val="18"/>
                <w:szCs w:val="18"/>
                <w:lang w:eastAsia="en-AU"/>
              </w:rPr>
              <w:lastRenderedPageBreak/>
              <w:t xml:space="preserve">Education- Bathurst </w:t>
            </w:r>
          </w:p>
        </w:tc>
        <w:tc>
          <w:tcPr>
            <w:tcW w:w="709" w:type="dxa"/>
            <w:noWrap/>
            <w:hideMark/>
          </w:tcPr>
          <w:p w14:paraId="10C98F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lastRenderedPageBreak/>
              <w:t>DEC</w:t>
            </w:r>
          </w:p>
        </w:tc>
        <w:tc>
          <w:tcPr>
            <w:tcW w:w="992" w:type="dxa"/>
            <w:noWrap/>
            <w:hideMark/>
          </w:tcPr>
          <w:p w14:paraId="1FA002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589A0D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8F983F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Hope St</w:t>
            </w:r>
          </w:p>
        </w:tc>
        <w:tc>
          <w:tcPr>
            <w:tcW w:w="1134" w:type="dxa"/>
            <w:noWrap/>
            <w:hideMark/>
          </w:tcPr>
          <w:p w14:paraId="07479EA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19E27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31.9</w:t>
            </w:r>
          </w:p>
        </w:tc>
        <w:tc>
          <w:tcPr>
            <w:tcW w:w="1134" w:type="dxa"/>
            <w:noWrap/>
            <w:hideMark/>
          </w:tcPr>
          <w:p w14:paraId="0B6EEF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75.7</w:t>
            </w:r>
          </w:p>
        </w:tc>
        <w:tc>
          <w:tcPr>
            <w:tcW w:w="1134" w:type="dxa"/>
            <w:noWrap/>
            <w:hideMark/>
          </w:tcPr>
          <w:p w14:paraId="39ED1F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13.0</w:t>
            </w:r>
          </w:p>
        </w:tc>
        <w:tc>
          <w:tcPr>
            <w:tcW w:w="1276" w:type="dxa"/>
            <w:noWrap/>
            <w:hideMark/>
          </w:tcPr>
          <w:p w14:paraId="58E059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188</w:t>
            </w:r>
          </w:p>
        </w:tc>
        <w:tc>
          <w:tcPr>
            <w:tcW w:w="1417" w:type="dxa"/>
            <w:noWrap/>
            <w:hideMark/>
          </w:tcPr>
          <w:p w14:paraId="31D2EE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w:t>
            </w:r>
          </w:p>
        </w:tc>
      </w:tr>
      <w:tr w:rsidR="006716B4" w:rsidRPr="006716B4" w14:paraId="22247518" w14:textId="77777777" w:rsidTr="001367E0">
        <w:tblPrEx>
          <w:tblCellMar>
            <w:left w:w="108" w:type="dxa"/>
            <w:right w:w="108" w:type="dxa"/>
          </w:tblCellMar>
        </w:tblPrEx>
        <w:trPr>
          <w:trHeight w:val="465"/>
        </w:trPr>
        <w:tc>
          <w:tcPr>
            <w:tcW w:w="737" w:type="dxa"/>
            <w:noWrap/>
            <w:hideMark/>
          </w:tcPr>
          <w:p w14:paraId="5E094BE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lastRenderedPageBreak/>
              <w:t>16223</w:t>
            </w:r>
          </w:p>
        </w:tc>
        <w:tc>
          <w:tcPr>
            <w:tcW w:w="1559" w:type="dxa"/>
            <w:noWrap/>
            <w:hideMark/>
          </w:tcPr>
          <w:p w14:paraId="25B27B7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Denison College of Secondary Education- Kelso High</w:t>
            </w:r>
          </w:p>
        </w:tc>
        <w:tc>
          <w:tcPr>
            <w:tcW w:w="709" w:type="dxa"/>
            <w:noWrap/>
            <w:hideMark/>
          </w:tcPr>
          <w:p w14:paraId="4B368EA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70C103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74D5C1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772F0B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Boyd St</w:t>
            </w:r>
          </w:p>
        </w:tc>
        <w:tc>
          <w:tcPr>
            <w:tcW w:w="1134" w:type="dxa"/>
            <w:noWrap/>
            <w:hideMark/>
          </w:tcPr>
          <w:p w14:paraId="1F88AC0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93BD6A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33.8</w:t>
            </w:r>
          </w:p>
        </w:tc>
        <w:tc>
          <w:tcPr>
            <w:tcW w:w="1134" w:type="dxa"/>
            <w:noWrap/>
            <w:hideMark/>
          </w:tcPr>
          <w:p w14:paraId="67A62C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63.8</w:t>
            </w:r>
          </w:p>
        </w:tc>
        <w:tc>
          <w:tcPr>
            <w:tcW w:w="1134" w:type="dxa"/>
            <w:noWrap/>
            <w:hideMark/>
          </w:tcPr>
          <w:p w14:paraId="6D04B7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24.2</w:t>
            </w:r>
          </w:p>
        </w:tc>
        <w:tc>
          <w:tcPr>
            <w:tcW w:w="1276" w:type="dxa"/>
            <w:noWrap/>
            <w:hideMark/>
          </w:tcPr>
          <w:p w14:paraId="69096D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181</w:t>
            </w:r>
          </w:p>
        </w:tc>
        <w:tc>
          <w:tcPr>
            <w:tcW w:w="1417" w:type="dxa"/>
            <w:noWrap/>
            <w:hideMark/>
          </w:tcPr>
          <w:p w14:paraId="29B50F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w:t>
            </w:r>
          </w:p>
        </w:tc>
      </w:tr>
      <w:tr w:rsidR="006716B4" w:rsidRPr="006716B4" w14:paraId="5FDEC58F" w14:textId="77777777" w:rsidTr="001367E0">
        <w:tblPrEx>
          <w:tblCellMar>
            <w:left w:w="108" w:type="dxa"/>
            <w:right w:w="108" w:type="dxa"/>
          </w:tblCellMar>
        </w:tblPrEx>
        <w:trPr>
          <w:trHeight w:val="465"/>
        </w:trPr>
        <w:tc>
          <w:tcPr>
            <w:tcW w:w="737" w:type="dxa"/>
            <w:noWrap/>
            <w:hideMark/>
          </w:tcPr>
          <w:p w14:paraId="6BACCDA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6397</w:t>
            </w:r>
          </w:p>
        </w:tc>
        <w:tc>
          <w:tcPr>
            <w:tcW w:w="1559" w:type="dxa"/>
            <w:noWrap/>
            <w:hideMark/>
          </w:tcPr>
          <w:p w14:paraId="5F5A080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Doonside High School</w:t>
            </w:r>
          </w:p>
        </w:tc>
        <w:tc>
          <w:tcPr>
            <w:tcW w:w="709" w:type="dxa"/>
            <w:noWrap/>
            <w:hideMark/>
          </w:tcPr>
          <w:p w14:paraId="1BF40E7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CDC2E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5FBFE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F6835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Power St</w:t>
            </w:r>
          </w:p>
        </w:tc>
        <w:tc>
          <w:tcPr>
            <w:tcW w:w="1134" w:type="dxa"/>
            <w:noWrap/>
            <w:hideMark/>
          </w:tcPr>
          <w:p w14:paraId="6BE512E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E13E7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44.2</w:t>
            </w:r>
          </w:p>
        </w:tc>
        <w:tc>
          <w:tcPr>
            <w:tcW w:w="1134" w:type="dxa"/>
            <w:noWrap/>
            <w:hideMark/>
          </w:tcPr>
          <w:p w14:paraId="6CB5B3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62.9</w:t>
            </w:r>
          </w:p>
        </w:tc>
        <w:tc>
          <w:tcPr>
            <w:tcW w:w="1134" w:type="dxa"/>
            <w:noWrap/>
            <w:hideMark/>
          </w:tcPr>
          <w:p w14:paraId="11C4B82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25.9</w:t>
            </w:r>
          </w:p>
        </w:tc>
        <w:tc>
          <w:tcPr>
            <w:tcW w:w="1276" w:type="dxa"/>
            <w:noWrap/>
            <w:hideMark/>
          </w:tcPr>
          <w:p w14:paraId="42DAAD2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175</w:t>
            </w:r>
          </w:p>
        </w:tc>
        <w:tc>
          <w:tcPr>
            <w:tcW w:w="1417" w:type="dxa"/>
            <w:noWrap/>
            <w:hideMark/>
          </w:tcPr>
          <w:p w14:paraId="5A3289D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w:t>
            </w:r>
          </w:p>
        </w:tc>
      </w:tr>
      <w:tr w:rsidR="006716B4" w:rsidRPr="006716B4" w14:paraId="2C08AEA7" w14:textId="77777777" w:rsidTr="001367E0">
        <w:tblPrEx>
          <w:tblCellMar>
            <w:left w:w="108" w:type="dxa"/>
            <w:right w:w="108" w:type="dxa"/>
          </w:tblCellMar>
        </w:tblPrEx>
        <w:trPr>
          <w:trHeight w:val="465"/>
        </w:trPr>
        <w:tc>
          <w:tcPr>
            <w:tcW w:w="737" w:type="dxa"/>
            <w:noWrap/>
            <w:hideMark/>
          </w:tcPr>
          <w:p w14:paraId="004DF19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9671</w:t>
            </w:r>
          </w:p>
        </w:tc>
        <w:tc>
          <w:tcPr>
            <w:tcW w:w="1559" w:type="dxa"/>
            <w:noWrap/>
            <w:hideMark/>
          </w:tcPr>
          <w:p w14:paraId="493A043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Dorrigo High School</w:t>
            </w:r>
          </w:p>
        </w:tc>
        <w:tc>
          <w:tcPr>
            <w:tcW w:w="709" w:type="dxa"/>
            <w:noWrap/>
            <w:hideMark/>
          </w:tcPr>
          <w:p w14:paraId="51C1CF4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33A090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479EFE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4F5ED0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Waterfall Way</w:t>
            </w:r>
          </w:p>
        </w:tc>
        <w:tc>
          <w:tcPr>
            <w:tcW w:w="1134" w:type="dxa"/>
            <w:noWrap/>
            <w:hideMark/>
          </w:tcPr>
          <w:p w14:paraId="2993EE0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B1F685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23.4</w:t>
            </w:r>
          </w:p>
        </w:tc>
        <w:tc>
          <w:tcPr>
            <w:tcW w:w="1134" w:type="dxa"/>
            <w:noWrap/>
            <w:hideMark/>
          </w:tcPr>
          <w:p w14:paraId="6EF3D8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1BC89E5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A6EBA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w:t>
            </w:r>
          </w:p>
        </w:tc>
        <w:tc>
          <w:tcPr>
            <w:tcW w:w="1417" w:type="dxa"/>
            <w:noWrap/>
            <w:hideMark/>
          </w:tcPr>
          <w:p w14:paraId="04E3A39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78B60C23" w14:textId="77777777" w:rsidTr="001367E0">
        <w:tblPrEx>
          <w:tblCellMar>
            <w:left w:w="108" w:type="dxa"/>
            <w:right w:w="108" w:type="dxa"/>
          </w:tblCellMar>
        </w:tblPrEx>
        <w:trPr>
          <w:trHeight w:val="465"/>
        </w:trPr>
        <w:tc>
          <w:tcPr>
            <w:tcW w:w="737" w:type="dxa"/>
            <w:noWrap/>
            <w:hideMark/>
          </w:tcPr>
          <w:p w14:paraId="642116B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6451</w:t>
            </w:r>
          </w:p>
        </w:tc>
        <w:tc>
          <w:tcPr>
            <w:tcW w:w="1559" w:type="dxa"/>
            <w:noWrap/>
            <w:hideMark/>
          </w:tcPr>
          <w:p w14:paraId="6471EA8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Dubbo College Delroy Campus</w:t>
            </w:r>
          </w:p>
        </w:tc>
        <w:tc>
          <w:tcPr>
            <w:tcW w:w="709" w:type="dxa"/>
            <w:noWrap/>
            <w:hideMark/>
          </w:tcPr>
          <w:p w14:paraId="013E709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3732C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048882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414178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East St</w:t>
            </w:r>
          </w:p>
        </w:tc>
        <w:tc>
          <w:tcPr>
            <w:tcW w:w="1134" w:type="dxa"/>
            <w:noWrap/>
            <w:hideMark/>
          </w:tcPr>
          <w:p w14:paraId="11D7E79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2DD74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51.1</w:t>
            </w:r>
          </w:p>
        </w:tc>
        <w:tc>
          <w:tcPr>
            <w:tcW w:w="1134" w:type="dxa"/>
            <w:noWrap/>
            <w:hideMark/>
          </w:tcPr>
          <w:p w14:paraId="24BC3C9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72.8</w:t>
            </w:r>
          </w:p>
        </w:tc>
        <w:tc>
          <w:tcPr>
            <w:tcW w:w="1134" w:type="dxa"/>
            <w:noWrap/>
            <w:hideMark/>
          </w:tcPr>
          <w:p w14:paraId="646D9F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8.9</w:t>
            </w:r>
          </w:p>
        </w:tc>
        <w:tc>
          <w:tcPr>
            <w:tcW w:w="1276" w:type="dxa"/>
            <w:noWrap/>
            <w:hideMark/>
          </w:tcPr>
          <w:p w14:paraId="5C7AF3D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260</w:t>
            </w:r>
          </w:p>
        </w:tc>
        <w:tc>
          <w:tcPr>
            <w:tcW w:w="1417" w:type="dxa"/>
            <w:noWrap/>
            <w:hideMark/>
          </w:tcPr>
          <w:p w14:paraId="73EA25B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155</w:t>
            </w:r>
          </w:p>
        </w:tc>
      </w:tr>
      <w:tr w:rsidR="006716B4" w:rsidRPr="006716B4" w14:paraId="77096785" w14:textId="77777777" w:rsidTr="001367E0">
        <w:tblPrEx>
          <w:tblCellMar>
            <w:left w:w="108" w:type="dxa"/>
            <w:right w:w="108" w:type="dxa"/>
          </w:tblCellMar>
        </w:tblPrEx>
        <w:trPr>
          <w:trHeight w:val="465"/>
        </w:trPr>
        <w:tc>
          <w:tcPr>
            <w:tcW w:w="737" w:type="dxa"/>
            <w:noWrap/>
            <w:hideMark/>
          </w:tcPr>
          <w:p w14:paraId="7AFC842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11042</w:t>
            </w:r>
          </w:p>
        </w:tc>
        <w:tc>
          <w:tcPr>
            <w:tcW w:w="1559" w:type="dxa"/>
            <w:noWrap/>
            <w:hideMark/>
          </w:tcPr>
          <w:p w14:paraId="4466226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Dubbo College South Campus</w:t>
            </w:r>
          </w:p>
        </w:tc>
        <w:tc>
          <w:tcPr>
            <w:tcW w:w="709" w:type="dxa"/>
            <w:noWrap/>
            <w:hideMark/>
          </w:tcPr>
          <w:p w14:paraId="1D43CF9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D7EE64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18564F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233A89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Boundary Rd</w:t>
            </w:r>
          </w:p>
        </w:tc>
        <w:tc>
          <w:tcPr>
            <w:tcW w:w="1134" w:type="dxa"/>
            <w:noWrap/>
            <w:hideMark/>
          </w:tcPr>
          <w:p w14:paraId="52D7048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DD512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41.6</w:t>
            </w:r>
          </w:p>
        </w:tc>
        <w:tc>
          <w:tcPr>
            <w:tcW w:w="1134" w:type="dxa"/>
            <w:noWrap/>
            <w:hideMark/>
          </w:tcPr>
          <w:p w14:paraId="122504C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63.8</w:t>
            </w:r>
          </w:p>
        </w:tc>
        <w:tc>
          <w:tcPr>
            <w:tcW w:w="1134" w:type="dxa"/>
            <w:noWrap/>
            <w:hideMark/>
          </w:tcPr>
          <w:p w14:paraId="3134439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5.7</w:t>
            </w:r>
          </w:p>
        </w:tc>
        <w:tc>
          <w:tcPr>
            <w:tcW w:w="1276" w:type="dxa"/>
            <w:noWrap/>
            <w:hideMark/>
          </w:tcPr>
          <w:p w14:paraId="3D12E6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329</w:t>
            </w:r>
          </w:p>
        </w:tc>
        <w:tc>
          <w:tcPr>
            <w:tcW w:w="1417" w:type="dxa"/>
            <w:noWrap/>
            <w:hideMark/>
          </w:tcPr>
          <w:p w14:paraId="19268D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120</w:t>
            </w:r>
          </w:p>
        </w:tc>
      </w:tr>
      <w:tr w:rsidR="006716B4" w:rsidRPr="006716B4" w14:paraId="2147C0C7" w14:textId="77777777" w:rsidTr="001367E0">
        <w:tblPrEx>
          <w:tblCellMar>
            <w:left w:w="108" w:type="dxa"/>
            <w:right w:w="108" w:type="dxa"/>
          </w:tblCellMar>
        </w:tblPrEx>
        <w:trPr>
          <w:trHeight w:val="465"/>
        </w:trPr>
        <w:tc>
          <w:tcPr>
            <w:tcW w:w="737" w:type="dxa"/>
            <w:noWrap/>
            <w:hideMark/>
          </w:tcPr>
          <w:p w14:paraId="3ED551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9518</w:t>
            </w:r>
          </w:p>
        </w:tc>
        <w:tc>
          <w:tcPr>
            <w:tcW w:w="1559" w:type="dxa"/>
            <w:noWrap/>
            <w:hideMark/>
          </w:tcPr>
          <w:p w14:paraId="18A482D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Dungog High School</w:t>
            </w:r>
          </w:p>
        </w:tc>
        <w:tc>
          <w:tcPr>
            <w:tcW w:w="709" w:type="dxa"/>
            <w:noWrap/>
            <w:hideMark/>
          </w:tcPr>
          <w:p w14:paraId="7A3BC4F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2015D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696CE2D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1486A0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Eloiza St</w:t>
            </w:r>
          </w:p>
        </w:tc>
        <w:tc>
          <w:tcPr>
            <w:tcW w:w="1134" w:type="dxa"/>
            <w:noWrap/>
            <w:hideMark/>
          </w:tcPr>
          <w:p w14:paraId="2217EF9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B4F99C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25.4</w:t>
            </w:r>
          </w:p>
        </w:tc>
        <w:tc>
          <w:tcPr>
            <w:tcW w:w="1134" w:type="dxa"/>
            <w:noWrap/>
            <w:hideMark/>
          </w:tcPr>
          <w:p w14:paraId="07CA141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45.8</w:t>
            </w:r>
          </w:p>
        </w:tc>
        <w:tc>
          <w:tcPr>
            <w:tcW w:w="1134" w:type="dxa"/>
            <w:noWrap/>
            <w:hideMark/>
          </w:tcPr>
          <w:p w14:paraId="6E70CE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8B4CDE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116</w:t>
            </w:r>
          </w:p>
        </w:tc>
        <w:tc>
          <w:tcPr>
            <w:tcW w:w="1417" w:type="dxa"/>
            <w:noWrap/>
            <w:hideMark/>
          </w:tcPr>
          <w:p w14:paraId="4B4B42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77F568E7" w14:textId="77777777" w:rsidTr="001367E0">
        <w:tblPrEx>
          <w:tblCellMar>
            <w:left w:w="108" w:type="dxa"/>
            <w:right w:w="108" w:type="dxa"/>
          </w:tblCellMar>
        </w:tblPrEx>
        <w:trPr>
          <w:trHeight w:val="465"/>
        </w:trPr>
        <w:tc>
          <w:tcPr>
            <w:tcW w:w="737" w:type="dxa"/>
            <w:noWrap/>
            <w:hideMark/>
          </w:tcPr>
          <w:p w14:paraId="58BB652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9345</w:t>
            </w:r>
          </w:p>
        </w:tc>
        <w:tc>
          <w:tcPr>
            <w:tcW w:w="1559" w:type="dxa"/>
            <w:noWrap/>
            <w:hideMark/>
          </w:tcPr>
          <w:p w14:paraId="2824D20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Dungowan Public School</w:t>
            </w:r>
          </w:p>
        </w:tc>
        <w:tc>
          <w:tcPr>
            <w:tcW w:w="709" w:type="dxa"/>
            <w:noWrap/>
            <w:hideMark/>
          </w:tcPr>
          <w:p w14:paraId="279B15B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39DC5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56AB072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A3DBA2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Tamworth Rd</w:t>
            </w:r>
          </w:p>
        </w:tc>
        <w:tc>
          <w:tcPr>
            <w:tcW w:w="1134" w:type="dxa"/>
            <w:noWrap/>
            <w:hideMark/>
          </w:tcPr>
          <w:p w14:paraId="2D1C693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5FCB85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3B38FA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13F3091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DAF95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c>
          <w:tcPr>
            <w:tcW w:w="1417" w:type="dxa"/>
            <w:noWrap/>
            <w:hideMark/>
          </w:tcPr>
          <w:p w14:paraId="03FC0F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25830D84" w14:textId="77777777" w:rsidTr="001367E0">
        <w:tblPrEx>
          <w:tblCellMar>
            <w:left w:w="108" w:type="dxa"/>
            <w:right w:w="108" w:type="dxa"/>
          </w:tblCellMar>
        </w:tblPrEx>
        <w:trPr>
          <w:trHeight w:val="465"/>
        </w:trPr>
        <w:tc>
          <w:tcPr>
            <w:tcW w:w="737" w:type="dxa"/>
            <w:noWrap/>
            <w:hideMark/>
          </w:tcPr>
          <w:p w14:paraId="1CC6678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9904</w:t>
            </w:r>
          </w:p>
        </w:tc>
        <w:tc>
          <w:tcPr>
            <w:tcW w:w="1559" w:type="dxa"/>
            <w:noWrap/>
            <w:hideMark/>
          </w:tcPr>
          <w:p w14:paraId="027F22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Durrumbul Public School</w:t>
            </w:r>
          </w:p>
        </w:tc>
        <w:tc>
          <w:tcPr>
            <w:tcW w:w="709" w:type="dxa"/>
            <w:noWrap/>
            <w:hideMark/>
          </w:tcPr>
          <w:p w14:paraId="625A7A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40C66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AB43A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F22B33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Durrumbul Rd</w:t>
            </w:r>
          </w:p>
        </w:tc>
        <w:tc>
          <w:tcPr>
            <w:tcW w:w="1134" w:type="dxa"/>
            <w:noWrap/>
            <w:hideMark/>
          </w:tcPr>
          <w:p w14:paraId="514270A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CE822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17.6</w:t>
            </w:r>
          </w:p>
        </w:tc>
        <w:tc>
          <w:tcPr>
            <w:tcW w:w="1134" w:type="dxa"/>
            <w:noWrap/>
            <w:hideMark/>
          </w:tcPr>
          <w:p w14:paraId="70897A5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6528033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B0F85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w:t>
            </w:r>
          </w:p>
        </w:tc>
        <w:tc>
          <w:tcPr>
            <w:tcW w:w="1417" w:type="dxa"/>
            <w:noWrap/>
            <w:hideMark/>
          </w:tcPr>
          <w:p w14:paraId="2D6F650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31E668BD" w14:textId="77777777" w:rsidTr="001367E0">
        <w:tblPrEx>
          <w:tblCellMar>
            <w:left w:w="108" w:type="dxa"/>
            <w:right w:w="108" w:type="dxa"/>
          </w:tblCellMar>
        </w:tblPrEx>
        <w:trPr>
          <w:trHeight w:val="465"/>
        </w:trPr>
        <w:tc>
          <w:tcPr>
            <w:tcW w:w="737" w:type="dxa"/>
            <w:noWrap/>
            <w:hideMark/>
          </w:tcPr>
          <w:p w14:paraId="2FAA4A3C"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6506</w:t>
            </w:r>
          </w:p>
        </w:tc>
        <w:tc>
          <w:tcPr>
            <w:tcW w:w="1559" w:type="dxa"/>
            <w:noWrap/>
            <w:hideMark/>
          </w:tcPr>
          <w:p w14:paraId="32EEAC00"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Eagle Vale High School</w:t>
            </w:r>
          </w:p>
        </w:tc>
        <w:tc>
          <w:tcPr>
            <w:tcW w:w="709" w:type="dxa"/>
            <w:noWrap/>
            <w:hideMark/>
          </w:tcPr>
          <w:p w14:paraId="09494B6D"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DEC</w:t>
            </w:r>
          </w:p>
        </w:tc>
        <w:tc>
          <w:tcPr>
            <w:tcW w:w="992" w:type="dxa"/>
            <w:noWrap/>
            <w:hideMark/>
          </w:tcPr>
          <w:p w14:paraId="5BDF5CC1" w14:textId="277F000A" w:rsidR="006716B4" w:rsidRPr="006716B4" w:rsidRDefault="00B742C1" w:rsidP="006716B4">
            <w:pPr>
              <w:jc w:val="right"/>
              <w:rPr>
                <w:rFonts w:eastAsia="Times New Roman" w:cs="Times New Roman"/>
                <w:color w:val="000000"/>
                <w:sz w:val="18"/>
                <w:szCs w:val="18"/>
                <w:lang w:eastAsia="en-AU"/>
              </w:rPr>
            </w:pPr>
            <w:r>
              <w:rPr>
                <w:rFonts w:eastAsia="Times New Roman" w:cs="Times New Roman"/>
                <w:color w:val="000000"/>
                <w:sz w:val="18"/>
                <w:szCs w:val="18"/>
                <w:lang w:eastAsia="en-AU"/>
              </w:rPr>
              <w:t>1.1</w:t>
            </w:r>
          </w:p>
        </w:tc>
        <w:tc>
          <w:tcPr>
            <w:tcW w:w="1134" w:type="dxa"/>
            <w:noWrap/>
            <w:hideMark/>
          </w:tcPr>
          <w:p w14:paraId="22F62EE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5971549D" w14:textId="6AE79A23" w:rsidR="006716B4" w:rsidRPr="006716B4" w:rsidRDefault="00EF0125" w:rsidP="006716B4">
            <w:pPr>
              <w:rPr>
                <w:rFonts w:eastAsia="Times New Roman" w:cs="Times New Roman"/>
                <w:color w:val="000000"/>
                <w:sz w:val="18"/>
                <w:szCs w:val="18"/>
                <w:lang w:eastAsia="en-AU"/>
              </w:rPr>
            </w:pPr>
            <w:r>
              <w:rPr>
                <w:rFonts w:eastAsia="Times New Roman" w:cs="Times New Roman"/>
                <w:color w:val="000000"/>
                <w:sz w:val="18"/>
                <w:szCs w:val="18"/>
                <w:lang w:eastAsia="en-AU"/>
              </w:rPr>
              <w:t>Drysdale Rd</w:t>
            </w:r>
          </w:p>
        </w:tc>
        <w:tc>
          <w:tcPr>
            <w:tcW w:w="1134" w:type="dxa"/>
            <w:noWrap/>
            <w:hideMark/>
          </w:tcPr>
          <w:p w14:paraId="6BC7F3EF" w14:textId="77777777" w:rsidR="006716B4" w:rsidRPr="006716B4" w:rsidRDefault="006716B4" w:rsidP="006716B4">
            <w:pPr>
              <w:rPr>
                <w:rFonts w:eastAsia="Times New Roman" w:cs="Times New Roman"/>
                <w:color w:val="000000"/>
                <w:sz w:val="18"/>
                <w:szCs w:val="18"/>
                <w:lang w:eastAsia="en-AU"/>
              </w:rPr>
            </w:pPr>
          </w:p>
        </w:tc>
        <w:tc>
          <w:tcPr>
            <w:tcW w:w="1276" w:type="dxa"/>
            <w:noWrap/>
            <w:hideMark/>
          </w:tcPr>
          <w:p w14:paraId="70E5FD0D" w14:textId="6EF1ADF3" w:rsidR="006716B4" w:rsidRPr="006716B4" w:rsidRDefault="00F22701" w:rsidP="00F22701">
            <w:pPr>
              <w:jc w:val="right"/>
              <w:rPr>
                <w:rFonts w:eastAsia="Times New Roman" w:cs="Times New Roman"/>
                <w:color w:val="000000"/>
                <w:sz w:val="18"/>
                <w:szCs w:val="18"/>
                <w:lang w:eastAsia="en-AU"/>
              </w:rPr>
            </w:pPr>
            <w:r>
              <w:rPr>
                <w:rFonts w:eastAsia="Times New Roman" w:cs="Times New Roman"/>
                <w:color w:val="000000"/>
                <w:sz w:val="18"/>
                <w:szCs w:val="18"/>
                <w:lang w:eastAsia="en-AU"/>
              </w:rPr>
              <w:t>49.4</w:t>
            </w:r>
          </w:p>
        </w:tc>
        <w:tc>
          <w:tcPr>
            <w:tcW w:w="1134" w:type="dxa"/>
            <w:noWrap/>
            <w:hideMark/>
          </w:tcPr>
          <w:p w14:paraId="4229C4D9" w14:textId="48AB2CC7" w:rsidR="006716B4" w:rsidRPr="006716B4" w:rsidRDefault="00F22701" w:rsidP="00F22701">
            <w:pPr>
              <w:jc w:val="right"/>
              <w:rPr>
                <w:rFonts w:eastAsia="Times New Roman" w:cs="Times New Roman"/>
                <w:color w:val="000000"/>
                <w:sz w:val="18"/>
                <w:szCs w:val="18"/>
                <w:lang w:eastAsia="en-AU"/>
              </w:rPr>
            </w:pPr>
            <w:r>
              <w:rPr>
                <w:rFonts w:eastAsia="Times New Roman" w:cs="Times New Roman"/>
                <w:color w:val="000000"/>
                <w:sz w:val="18"/>
                <w:szCs w:val="18"/>
                <w:lang w:eastAsia="en-AU"/>
              </w:rPr>
              <w:t>66.7</w:t>
            </w:r>
          </w:p>
        </w:tc>
        <w:tc>
          <w:tcPr>
            <w:tcW w:w="1134" w:type="dxa"/>
            <w:noWrap/>
            <w:hideMark/>
          </w:tcPr>
          <w:p w14:paraId="57718CAD" w14:textId="69E19E8A" w:rsidR="006716B4" w:rsidRPr="006716B4" w:rsidRDefault="00F22701" w:rsidP="00F22701">
            <w:pPr>
              <w:jc w:val="right"/>
              <w:rPr>
                <w:rFonts w:eastAsia="Times New Roman" w:cs="Times New Roman"/>
                <w:color w:val="000000"/>
                <w:sz w:val="18"/>
                <w:szCs w:val="18"/>
                <w:lang w:eastAsia="en-AU"/>
              </w:rPr>
            </w:pPr>
            <w:r>
              <w:rPr>
                <w:rFonts w:eastAsia="Times New Roman" w:cs="Times New Roman"/>
                <w:color w:val="000000"/>
                <w:sz w:val="18"/>
                <w:szCs w:val="18"/>
                <w:lang w:eastAsia="en-AU"/>
              </w:rPr>
              <w:t>35.7</w:t>
            </w:r>
          </w:p>
        </w:tc>
        <w:tc>
          <w:tcPr>
            <w:tcW w:w="1276" w:type="dxa"/>
            <w:noWrap/>
            <w:hideMark/>
          </w:tcPr>
          <w:p w14:paraId="3A2EAC81" w14:textId="0F8C0295" w:rsidR="006716B4" w:rsidRPr="006716B4" w:rsidRDefault="00F22701" w:rsidP="00F22701">
            <w:pPr>
              <w:jc w:val="right"/>
              <w:rPr>
                <w:rFonts w:eastAsia="Times New Roman" w:cs="Times New Roman"/>
                <w:color w:val="000000"/>
                <w:sz w:val="18"/>
                <w:szCs w:val="18"/>
                <w:lang w:eastAsia="en-AU"/>
              </w:rPr>
            </w:pPr>
            <w:r>
              <w:rPr>
                <w:rFonts w:eastAsia="Times New Roman" w:cs="Times New Roman"/>
                <w:color w:val="000000"/>
                <w:sz w:val="18"/>
                <w:szCs w:val="18"/>
                <w:lang w:eastAsia="en-AU"/>
              </w:rPr>
              <w:t>202</w:t>
            </w:r>
          </w:p>
        </w:tc>
        <w:tc>
          <w:tcPr>
            <w:tcW w:w="1417" w:type="dxa"/>
            <w:noWrap/>
            <w:hideMark/>
          </w:tcPr>
          <w:p w14:paraId="2B9C9AAB" w14:textId="094BB791" w:rsidR="006716B4" w:rsidRPr="006716B4" w:rsidRDefault="00F22701" w:rsidP="00F22701">
            <w:pPr>
              <w:jc w:val="right"/>
              <w:rPr>
                <w:rFonts w:eastAsia="Times New Roman" w:cs="Times New Roman"/>
                <w:color w:val="000000"/>
                <w:sz w:val="18"/>
                <w:szCs w:val="18"/>
                <w:lang w:eastAsia="en-AU"/>
              </w:rPr>
            </w:pPr>
            <w:r>
              <w:rPr>
                <w:rFonts w:eastAsia="Times New Roman" w:cs="Times New Roman"/>
                <w:color w:val="000000"/>
                <w:sz w:val="18"/>
                <w:szCs w:val="18"/>
                <w:lang w:eastAsia="en-AU"/>
              </w:rPr>
              <w:t>12</w:t>
            </w:r>
          </w:p>
        </w:tc>
      </w:tr>
      <w:tr w:rsidR="006716B4" w:rsidRPr="006716B4" w14:paraId="0280FD5C" w14:textId="77777777" w:rsidTr="001367E0">
        <w:tblPrEx>
          <w:tblCellMar>
            <w:left w:w="108" w:type="dxa"/>
            <w:right w:w="108" w:type="dxa"/>
          </w:tblCellMar>
        </w:tblPrEx>
        <w:trPr>
          <w:trHeight w:val="465"/>
        </w:trPr>
        <w:tc>
          <w:tcPr>
            <w:tcW w:w="737" w:type="dxa"/>
            <w:noWrap/>
            <w:hideMark/>
          </w:tcPr>
          <w:p w14:paraId="6F4CF39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14951</w:t>
            </w:r>
          </w:p>
        </w:tc>
        <w:tc>
          <w:tcPr>
            <w:tcW w:w="1559" w:type="dxa"/>
            <w:noWrap/>
            <w:hideMark/>
          </w:tcPr>
          <w:p w14:paraId="762A25B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Eglinton Public School</w:t>
            </w:r>
          </w:p>
        </w:tc>
        <w:tc>
          <w:tcPr>
            <w:tcW w:w="709" w:type="dxa"/>
            <w:noWrap/>
            <w:hideMark/>
          </w:tcPr>
          <w:p w14:paraId="49F60EB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F9E3FB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750032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3A396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Alexander St</w:t>
            </w:r>
          </w:p>
        </w:tc>
        <w:tc>
          <w:tcPr>
            <w:tcW w:w="1134" w:type="dxa"/>
            <w:noWrap/>
            <w:hideMark/>
          </w:tcPr>
          <w:p w14:paraId="55D237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7C9B581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18.0</w:t>
            </w:r>
          </w:p>
        </w:tc>
        <w:tc>
          <w:tcPr>
            <w:tcW w:w="1134" w:type="dxa"/>
            <w:noWrap/>
            <w:hideMark/>
          </w:tcPr>
          <w:p w14:paraId="6E8E702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85.7</w:t>
            </w:r>
          </w:p>
        </w:tc>
        <w:tc>
          <w:tcPr>
            <w:tcW w:w="1134" w:type="dxa"/>
            <w:noWrap/>
            <w:hideMark/>
          </w:tcPr>
          <w:p w14:paraId="697131E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6944B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45</w:t>
            </w:r>
          </w:p>
        </w:tc>
        <w:tc>
          <w:tcPr>
            <w:tcW w:w="1417" w:type="dxa"/>
            <w:noWrap/>
            <w:hideMark/>
          </w:tcPr>
          <w:p w14:paraId="72214C8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r>
      <w:tr w:rsidR="006716B4" w:rsidRPr="006716B4" w14:paraId="41B8376F" w14:textId="77777777" w:rsidTr="001367E0">
        <w:tblPrEx>
          <w:tblCellMar>
            <w:left w:w="108" w:type="dxa"/>
            <w:right w:w="108" w:type="dxa"/>
          </w:tblCellMar>
        </w:tblPrEx>
        <w:trPr>
          <w:trHeight w:val="465"/>
        </w:trPr>
        <w:tc>
          <w:tcPr>
            <w:tcW w:w="737" w:type="dxa"/>
            <w:noWrap/>
            <w:hideMark/>
          </w:tcPr>
          <w:p w14:paraId="298455B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8652</w:t>
            </w:r>
          </w:p>
        </w:tc>
        <w:tc>
          <w:tcPr>
            <w:tcW w:w="1559" w:type="dxa"/>
            <w:noWrap/>
            <w:hideMark/>
          </w:tcPr>
          <w:p w14:paraId="54D9162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Endeavour Sports High School</w:t>
            </w:r>
          </w:p>
        </w:tc>
        <w:tc>
          <w:tcPr>
            <w:tcW w:w="709" w:type="dxa"/>
            <w:noWrap/>
            <w:hideMark/>
          </w:tcPr>
          <w:p w14:paraId="27341B1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4FFB5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0E64E3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E52ED6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Taren Pt Rd &amp; The Boulevarde</w:t>
            </w:r>
          </w:p>
        </w:tc>
        <w:tc>
          <w:tcPr>
            <w:tcW w:w="1134" w:type="dxa"/>
            <w:noWrap/>
            <w:hideMark/>
          </w:tcPr>
          <w:p w14:paraId="1E6A00A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3A6D82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32.6</w:t>
            </w:r>
          </w:p>
        </w:tc>
        <w:tc>
          <w:tcPr>
            <w:tcW w:w="1134" w:type="dxa"/>
            <w:noWrap/>
            <w:hideMark/>
          </w:tcPr>
          <w:p w14:paraId="12BF75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32.1</w:t>
            </w:r>
          </w:p>
        </w:tc>
        <w:tc>
          <w:tcPr>
            <w:tcW w:w="1134" w:type="dxa"/>
            <w:noWrap/>
            <w:hideMark/>
          </w:tcPr>
          <w:p w14:paraId="55FE7E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276" w:type="dxa"/>
            <w:noWrap/>
            <w:hideMark/>
          </w:tcPr>
          <w:p w14:paraId="1F4EE2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170</w:t>
            </w:r>
          </w:p>
        </w:tc>
        <w:tc>
          <w:tcPr>
            <w:tcW w:w="1417" w:type="dxa"/>
            <w:noWrap/>
            <w:hideMark/>
          </w:tcPr>
          <w:p w14:paraId="305ED90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w:t>
            </w:r>
          </w:p>
        </w:tc>
      </w:tr>
      <w:tr w:rsidR="006716B4" w:rsidRPr="006716B4" w14:paraId="4247C341" w14:textId="77777777" w:rsidTr="001367E0">
        <w:tblPrEx>
          <w:tblCellMar>
            <w:left w:w="108" w:type="dxa"/>
            <w:right w:w="108" w:type="dxa"/>
          </w:tblCellMar>
        </w:tblPrEx>
        <w:trPr>
          <w:trHeight w:val="465"/>
        </w:trPr>
        <w:tc>
          <w:tcPr>
            <w:tcW w:w="737" w:type="dxa"/>
            <w:noWrap/>
            <w:hideMark/>
          </w:tcPr>
          <w:p w14:paraId="5333740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8675</w:t>
            </w:r>
          </w:p>
        </w:tc>
        <w:tc>
          <w:tcPr>
            <w:tcW w:w="1559" w:type="dxa"/>
            <w:noWrap/>
            <w:hideMark/>
          </w:tcPr>
          <w:p w14:paraId="77F69D5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Erina High School</w:t>
            </w:r>
          </w:p>
        </w:tc>
        <w:tc>
          <w:tcPr>
            <w:tcW w:w="709" w:type="dxa"/>
            <w:noWrap/>
            <w:hideMark/>
          </w:tcPr>
          <w:p w14:paraId="4AFFBF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06036F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62A08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58F8EB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152 The Entrance Rd</w:t>
            </w:r>
          </w:p>
        </w:tc>
        <w:tc>
          <w:tcPr>
            <w:tcW w:w="1134" w:type="dxa"/>
            <w:noWrap/>
            <w:hideMark/>
          </w:tcPr>
          <w:p w14:paraId="4F62951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3FD627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29.2</w:t>
            </w:r>
          </w:p>
        </w:tc>
        <w:tc>
          <w:tcPr>
            <w:tcW w:w="1134" w:type="dxa"/>
            <w:noWrap/>
            <w:hideMark/>
          </w:tcPr>
          <w:p w14:paraId="7AB6B53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48.5</w:t>
            </w:r>
          </w:p>
        </w:tc>
        <w:tc>
          <w:tcPr>
            <w:tcW w:w="1134" w:type="dxa"/>
            <w:noWrap/>
            <w:hideMark/>
          </w:tcPr>
          <w:p w14:paraId="4E53A85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A6F1B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174</w:t>
            </w:r>
          </w:p>
        </w:tc>
        <w:tc>
          <w:tcPr>
            <w:tcW w:w="1417" w:type="dxa"/>
            <w:noWrap/>
            <w:hideMark/>
          </w:tcPr>
          <w:p w14:paraId="138A78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w:t>
            </w:r>
          </w:p>
        </w:tc>
      </w:tr>
      <w:tr w:rsidR="006716B4" w:rsidRPr="006716B4" w14:paraId="34968CFA" w14:textId="77777777" w:rsidTr="001367E0">
        <w:tblPrEx>
          <w:tblCellMar>
            <w:left w:w="108" w:type="dxa"/>
            <w:right w:w="108" w:type="dxa"/>
          </w:tblCellMar>
        </w:tblPrEx>
        <w:trPr>
          <w:trHeight w:val="465"/>
        </w:trPr>
        <w:tc>
          <w:tcPr>
            <w:tcW w:w="737" w:type="dxa"/>
            <w:noWrap/>
            <w:hideMark/>
          </w:tcPr>
          <w:p w14:paraId="561A7C7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10677</w:t>
            </w:r>
          </w:p>
        </w:tc>
        <w:tc>
          <w:tcPr>
            <w:tcW w:w="1559" w:type="dxa"/>
            <w:noWrap/>
            <w:hideMark/>
          </w:tcPr>
          <w:p w14:paraId="5125B1A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Euston Public School</w:t>
            </w:r>
          </w:p>
        </w:tc>
        <w:tc>
          <w:tcPr>
            <w:tcW w:w="709" w:type="dxa"/>
            <w:noWrap/>
            <w:hideMark/>
          </w:tcPr>
          <w:p w14:paraId="2E1C438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D5699C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4E56796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67C45E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Sturt Hwy</w:t>
            </w:r>
          </w:p>
        </w:tc>
        <w:tc>
          <w:tcPr>
            <w:tcW w:w="1134" w:type="dxa"/>
            <w:noWrap/>
            <w:hideMark/>
          </w:tcPr>
          <w:p w14:paraId="48926E7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4A459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36.2</w:t>
            </w:r>
          </w:p>
        </w:tc>
        <w:tc>
          <w:tcPr>
            <w:tcW w:w="1134" w:type="dxa"/>
            <w:noWrap/>
            <w:hideMark/>
          </w:tcPr>
          <w:p w14:paraId="200BF7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062580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7B4B8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c>
          <w:tcPr>
            <w:tcW w:w="1417" w:type="dxa"/>
            <w:noWrap/>
            <w:hideMark/>
          </w:tcPr>
          <w:p w14:paraId="1B194C7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157DADA7" w14:textId="77777777" w:rsidTr="001367E0">
        <w:tblPrEx>
          <w:tblCellMar>
            <w:left w:w="108" w:type="dxa"/>
            <w:right w:w="108" w:type="dxa"/>
          </w:tblCellMar>
        </w:tblPrEx>
        <w:trPr>
          <w:trHeight w:val="465"/>
        </w:trPr>
        <w:tc>
          <w:tcPr>
            <w:tcW w:w="737" w:type="dxa"/>
            <w:noWrap/>
            <w:hideMark/>
          </w:tcPr>
          <w:p w14:paraId="0EAB2B5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lastRenderedPageBreak/>
              <w:t>6355</w:t>
            </w:r>
          </w:p>
        </w:tc>
        <w:tc>
          <w:tcPr>
            <w:tcW w:w="1559" w:type="dxa"/>
            <w:noWrap/>
            <w:hideMark/>
          </w:tcPr>
          <w:p w14:paraId="57A9636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Evans High School</w:t>
            </w:r>
          </w:p>
        </w:tc>
        <w:tc>
          <w:tcPr>
            <w:tcW w:w="709" w:type="dxa"/>
            <w:noWrap/>
            <w:hideMark/>
          </w:tcPr>
          <w:p w14:paraId="1856F08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A567F4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35C9F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34DB52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Walters Rd</w:t>
            </w:r>
          </w:p>
        </w:tc>
        <w:tc>
          <w:tcPr>
            <w:tcW w:w="1134" w:type="dxa"/>
            <w:noWrap/>
            <w:hideMark/>
          </w:tcPr>
          <w:p w14:paraId="672B31F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F28D5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48.1</w:t>
            </w:r>
          </w:p>
        </w:tc>
        <w:tc>
          <w:tcPr>
            <w:tcW w:w="1134" w:type="dxa"/>
            <w:noWrap/>
            <w:hideMark/>
          </w:tcPr>
          <w:p w14:paraId="5C994A5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7FC61AB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276" w:type="dxa"/>
            <w:noWrap/>
            <w:hideMark/>
          </w:tcPr>
          <w:p w14:paraId="6DFBA4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206</w:t>
            </w:r>
          </w:p>
        </w:tc>
        <w:tc>
          <w:tcPr>
            <w:tcW w:w="1417" w:type="dxa"/>
            <w:noWrap/>
            <w:hideMark/>
          </w:tcPr>
          <w:p w14:paraId="69F274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r>
      <w:tr w:rsidR="006716B4" w:rsidRPr="006716B4" w14:paraId="0DB2F9F8" w14:textId="77777777" w:rsidTr="001367E0">
        <w:tblPrEx>
          <w:tblCellMar>
            <w:left w:w="108" w:type="dxa"/>
            <w:right w:w="108" w:type="dxa"/>
          </w:tblCellMar>
        </w:tblPrEx>
        <w:trPr>
          <w:trHeight w:val="465"/>
        </w:trPr>
        <w:tc>
          <w:tcPr>
            <w:tcW w:w="737" w:type="dxa"/>
            <w:noWrap/>
            <w:hideMark/>
          </w:tcPr>
          <w:p w14:paraId="117BA08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15987</w:t>
            </w:r>
          </w:p>
        </w:tc>
        <w:tc>
          <w:tcPr>
            <w:tcW w:w="1559" w:type="dxa"/>
            <w:noWrap/>
            <w:hideMark/>
          </w:tcPr>
          <w:p w14:paraId="4ECB4CF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Evans River Community School</w:t>
            </w:r>
          </w:p>
        </w:tc>
        <w:tc>
          <w:tcPr>
            <w:tcW w:w="709" w:type="dxa"/>
            <w:noWrap/>
            <w:hideMark/>
          </w:tcPr>
          <w:p w14:paraId="6854705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A67179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001E9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5479228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Cypress Street</w:t>
            </w:r>
          </w:p>
        </w:tc>
        <w:tc>
          <w:tcPr>
            <w:tcW w:w="1134" w:type="dxa"/>
            <w:noWrap/>
            <w:hideMark/>
          </w:tcPr>
          <w:p w14:paraId="462DD28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6F193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35.0</w:t>
            </w:r>
          </w:p>
        </w:tc>
        <w:tc>
          <w:tcPr>
            <w:tcW w:w="1134" w:type="dxa"/>
            <w:noWrap/>
            <w:hideMark/>
          </w:tcPr>
          <w:p w14:paraId="5CBB348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64.6</w:t>
            </w:r>
          </w:p>
        </w:tc>
        <w:tc>
          <w:tcPr>
            <w:tcW w:w="1134" w:type="dxa"/>
            <w:noWrap/>
            <w:hideMark/>
          </w:tcPr>
          <w:p w14:paraId="14DA1ED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w:t>
            </w:r>
          </w:p>
        </w:tc>
        <w:tc>
          <w:tcPr>
            <w:tcW w:w="1276" w:type="dxa"/>
            <w:noWrap/>
            <w:hideMark/>
          </w:tcPr>
          <w:p w14:paraId="0EDE00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117</w:t>
            </w:r>
          </w:p>
        </w:tc>
        <w:tc>
          <w:tcPr>
            <w:tcW w:w="1417" w:type="dxa"/>
            <w:noWrap/>
            <w:hideMark/>
          </w:tcPr>
          <w:p w14:paraId="75B7227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w:t>
            </w:r>
          </w:p>
        </w:tc>
      </w:tr>
      <w:tr w:rsidR="006716B4" w:rsidRPr="006716B4" w14:paraId="30BC6887" w14:textId="77777777" w:rsidTr="001367E0">
        <w:tblPrEx>
          <w:tblCellMar>
            <w:left w:w="108" w:type="dxa"/>
            <w:right w:w="108" w:type="dxa"/>
          </w:tblCellMar>
        </w:tblPrEx>
        <w:trPr>
          <w:trHeight w:val="465"/>
        </w:trPr>
        <w:tc>
          <w:tcPr>
            <w:tcW w:w="737" w:type="dxa"/>
            <w:noWrap/>
            <w:hideMark/>
          </w:tcPr>
          <w:p w14:paraId="262C496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10003</w:t>
            </w:r>
          </w:p>
        </w:tc>
        <w:tc>
          <w:tcPr>
            <w:tcW w:w="1559" w:type="dxa"/>
            <w:noWrap/>
            <w:hideMark/>
          </w:tcPr>
          <w:p w14:paraId="0C09CC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Fairy Meadow Public School</w:t>
            </w:r>
          </w:p>
        </w:tc>
        <w:tc>
          <w:tcPr>
            <w:tcW w:w="709" w:type="dxa"/>
            <w:noWrap/>
            <w:hideMark/>
          </w:tcPr>
          <w:p w14:paraId="6EF6B4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984AFB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4255D2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187BB9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Princes Hwy</w:t>
            </w:r>
          </w:p>
        </w:tc>
        <w:tc>
          <w:tcPr>
            <w:tcW w:w="1134" w:type="dxa"/>
            <w:noWrap/>
            <w:hideMark/>
          </w:tcPr>
          <w:p w14:paraId="7F3425A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E9598D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26.3</w:t>
            </w:r>
          </w:p>
        </w:tc>
        <w:tc>
          <w:tcPr>
            <w:tcW w:w="1134" w:type="dxa"/>
            <w:noWrap/>
            <w:hideMark/>
          </w:tcPr>
          <w:p w14:paraId="1C153ED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76192D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276" w:type="dxa"/>
            <w:noWrap/>
            <w:hideMark/>
          </w:tcPr>
          <w:p w14:paraId="3EFC0E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w:t>
            </w:r>
          </w:p>
        </w:tc>
        <w:tc>
          <w:tcPr>
            <w:tcW w:w="1417" w:type="dxa"/>
            <w:noWrap/>
            <w:hideMark/>
          </w:tcPr>
          <w:p w14:paraId="66B45F6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AD7A350" w14:textId="77777777" w:rsidTr="001367E0">
        <w:tblPrEx>
          <w:tblCellMar>
            <w:left w:w="108" w:type="dxa"/>
            <w:right w:w="108" w:type="dxa"/>
          </w:tblCellMar>
        </w:tblPrEx>
        <w:trPr>
          <w:trHeight w:val="465"/>
        </w:trPr>
        <w:tc>
          <w:tcPr>
            <w:tcW w:w="737" w:type="dxa"/>
            <w:noWrap/>
            <w:hideMark/>
          </w:tcPr>
          <w:p w14:paraId="4702DDC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10015</w:t>
            </w:r>
          </w:p>
        </w:tc>
        <w:tc>
          <w:tcPr>
            <w:tcW w:w="1559" w:type="dxa"/>
            <w:noWrap/>
            <w:hideMark/>
          </w:tcPr>
          <w:p w14:paraId="54031A3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Farmborough Road Public School</w:t>
            </w:r>
          </w:p>
        </w:tc>
        <w:tc>
          <w:tcPr>
            <w:tcW w:w="709" w:type="dxa"/>
            <w:noWrap/>
            <w:hideMark/>
          </w:tcPr>
          <w:p w14:paraId="1611CB0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3A5DE7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4D53A9A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D9F8D1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56 Farmborough Rd</w:t>
            </w:r>
          </w:p>
        </w:tc>
        <w:tc>
          <w:tcPr>
            <w:tcW w:w="1134" w:type="dxa"/>
            <w:noWrap/>
            <w:hideMark/>
          </w:tcPr>
          <w:p w14:paraId="0CF53C2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71225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28.6</w:t>
            </w:r>
          </w:p>
        </w:tc>
        <w:tc>
          <w:tcPr>
            <w:tcW w:w="1134" w:type="dxa"/>
            <w:noWrap/>
            <w:hideMark/>
          </w:tcPr>
          <w:p w14:paraId="4E23242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62.5</w:t>
            </w:r>
          </w:p>
        </w:tc>
        <w:tc>
          <w:tcPr>
            <w:tcW w:w="1134" w:type="dxa"/>
            <w:noWrap/>
            <w:hideMark/>
          </w:tcPr>
          <w:p w14:paraId="352DF4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F1295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w:t>
            </w:r>
          </w:p>
        </w:tc>
        <w:tc>
          <w:tcPr>
            <w:tcW w:w="1417" w:type="dxa"/>
            <w:noWrap/>
            <w:hideMark/>
          </w:tcPr>
          <w:p w14:paraId="470235D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2280D095" w14:textId="77777777" w:rsidTr="001367E0">
        <w:tblPrEx>
          <w:tblCellMar>
            <w:left w:w="108" w:type="dxa"/>
            <w:right w:w="108" w:type="dxa"/>
          </w:tblCellMar>
        </w:tblPrEx>
        <w:trPr>
          <w:trHeight w:val="465"/>
        </w:trPr>
        <w:tc>
          <w:tcPr>
            <w:tcW w:w="737" w:type="dxa"/>
            <w:noWrap/>
            <w:hideMark/>
          </w:tcPr>
          <w:p w14:paraId="7DA10EB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9772</w:t>
            </w:r>
          </w:p>
        </w:tc>
        <w:tc>
          <w:tcPr>
            <w:tcW w:w="1559" w:type="dxa"/>
            <w:noWrap/>
            <w:hideMark/>
          </w:tcPr>
          <w:p w14:paraId="26BEC7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Fernleigh Public School</w:t>
            </w:r>
          </w:p>
        </w:tc>
        <w:tc>
          <w:tcPr>
            <w:tcW w:w="709" w:type="dxa"/>
            <w:noWrap/>
            <w:hideMark/>
          </w:tcPr>
          <w:p w14:paraId="7FEB8F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ADE4B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0CF844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B5EA8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451 Fernleigh Rd</w:t>
            </w:r>
          </w:p>
        </w:tc>
        <w:tc>
          <w:tcPr>
            <w:tcW w:w="1134" w:type="dxa"/>
            <w:noWrap/>
            <w:hideMark/>
          </w:tcPr>
          <w:p w14:paraId="69612CD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0034B6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29710AA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70B1BC9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D9DFC7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c>
          <w:tcPr>
            <w:tcW w:w="1417" w:type="dxa"/>
            <w:noWrap/>
            <w:hideMark/>
          </w:tcPr>
          <w:p w14:paraId="60EA95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2962A9DC" w14:textId="77777777" w:rsidTr="001367E0">
        <w:tblPrEx>
          <w:tblCellMar>
            <w:left w:w="108" w:type="dxa"/>
            <w:right w:w="108" w:type="dxa"/>
          </w:tblCellMar>
        </w:tblPrEx>
        <w:trPr>
          <w:trHeight w:val="465"/>
        </w:trPr>
        <w:tc>
          <w:tcPr>
            <w:tcW w:w="737" w:type="dxa"/>
            <w:noWrap/>
            <w:hideMark/>
          </w:tcPr>
          <w:p w14:paraId="42CE9D1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10638</w:t>
            </w:r>
          </w:p>
        </w:tc>
        <w:tc>
          <w:tcPr>
            <w:tcW w:w="1559" w:type="dxa"/>
            <w:noWrap/>
            <w:hideMark/>
          </w:tcPr>
          <w:p w14:paraId="0B6CBD8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Finley High School</w:t>
            </w:r>
          </w:p>
        </w:tc>
        <w:tc>
          <w:tcPr>
            <w:tcW w:w="709" w:type="dxa"/>
            <w:noWrap/>
            <w:hideMark/>
          </w:tcPr>
          <w:p w14:paraId="65B0369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42B286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76BADB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97737A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Tocumwal St</w:t>
            </w:r>
          </w:p>
        </w:tc>
        <w:tc>
          <w:tcPr>
            <w:tcW w:w="1134" w:type="dxa"/>
            <w:noWrap/>
            <w:hideMark/>
          </w:tcPr>
          <w:p w14:paraId="6D9F91B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DA6A17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30.9</w:t>
            </w:r>
          </w:p>
        </w:tc>
        <w:tc>
          <w:tcPr>
            <w:tcW w:w="1134" w:type="dxa"/>
            <w:noWrap/>
            <w:hideMark/>
          </w:tcPr>
          <w:p w14:paraId="1C8CB5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55.0</w:t>
            </w:r>
          </w:p>
        </w:tc>
        <w:tc>
          <w:tcPr>
            <w:tcW w:w="1134" w:type="dxa"/>
            <w:noWrap/>
            <w:hideMark/>
          </w:tcPr>
          <w:p w14:paraId="5D2E4C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4278D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99</w:t>
            </w:r>
          </w:p>
        </w:tc>
        <w:tc>
          <w:tcPr>
            <w:tcW w:w="1417" w:type="dxa"/>
            <w:noWrap/>
            <w:hideMark/>
          </w:tcPr>
          <w:p w14:paraId="0C6568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1ED01E1B" w14:textId="77777777" w:rsidTr="001367E0">
        <w:tblPrEx>
          <w:tblCellMar>
            <w:left w:w="108" w:type="dxa"/>
            <w:right w:w="108" w:type="dxa"/>
          </w:tblCellMar>
        </w:tblPrEx>
        <w:trPr>
          <w:trHeight w:val="465"/>
        </w:trPr>
        <w:tc>
          <w:tcPr>
            <w:tcW w:w="737" w:type="dxa"/>
            <w:noWrap/>
            <w:hideMark/>
          </w:tcPr>
          <w:p w14:paraId="491B151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17055</w:t>
            </w:r>
          </w:p>
        </w:tc>
        <w:tc>
          <w:tcPr>
            <w:tcW w:w="1559" w:type="dxa"/>
            <w:noWrap/>
            <w:hideMark/>
          </w:tcPr>
          <w:p w14:paraId="2F06029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Flinders Public School</w:t>
            </w:r>
          </w:p>
        </w:tc>
        <w:tc>
          <w:tcPr>
            <w:tcW w:w="709" w:type="dxa"/>
            <w:noWrap/>
            <w:hideMark/>
          </w:tcPr>
          <w:p w14:paraId="149DCA1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45DFA5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245ABC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7F3828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Adam Murray Way</w:t>
            </w:r>
          </w:p>
        </w:tc>
        <w:tc>
          <w:tcPr>
            <w:tcW w:w="1134" w:type="dxa"/>
            <w:noWrap/>
            <w:hideMark/>
          </w:tcPr>
          <w:p w14:paraId="63E3CB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5138DE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26.9</w:t>
            </w:r>
          </w:p>
        </w:tc>
        <w:tc>
          <w:tcPr>
            <w:tcW w:w="1134" w:type="dxa"/>
            <w:noWrap/>
            <w:hideMark/>
          </w:tcPr>
          <w:p w14:paraId="4A38B1D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60.0</w:t>
            </w:r>
          </w:p>
        </w:tc>
        <w:tc>
          <w:tcPr>
            <w:tcW w:w="1134" w:type="dxa"/>
            <w:noWrap/>
            <w:hideMark/>
          </w:tcPr>
          <w:p w14:paraId="7C0B386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580BE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78</w:t>
            </w:r>
          </w:p>
        </w:tc>
        <w:tc>
          <w:tcPr>
            <w:tcW w:w="1417" w:type="dxa"/>
            <w:noWrap/>
            <w:hideMark/>
          </w:tcPr>
          <w:p w14:paraId="4708271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7C2D4133" w14:textId="77777777" w:rsidTr="001367E0">
        <w:tblPrEx>
          <w:tblCellMar>
            <w:left w:w="108" w:type="dxa"/>
            <w:right w:w="108" w:type="dxa"/>
          </w:tblCellMar>
        </w:tblPrEx>
        <w:trPr>
          <w:trHeight w:val="465"/>
        </w:trPr>
        <w:tc>
          <w:tcPr>
            <w:tcW w:w="737" w:type="dxa"/>
            <w:noWrap/>
            <w:hideMark/>
          </w:tcPr>
          <w:p w14:paraId="311FC49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11100</w:t>
            </w:r>
          </w:p>
        </w:tc>
        <w:tc>
          <w:tcPr>
            <w:tcW w:w="1559" w:type="dxa"/>
            <w:noWrap/>
            <w:hideMark/>
          </w:tcPr>
          <w:p w14:paraId="2AC63D2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Forbes High School</w:t>
            </w:r>
          </w:p>
        </w:tc>
        <w:tc>
          <w:tcPr>
            <w:tcW w:w="709" w:type="dxa"/>
            <w:noWrap/>
            <w:hideMark/>
          </w:tcPr>
          <w:p w14:paraId="12241E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EB272C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6EEA468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CA0D4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18 Wyndham Ave</w:t>
            </w:r>
          </w:p>
        </w:tc>
        <w:tc>
          <w:tcPr>
            <w:tcW w:w="1134" w:type="dxa"/>
            <w:noWrap/>
            <w:hideMark/>
          </w:tcPr>
          <w:p w14:paraId="31043CF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AA29D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35.4</w:t>
            </w:r>
          </w:p>
        </w:tc>
        <w:tc>
          <w:tcPr>
            <w:tcW w:w="1134" w:type="dxa"/>
            <w:noWrap/>
            <w:hideMark/>
          </w:tcPr>
          <w:p w14:paraId="1B7786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57.5</w:t>
            </w:r>
          </w:p>
        </w:tc>
        <w:tc>
          <w:tcPr>
            <w:tcW w:w="1134" w:type="dxa"/>
            <w:noWrap/>
            <w:hideMark/>
          </w:tcPr>
          <w:p w14:paraId="537C400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20.0</w:t>
            </w:r>
          </w:p>
        </w:tc>
        <w:tc>
          <w:tcPr>
            <w:tcW w:w="1276" w:type="dxa"/>
            <w:noWrap/>
            <w:hideMark/>
          </w:tcPr>
          <w:p w14:paraId="60B1B5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95</w:t>
            </w:r>
          </w:p>
        </w:tc>
        <w:tc>
          <w:tcPr>
            <w:tcW w:w="1417" w:type="dxa"/>
            <w:noWrap/>
            <w:hideMark/>
          </w:tcPr>
          <w:p w14:paraId="1C86D8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r>
      <w:tr w:rsidR="006716B4" w:rsidRPr="006716B4" w14:paraId="6116A2CE" w14:textId="77777777" w:rsidTr="001367E0">
        <w:tblPrEx>
          <w:tblCellMar>
            <w:left w:w="108" w:type="dxa"/>
            <w:right w:w="108" w:type="dxa"/>
          </w:tblCellMar>
        </w:tblPrEx>
        <w:trPr>
          <w:trHeight w:val="465"/>
        </w:trPr>
        <w:tc>
          <w:tcPr>
            <w:tcW w:w="737" w:type="dxa"/>
            <w:noWrap/>
            <w:hideMark/>
          </w:tcPr>
          <w:p w14:paraId="6F2B4E6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11102</w:t>
            </w:r>
          </w:p>
        </w:tc>
        <w:tc>
          <w:tcPr>
            <w:tcW w:w="1559" w:type="dxa"/>
            <w:noWrap/>
            <w:hideMark/>
          </w:tcPr>
          <w:p w14:paraId="6B6B3EB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Forbes Public School</w:t>
            </w:r>
          </w:p>
        </w:tc>
        <w:tc>
          <w:tcPr>
            <w:tcW w:w="709" w:type="dxa"/>
            <w:noWrap/>
            <w:hideMark/>
          </w:tcPr>
          <w:p w14:paraId="0C531F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BE46E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56EAC7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1DC08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Lachlan St</w:t>
            </w:r>
          </w:p>
        </w:tc>
        <w:tc>
          <w:tcPr>
            <w:tcW w:w="1134" w:type="dxa"/>
            <w:noWrap/>
            <w:hideMark/>
          </w:tcPr>
          <w:p w14:paraId="213B652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EA589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20.6</w:t>
            </w:r>
          </w:p>
        </w:tc>
        <w:tc>
          <w:tcPr>
            <w:tcW w:w="1134" w:type="dxa"/>
            <w:noWrap/>
            <w:hideMark/>
          </w:tcPr>
          <w:p w14:paraId="2F8699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43.8</w:t>
            </w:r>
          </w:p>
        </w:tc>
        <w:tc>
          <w:tcPr>
            <w:tcW w:w="1134" w:type="dxa"/>
            <w:noWrap/>
            <w:hideMark/>
          </w:tcPr>
          <w:p w14:paraId="59CBDE6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D20164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w:t>
            </w:r>
          </w:p>
        </w:tc>
        <w:tc>
          <w:tcPr>
            <w:tcW w:w="1417" w:type="dxa"/>
            <w:noWrap/>
            <w:hideMark/>
          </w:tcPr>
          <w:p w14:paraId="530425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w:t>
            </w:r>
          </w:p>
        </w:tc>
      </w:tr>
      <w:tr w:rsidR="006716B4" w:rsidRPr="006716B4" w14:paraId="501D7D45" w14:textId="77777777" w:rsidTr="001367E0">
        <w:tblPrEx>
          <w:tblCellMar>
            <w:left w:w="108" w:type="dxa"/>
            <w:right w:w="108" w:type="dxa"/>
          </w:tblCellMar>
        </w:tblPrEx>
        <w:trPr>
          <w:trHeight w:val="465"/>
        </w:trPr>
        <w:tc>
          <w:tcPr>
            <w:tcW w:w="737" w:type="dxa"/>
            <w:noWrap/>
            <w:hideMark/>
          </w:tcPr>
          <w:p w14:paraId="3C7091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17425</w:t>
            </w:r>
          </w:p>
        </w:tc>
        <w:tc>
          <w:tcPr>
            <w:tcW w:w="1559" w:type="dxa"/>
            <w:noWrap/>
            <w:hideMark/>
          </w:tcPr>
          <w:p w14:paraId="4586EAB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Fort Street Public School</w:t>
            </w:r>
          </w:p>
        </w:tc>
        <w:tc>
          <w:tcPr>
            <w:tcW w:w="709" w:type="dxa"/>
            <w:noWrap/>
            <w:hideMark/>
          </w:tcPr>
          <w:p w14:paraId="63E7679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F7CED8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6B15BA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D1659C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Observatory Hill</w:t>
            </w:r>
          </w:p>
        </w:tc>
        <w:tc>
          <w:tcPr>
            <w:tcW w:w="1134" w:type="dxa"/>
            <w:noWrap/>
            <w:hideMark/>
          </w:tcPr>
          <w:p w14:paraId="6D7E288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BE51CE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6.3</w:t>
            </w:r>
          </w:p>
        </w:tc>
        <w:tc>
          <w:tcPr>
            <w:tcW w:w="1134" w:type="dxa"/>
            <w:noWrap/>
            <w:hideMark/>
          </w:tcPr>
          <w:p w14:paraId="3F92B8B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7AC5F6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79F2B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c>
          <w:tcPr>
            <w:tcW w:w="1417" w:type="dxa"/>
            <w:noWrap/>
            <w:hideMark/>
          </w:tcPr>
          <w:p w14:paraId="5057B7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4336172" w14:textId="77777777" w:rsidTr="001367E0">
        <w:tblPrEx>
          <w:tblCellMar>
            <w:left w:w="108" w:type="dxa"/>
            <w:right w:w="108" w:type="dxa"/>
          </w:tblCellMar>
        </w:tblPrEx>
        <w:trPr>
          <w:trHeight w:val="465"/>
        </w:trPr>
        <w:tc>
          <w:tcPr>
            <w:tcW w:w="737" w:type="dxa"/>
            <w:noWrap/>
            <w:hideMark/>
          </w:tcPr>
          <w:p w14:paraId="165B9F4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6421</w:t>
            </w:r>
          </w:p>
        </w:tc>
        <w:tc>
          <w:tcPr>
            <w:tcW w:w="1559" w:type="dxa"/>
            <w:noWrap/>
            <w:hideMark/>
          </w:tcPr>
          <w:p w14:paraId="53FB21A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Francis Greenway High School</w:t>
            </w:r>
          </w:p>
        </w:tc>
        <w:tc>
          <w:tcPr>
            <w:tcW w:w="709" w:type="dxa"/>
            <w:noWrap/>
            <w:hideMark/>
          </w:tcPr>
          <w:p w14:paraId="6446742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DE30B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0A45DF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5A2A22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Lawson Ave</w:t>
            </w:r>
          </w:p>
        </w:tc>
        <w:tc>
          <w:tcPr>
            <w:tcW w:w="1134" w:type="dxa"/>
            <w:noWrap/>
            <w:hideMark/>
          </w:tcPr>
          <w:p w14:paraId="3B327AE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AA171C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45.2</w:t>
            </w:r>
          </w:p>
        </w:tc>
        <w:tc>
          <w:tcPr>
            <w:tcW w:w="1134" w:type="dxa"/>
            <w:noWrap/>
            <w:hideMark/>
          </w:tcPr>
          <w:p w14:paraId="3E9740F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54.2</w:t>
            </w:r>
          </w:p>
        </w:tc>
        <w:tc>
          <w:tcPr>
            <w:tcW w:w="1134" w:type="dxa"/>
            <w:noWrap/>
            <w:hideMark/>
          </w:tcPr>
          <w:p w14:paraId="4BA494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13.9</w:t>
            </w:r>
          </w:p>
        </w:tc>
        <w:tc>
          <w:tcPr>
            <w:tcW w:w="1276" w:type="dxa"/>
            <w:noWrap/>
            <w:hideMark/>
          </w:tcPr>
          <w:p w14:paraId="03E3EE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244</w:t>
            </w:r>
          </w:p>
        </w:tc>
        <w:tc>
          <w:tcPr>
            <w:tcW w:w="1417" w:type="dxa"/>
            <w:noWrap/>
            <w:hideMark/>
          </w:tcPr>
          <w:p w14:paraId="5A3B68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w:t>
            </w:r>
          </w:p>
        </w:tc>
      </w:tr>
      <w:tr w:rsidR="006716B4" w:rsidRPr="006716B4" w14:paraId="26AA4C30" w14:textId="77777777" w:rsidTr="001367E0">
        <w:tblPrEx>
          <w:tblCellMar>
            <w:left w:w="108" w:type="dxa"/>
            <w:right w:w="108" w:type="dxa"/>
          </w:tblCellMar>
        </w:tblPrEx>
        <w:trPr>
          <w:trHeight w:val="465"/>
        </w:trPr>
        <w:tc>
          <w:tcPr>
            <w:tcW w:w="737" w:type="dxa"/>
            <w:noWrap/>
            <w:hideMark/>
          </w:tcPr>
          <w:p w14:paraId="322E26D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17056</w:t>
            </w:r>
          </w:p>
        </w:tc>
        <w:tc>
          <w:tcPr>
            <w:tcW w:w="1559" w:type="dxa"/>
            <w:noWrap/>
            <w:hideMark/>
          </w:tcPr>
          <w:p w14:paraId="2F95949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Georges River College Hurstville Boys Campus</w:t>
            </w:r>
          </w:p>
        </w:tc>
        <w:tc>
          <w:tcPr>
            <w:tcW w:w="709" w:type="dxa"/>
            <w:noWrap/>
            <w:hideMark/>
          </w:tcPr>
          <w:p w14:paraId="187280C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BC352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F3804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305D7F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Kenwyn St</w:t>
            </w:r>
          </w:p>
        </w:tc>
        <w:tc>
          <w:tcPr>
            <w:tcW w:w="1134" w:type="dxa"/>
            <w:noWrap/>
            <w:hideMark/>
          </w:tcPr>
          <w:p w14:paraId="423BFF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2BFA5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33.7</w:t>
            </w:r>
          </w:p>
        </w:tc>
        <w:tc>
          <w:tcPr>
            <w:tcW w:w="1134" w:type="dxa"/>
            <w:noWrap/>
            <w:hideMark/>
          </w:tcPr>
          <w:p w14:paraId="5D3020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1A4ADD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276" w:type="dxa"/>
            <w:noWrap/>
            <w:hideMark/>
          </w:tcPr>
          <w:p w14:paraId="45225E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103</w:t>
            </w:r>
          </w:p>
        </w:tc>
        <w:tc>
          <w:tcPr>
            <w:tcW w:w="1417" w:type="dxa"/>
            <w:noWrap/>
            <w:hideMark/>
          </w:tcPr>
          <w:p w14:paraId="52A1DD0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0DF5CA41" w14:textId="77777777" w:rsidTr="001367E0">
        <w:tblPrEx>
          <w:tblCellMar>
            <w:left w:w="108" w:type="dxa"/>
            <w:right w:w="108" w:type="dxa"/>
          </w:tblCellMar>
        </w:tblPrEx>
        <w:trPr>
          <w:trHeight w:val="465"/>
        </w:trPr>
        <w:tc>
          <w:tcPr>
            <w:tcW w:w="737" w:type="dxa"/>
            <w:noWrap/>
            <w:hideMark/>
          </w:tcPr>
          <w:p w14:paraId="6E3988B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11049</w:t>
            </w:r>
          </w:p>
        </w:tc>
        <w:tc>
          <w:tcPr>
            <w:tcW w:w="1559" w:type="dxa"/>
            <w:noWrap/>
            <w:hideMark/>
          </w:tcPr>
          <w:p w14:paraId="303E553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Geurie Public School</w:t>
            </w:r>
          </w:p>
        </w:tc>
        <w:tc>
          <w:tcPr>
            <w:tcW w:w="709" w:type="dxa"/>
            <w:noWrap/>
            <w:hideMark/>
          </w:tcPr>
          <w:p w14:paraId="62588B3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9E225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73BC32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5DB53F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Narragal St</w:t>
            </w:r>
          </w:p>
        </w:tc>
        <w:tc>
          <w:tcPr>
            <w:tcW w:w="1134" w:type="dxa"/>
            <w:noWrap/>
            <w:hideMark/>
          </w:tcPr>
          <w:p w14:paraId="1A31AF1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7F1780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43A45C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138370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46D6B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c>
          <w:tcPr>
            <w:tcW w:w="1417" w:type="dxa"/>
            <w:noWrap/>
            <w:hideMark/>
          </w:tcPr>
          <w:p w14:paraId="64C5A9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F7D3757" w14:textId="77777777" w:rsidTr="001367E0">
        <w:tblPrEx>
          <w:tblCellMar>
            <w:left w:w="108" w:type="dxa"/>
            <w:right w:w="108" w:type="dxa"/>
          </w:tblCellMar>
        </w:tblPrEx>
        <w:trPr>
          <w:trHeight w:val="465"/>
        </w:trPr>
        <w:tc>
          <w:tcPr>
            <w:tcW w:w="737" w:type="dxa"/>
            <w:noWrap/>
            <w:hideMark/>
          </w:tcPr>
          <w:p w14:paraId="295CD7B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9399</w:t>
            </w:r>
          </w:p>
        </w:tc>
        <w:tc>
          <w:tcPr>
            <w:tcW w:w="1559" w:type="dxa"/>
            <w:noWrap/>
            <w:hideMark/>
          </w:tcPr>
          <w:p w14:paraId="69CD230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Gilgai Public School</w:t>
            </w:r>
          </w:p>
        </w:tc>
        <w:tc>
          <w:tcPr>
            <w:tcW w:w="709" w:type="dxa"/>
            <w:noWrap/>
            <w:hideMark/>
          </w:tcPr>
          <w:p w14:paraId="7DC4EA2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657BF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6F5F0E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CB679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Woodford Pl</w:t>
            </w:r>
          </w:p>
        </w:tc>
        <w:tc>
          <w:tcPr>
            <w:tcW w:w="1134" w:type="dxa"/>
            <w:noWrap/>
            <w:hideMark/>
          </w:tcPr>
          <w:p w14:paraId="6F5FDF1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BFD78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30.8</w:t>
            </w:r>
          </w:p>
        </w:tc>
        <w:tc>
          <w:tcPr>
            <w:tcW w:w="1134" w:type="dxa"/>
            <w:noWrap/>
            <w:hideMark/>
          </w:tcPr>
          <w:p w14:paraId="560595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2F3F946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276" w:type="dxa"/>
            <w:noWrap/>
            <w:hideMark/>
          </w:tcPr>
          <w:p w14:paraId="352C42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c>
          <w:tcPr>
            <w:tcW w:w="1417" w:type="dxa"/>
            <w:noWrap/>
            <w:hideMark/>
          </w:tcPr>
          <w:p w14:paraId="7E05CC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16F34F1F" w14:textId="77777777" w:rsidTr="001367E0">
        <w:tblPrEx>
          <w:tblCellMar>
            <w:left w:w="108" w:type="dxa"/>
            <w:right w:w="108" w:type="dxa"/>
          </w:tblCellMar>
        </w:tblPrEx>
        <w:trPr>
          <w:trHeight w:val="465"/>
        </w:trPr>
        <w:tc>
          <w:tcPr>
            <w:tcW w:w="737" w:type="dxa"/>
            <w:noWrap/>
            <w:hideMark/>
          </w:tcPr>
          <w:p w14:paraId="41C0E9A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lastRenderedPageBreak/>
              <w:t>9170</w:t>
            </w:r>
          </w:p>
        </w:tc>
        <w:tc>
          <w:tcPr>
            <w:tcW w:w="1559" w:type="dxa"/>
            <w:noWrap/>
            <w:hideMark/>
          </w:tcPr>
          <w:p w14:paraId="20D1B9B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Gillieston Public School</w:t>
            </w:r>
          </w:p>
        </w:tc>
        <w:tc>
          <w:tcPr>
            <w:tcW w:w="709" w:type="dxa"/>
            <w:noWrap/>
            <w:hideMark/>
          </w:tcPr>
          <w:p w14:paraId="28CD69F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B67A2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01C7F91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FACD09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Cnr Gillieston &amp; Ryan Roads</w:t>
            </w:r>
          </w:p>
        </w:tc>
        <w:tc>
          <w:tcPr>
            <w:tcW w:w="1134" w:type="dxa"/>
            <w:noWrap/>
            <w:hideMark/>
          </w:tcPr>
          <w:p w14:paraId="53CAD86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7DD6E0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44.7</w:t>
            </w:r>
          </w:p>
        </w:tc>
        <w:tc>
          <w:tcPr>
            <w:tcW w:w="1134" w:type="dxa"/>
            <w:noWrap/>
            <w:hideMark/>
          </w:tcPr>
          <w:p w14:paraId="74D3686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6D59DB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B49058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w:t>
            </w:r>
          </w:p>
        </w:tc>
        <w:tc>
          <w:tcPr>
            <w:tcW w:w="1417" w:type="dxa"/>
            <w:noWrap/>
            <w:hideMark/>
          </w:tcPr>
          <w:p w14:paraId="2B6684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4C5A3C64" w14:textId="77777777" w:rsidTr="001367E0">
        <w:tblPrEx>
          <w:tblCellMar>
            <w:left w:w="108" w:type="dxa"/>
            <w:right w:w="108" w:type="dxa"/>
          </w:tblCellMar>
        </w:tblPrEx>
        <w:trPr>
          <w:trHeight w:val="465"/>
        </w:trPr>
        <w:tc>
          <w:tcPr>
            <w:tcW w:w="737" w:type="dxa"/>
            <w:noWrap/>
            <w:hideMark/>
          </w:tcPr>
          <w:p w14:paraId="0F2F25F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6344</w:t>
            </w:r>
          </w:p>
        </w:tc>
        <w:tc>
          <w:tcPr>
            <w:tcW w:w="1559" w:type="dxa"/>
            <w:noWrap/>
            <w:hideMark/>
          </w:tcPr>
          <w:p w14:paraId="1ED0361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Glendale High School</w:t>
            </w:r>
          </w:p>
        </w:tc>
        <w:tc>
          <w:tcPr>
            <w:tcW w:w="709" w:type="dxa"/>
            <w:noWrap/>
            <w:hideMark/>
          </w:tcPr>
          <w:p w14:paraId="34B7130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E60C54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117C622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BCE184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2A Oaklands St</w:t>
            </w:r>
          </w:p>
        </w:tc>
        <w:tc>
          <w:tcPr>
            <w:tcW w:w="1134" w:type="dxa"/>
            <w:noWrap/>
            <w:hideMark/>
          </w:tcPr>
          <w:p w14:paraId="5C8753A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EA04BE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33.0</w:t>
            </w:r>
          </w:p>
        </w:tc>
        <w:tc>
          <w:tcPr>
            <w:tcW w:w="1134" w:type="dxa"/>
            <w:noWrap/>
            <w:hideMark/>
          </w:tcPr>
          <w:p w14:paraId="768C1B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38.6</w:t>
            </w:r>
          </w:p>
        </w:tc>
        <w:tc>
          <w:tcPr>
            <w:tcW w:w="1134" w:type="dxa"/>
            <w:noWrap/>
            <w:hideMark/>
          </w:tcPr>
          <w:p w14:paraId="7810ADB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17.1</w:t>
            </w:r>
          </w:p>
        </w:tc>
        <w:tc>
          <w:tcPr>
            <w:tcW w:w="1276" w:type="dxa"/>
            <w:noWrap/>
            <w:hideMark/>
          </w:tcPr>
          <w:p w14:paraId="32E5757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169</w:t>
            </w:r>
          </w:p>
        </w:tc>
        <w:tc>
          <w:tcPr>
            <w:tcW w:w="1417" w:type="dxa"/>
            <w:noWrap/>
            <w:hideMark/>
          </w:tcPr>
          <w:p w14:paraId="27D909D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w:t>
            </w:r>
          </w:p>
        </w:tc>
      </w:tr>
      <w:tr w:rsidR="006716B4" w:rsidRPr="006716B4" w14:paraId="4590CDB2" w14:textId="77777777" w:rsidTr="001367E0">
        <w:tblPrEx>
          <w:tblCellMar>
            <w:left w:w="108" w:type="dxa"/>
            <w:right w:w="108" w:type="dxa"/>
          </w:tblCellMar>
        </w:tblPrEx>
        <w:trPr>
          <w:trHeight w:val="465"/>
        </w:trPr>
        <w:tc>
          <w:tcPr>
            <w:tcW w:w="737" w:type="dxa"/>
            <w:noWrap/>
            <w:hideMark/>
          </w:tcPr>
          <w:p w14:paraId="3CCB9B4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14689</w:t>
            </w:r>
          </w:p>
        </w:tc>
        <w:tc>
          <w:tcPr>
            <w:tcW w:w="1559" w:type="dxa"/>
            <w:noWrap/>
            <w:hideMark/>
          </w:tcPr>
          <w:p w14:paraId="6A10A93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Glendenning Public School</w:t>
            </w:r>
          </w:p>
        </w:tc>
        <w:tc>
          <w:tcPr>
            <w:tcW w:w="709" w:type="dxa"/>
            <w:noWrap/>
            <w:hideMark/>
          </w:tcPr>
          <w:p w14:paraId="1C3791B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ADD2B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1E59AD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0729F6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Armitage Drive</w:t>
            </w:r>
          </w:p>
        </w:tc>
        <w:tc>
          <w:tcPr>
            <w:tcW w:w="1134" w:type="dxa"/>
            <w:noWrap/>
            <w:hideMark/>
          </w:tcPr>
          <w:p w14:paraId="585AC03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C8D9B0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29.8</w:t>
            </w:r>
          </w:p>
        </w:tc>
        <w:tc>
          <w:tcPr>
            <w:tcW w:w="1134" w:type="dxa"/>
            <w:noWrap/>
            <w:hideMark/>
          </w:tcPr>
          <w:p w14:paraId="4F80741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0DF18F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276" w:type="dxa"/>
            <w:noWrap/>
            <w:hideMark/>
          </w:tcPr>
          <w:p w14:paraId="072BA2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87</w:t>
            </w:r>
          </w:p>
        </w:tc>
        <w:tc>
          <w:tcPr>
            <w:tcW w:w="1417" w:type="dxa"/>
            <w:noWrap/>
            <w:hideMark/>
          </w:tcPr>
          <w:p w14:paraId="30158B6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1B335503" w14:textId="77777777" w:rsidTr="001367E0">
        <w:tblPrEx>
          <w:tblCellMar>
            <w:left w:w="108" w:type="dxa"/>
            <w:right w:w="108" w:type="dxa"/>
          </w:tblCellMar>
        </w:tblPrEx>
        <w:trPr>
          <w:trHeight w:val="465"/>
        </w:trPr>
        <w:tc>
          <w:tcPr>
            <w:tcW w:w="737" w:type="dxa"/>
            <w:noWrap/>
            <w:hideMark/>
          </w:tcPr>
          <w:p w14:paraId="5F300E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15821</w:t>
            </w:r>
          </w:p>
        </w:tc>
        <w:tc>
          <w:tcPr>
            <w:tcW w:w="1559" w:type="dxa"/>
            <w:noWrap/>
            <w:hideMark/>
          </w:tcPr>
          <w:p w14:paraId="519A505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Glenmore Park High School</w:t>
            </w:r>
          </w:p>
        </w:tc>
        <w:tc>
          <w:tcPr>
            <w:tcW w:w="709" w:type="dxa"/>
            <w:noWrap/>
            <w:hideMark/>
          </w:tcPr>
          <w:p w14:paraId="28080ED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82E18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B74DA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D01323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Glenmore Parkway</w:t>
            </w:r>
          </w:p>
        </w:tc>
        <w:tc>
          <w:tcPr>
            <w:tcW w:w="1134" w:type="dxa"/>
            <w:noWrap/>
            <w:hideMark/>
          </w:tcPr>
          <w:p w14:paraId="41EF2A0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F2C89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37.0</w:t>
            </w:r>
          </w:p>
        </w:tc>
        <w:tc>
          <w:tcPr>
            <w:tcW w:w="1134" w:type="dxa"/>
            <w:noWrap/>
            <w:hideMark/>
          </w:tcPr>
          <w:p w14:paraId="3AB1C10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41.7</w:t>
            </w:r>
          </w:p>
        </w:tc>
        <w:tc>
          <w:tcPr>
            <w:tcW w:w="1134" w:type="dxa"/>
            <w:noWrap/>
            <w:hideMark/>
          </w:tcPr>
          <w:p w14:paraId="5046BF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276" w:type="dxa"/>
            <w:noWrap/>
            <w:hideMark/>
          </w:tcPr>
          <w:p w14:paraId="45302D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183</w:t>
            </w:r>
          </w:p>
        </w:tc>
        <w:tc>
          <w:tcPr>
            <w:tcW w:w="1417" w:type="dxa"/>
            <w:noWrap/>
            <w:hideMark/>
          </w:tcPr>
          <w:p w14:paraId="644737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76B07FAF" w14:textId="77777777" w:rsidTr="001367E0">
        <w:tblPrEx>
          <w:tblCellMar>
            <w:left w:w="108" w:type="dxa"/>
            <w:right w:w="108" w:type="dxa"/>
          </w:tblCellMar>
        </w:tblPrEx>
        <w:trPr>
          <w:trHeight w:val="465"/>
        </w:trPr>
        <w:tc>
          <w:tcPr>
            <w:tcW w:w="737" w:type="dxa"/>
            <w:noWrap/>
            <w:hideMark/>
          </w:tcPr>
          <w:p w14:paraId="1B5122C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10443</w:t>
            </w:r>
          </w:p>
        </w:tc>
        <w:tc>
          <w:tcPr>
            <w:tcW w:w="1559" w:type="dxa"/>
            <w:noWrap/>
            <w:hideMark/>
          </w:tcPr>
          <w:p w14:paraId="12AF88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Glenroy Public School</w:t>
            </w:r>
          </w:p>
        </w:tc>
        <w:tc>
          <w:tcPr>
            <w:tcW w:w="709" w:type="dxa"/>
            <w:noWrap/>
            <w:hideMark/>
          </w:tcPr>
          <w:p w14:paraId="7310B10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26463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4038361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780312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Logan Rd</w:t>
            </w:r>
          </w:p>
        </w:tc>
        <w:tc>
          <w:tcPr>
            <w:tcW w:w="1134" w:type="dxa"/>
            <w:noWrap/>
            <w:hideMark/>
          </w:tcPr>
          <w:p w14:paraId="1BEA775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CF20E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29.6</w:t>
            </w:r>
          </w:p>
        </w:tc>
        <w:tc>
          <w:tcPr>
            <w:tcW w:w="1134" w:type="dxa"/>
            <w:noWrap/>
            <w:hideMark/>
          </w:tcPr>
          <w:p w14:paraId="3D268E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0B3951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109FD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w:t>
            </w:r>
          </w:p>
        </w:tc>
        <w:tc>
          <w:tcPr>
            <w:tcW w:w="1417" w:type="dxa"/>
            <w:noWrap/>
            <w:hideMark/>
          </w:tcPr>
          <w:p w14:paraId="6756596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2D69A74E" w14:textId="77777777" w:rsidTr="001367E0">
        <w:tblPrEx>
          <w:tblCellMar>
            <w:left w:w="108" w:type="dxa"/>
            <w:right w:w="108" w:type="dxa"/>
          </w:tblCellMar>
        </w:tblPrEx>
        <w:trPr>
          <w:trHeight w:val="465"/>
        </w:trPr>
        <w:tc>
          <w:tcPr>
            <w:tcW w:w="737" w:type="dxa"/>
            <w:noWrap/>
            <w:hideMark/>
          </w:tcPr>
          <w:p w14:paraId="6C1F506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9524</w:t>
            </w:r>
          </w:p>
        </w:tc>
        <w:tc>
          <w:tcPr>
            <w:tcW w:w="1559" w:type="dxa"/>
            <w:noWrap/>
            <w:hideMark/>
          </w:tcPr>
          <w:p w14:paraId="085CC5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Gloucester High School</w:t>
            </w:r>
          </w:p>
        </w:tc>
        <w:tc>
          <w:tcPr>
            <w:tcW w:w="709" w:type="dxa"/>
            <w:noWrap/>
            <w:hideMark/>
          </w:tcPr>
          <w:p w14:paraId="6A0A103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F1DB1E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513EB8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E2C2DD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Ravenshaw St</w:t>
            </w:r>
          </w:p>
        </w:tc>
        <w:tc>
          <w:tcPr>
            <w:tcW w:w="1134" w:type="dxa"/>
            <w:noWrap/>
            <w:hideMark/>
          </w:tcPr>
          <w:p w14:paraId="2FE8C59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FF0016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31.8</w:t>
            </w:r>
          </w:p>
        </w:tc>
        <w:tc>
          <w:tcPr>
            <w:tcW w:w="1134" w:type="dxa"/>
            <w:noWrap/>
            <w:hideMark/>
          </w:tcPr>
          <w:p w14:paraId="057288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47.4</w:t>
            </w:r>
          </w:p>
        </w:tc>
        <w:tc>
          <w:tcPr>
            <w:tcW w:w="1134" w:type="dxa"/>
            <w:noWrap/>
            <w:hideMark/>
          </w:tcPr>
          <w:p w14:paraId="15FD16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94A157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68</w:t>
            </w:r>
          </w:p>
        </w:tc>
        <w:tc>
          <w:tcPr>
            <w:tcW w:w="1417" w:type="dxa"/>
            <w:noWrap/>
            <w:hideMark/>
          </w:tcPr>
          <w:p w14:paraId="1A258B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w:t>
            </w:r>
          </w:p>
        </w:tc>
      </w:tr>
      <w:tr w:rsidR="006716B4" w:rsidRPr="006716B4" w14:paraId="5308A9EE" w14:textId="77777777" w:rsidTr="001367E0">
        <w:tblPrEx>
          <w:tblCellMar>
            <w:left w:w="108" w:type="dxa"/>
            <w:right w:w="108" w:type="dxa"/>
          </w:tblCellMar>
        </w:tblPrEx>
        <w:trPr>
          <w:trHeight w:val="465"/>
        </w:trPr>
        <w:tc>
          <w:tcPr>
            <w:tcW w:w="737" w:type="dxa"/>
            <w:noWrap/>
            <w:hideMark/>
          </w:tcPr>
          <w:p w14:paraId="494427B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10680</w:t>
            </w:r>
          </w:p>
        </w:tc>
        <w:tc>
          <w:tcPr>
            <w:tcW w:w="1559" w:type="dxa"/>
            <w:noWrap/>
            <w:hideMark/>
          </w:tcPr>
          <w:p w14:paraId="56B368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Gol Gol Public School</w:t>
            </w:r>
          </w:p>
        </w:tc>
        <w:tc>
          <w:tcPr>
            <w:tcW w:w="709" w:type="dxa"/>
            <w:noWrap/>
            <w:hideMark/>
          </w:tcPr>
          <w:p w14:paraId="3BB511E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C7C08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D71650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23D308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William St</w:t>
            </w:r>
          </w:p>
        </w:tc>
        <w:tc>
          <w:tcPr>
            <w:tcW w:w="1134" w:type="dxa"/>
            <w:noWrap/>
            <w:hideMark/>
          </w:tcPr>
          <w:p w14:paraId="307AADD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6D6BD7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15.7</w:t>
            </w:r>
          </w:p>
        </w:tc>
        <w:tc>
          <w:tcPr>
            <w:tcW w:w="1134" w:type="dxa"/>
            <w:noWrap/>
            <w:hideMark/>
          </w:tcPr>
          <w:p w14:paraId="5D2479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5B68A7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9008C6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c>
          <w:tcPr>
            <w:tcW w:w="1417" w:type="dxa"/>
            <w:noWrap/>
            <w:hideMark/>
          </w:tcPr>
          <w:p w14:paraId="0516B41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0EBD42F9" w14:textId="77777777" w:rsidTr="001367E0">
        <w:tblPrEx>
          <w:tblCellMar>
            <w:left w:w="108" w:type="dxa"/>
            <w:right w:w="108" w:type="dxa"/>
          </w:tblCellMar>
        </w:tblPrEx>
        <w:trPr>
          <w:trHeight w:val="465"/>
        </w:trPr>
        <w:tc>
          <w:tcPr>
            <w:tcW w:w="737" w:type="dxa"/>
            <w:noWrap/>
            <w:hideMark/>
          </w:tcPr>
          <w:p w14:paraId="0E6BF0C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6371</w:t>
            </w:r>
          </w:p>
        </w:tc>
        <w:tc>
          <w:tcPr>
            <w:tcW w:w="1559" w:type="dxa"/>
            <w:noWrap/>
            <w:hideMark/>
          </w:tcPr>
          <w:p w14:paraId="5E0173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Gorokan High School</w:t>
            </w:r>
          </w:p>
        </w:tc>
        <w:tc>
          <w:tcPr>
            <w:tcW w:w="709" w:type="dxa"/>
            <w:noWrap/>
            <w:hideMark/>
          </w:tcPr>
          <w:p w14:paraId="78C0F06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CD3466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03FE27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DDF9F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Goobarabah Ave</w:t>
            </w:r>
          </w:p>
        </w:tc>
        <w:tc>
          <w:tcPr>
            <w:tcW w:w="1134" w:type="dxa"/>
            <w:noWrap/>
            <w:hideMark/>
          </w:tcPr>
          <w:p w14:paraId="6707703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368A0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32.4</w:t>
            </w:r>
          </w:p>
        </w:tc>
        <w:tc>
          <w:tcPr>
            <w:tcW w:w="1134" w:type="dxa"/>
            <w:noWrap/>
            <w:hideMark/>
          </w:tcPr>
          <w:p w14:paraId="7FD039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37.5</w:t>
            </w:r>
          </w:p>
        </w:tc>
        <w:tc>
          <w:tcPr>
            <w:tcW w:w="1134" w:type="dxa"/>
            <w:noWrap/>
            <w:hideMark/>
          </w:tcPr>
          <w:p w14:paraId="723FD6D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7.8</w:t>
            </w:r>
          </w:p>
        </w:tc>
        <w:tc>
          <w:tcPr>
            <w:tcW w:w="1276" w:type="dxa"/>
            <w:noWrap/>
            <w:hideMark/>
          </w:tcPr>
          <w:p w14:paraId="1620D7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244</w:t>
            </w:r>
          </w:p>
        </w:tc>
        <w:tc>
          <w:tcPr>
            <w:tcW w:w="1417" w:type="dxa"/>
            <w:noWrap/>
            <w:hideMark/>
          </w:tcPr>
          <w:p w14:paraId="04E636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w:t>
            </w:r>
          </w:p>
        </w:tc>
      </w:tr>
      <w:tr w:rsidR="006716B4" w:rsidRPr="006716B4" w14:paraId="1548198D" w14:textId="77777777" w:rsidTr="001367E0">
        <w:tblPrEx>
          <w:tblCellMar>
            <w:left w:w="108" w:type="dxa"/>
            <w:right w:w="108" w:type="dxa"/>
          </w:tblCellMar>
        </w:tblPrEx>
        <w:trPr>
          <w:trHeight w:val="465"/>
        </w:trPr>
        <w:tc>
          <w:tcPr>
            <w:tcW w:w="737" w:type="dxa"/>
            <w:noWrap/>
            <w:hideMark/>
          </w:tcPr>
          <w:p w14:paraId="0DBF03A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10255</w:t>
            </w:r>
          </w:p>
        </w:tc>
        <w:tc>
          <w:tcPr>
            <w:tcW w:w="1559" w:type="dxa"/>
            <w:noWrap/>
            <w:hideMark/>
          </w:tcPr>
          <w:p w14:paraId="73FB01A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Goulburn High School</w:t>
            </w:r>
          </w:p>
        </w:tc>
        <w:tc>
          <w:tcPr>
            <w:tcW w:w="709" w:type="dxa"/>
            <w:noWrap/>
            <w:hideMark/>
          </w:tcPr>
          <w:p w14:paraId="7F7BD03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BEFB8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468F97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DBFB5E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Goldsmith St</w:t>
            </w:r>
          </w:p>
        </w:tc>
        <w:tc>
          <w:tcPr>
            <w:tcW w:w="1134" w:type="dxa"/>
            <w:noWrap/>
            <w:hideMark/>
          </w:tcPr>
          <w:p w14:paraId="0EB2CA6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C0C40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49.2</w:t>
            </w:r>
          </w:p>
        </w:tc>
        <w:tc>
          <w:tcPr>
            <w:tcW w:w="1134" w:type="dxa"/>
            <w:noWrap/>
            <w:hideMark/>
          </w:tcPr>
          <w:p w14:paraId="7D1C72A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70.0</w:t>
            </w:r>
          </w:p>
        </w:tc>
        <w:tc>
          <w:tcPr>
            <w:tcW w:w="1134" w:type="dxa"/>
            <w:noWrap/>
            <w:hideMark/>
          </w:tcPr>
          <w:p w14:paraId="4766F1A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28.6</w:t>
            </w:r>
          </w:p>
        </w:tc>
        <w:tc>
          <w:tcPr>
            <w:tcW w:w="1276" w:type="dxa"/>
            <w:noWrap/>
            <w:hideMark/>
          </w:tcPr>
          <w:p w14:paraId="535108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213</w:t>
            </w:r>
          </w:p>
        </w:tc>
        <w:tc>
          <w:tcPr>
            <w:tcW w:w="1417" w:type="dxa"/>
            <w:noWrap/>
            <w:hideMark/>
          </w:tcPr>
          <w:p w14:paraId="66BA547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r>
      <w:tr w:rsidR="006716B4" w:rsidRPr="006716B4" w14:paraId="0B481B6E" w14:textId="77777777" w:rsidTr="001367E0">
        <w:tblPrEx>
          <w:tblCellMar>
            <w:left w:w="108" w:type="dxa"/>
            <w:right w:w="108" w:type="dxa"/>
          </w:tblCellMar>
        </w:tblPrEx>
        <w:trPr>
          <w:trHeight w:val="465"/>
        </w:trPr>
        <w:tc>
          <w:tcPr>
            <w:tcW w:w="737" w:type="dxa"/>
            <w:noWrap/>
            <w:hideMark/>
          </w:tcPr>
          <w:p w14:paraId="0A08FD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10258</w:t>
            </w:r>
          </w:p>
        </w:tc>
        <w:tc>
          <w:tcPr>
            <w:tcW w:w="1559" w:type="dxa"/>
            <w:noWrap/>
            <w:hideMark/>
          </w:tcPr>
          <w:p w14:paraId="15EE47B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Goulburn South Public School</w:t>
            </w:r>
          </w:p>
        </w:tc>
        <w:tc>
          <w:tcPr>
            <w:tcW w:w="709" w:type="dxa"/>
            <w:noWrap/>
            <w:hideMark/>
          </w:tcPr>
          <w:p w14:paraId="7140FA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4DD096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0EBF60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EF75FF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Addison St</w:t>
            </w:r>
          </w:p>
        </w:tc>
        <w:tc>
          <w:tcPr>
            <w:tcW w:w="1134" w:type="dxa"/>
            <w:noWrap/>
            <w:hideMark/>
          </w:tcPr>
          <w:p w14:paraId="532A1D3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1B08D1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29.9</w:t>
            </w:r>
          </w:p>
        </w:tc>
        <w:tc>
          <w:tcPr>
            <w:tcW w:w="1134" w:type="dxa"/>
            <w:noWrap/>
            <w:hideMark/>
          </w:tcPr>
          <w:p w14:paraId="3D20B23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2A610D0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83D3F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c>
          <w:tcPr>
            <w:tcW w:w="1417" w:type="dxa"/>
            <w:noWrap/>
            <w:hideMark/>
          </w:tcPr>
          <w:p w14:paraId="10A7AA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72134BA8" w14:textId="77777777" w:rsidTr="001367E0">
        <w:tblPrEx>
          <w:tblCellMar>
            <w:left w:w="108" w:type="dxa"/>
            <w:right w:w="108" w:type="dxa"/>
          </w:tblCellMar>
        </w:tblPrEx>
        <w:trPr>
          <w:trHeight w:val="465"/>
        </w:trPr>
        <w:tc>
          <w:tcPr>
            <w:tcW w:w="737" w:type="dxa"/>
            <w:noWrap/>
            <w:hideMark/>
          </w:tcPr>
          <w:p w14:paraId="685103C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16232</w:t>
            </w:r>
          </w:p>
        </w:tc>
        <w:tc>
          <w:tcPr>
            <w:tcW w:w="1559" w:type="dxa"/>
            <w:noWrap/>
            <w:hideMark/>
          </w:tcPr>
          <w:p w14:paraId="0709F72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Governor Philip King Public School</w:t>
            </w:r>
          </w:p>
        </w:tc>
        <w:tc>
          <w:tcPr>
            <w:tcW w:w="709" w:type="dxa"/>
            <w:noWrap/>
            <w:hideMark/>
          </w:tcPr>
          <w:p w14:paraId="245C610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703F23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D6ED3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FAE510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Allambie Rd</w:t>
            </w:r>
          </w:p>
        </w:tc>
        <w:tc>
          <w:tcPr>
            <w:tcW w:w="1134" w:type="dxa"/>
            <w:noWrap/>
            <w:hideMark/>
          </w:tcPr>
          <w:p w14:paraId="3D682C2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07292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65D048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982C7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91DA6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105</w:t>
            </w:r>
          </w:p>
        </w:tc>
        <w:tc>
          <w:tcPr>
            <w:tcW w:w="1417" w:type="dxa"/>
            <w:noWrap/>
            <w:hideMark/>
          </w:tcPr>
          <w:p w14:paraId="517E37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09D6BD93" w14:textId="77777777" w:rsidTr="001367E0">
        <w:tblPrEx>
          <w:tblCellMar>
            <w:left w:w="108" w:type="dxa"/>
            <w:right w:w="108" w:type="dxa"/>
          </w:tblCellMar>
        </w:tblPrEx>
        <w:trPr>
          <w:trHeight w:val="465"/>
        </w:trPr>
        <w:tc>
          <w:tcPr>
            <w:tcW w:w="737" w:type="dxa"/>
            <w:noWrap/>
            <w:hideMark/>
          </w:tcPr>
          <w:p w14:paraId="694A6CF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9711</w:t>
            </w:r>
          </w:p>
        </w:tc>
        <w:tc>
          <w:tcPr>
            <w:tcW w:w="1559" w:type="dxa"/>
            <w:noWrap/>
            <w:hideMark/>
          </w:tcPr>
          <w:p w14:paraId="6743CA4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Grafton High School</w:t>
            </w:r>
          </w:p>
        </w:tc>
        <w:tc>
          <w:tcPr>
            <w:tcW w:w="709" w:type="dxa"/>
            <w:noWrap/>
            <w:hideMark/>
          </w:tcPr>
          <w:p w14:paraId="2EB2D6C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DE5C4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12B789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625ACF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Oliver &amp; Mary Sts</w:t>
            </w:r>
          </w:p>
        </w:tc>
        <w:tc>
          <w:tcPr>
            <w:tcW w:w="1134" w:type="dxa"/>
            <w:noWrap/>
            <w:hideMark/>
          </w:tcPr>
          <w:p w14:paraId="0E6A1E8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82313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34.2</w:t>
            </w:r>
          </w:p>
        </w:tc>
        <w:tc>
          <w:tcPr>
            <w:tcW w:w="1134" w:type="dxa"/>
            <w:noWrap/>
            <w:hideMark/>
          </w:tcPr>
          <w:p w14:paraId="14B81D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69.1</w:t>
            </w:r>
          </w:p>
        </w:tc>
        <w:tc>
          <w:tcPr>
            <w:tcW w:w="1134" w:type="dxa"/>
            <w:noWrap/>
            <w:hideMark/>
          </w:tcPr>
          <w:p w14:paraId="763FB0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9.1</w:t>
            </w:r>
          </w:p>
        </w:tc>
        <w:tc>
          <w:tcPr>
            <w:tcW w:w="1276" w:type="dxa"/>
            <w:noWrap/>
            <w:hideMark/>
          </w:tcPr>
          <w:p w14:paraId="0463E9F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190</w:t>
            </w:r>
          </w:p>
        </w:tc>
        <w:tc>
          <w:tcPr>
            <w:tcW w:w="1417" w:type="dxa"/>
            <w:noWrap/>
            <w:hideMark/>
          </w:tcPr>
          <w:p w14:paraId="081432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w:t>
            </w:r>
          </w:p>
        </w:tc>
      </w:tr>
      <w:tr w:rsidR="006716B4" w:rsidRPr="006716B4" w14:paraId="1D47B78D" w14:textId="77777777" w:rsidTr="001367E0">
        <w:tblPrEx>
          <w:tblCellMar>
            <w:left w:w="108" w:type="dxa"/>
            <w:right w:w="108" w:type="dxa"/>
          </w:tblCellMar>
        </w:tblPrEx>
        <w:trPr>
          <w:trHeight w:val="465"/>
        </w:trPr>
        <w:tc>
          <w:tcPr>
            <w:tcW w:w="737" w:type="dxa"/>
            <w:noWrap/>
            <w:hideMark/>
          </w:tcPr>
          <w:p w14:paraId="0E336B3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9712</w:t>
            </w:r>
          </w:p>
        </w:tc>
        <w:tc>
          <w:tcPr>
            <w:tcW w:w="1559" w:type="dxa"/>
            <w:noWrap/>
            <w:hideMark/>
          </w:tcPr>
          <w:p w14:paraId="65A533B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Grafton Public School</w:t>
            </w:r>
          </w:p>
        </w:tc>
        <w:tc>
          <w:tcPr>
            <w:tcW w:w="709" w:type="dxa"/>
            <w:noWrap/>
            <w:hideMark/>
          </w:tcPr>
          <w:p w14:paraId="0DBE9ED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4DFAAD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73AAD28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B5C45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Queen St</w:t>
            </w:r>
          </w:p>
        </w:tc>
        <w:tc>
          <w:tcPr>
            <w:tcW w:w="1134" w:type="dxa"/>
            <w:noWrap/>
            <w:hideMark/>
          </w:tcPr>
          <w:p w14:paraId="1DD5285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57A006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23.7</w:t>
            </w:r>
          </w:p>
        </w:tc>
        <w:tc>
          <w:tcPr>
            <w:tcW w:w="1134" w:type="dxa"/>
            <w:noWrap/>
            <w:hideMark/>
          </w:tcPr>
          <w:p w14:paraId="046E44F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44.2</w:t>
            </w:r>
          </w:p>
        </w:tc>
        <w:tc>
          <w:tcPr>
            <w:tcW w:w="1134" w:type="dxa"/>
            <w:noWrap/>
            <w:hideMark/>
          </w:tcPr>
          <w:p w14:paraId="155962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8.0</w:t>
            </w:r>
          </w:p>
        </w:tc>
        <w:tc>
          <w:tcPr>
            <w:tcW w:w="1276" w:type="dxa"/>
            <w:noWrap/>
            <w:hideMark/>
          </w:tcPr>
          <w:p w14:paraId="211237E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88</w:t>
            </w:r>
          </w:p>
        </w:tc>
        <w:tc>
          <w:tcPr>
            <w:tcW w:w="1417" w:type="dxa"/>
            <w:noWrap/>
            <w:hideMark/>
          </w:tcPr>
          <w:p w14:paraId="52F85E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w:t>
            </w:r>
          </w:p>
        </w:tc>
      </w:tr>
      <w:tr w:rsidR="006716B4" w:rsidRPr="006716B4" w14:paraId="40D0804F" w14:textId="77777777" w:rsidTr="001367E0">
        <w:tblPrEx>
          <w:tblCellMar>
            <w:left w:w="108" w:type="dxa"/>
            <w:right w:w="108" w:type="dxa"/>
          </w:tblCellMar>
        </w:tblPrEx>
        <w:trPr>
          <w:trHeight w:val="465"/>
        </w:trPr>
        <w:tc>
          <w:tcPr>
            <w:tcW w:w="737" w:type="dxa"/>
            <w:noWrap/>
            <w:hideMark/>
          </w:tcPr>
          <w:p w14:paraId="6359597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7793</w:t>
            </w:r>
          </w:p>
        </w:tc>
        <w:tc>
          <w:tcPr>
            <w:tcW w:w="1559" w:type="dxa"/>
            <w:noWrap/>
            <w:hideMark/>
          </w:tcPr>
          <w:p w14:paraId="75C906E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Granville Public School</w:t>
            </w:r>
          </w:p>
        </w:tc>
        <w:tc>
          <w:tcPr>
            <w:tcW w:w="709" w:type="dxa"/>
            <w:noWrap/>
            <w:hideMark/>
          </w:tcPr>
          <w:p w14:paraId="3C1A0D3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E795C8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0DFA2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E70957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Lena St</w:t>
            </w:r>
          </w:p>
        </w:tc>
        <w:tc>
          <w:tcPr>
            <w:tcW w:w="1134" w:type="dxa"/>
            <w:noWrap/>
            <w:hideMark/>
          </w:tcPr>
          <w:p w14:paraId="0022250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8F29B7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48.2</w:t>
            </w:r>
          </w:p>
        </w:tc>
        <w:tc>
          <w:tcPr>
            <w:tcW w:w="1134" w:type="dxa"/>
            <w:noWrap/>
            <w:hideMark/>
          </w:tcPr>
          <w:p w14:paraId="4E42E0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76B02B6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F7EAB2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118</w:t>
            </w:r>
          </w:p>
        </w:tc>
        <w:tc>
          <w:tcPr>
            <w:tcW w:w="1417" w:type="dxa"/>
            <w:noWrap/>
            <w:hideMark/>
          </w:tcPr>
          <w:p w14:paraId="19788D4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42CA0792" w14:textId="77777777" w:rsidTr="001367E0">
        <w:tblPrEx>
          <w:tblCellMar>
            <w:left w:w="108" w:type="dxa"/>
            <w:right w:w="108" w:type="dxa"/>
          </w:tblCellMar>
        </w:tblPrEx>
        <w:trPr>
          <w:trHeight w:val="465"/>
        </w:trPr>
        <w:tc>
          <w:tcPr>
            <w:tcW w:w="737" w:type="dxa"/>
            <w:noWrap/>
            <w:hideMark/>
          </w:tcPr>
          <w:p w14:paraId="19D7344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8528</w:t>
            </w:r>
          </w:p>
        </w:tc>
        <w:tc>
          <w:tcPr>
            <w:tcW w:w="1559" w:type="dxa"/>
            <w:noWrap/>
            <w:hideMark/>
          </w:tcPr>
          <w:p w14:paraId="6FFDA95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Green Valley Public School</w:t>
            </w:r>
          </w:p>
        </w:tc>
        <w:tc>
          <w:tcPr>
            <w:tcW w:w="709" w:type="dxa"/>
            <w:noWrap/>
            <w:hideMark/>
          </w:tcPr>
          <w:p w14:paraId="715639C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3F2A88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F3765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B4797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Green Valley Rd</w:t>
            </w:r>
          </w:p>
        </w:tc>
        <w:tc>
          <w:tcPr>
            <w:tcW w:w="1134" w:type="dxa"/>
            <w:noWrap/>
            <w:hideMark/>
          </w:tcPr>
          <w:p w14:paraId="3499278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28EAC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23.0</w:t>
            </w:r>
          </w:p>
        </w:tc>
        <w:tc>
          <w:tcPr>
            <w:tcW w:w="1134" w:type="dxa"/>
            <w:noWrap/>
            <w:hideMark/>
          </w:tcPr>
          <w:p w14:paraId="667D974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40.0</w:t>
            </w:r>
          </w:p>
        </w:tc>
        <w:tc>
          <w:tcPr>
            <w:tcW w:w="1134" w:type="dxa"/>
            <w:noWrap/>
            <w:hideMark/>
          </w:tcPr>
          <w:p w14:paraId="7B2054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276" w:type="dxa"/>
            <w:noWrap/>
            <w:hideMark/>
          </w:tcPr>
          <w:p w14:paraId="226151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70</w:t>
            </w:r>
          </w:p>
        </w:tc>
        <w:tc>
          <w:tcPr>
            <w:tcW w:w="1417" w:type="dxa"/>
            <w:noWrap/>
            <w:hideMark/>
          </w:tcPr>
          <w:p w14:paraId="0A6E41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45A2347E" w14:textId="77777777" w:rsidTr="001367E0">
        <w:tblPrEx>
          <w:tblCellMar>
            <w:left w:w="108" w:type="dxa"/>
            <w:right w:w="108" w:type="dxa"/>
          </w:tblCellMar>
        </w:tblPrEx>
        <w:trPr>
          <w:trHeight w:val="465"/>
        </w:trPr>
        <w:tc>
          <w:tcPr>
            <w:tcW w:w="737" w:type="dxa"/>
            <w:noWrap/>
            <w:hideMark/>
          </w:tcPr>
          <w:p w14:paraId="5B91454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10541</w:t>
            </w:r>
          </w:p>
        </w:tc>
        <w:tc>
          <w:tcPr>
            <w:tcW w:w="1559" w:type="dxa"/>
            <w:noWrap/>
            <w:hideMark/>
          </w:tcPr>
          <w:p w14:paraId="6F1B9B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Griffith East Public School</w:t>
            </w:r>
          </w:p>
        </w:tc>
        <w:tc>
          <w:tcPr>
            <w:tcW w:w="709" w:type="dxa"/>
            <w:noWrap/>
            <w:hideMark/>
          </w:tcPr>
          <w:p w14:paraId="1127386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8ABDF7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64A8074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D2D34F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Wakaden St</w:t>
            </w:r>
          </w:p>
        </w:tc>
        <w:tc>
          <w:tcPr>
            <w:tcW w:w="1134" w:type="dxa"/>
            <w:noWrap/>
            <w:hideMark/>
          </w:tcPr>
          <w:p w14:paraId="6A54FA2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90EC7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15.4</w:t>
            </w:r>
          </w:p>
        </w:tc>
        <w:tc>
          <w:tcPr>
            <w:tcW w:w="1134" w:type="dxa"/>
            <w:noWrap/>
            <w:hideMark/>
          </w:tcPr>
          <w:p w14:paraId="2715A37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21.4</w:t>
            </w:r>
          </w:p>
        </w:tc>
        <w:tc>
          <w:tcPr>
            <w:tcW w:w="1134" w:type="dxa"/>
            <w:noWrap/>
            <w:hideMark/>
          </w:tcPr>
          <w:p w14:paraId="042C67E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69A6B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w:t>
            </w:r>
          </w:p>
        </w:tc>
        <w:tc>
          <w:tcPr>
            <w:tcW w:w="1417" w:type="dxa"/>
            <w:noWrap/>
            <w:hideMark/>
          </w:tcPr>
          <w:p w14:paraId="5D2DEB2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7505EA07" w14:textId="77777777" w:rsidTr="001367E0">
        <w:tblPrEx>
          <w:tblCellMar>
            <w:left w:w="108" w:type="dxa"/>
            <w:right w:w="108" w:type="dxa"/>
          </w:tblCellMar>
        </w:tblPrEx>
        <w:trPr>
          <w:trHeight w:val="465"/>
        </w:trPr>
        <w:tc>
          <w:tcPr>
            <w:tcW w:w="737" w:type="dxa"/>
            <w:noWrap/>
            <w:hideMark/>
          </w:tcPr>
          <w:p w14:paraId="7AC4A80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6477</w:t>
            </w:r>
          </w:p>
        </w:tc>
        <w:tc>
          <w:tcPr>
            <w:tcW w:w="1559" w:type="dxa"/>
            <w:noWrap/>
            <w:hideMark/>
          </w:tcPr>
          <w:p w14:paraId="656E0D3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Griffith High School</w:t>
            </w:r>
          </w:p>
        </w:tc>
        <w:tc>
          <w:tcPr>
            <w:tcW w:w="709" w:type="dxa"/>
            <w:noWrap/>
            <w:hideMark/>
          </w:tcPr>
          <w:p w14:paraId="49FE1BE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481186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579102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10E4AD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Coolah St</w:t>
            </w:r>
          </w:p>
        </w:tc>
        <w:tc>
          <w:tcPr>
            <w:tcW w:w="1134" w:type="dxa"/>
            <w:noWrap/>
            <w:hideMark/>
          </w:tcPr>
          <w:p w14:paraId="4C5B3FE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3AE5F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55.3</w:t>
            </w:r>
          </w:p>
        </w:tc>
        <w:tc>
          <w:tcPr>
            <w:tcW w:w="1134" w:type="dxa"/>
            <w:noWrap/>
            <w:hideMark/>
          </w:tcPr>
          <w:p w14:paraId="339C076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75.5</w:t>
            </w:r>
          </w:p>
        </w:tc>
        <w:tc>
          <w:tcPr>
            <w:tcW w:w="1134" w:type="dxa"/>
            <w:noWrap/>
            <w:hideMark/>
          </w:tcPr>
          <w:p w14:paraId="03D45B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13.3</w:t>
            </w:r>
          </w:p>
        </w:tc>
        <w:tc>
          <w:tcPr>
            <w:tcW w:w="1276" w:type="dxa"/>
            <w:noWrap/>
            <w:hideMark/>
          </w:tcPr>
          <w:p w14:paraId="04C60A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161</w:t>
            </w:r>
          </w:p>
        </w:tc>
        <w:tc>
          <w:tcPr>
            <w:tcW w:w="1417" w:type="dxa"/>
            <w:noWrap/>
            <w:hideMark/>
          </w:tcPr>
          <w:p w14:paraId="3C7F26F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w:t>
            </w:r>
          </w:p>
        </w:tc>
      </w:tr>
      <w:tr w:rsidR="006716B4" w:rsidRPr="006716B4" w14:paraId="0CB01D25" w14:textId="77777777" w:rsidTr="001367E0">
        <w:tblPrEx>
          <w:tblCellMar>
            <w:left w:w="108" w:type="dxa"/>
            <w:right w:w="108" w:type="dxa"/>
          </w:tblCellMar>
        </w:tblPrEx>
        <w:trPr>
          <w:trHeight w:val="465"/>
        </w:trPr>
        <w:tc>
          <w:tcPr>
            <w:tcW w:w="737" w:type="dxa"/>
            <w:noWrap/>
            <w:hideMark/>
          </w:tcPr>
          <w:p w14:paraId="7EEFFFC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11086</w:t>
            </w:r>
          </w:p>
        </w:tc>
        <w:tc>
          <w:tcPr>
            <w:tcW w:w="1559" w:type="dxa"/>
            <w:noWrap/>
            <w:hideMark/>
          </w:tcPr>
          <w:p w14:paraId="5833A0F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Gulgong High School</w:t>
            </w:r>
          </w:p>
        </w:tc>
        <w:tc>
          <w:tcPr>
            <w:tcW w:w="709" w:type="dxa"/>
            <w:noWrap/>
            <w:hideMark/>
          </w:tcPr>
          <w:p w14:paraId="4FB449A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27A5E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B89A9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B48C2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Belmore St</w:t>
            </w:r>
          </w:p>
        </w:tc>
        <w:tc>
          <w:tcPr>
            <w:tcW w:w="1134" w:type="dxa"/>
            <w:noWrap/>
            <w:hideMark/>
          </w:tcPr>
          <w:p w14:paraId="214BA44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DEA3E8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34.2</w:t>
            </w:r>
          </w:p>
        </w:tc>
        <w:tc>
          <w:tcPr>
            <w:tcW w:w="1134" w:type="dxa"/>
            <w:noWrap/>
            <w:hideMark/>
          </w:tcPr>
          <w:p w14:paraId="4E6D18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54.5</w:t>
            </w:r>
          </w:p>
        </w:tc>
        <w:tc>
          <w:tcPr>
            <w:tcW w:w="1134" w:type="dxa"/>
            <w:noWrap/>
            <w:hideMark/>
          </w:tcPr>
          <w:p w14:paraId="4A40C3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276" w:type="dxa"/>
            <w:noWrap/>
            <w:hideMark/>
          </w:tcPr>
          <w:p w14:paraId="319EAD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63</w:t>
            </w:r>
          </w:p>
        </w:tc>
        <w:tc>
          <w:tcPr>
            <w:tcW w:w="1417" w:type="dxa"/>
            <w:noWrap/>
            <w:hideMark/>
          </w:tcPr>
          <w:p w14:paraId="2F6339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5E2E0EFE" w14:textId="77777777" w:rsidTr="001367E0">
        <w:tblPrEx>
          <w:tblCellMar>
            <w:left w:w="108" w:type="dxa"/>
            <w:right w:w="108" w:type="dxa"/>
          </w:tblCellMar>
        </w:tblPrEx>
        <w:trPr>
          <w:trHeight w:val="465"/>
        </w:trPr>
        <w:tc>
          <w:tcPr>
            <w:tcW w:w="737" w:type="dxa"/>
            <w:noWrap/>
            <w:hideMark/>
          </w:tcPr>
          <w:p w14:paraId="5B5AD4F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11085</w:t>
            </w:r>
          </w:p>
        </w:tc>
        <w:tc>
          <w:tcPr>
            <w:tcW w:w="1559" w:type="dxa"/>
            <w:noWrap/>
            <w:hideMark/>
          </w:tcPr>
          <w:p w14:paraId="46A87D8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Gulgong Public School</w:t>
            </w:r>
          </w:p>
        </w:tc>
        <w:tc>
          <w:tcPr>
            <w:tcW w:w="709" w:type="dxa"/>
            <w:noWrap/>
            <w:hideMark/>
          </w:tcPr>
          <w:p w14:paraId="48E4FC5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3B23E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81374C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D73174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Belmore St</w:t>
            </w:r>
          </w:p>
        </w:tc>
        <w:tc>
          <w:tcPr>
            <w:tcW w:w="1134" w:type="dxa"/>
            <w:noWrap/>
            <w:hideMark/>
          </w:tcPr>
          <w:p w14:paraId="2351191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93BA1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13.9</w:t>
            </w:r>
          </w:p>
        </w:tc>
        <w:tc>
          <w:tcPr>
            <w:tcW w:w="1134" w:type="dxa"/>
            <w:noWrap/>
            <w:hideMark/>
          </w:tcPr>
          <w:p w14:paraId="7FA7F8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69E375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614BA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w:t>
            </w:r>
          </w:p>
        </w:tc>
        <w:tc>
          <w:tcPr>
            <w:tcW w:w="1417" w:type="dxa"/>
            <w:noWrap/>
            <w:hideMark/>
          </w:tcPr>
          <w:p w14:paraId="7439884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4EDD73D6" w14:textId="77777777" w:rsidTr="001367E0">
        <w:tblPrEx>
          <w:tblCellMar>
            <w:left w:w="108" w:type="dxa"/>
            <w:right w:w="108" w:type="dxa"/>
          </w:tblCellMar>
        </w:tblPrEx>
        <w:trPr>
          <w:trHeight w:val="465"/>
        </w:trPr>
        <w:tc>
          <w:tcPr>
            <w:tcW w:w="737" w:type="dxa"/>
            <w:noWrap/>
            <w:hideMark/>
          </w:tcPr>
          <w:p w14:paraId="2802023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10655</w:t>
            </w:r>
          </w:p>
        </w:tc>
        <w:tc>
          <w:tcPr>
            <w:tcW w:w="1559" w:type="dxa"/>
            <w:noWrap/>
            <w:hideMark/>
          </w:tcPr>
          <w:p w14:paraId="701BA69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Gundagai High School</w:t>
            </w:r>
          </w:p>
        </w:tc>
        <w:tc>
          <w:tcPr>
            <w:tcW w:w="709" w:type="dxa"/>
            <w:noWrap/>
            <w:hideMark/>
          </w:tcPr>
          <w:p w14:paraId="6FD2A19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E8DA9E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1BBC7F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979F71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Hanley St</w:t>
            </w:r>
          </w:p>
        </w:tc>
        <w:tc>
          <w:tcPr>
            <w:tcW w:w="1134" w:type="dxa"/>
            <w:noWrap/>
            <w:hideMark/>
          </w:tcPr>
          <w:p w14:paraId="4708395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18D9E1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36.3</w:t>
            </w:r>
          </w:p>
        </w:tc>
        <w:tc>
          <w:tcPr>
            <w:tcW w:w="1134" w:type="dxa"/>
            <w:noWrap/>
            <w:hideMark/>
          </w:tcPr>
          <w:p w14:paraId="50F6DB7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294ED2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276" w:type="dxa"/>
            <w:noWrap/>
            <w:hideMark/>
          </w:tcPr>
          <w:p w14:paraId="4FF149E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62</w:t>
            </w:r>
          </w:p>
        </w:tc>
        <w:tc>
          <w:tcPr>
            <w:tcW w:w="1417" w:type="dxa"/>
            <w:noWrap/>
            <w:hideMark/>
          </w:tcPr>
          <w:p w14:paraId="76AC66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178EE27F" w14:textId="77777777" w:rsidTr="001367E0">
        <w:tblPrEx>
          <w:tblCellMar>
            <w:left w:w="108" w:type="dxa"/>
            <w:right w:w="108" w:type="dxa"/>
          </w:tblCellMar>
        </w:tblPrEx>
        <w:trPr>
          <w:trHeight w:val="465"/>
        </w:trPr>
        <w:tc>
          <w:tcPr>
            <w:tcW w:w="737" w:type="dxa"/>
            <w:noWrap/>
            <w:hideMark/>
          </w:tcPr>
          <w:p w14:paraId="20B1A6B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9480</w:t>
            </w:r>
          </w:p>
        </w:tc>
        <w:tc>
          <w:tcPr>
            <w:tcW w:w="1559" w:type="dxa"/>
            <w:noWrap/>
            <w:hideMark/>
          </w:tcPr>
          <w:p w14:paraId="5A56A43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Gunnedah High School</w:t>
            </w:r>
          </w:p>
        </w:tc>
        <w:tc>
          <w:tcPr>
            <w:tcW w:w="709" w:type="dxa"/>
            <w:noWrap/>
            <w:hideMark/>
          </w:tcPr>
          <w:p w14:paraId="48E76A2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0DFA07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4E1C210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82C69C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Marquis St</w:t>
            </w:r>
          </w:p>
        </w:tc>
        <w:tc>
          <w:tcPr>
            <w:tcW w:w="1134" w:type="dxa"/>
            <w:noWrap/>
            <w:hideMark/>
          </w:tcPr>
          <w:p w14:paraId="4AE3D04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0B97E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38.0</w:t>
            </w:r>
          </w:p>
        </w:tc>
        <w:tc>
          <w:tcPr>
            <w:tcW w:w="1134" w:type="dxa"/>
            <w:noWrap/>
            <w:hideMark/>
          </w:tcPr>
          <w:p w14:paraId="073D48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58.9</w:t>
            </w:r>
          </w:p>
        </w:tc>
        <w:tc>
          <w:tcPr>
            <w:tcW w:w="1134" w:type="dxa"/>
            <w:noWrap/>
            <w:hideMark/>
          </w:tcPr>
          <w:p w14:paraId="550AA3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7.3</w:t>
            </w:r>
          </w:p>
        </w:tc>
        <w:tc>
          <w:tcPr>
            <w:tcW w:w="1276" w:type="dxa"/>
            <w:noWrap/>
            <w:hideMark/>
          </w:tcPr>
          <w:p w14:paraId="14364CE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148</w:t>
            </w:r>
          </w:p>
        </w:tc>
        <w:tc>
          <w:tcPr>
            <w:tcW w:w="1417" w:type="dxa"/>
            <w:noWrap/>
            <w:hideMark/>
          </w:tcPr>
          <w:p w14:paraId="023071E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w:t>
            </w:r>
          </w:p>
        </w:tc>
      </w:tr>
      <w:tr w:rsidR="006716B4" w:rsidRPr="006716B4" w14:paraId="0FA7568D" w14:textId="77777777" w:rsidTr="001367E0">
        <w:tblPrEx>
          <w:tblCellMar>
            <w:left w:w="108" w:type="dxa"/>
            <w:right w:w="108" w:type="dxa"/>
          </w:tblCellMar>
        </w:tblPrEx>
        <w:trPr>
          <w:trHeight w:val="465"/>
        </w:trPr>
        <w:tc>
          <w:tcPr>
            <w:tcW w:w="737" w:type="dxa"/>
            <w:noWrap/>
            <w:hideMark/>
          </w:tcPr>
          <w:p w14:paraId="5F93D65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9416</w:t>
            </w:r>
          </w:p>
        </w:tc>
        <w:tc>
          <w:tcPr>
            <w:tcW w:w="1559" w:type="dxa"/>
            <w:noWrap/>
            <w:hideMark/>
          </w:tcPr>
          <w:p w14:paraId="45938F6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Guyra Central School</w:t>
            </w:r>
          </w:p>
        </w:tc>
        <w:tc>
          <w:tcPr>
            <w:tcW w:w="709" w:type="dxa"/>
            <w:noWrap/>
            <w:hideMark/>
          </w:tcPr>
          <w:p w14:paraId="48F1C95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EC62E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13E476D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3EAEE6B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Marne St</w:t>
            </w:r>
          </w:p>
        </w:tc>
        <w:tc>
          <w:tcPr>
            <w:tcW w:w="1134" w:type="dxa"/>
            <w:noWrap/>
            <w:hideMark/>
          </w:tcPr>
          <w:p w14:paraId="56D532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BFB56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36.5</w:t>
            </w:r>
          </w:p>
        </w:tc>
        <w:tc>
          <w:tcPr>
            <w:tcW w:w="1134" w:type="dxa"/>
            <w:noWrap/>
            <w:hideMark/>
          </w:tcPr>
          <w:p w14:paraId="0442ED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65.9</w:t>
            </w:r>
          </w:p>
        </w:tc>
        <w:tc>
          <w:tcPr>
            <w:tcW w:w="1134" w:type="dxa"/>
            <w:noWrap/>
            <w:hideMark/>
          </w:tcPr>
          <w:p w14:paraId="169F6B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8.7</w:t>
            </w:r>
          </w:p>
        </w:tc>
        <w:tc>
          <w:tcPr>
            <w:tcW w:w="1276" w:type="dxa"/>
            <w:noWrap/>
            <w:hideMark/>
          </w:tcPr>
          <w:p w14:paraId="7CD99F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57</w:t>
            </w:r>
          </w:p>
        </w:tc>
        <w:tc>
          <w:tcPr>
            <w:tcW w:w="1417" w:type="dxa"/>
            <w:noWrap/>
            <w:hideMark/>
          </w:tcPr>
          <w:p w14:paraId="43BEF41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w:t>
            </w:r>
          </w:p>
        </w:tc>
      </w:tr>
      <w:tr w:rsidR="006716B4" w:rsidRPr="006716B4" w14:paraId="62D28FB2" w14:textId="77777777" w:rsidTr="001367E0">
        <w:tblPrEx>
          <w:tblCellMar>
            <w:left w:w="108" w:type="dxa"/>
            <w:right w:w="108" w:type="dxa"/>
          </w:tblCellMar>
        </w:tblPrEx>
        <w:trPr>
          <w:trHeight w:val="465"/>
        </w:trPr>
        <w:tc>
          <w:tcPr>
            <w:tcW w:w="737" w:type="dxa"/>
            <w:noWrap/>
            <w:hideMark/>
          </w:tcPr>
          <w:p w14:paraId="21B00F2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8604</w:t>
            </w:r>
          </w:p>
        </w:tc>
        <w:tc>
          <w:tcPr>
            <w:tcW w:w="1559" w:type="dxa"/>
            <w:noWrap/>
            <w:hideMark/>
          </w:tcPr>
          <w:p w14:paraId="7A4314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Hannans Road Public School</w:t>
            </w:r>
          </w:p>
        </w:tc>
        <w:tc>
          <w:tcPr>
            <w:tcW w:w="709" w:type="dxa"/>
            <w:noWrap/>
            <w:hideMark/>
          </w:tcPr>
          <w:p w14:paraId="7A80F18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FBFB79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8F20D9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8FF4FF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Hannans Rd</w:t>
            </w:r>
          </w:p>
        </w:tc>
        <w:tc>
          <w:tcPr>
            <w:tcW w:w="1134" w:type="dxa"/>
            <w:noWrap/>
            <w:hideMark/>
          </w:tcPr>
          <w:p w14:paraId="35AC6E5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31283E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28.9</w:t>
            </w:r>
          </w:p>
        </w:tc>
        <w:tc>
          <w:tcPr>
            <w:tcW w:w="1134" w:type="dxa"/>
            <w:noWrap/>
            <w:hideMark/>
          </w:tcPr>
          <w:p w14:paraId="685B35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134" w:type="dxa"/>
            <w:noWrap/>
            <w:hideMark/>
          </w:tcPr>
          <w:p w14:paraId="0E2E76A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78A481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w:t>
            </w:r>
          </w:p>
        </w:tc>
        <w:tc>
          <w:tcPr>
            <w:tcW w:w="1417" w:type="dxa"/>
            <w:noWrap/>
            <w:hideMark/>
          </w:tcPr>
          <w:p w14:paraId="7EFD9F3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3C4303D8" w14:textId="77777777" w:rsidTr="001367E0">
        <w:tblPrEx>
          <w:tblCellMar>
            <w:left w:w="108" w:type="dxa"/>
            <w:right w:w="108" w:type="dxa"/>
          </w:tblCellMar>
        </w:tblPrEx>
        <w:trPr>
          <w:trHeight w:val="465"/>
        </w:trPr>
        <w:tc>
          <w:tcPr>
            <w:tcW w:w="737" w:type="dxa"/>
            <w:noWrap/>
            <w:hideMark/>
          </w:tcPr>
          <w:p w14:paraId="42DF83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10544</w:t>
            </w:r>
          </w:p>
        </w:tc>
        <w:tc>
          <w:tcPr>
            <w:tcW w:w="1559" w:type="dxa"/>
            <w:noWrap/>
            <w:hideMark/>
          </w:tcPr>
          <w:p w14:paraId="13D1C9B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Hanwood Public School</w:t>
            </w:r>
          </w:p>
        </w:tc>
        <w:tc>
          <w:tcPr>
            <w:tcW w:w="709" w:type="dxa"/>
            <w:noWrap/>
            <w:hideMark/>
          </w:tcPr>
          <w:p w14:paraId="7233451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3ED9F1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DFD80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1483E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School St</w:t>
            </w:r>
          </w:p>
        </w:tc>
        <w:tc>
          <w:tcPr>
            <w:tcW w:w="1134" w:type="dxa"/>
            <w:noWrap/>
            <w:hideMark/>
          </w:tcPr>
          <w:p w14:paraId="0B934B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CB72B6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15.6</w:t>
            </w:r>
          </w:p>
        </w:tc>
        <w:tc>
          <w:tcPr>
            <w:tcW w:w="1134" w:type="dxa"/>
            <w:noWrap/>
            <w:hideMark/>
          </w:tcPr>
          <w:p w14:paraId="0A07E6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6C287A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7E78E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c>
          <w:tcPr>
            <w:tcW w:w="1417" w:type="dxa"/>
            <w:noWrap/>
            <w:hideMark/>
          </w:tcPr>
          <w:p w14:paraId="39563BD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757A187C" w14:textId="77777777" w:rsidTr="001367E0">
        <w:tblPrEx>
          <w:tblCellMar>
            <w:left w:w="108" w:type="dxa"/>
            <w:right w:w="108" w:type="dxa"/>
          </w:tblCellMar>
        </w:tblPrEx>
        <w:trPr>
          <w:trHeight w:val="465"/>
        </w:trPr>
        <w:tc>
          <w:tcPr>
            <w:tcW w:w="737" w:type="dxa"/>
            <w:noWrap/>
            <w:hideMark/>
          </w:tcPr>
          <w:p w14:paraId="71F753A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11074</w:t>
            </w:r>
          </w:p>
        </w:tc>
        <w:tc>
          <w:tcPr>
            <w:tcW w:w="1559" w:type="dxa"/>
            <w:noWrap/>
            <w:hideMark/>
          </w:tcPr>
          <w:p w14:paraId="385113D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Hargraves Public School</w:t>
            </w:r>
          </w:p>
        </w:tc>
        <w:tc>
          <w:tcPr>
            <w:tcW w:w="709" w:type="dxa"/>
            <w:noWrap/>
            <w:hideMark/>
          </w:tcPr>
          <w:p w14:paraId="1974229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75EABE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5F5A2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B6B8DB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Merinda St</w:t>
            </w:r>
          </w:p>
        </w:tc>
        <w:tc>
          <w:tcPr>
            <w:tcW w:w="1134" w:type="dxa"/>
            <w:noWrap/>
            <w:hideMark/>
          </w:tcPr>
          <w:p w14:paraId="48287F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4C03D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29.2</w:t>
            </w:r>
          </w:p>
        </w:tc>
        <w:tc>
          <w:tcPr>
            <w:tcW w:w="1134" w:type="dxa"/>
            <w:noWrap/>
            <w:hideMark/>
          </w:tcPr>
          <w:p w14:paraId="6E015D6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456849D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CE4F9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c>
          <w:tcPr>
            <w:tcW w:w="1417" w:type="dxa"/>
            <w:noWrap/>
            <w:hideMark/>
          </w:tcPr>
          <w:p w14:paraId="074823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541FD3A4" w14:textId="77777777" w:rsidTr="001367E0">
        <w:tblPrEx>
          <w:tblCellMar>
            <w:left w:w="108" w:type="dxa"/>
            <w:right w:w="108" w:type="dxa"/>
          </w:tblCellMar>
        </w:tblPrEx>
        <w:trPr>
          <w:trHeight w:val="465"/>
        </w:trPr>
        <w:tc>
          <w:tcPr>
            <w:tcW w:w="737" w:type="dxa"/>
            <w:noWrap/>
            <w:hideMark/>
          </w:tcPr>
          <w:p w14:paraId="680A548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9730</w:t>
            </w:r>
          </w:p>
        </w:tc>
        <w:tc>
          <w:tcPr>
            <w:tcW w:w="1559" w:type="dxa"/>
            <w:noWrap/>
            <w:hideMark/>
          </w:tcPr>
          <w:p w14:paraId="6F59356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Harwood Island Public School</w:t>
            </w:r>
          </w:p>
        </w:tc>
        <w:tc>
          <w:tcPr>
            <w:tcW w:w="709" w:type="dxa"/>
            <w:noWrap/>
            <w:hideMark/>
          </w:tcPr>
          <w:p w14:paraId="4C6193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665218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00C3BA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FDFD32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 Morpeth St</w:t>
            </w:r>
          </w:p>
        </w:tc>
        <w:tc>
          <w:tcPr>
            <w:tcW w:w="1134" w:type="dxa"/>
            <w:noWrap/>
            <w:hideMark/>
          </w:tcPr>
          <w:p w14:paraId="78B5627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18FD4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65E118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076B1A1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2D41C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c>
          <w:tcPr>
            <w:tcW w:w="1417" w:type="dxa"/>
            <w:noWrap/>
            <w:hideMark/>
          </w:tcPr>
          <w:p w14:paraId="0E61AC6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56FCC8D3" w14:textId="77777777" w:rsidTr="001367E0">
        <w:tblPrEx>
          <w:tblCellMar>
            <w:left w:w="108" w:type="dxa"/>
            <w:right w:w="108" w:type="dxa"/>
          </w:tblCellMar>
        </w:tblPrEx>
        <w:trPr>
          <w:trHeight w:val="465"/>
        </w:trPr>
        <w:tc>
          <w:tcPr>
            <w:tcW w:w="737" w:type="dxa"/>
            <w:noWrap/>
            <w:hideMark/>
          </w:tcPr>
          <w:p w14:paraId="64072DD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14984</w:t>
            </w:r>
          </w:p>
        </w:tc>
        <w:tc>
          <w:tcPr>
            <w:tcW w:w="1559" w:type="dxa"/>
            <w:noWrap/>
            <w:hideMark/>
          </w:tcPr>
          <w:p w14:paraId="027592B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Hawkesbury High School</w:t>
            </w:r>
          </w:p>
        </w:tc>
        <w:tc>
          <w:tcPr>
            <w:tcW w:w="709" w:type="dxa"/>
            <w:noWrap/>
            <w:hideMark/>
          </w:tcPr>
          <w:p w14:paraId="7389CCD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8836E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530502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97F81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 Hibberts Lane</w:t>
            </w:r>
          </w:p>
        </w:tc>
        <w:tc>
          <w:tcPr>
            <w:tcW w:w="1134" w:type="dxa"/>
            <w:noWrap/>
            <w:hideMark/>
          </w:tcPr>
          <w:p w14:paraId="4B9D677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0980A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27.6</w:t>
            </w:r>
          </w:p>
        </w:tc>
        <w:tc>
          <w:tcPr>
            <w:tcW w:w="1134" w:type="dxa"/>
            <w:noWrap/>
            <w:hideMark/>
          </w:tcPr>
          <w:p w14:paraId="13D277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0C3DD67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B5868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113</w:t>
            </w:r>
          </w:p>
        </w:tc>
        <w:tc>
          <w:tcPr>
            <w:tcW w:w="1417" w:type="dxa"/>
            <w:noWrap/>
            <w:hideMark/>
          </w:tcPr>
          <w:p w14:paraId="499E3F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553090E5" w14:textId="77777777" w:rsidTr="001367E0">
        <w:tblPrEx>
          <w:tblCellMar>
            <w:left w:w="108" w:type="dxa"/>
            <w:right w:w="108" w:type="dxa"/>
          </w:tblCellMar>
        </w:tblPrEx>
        <w:trPr>
          <w:trHeight w:val="465"/>
        </w:trPr>
        <w:tc>
          <w:tcPr>
            <w:tcW w:w="737" w:type="dxa"/>
            <w:noWrap/>
            <w:hideMark/>
          </w:tcPr>
          <w:p w14:paraId="3AB13AB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10634</w:t>
            </w:r>
          </w:p>
        </w:tc>
        <w:tc>
          <w:tcPr>
            <w:tcW w:w="1559" w:type="dxa"/>
            <w:noWrap/>
            <w:hideMark/>
          </w:tcPr>
          <w:p w14:paraId="3C26662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Hay War Memorial High School</w:t>
            </w:r>
          </w:p>
        </w:tc>
        <w:tc>
          <w:tcPr>
            <w:tcW w:w="709" w:type="dxa"/>
            <w:noWrap/>
            <w:hideMark/>
          </w:tcPr>
          <w:p w14:paraId="282ADB8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F34F5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7DA8FAB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6A70AE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Pine St</w:t>
            </w:r>
          </w:p>
        </w:tc>
        <w:tc>
          <w:tcPr>
            <w:tcW w:w="1134" w:type="dxa"/>
            <w:noWrap/>
            <w:hideMark/>
          </w:tcPr>
          <w:p w14:paraId="615A4A9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FED24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33.8</w:t>
            </w:r>
          </w:p>
        </w:tc>
        <w:tc>
          <w:tcPr>
            <w:tcW w:w="1134" w:type="dxa"/>
            <w:noWrap/>
            <w:hideMark/>
          </w:tcPr>
          <w:p w14:paraId="27AAB0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60.0</w:t>
            </w:r>
          </w:p>
        </w:tc>
        <w:tc>
          <w:tcPr>
            <w:tcW w:w="1134" w:type="dxa"/>
            <w:noWrap/>
            <w:hideMark/>
          </w:tcPr>
          <w:p w14:paraId="5A5190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14.3</w:t>
            </w:r>
          </w:p>
        </w:tc>
        <w:tc>
          <w:tcPr>
            <w:tcW w:w="1276" w:type="dxa"/>
            <w:noWrap/>
            <w:hideMark/>
          </w:tcPr>
          <w:p w14:paraId="0624E8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w:t>
            </w:r>
          </w:p>
        </w:tc>
        <w:tc>
          <w:tcPr>
            <w:tcW w:w="1417" w:type="dxa"/>
            <w:noWrap/>
            <w:hideMark/>
          </w:tcPr>
          <w:p w14:paraId="50FEAC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4C70F694" w14:textId="77777777" w:rsidTr="001367E0">
        <w:tblPrEx>
          <w:tblCellMar>
            <w:left w:w="108" w:type="dxa"/>
            <w:right w:w="108" w:type="dxa"/>
          </w:tblCellMar>
        </w:tblPrEx>
        <w:trPr>
          <w:trHeight w:val="465"/>
        </w:trPr>
        <w:tc>
          <w:tcPr>
            <w:tcW w:w="737" w:type="dxa"/>
            <w:noWrap/>
            <w:hideMark/>
          </w:tcPr>
          <w:p w14:paraId="4333922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10802</w:t>
            </w:r>
          </w:p>
        </w:tc>
        <w:tc>
          <w:tcPr>
            <w:tcW w:w="1559" w:type="dxa"/>
            <w:noWrap/>
            <w:hideMark/>
          </w:tcPr>
          <w:p w14:paraId="2C7BEB9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Hebersham Public School</w:t>
            </w:r>
          </w:p>
        </w:tc>
        <w:tc>
          <w:tcPr>
            <w:tcW w:w="709" w:type="dxa"/>
            <w:noWrap/>
            <w:hideMark/>
          </w:tcPr>
          <w:p w14:paraId="290ADE5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101B16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8FFED3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D3D7D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Andover Cres</w:t>
            </w:r>
          </w:p>
        </w:tc>
        <w:tc>
          <w:tcPr>
            <w:tcW w:w="1134" w:type="dxa"/>
            <w:noWrap/>
            <w:hideMark/>
          </w:tcPr>
          <w:p w14:paraId="6B047BC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60C764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32.3</w:t>
            </w:r>
          </w:p>
        </w:tc>
        <w:tc>
          <w:tcPr>
            <w:tcW w:w="1134" w:type="dxa"/>
            <w:noWrap/>
            <w:hideMark/>
          </w:tcPr>
          <w:p w14:paraId="472344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38.6</w:t>
            </w:r>
          </w:p>
        </w:tc>
        <w:tc>
          <w:tcPr>
            <w:tcW w:w="1134" w:type="dxa"/>
            <w:noWrap/>
            <w:hideMark/>
          </w:tcPr>
          <w:p w14:paraId="2EF6D65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8.3</w:t>
            </w:r>
          </w:p>
        </w:tc>
        <w:tc>
          <w:tcPr>
            <w:tcW w:w="1276" w:type="dxa"/>
            <w:noWrap/>
            <w:hideMark/>
          </w:tcPr>
          <w:p w14:paraId="4E8A31E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98</w:t>
            </w:r>
          </w:p>
        </w:tc>
        <w:tc>
          <w:tcPr>
            <w:tcW w:w="1417" w:type="dxa"/>
            <w:noWrap/>
            <w:hideMark/>
          </w:tcPr>
          <w:p w14:paraId="26A96A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r>
      <w:tr w:rsidR="006716B4" w:rsidRPr="006716B4" w14:paraId="6070CC64" w14:textId="77777777" w:rsidTr="001367E0">
        <w:tblPrEx>
          <w:tblCellMar>
            <w:left w:w="108" w:type="dxa"/>
            <w:right w:w="108" w:type="dxa"/>
          </w:tblCellMar>
        </w:tblPrEx>
        <w:trPr>
          <w:trHeight w:val="465"/>
        </w:trPr>
        <w:tc>
          <w:tcPr>
            <w:tcW w:w="737" w:type="dxa"/>
            <w:noWrap/>
            <w:hideMark/>
          </w:tcPr>
          <w:p w14:paraId="24B079C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8680</w:t>
            </w:r>
          </w:p>
        </w:tc>
        <w:tc>
          <w:tcPr>
            <w:tcW w:w="1559" w:type="dxa"/>
            <w:noWrap/>
            <w:hideMark/>
          </w:tcPr>
          <w:p w14:paraId="213BFA3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Henry Kendall High School</w:t>
            </w:r>
          </w:p>
        </w:tc>
        <w:tc>
          <w:tcPr>
            <w:tcW w:w="709" w:type="dxa"/>
            <w:noWrap/>
            <w:hideMark/>
          </w:tcPr>
          <w:p w14:paraId="14FA072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6F1962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D1AED8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D16275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Faunce St</w:t>
            </w:r>
          </w:p>
        </w:tc>
        <w:tc>
          <w:tcPr>
            <w:tcW w:w="1134" w:type="dxa"/>
            <w:noWrap/>
            <w:hideMark/>
          </w:tcPr>
          <w:p w14:paraId="35EFCD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BBC0C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20.2</w:t>
            </w:r>
          </w:p>
        </w:tc>
        <w:tc>
          <w:tcPr>
            <w:tcW w:w="1134" w:type="dxa"/>
            <w:noWrap/>
            <w:hideMark/>
          </w:tcPr>
          <w:p w14:paraId="0835EA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41.4</w:t>
            </w:r>
          </w:p>
        </w:tc>
        <w:tc>
          <w:tcPr>
            <w:tcW w:w="1134" w:type="dxa"/>
            <w:noWrap/>
            <w:hideMark/>
          </w:tcPr>
          <w:p w14:paraId="1772D53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11.8</w:t>
            </w:r>
          </w:p>
        </w:tc>
        <w:tc>
          <w:tcPr>
            <w:tcW w:w="1276" w:type="dxa"/>
            <w:noWrap/>
            <w:hideMark/>
          </w:tcPr>
          <w:p w14:paraId="2B6B9F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111</w:t>
            </w:r>
          </w:p>
        </w:tc>
        <w:tc>
          <w:tcPr>
            <w:tcW w:w="1417" w:type="dxa"/>
            <w:noWrap/>
            <w:hideMark/>
          </w:tcPr>
          <w:p w14:paraId="5AC2061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r>
      <w:tr w:rsidR="006716B4" w:rsidRPr="006716B4" w14:paraId="1C40B574" w14:textId="77777777" w:rsidTr="001367E0">
        <w:tblPrEx>
          <w:tblCellMar>
            <w:left w:w="108" w:type="dxa"/>
            <w:right w:w="108" w:type="dxa"/>
          </w:tblCellMar>
        </w:tblPrEx>
        <w:trPr>
          <w:trHeight w:val="465"/>
        </w:trPr>
        <w:tc>
          <w:tcPr>
            <w:tcW w:w="737" w:type="dxa"/>
            <w:noWrap/>
            <w:hideMark/>
          </w:tcPr>
          <w:p w14:paraId="625DF3F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6478</w:t>
            </w:r>
          </w:p>
        </w:tc>
        <w:tc>
          <w:tcPr>
            <w:tcW w:w="1559" w:type="dxa"/>
            <w:noWrap/>
            <w:hideMark/>
          </w:tcPr>
          <w:p w14:paraId="49652A3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Hillston Central School</w:t>
            </w:r>
          </w:p>
        </w:tc>
        <w:tc>
          <w:tcPr>
            <w:tcW w:w="709" w:type="dxa"/>
            <w:noWrap/>
            <w:hideMark/>
          </w:tcPr>
          <w:p w14:paraId="49105D0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3CD134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w:t>
            </w:r>
          </w:p>
        </w:tc>
        <w:tc>
          <w:tcPr>
            <w:tcW w:w="1134" w:type="dxa"/>
            <w:noWrap/>
            <w:hideMark/>
          </w:tcPr>
          <w:p w14:paraId="3D6A81A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39FD009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62-80 Moore St</w:t>
            </w:r>
          </w:p>
        </w:tc>
        <w:tc>
          <w:tcPr>
            <w:tcW w:w="1134" w:type="dxa"/>
            <w:noWrap/>
            <w:hideMark/>
          </w:tcPr>
          <w:p w14:paraId="3A0BA22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B5886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34.9</w:t>
            </w:r>
          </w:p>
        </w:tc>
        <w:tc>
          <w:tcPr>
            <w:tcW w:w="1134" w:type="dxa"/>
            <w:noWrap/>
            <w:hideMark/>
          </w:tcPr>
          <w:p w14:paraId="3E1CE49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72.4</w:t>
            </w:r>
          </w:p>
        </w:tc>
        <w:tc>
          <w:tcPr>
            <w:tcW w:w="1134" w:type="dxa"/>
            <w:noWrap/>
            <w:hideMark/>
          </w:tcPr>
          <w:p w14:paraId="757B472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11.8</w:t>
            </w:r>
          </w:p>
        </w:tc>
        <w:tc>
          <w:tcPr>
            <w:tcW w:w="1276" w:type="dxa"/>
            <w:noWrap/>
            <w:hideMark/>
          </w:tcPr>
          <w:p w14:paraId="1565A77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45</w:t>
            </w:r>
          </w:p>
        </w:tc>
        <w:tc>
          <w:tcPr>
            <w:tcW w:w="1417" w:type="dxa"/>
            <w:noWrap/>
            <w:hideMark/>
          </w:tcPr>
          <w:p w14:paraId="77D75E1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w:t>
            </w:r>
          </w:p>
        </w:tc>
      </w:tr>
      <w:tr w:rsidR="006716B4" w:rsidRPr="006716B4" w14:paraId="7D0D3489" w14:textId="77777777" w:rsidTr="001367E0">
        <w:tblPrEx>
          <w:tblCellMar>
            <w:left w:w="108" w:type="dxa"/>
            <w:right w:w="108" w:type="dxa"/>
          </w:tblCellMar>
        </w:tblPrEx>
        <w:trPr>
          <w:trHeight w:val="465"/>
        </w:trPr>
        <w:tc>
          <w:tcPr>
            <w:tcW w:w="737" w:type="dxa"/>
            <w:noWrap/>
            <w:hideMark/>
          </w:tcPr>
          <w:p w14:paraId="797DDF9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16237</w:t>
            </w:r>
          </w:p>
        </w:tc>
        <w:tc>
          <w:tcPr>
            <w:tcW w:w="1559" w:type="dxa"/>
            <w:noWrap/>
            <w:hideMark/>
          </w:tcPr>
          <w:p w14:paraId="6CF82D8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Hilltop Road Public School</w:t>
            </w:r>
          </w:p>
        </w:tc>
        <w:tc>
          <w:tcPr>
            <w:tcW w:w="709" w:type="dxa"/>
            <w:noWrap/>
            <w:hideMark/>
          </w:tcPr>
          <w:p w14:paraId="07F857D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D4D751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F91EBD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C1173F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Hilltop Rd</w:t>
            </w:r>
          </w:p>
        </w:tc>
        <w:tc>
          <w:tcPr>
            <w:tcW w:w="1134" w:type="dxa"/>
            <w:noWrap/>
            <w:hideMark/>
          </w:tcPr>
          <w:p w14:paraId="6499C07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97A506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21.3</w:t>
            </w:r>
          </w:p>
        </w:tc>
        <w:tc>
          <w:tcPr>
            <w:tcW w:w="1134" w:type="dxa"/>
            <w:noWrap/>
            <w:hideMark/>
          </w:tcPr>
          <w:p w14:paraId="646A725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68.8</w:t>
            </w:r>
          </w:p>
        </w:tc>
        <w:tc>
          <w:tcPr>
            <w:tcW w:w="1134" w:type="dxa"/>
            <w:noWrap/>
            <w:hideMark/>
          </w:tcPr>
          <w:p w14:paraId="62B0D94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58D68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64</w:t>
            </w:r>
          </w:p>
        </w:tc>
        <w:tc>
          <w:tcPr>
            <w:tcW w:w="1417" w:type="dxa"/>
            <w:noWrap/>
            <w:hideMark/>
          </w:tcPr>
          <w:p w14:paraId="0CF062D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36EC8496" w14:textId="77777777" w:rsidTr="001367E0">
        <w:tblPrEx>
          <w:tblCellMar>
            <w:left w:w="108" w:type="dxa"/>
            <w:right w:w="108" w:type="dxa"/>
          </w:tblCellMar>
        </w:tblPrEx>
        <w:trPr>
          <w:trHeight w:val="465"/>
        </w:trPr>
        <w:tc>
          <w:tcPr>
            <w:tcW w:w="737" w:type="dxa"/>
            <w:noWrap/>
            <w:hideMark/>
          </w:tcPr>
          <w:p w14:paraId="7EA568D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7808</w:t>
            </w:r>
          </w:p>
        </w:tc>
        <w:tc>
          <w:tcPr>
            <w:tcW w:w="1559" w:type="dxa"/>
            <w:noWrap/>
            <w:hideMark/>
          </w:tcPr>
          <w:p w14:paraId="2AB346A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Holroyd High School</w:t>
            </w:r>
          </w:p>
        </w:tc>
        <w:tc>
          <w:tcPr>
            <w:tcW w:w="709" w:type="dxa"/>
            <w:noWrap/>
            <w:hideMark/>
          </w:tcPr>
          <w:p w14:paraId="3AA9A8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9C200B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2A208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D2FF40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 Cumberland Rd</w:t>
            </w:r>
          </w:p>
        </w:tc>
        <w:tc>
          <w:tcPr>
            <w:tcW w:w="1134" w:type="dxa"/>
            <w:noWrap/>
            <w:hideMark/>
          </w:tcPr>
          <w:p w14:paraId="13B1775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A3C84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55.3</w:t>
            </w:r>
          </w:p>
        </w:tc>
        <w:tc>
          <w:tcPr>
            <w:tcW w:w="1134" w:type="dxa"/>
            <w:noWrap/>
            <w:hideMark/>
          </w:tcPr>
          <w:p w14:paraId="1EA57D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4DCFEC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C9E06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94</w:t>
            </w:r>
          </w:p>
        </w:tc>
        <w:tc>
          <w:tcPr>
            <w:tcW w:w="1417" w:type="dxa"/>
            <w:noWrap/>
            <w:hideMark/>
          </w:tcPr>
          <w:p w14:paraId="157EA7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564D35F3" w14:textId="77777777" w:rsidTr="001367E0">
        <w:tblPrEx>
          <w:tblCellMar>
            <w:left w:w="108" w:type="dxa"/>
            <w:right w:w="108" w:type="dxa"/>
          </w:tblCellMar>
        </w:tblPrEx>
        <w:trPr>
          <w:trHeight w:val="450"/>
        </w:trPr>
        <w:tc>
          <w:tcPr>
            <w:tcW w:w="737" w:type="dxa"/>
            <w:noWrap/>
            <w:hideMark/>
          </w:tcPr>
          <w:p w14:paraId="2AA732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16185</w:t>
            </w:r>
          </w:p>
        </w:tc>
        <w:tc>
          <w:tcPr>
            <w:tcW w:w="1559" w:type="dxa"/>
            <w:noWrap/>
            <w:hideMark/>
          </w:tcPr>
          <w:p w14:paraId="6B5B7B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Holsworthy High School</w:t>
            </w:r>
          </w:p>
        </w:tc>
        <w:tc>
          <w:tcPr>
            <w:tcW w:w="709" w:type="dxa"/>
            <w:noWrap/>
            <w:hideMark/>
          </w:tcPr>
          <w:p w14:paraId="2F9A35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A0DC3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D10CA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845DB5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Huon Cres</w:t>
            </w:r>
          </w:p>
        </w:tc>
        <w:tc>
          <w:tcPr>
            <w:tcW w:w="1134" w:type="dxa"/>
            <w:noWrap/>
            <w:hideMark/>
          </w:tcPr>
          <w:p w14:paraId="0AFD3C8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007D4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28.0</w:t>
            </w:r>
          </w:p>
        </w:tc>
        <w:tc>
          <w:tcPr>
            <w:tcW w:w="1134" w:type="dxa"/>
            <w:noWrap/>
            <w:hideMark/>
          </w:tcPr>
          <w:p w14:paraId="376825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31737AB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6368D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126</w:t>
            </w:r>
          </w:p>
        </w:tc>
        <w:tc>
          <w:tcPr>
            <w:tcW w:w="1417" w:type="dxa"/>
            <w:noWrap/>
            <w:hideMark/>
          </w:tcPr>
          <w:p w14:paraId="65F07F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682150F8" w14:textId="77777777" w:rsidTr="001367E0">
        <w:tblPrEx>
          <w:tblCellMar>
            <w:left w:w="108" w:type="dxa"/>
            <w:right w:w="108" w:type="dxa"/>
          </w:tblCellMar>
        </w:tblPrEx>
        <w:trPr>
          <w:trHeight w:val="465"/>
        </w:trPr>
        <w:tc>
          <w:tcPr>
            <w:tcW w:w="737" w:type="dxa"/>
            <w:noWrap/>
            <w:hideMark/>
          </w:tcPr>
          <w:p w14:paraId="6B1B845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8153</w:t>
            </w:r>
          </w:p>
        </w:tc>
        <w:tc>
          <w:tcPr>
            <w:tcW w:w="1559" w:type="dxa"/>
            <w:noWrap/>
            <w:hideMark/>
          </w:tcPr>
          <w:p w14:paraId="19B1E2D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Horsley Park Public School</w:t>
            </w:r>
          </w:p>
        </w:tc>
        <w:tc>
          <w:tcPr>
            <w:tcW w:w="709" w:type="dxa"/>
            <w:noWrap/>
            <w:hideMark/>
          </w:tcPr>
          <w:p w14:paraId="585914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C75232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4D2A4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FFD9CC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The Horsley Drive</w:t>
            </w:r>
          </w:p>
        </w:tc>
        <w:tc>
          <w:tcPr>
            <w:tcW w:w="1134" w:type="dxa"/>
            <w:noWrap/>
            <w:hideMark/>
          </w:tcPr>
          <w:p w14:paraId="3F74C6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DF003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35.9</w:t>
            </w:r>
          </w:p>
        </w:tc>
        <w:tc>
          <w:tcPr>
            <w:tcW w:w="1134" w:type="dxa"/>
            <w:noWrap/>
            <w:hideMark/>
          </w:tcPr>
          <w:p w14:paraId="7BC4228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2E6CFE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67D27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c>
          <w:tcPr>
            <w:tcW w:w="1417" w:type="dxa"/>
            <w:noWrap/>
            <w:hideMark/>
          </w:tcPr>
          <w:p w14:paraId="2A505D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1DE22F3F" w14:textId="77777777" w:rsidTr="001367E0">
        <w:tblPrEx>
          <w:tblCellMar>
            <w:left w:w="108" w:type="dxa"/>
            <w:right w:w="108" w:type="dxa"/>
          </w:tblCellMar>
        </w:tblPrEx>
        <w:trPr>
          <w:trHeight w:val="465"/>
        </w:trPr>
        <w:tc>
          <w:tcPr>
            <w:tcW w:w="737" w:type="dxa"/>
            <w:noWrap/>
            <w:hideMark/>
          </w:tcPr>
          <w:p w14:paraId="612C322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6384</w:t>
            </w:r>
          </w:p>
        </w:tc>
        <w:tc>
          <w:tcPr>
            <w:tcW w:w="1559" w:type="dxa"/>
            <w:noWrap/>
            <w:hideMark/>
          </w:tcPr>
          <w:p w14:paraId="778BF56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Hoxton Park High School</w:t>
            </w:r>
          </w:p>
        </w:tc>
        <w:tc>
          <w:tcPr>
            <w:tcW w:w="709" w:type="dxa"/>
            <w:noWrap/>
            <w:hideMark/>
          </w:tcPr>
          <w:p w14:paraId="4F51587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EBB98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DE8C7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63B408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40 Wilson Rd</w:t>
            </w:r>
          </w:p>
        </w:tc>
        <w:tc>
          <w:tcPr>
            <w:tcW w:w="1134" w:type="dxa"/>
            <w:noWrap/>
            <w:hideMark/>
          </w:tcPr>
          <w:p w14:paraId="0A28A8E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4E4A8E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41.9</w:t>
            </w:r>
          </w:p>
        </w:tc>
        <w:tc>
          <w:tcPr>
            <w:tcW w:w="1134" w:type="dxa"/>
            <w:noWrap/>
            <w:hideMark/>
          </w:tcPr>
          <w:p w14:paraId="6330202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72.7</w:t>
            </w:r>
          </w:p>
        </w:tc>
        <w:tc>
          <w:tcPr>
            <w:tcW w:w="1134" w:type="dxa"/>
            <w:noWrap/>
            <w:hideMark/>
          </w:tcPr>
          <w:p w14:paraId="484E2C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A0149B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190</w:t>
            </w:r>
          </w:p>
        </w:tc>
        <w:tc>
          <w:tcPr>
            <w:tcW w:w="1417" w:type="dxa"/>
            <w:noWrap/>
            <w:hideMark/>
          </w:tcPr>
          <w:p w14:paraId="1E7587A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w:t>
            </w:r>
          </w:p>
        </w:tc>
      </w:tr>
      <w:tr w:rsidR="006716B4" w:rsidRPr="006716B4" w14:paraId="5B420281" w14:textId="77777777" w:rsidTr="001367E0">
        <w:tblPrEx>
          <w:tblCellMar>
            <w:left w:w="108" w:type="dxa"/>
            <w:right w:w="108" w:type="dxa"/>
          </w:tblCellMar>
        </w:tblPrEx>
        <w:trPr>
          <w:trHeight w:val="465"/>
        </w:trPr>
        <w:tc>
          <w:tcPr>
            <w:tcW w:w="737" w:type="dxa"/>
            <w:noWrap/>
            <w:hideMark/>
          </w:tcPr>
          <w:p w14:paraId="093B36F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9056</w:t>
            </w:r>
          </w:p>
        </w:tc>
        <w:tc>
          <w:tcPr>
            <w:tcW w:w="1559" w:type="dxa"/>
            <w:noWrap/>
            <w:hideMark/>
          </w:tcPr>
          <w:p w14:paraId="3FB95D1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Hunter Sports High School</w:t>
            </w:r>
          </w:p>
        </w:tc>
        <w:tc>
          <w:tcPr>
            <w:tcW w:w="709" w:type="dxa"/>
            <w:noWrap/>
            <w:hideMark/>
          </w:tcPr>
          <w:p w14:paraId="45359C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4BF676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2DEEB7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A0D339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Pacific Hwy</w:t>
            </w:r>
          </w:p>
        </w:tc>
        <w:tc>
          <w:tcPr>
            <w:tcW w:w="1134" w:type="dxa"/>
            <w:noWrap/>
            <w:hideMark/>
          </w:tcPr>
          <w:p w14:paraId="27803F8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E130A6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34.6</w:t>
            </w:r>
          </w:p>
        </w:tc>
        <w:tc>
          <w:tcPr>
            <w:tcW w:w="1134" w:type="dxa"/>
            <w:noWrap/>
            <w:hideMark/>
          </w:tcPr>
          <w:p w14:paraId="3B8390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56.6</w:t>
            </w:r>
          </w:p>
        </w:tc>
        <w:tc>
          <w:tcPr>
            <w:tcW w:w="1134" w:type="dxa"/>
            <w:noWrap/>
            <w:hideMark/>
          </w:tcPr>
          <w:p w14:paraId="415B96B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13.3</w:t>
            </w:r>
          </w:p>
        </w:tc>
        <w:tc>
          <w:tcPr>
            <w:tcW w:w="1276" w:type="dxa"/>
            <w:noWrap/>
            <w:hideMark/>
          </w:tcPr>
          <w:p w14:paraId="71B189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198</w:t>
            </w:r>
          </w:p>
        </w:tc>
        <w:tc>
          <w:tcPr>
            <w:tcW w:w="1417" w:type="dxa"/>
            <w:noWrap/>
            <w:hideMark/>
          </w:tcPr>
          <w:p w14:paraId="430614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w:t>
            </w:r>
          </w:p>
        </w:tc>
      </w:tr>
      <w:tr w:rsidR="006716B4" w:rsidRPr="006716B4" w14:paraId="6D3C5860" w14:textId="77777777" w:rsidTr="001367E0">
        <w:tblPrEx>
          <w:tblCellMar>
            <w:left w:w="108" w:type="dxa"/>
            <w:right w:w="108" w:type="dxa"/>
          </w:tblCellMar>
        </w:tblPrEx>
        <w:trPr>
          <w:trHeight w:val="465"/>
        </w:trPr>
        <w:tc>
          <w:tcPr>
            <w:tcW w:w="737" w:type="dxa"/>
            <w:noWrap/>
            <w:hideMark/>
          </w:tcPr>
          <w:p w14:paraId="0E66F31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10293</w:t>
            </w:r>
          </w:p>
        </w:tc>
        <w:tc>
          <w:tcPr>
            <w:tcW w:w="1559" w:type="dxa"/>
            <w:noWrap/>
            <w:hideMark/>
          </w:tcPr>
          <w:p w14:paraId="1E89A1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Illabo Public School</w:t>
            </w:r>
          </w:p>
        </w:tc>
        <w:tc>
          <w:tcPr>
            <w:tcW w:w="709" w:type="dxa"/>
            <w:noWrap/>
            <w:hideMark/>
          </w:tcPr>
          <w:p w14:paraId="20F5A50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AC7F34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3CDA5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363E7A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Layton St</w:t>
            </w:r>
          </w:p>
        </w:tc>
        <w:tc>
          <w:tcPr>
            <w:tcW w:w="1134" w:type="dxa"/>
            <w:noWrap/>
            <w:hideMark/>
          </w:tcPr>
          <w:p w14:paraId="5ABA574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9B3B47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20.0</w:t>
            </w:r>
          </w:p>
        </w:tc>
        <w:tc>
          <w:tcPr>
            <w:tcW w:w="1134" w:type="dxa"/>
            <w:noWrap/>
            <w:hideMark/>
          </w:tcPr>
          <w:p w14:paraId="3E1FC38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639CDA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276" w:type="dxa"/>
            <w:noWrap/>
            <w:hideMark/>
          </w:tcPr>
          <w:p w14:paraId="137CEC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c>
          <w:tcPr>
            <w:tcW w:w="1417" w:type="dxa"/>
            <w:noWrap/>
            <w:hideMark/>
          </w:tcPr>
          <w:p w14:paraId="3A8A787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28D323BD" w14:textId="77777777" w:rsidTr="001367E0">
        <w:tblPrEx>
          <w:tblCellMar>
            <w:left w:w="108" w:type="dxa"/>
            <w:right w:w="108" w:type="dxa"/>
          </w:tblCellMar>
        </w:tblPrEx>
        <w:trPr>
          <w:trHeight w:val="465"/>
        </w:trPr>
        <w:tc>
          <w:tcPr>
            <w:tcW w:w="737" w:type="dxa"/>
            <w:noWrap/>
            <w:hideMark/>
          </w:tcPr>
          <w:p w14:paraId="3F17515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18289</w:t>
            </w:r>
          </w:p>
        </w:tc>
        <w:tc>
          <w:tcPr>
            <w:tcW w:w="1559" w:type="dxa"/>
            <w:noWrap/>
            <w:hideMark/>
          </w:tcPr>
          <w:p w14:paraId="7C9830D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Illawarra Sports High School</w:t>
            </w:r>
          </w:p>
        </w:tc>
        <w:tc>
          <w:tcPr>
            <w:tcW w:w="709" w:type="dxa"/>
            <w:noWrap/>
            <w:hideMark/>
          </w:tcPr>
          <w:p w14:paraId="7595ED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3CB52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7A29A8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B2BB3E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Gura St</w:t>
            </w:r>
          </w:p>
        </w:tc>
        <w:tc>
          <w:tcPr>
            <w:tcW w:w="1134" w:type="dxa"/>
            <w:noWrap/>
            <w:hideMark/>
          </w:tcPr>
          <w:p w14:paraId="46A245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A61126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41.9</w:t>
            </w:r>
          </w:p>
        </w:tc>
        <w:tc>
          <w:tcPr>
            <w:tcW w:w="1134" w:type="dxa"/>
            <w:noWrap/>
            <w:hideMark/>
          </w:tcPr>
          <w:p w14:paraId="590BBE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53.4</w:t>
            </w:r>
          </w:p>
        </w:tc>
        <w:tc>
          <w:tcPr>
            <w:tcW w:w="1134" w:type="dxa"/>
            <w:noWrap/>
            <w:hideMark/>
          </w:tcPr>
          <w:p w14:paraId="329B00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F68FB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239</w:t>
            </w:r>
          </w:p>
        </w:tc>
        <w:tc>
          <w:tcPr>
            <w:tcW w:w="1417" w:type="dxa"/>
            <w:noWrap/>
            <w:hideMark/>
          </w:tcPr>
          <w:p w14:paraId="799373E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w:t>
            </w:r>
          </w:p>
        </w:tc>
      </w:tr>
      <w:tr w:rsidR="006716B4" w:rsidRPr="006716B4" w14:paraId="26A9EA2D" w14:textId="77777777" w:rsidTr="001367E0">
        <w:tblPrEx>
          <w:tblCellMar>
            <w:left w:w="108" w:type="dxa"/>
            <w:right w:w="108" w:type="dxa"/>
          </w:tblCellMar>
        </w:tblPrEx>
        <w:trPr>
          <w:trHeight w:val="465"/>
        </w:trPr>
        <w:tc>
          <w:tcPr>
            <w:tcW w:w="737" w:type="dxa"/>
            <w:noWrap/>
            <w:hideMark/>
          </w:tcPr>
          <w:p w14:paraId="470EDF0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10214</w:t>
            </w:r>
          </w:p>
        </w:tc>
        <w:tc>
          <w:tcPr>
            <w:tcW w:w="1559" w:type="dxa"/>
            <w:noWrap/>
            <w:hideMark/>
          </w:tcPr>
          <w:p w14:paraId="208DFE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Ingleburn High School</w:t>
            </w:r>
          </w:p>
        </w:tc>
        <w:tc>
          <w:tcPr>
            <w:tcW w:w="709" w:type="dxa"/>
            <w:noWrap/>
            <w:hideMark/>
          </w:tcPr>
          <w:p w14:paraId="0279DAF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7D0E0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35210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E3EFB1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Oxford Rd</w:t>
            </w:r>
          </w:p>
        </w:tc>
        <w:tc>
          <w:tcPr>
            <w:tcW w:w="1134" w:type="dxa"/>
            <w:noWrap/>
            <w:hideMark/>
          </w:tcPr>
          <w:p w14:paraId="1134AEC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D21CB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39.2</w:t>
            </w:r>
          </w:p>
        </w:tc>
        <w:tc>
          <w:tcPr>
            <w:tcW w:w="1134" w:type="dxa"/>
            <w:noWrap/>
            <w:hideMark/>
          </w:tcPr>
          <w:p w14:paraId="049A2A4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51.7</w:t>
            </w:r>
          </w:p>
        </w:tc>
        <w:tc>
          <w:tcPr>
            <w:tcW w:w="1134" w:type="dxa"/>
            <w:noWrap/>
            <w:hideMark/>
          </w:tcPr>
          <w:p w14:paraId="2955C3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6.3</w:t>
            </w:r>
          </w:p>
        </w:tc>
        <w:tc>
          <w:tcPr>
            <w:tcW w:w="1276" w:type="dxa"/>
            <w:noWrap/>
            <w:hideMark/>
          </w:tcPr>
          <w:p w14:paraId="5A4A7A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204</w:t>
            </w:r>
          </w:p>
        </w:tc>
        <w:tc>
          <w:tcPr>
            <w:tcW w:w="1417" w:type="dxa"/>
            <w:noWrap/>
            <w:hideMark/>
          </w:tcPr>
          <w:p w14:paraId="7640953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w:t>
            </w:r>
          </w:p>
        </w:tc>
      </w:tr>
      <w:tr w:rsidR="006716B4" w:rsidRPr="006716B4" w14:paraId="2A7BC90C" w14:textId="77777777" w:rsidTr="001367E0">
        <w:tblPrEx>
          <w:tblCellMar>
            <w:left w:w="108" w:type="dxa"/>
            <w:right w:w="108" w:type="dxa"/>
          </w:tblCellMar>
        </w:tblPrEx>
        <w:trPr>
          <w:trHeight w:val="465"/>
        </w:trPr>
        <w:tc>
          <w:tcPr>
            <w:tcW w:w="737" w:type="dxa"/>
            <w:noWrap/>
            <w:hideMark/>
          </w:tcPr>
          <w:p w14:paraId="5F898F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8550</w:t>
            </w:r>
          </w:p>
        </w:tc>
        <w:tc>
          <w:tcPr>
            <w:tcW w:w="1559" w:type="dxa"/>
            <w:noWrap/>
            <w:hideMark/>
          </w:tcPr>
          <w:p w14:paraId="3B6046F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Ingleburn North Public School</w:t>
            </w:r>
          </w:p>
        </w:tc>
        <w:tc>
          <w:tcPr>
            <w:tcW w:w="709" w:type="dxa"/>
            <w:noWrap/>
            <w:hideMark/>
          </w:tcPr>
          <w:p w14:paraId="778EF7A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2BF82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80066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27AE25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Macdonald Rd</w:t>
            </w:r>
          </w:p>
        </w:tc>
        <w:tc>
          <w:tcPr>
            <w:tcW w:w="1134" w:type="dxa"/>
            <w:noWrap/>
            <w:hideMark/>
          </w:tcPr>
          <w:p w14:paraId="4F4A819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85B6B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27.1</w:t>
            </w:r>
          </w:p>
        </w:tc>
        <w:tc>
          <w:tcPr>
            <w:tcW w:w="1134" w:type="dxa"/>
            <w:noWrap/>
            <w:hideMark/>
          </w:tcPr>
          <w:p w14:paraId="66495C8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276EE4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443FD8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w:t>
            </w:r>
          </w:p>
        </w:tc>
        <w:tc>
          <w:tcPr>
            <w:tcW w:w="1417" w:type="dxa"/>
            <w:noWrap/>
            <w:hideMark/>
          </w:tcPr>
          <w:p w14:paraId="1F62C06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3EA9EB4A" w14:textId="77777777" w:rsidTr="001367E0">
        <w:tblPrEx>
          <w:tblCellMar>
            <w:left w:w="108" w:type="dxa"/>
            <w:right w:w="108" w:type="dxa"/>
          </w:tblCellMar>
        </w:tblPrEx>
        <w:trPr>
          <w:trHeight w:val="465"/>
        </w:trPr>
        <w:tc>
          <w:tcPr>
            <w:tcW w:w="737" w:type="dxa"/>
            <w:noWrap/>
            <w:hideMark/>
          </w:tcPr>
          <w:p w14:paraId="69DC897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4415</w:t>
            </w:r>
          </w:p>
        </w:tc>
        <w:tc>
          <w:tcPr>
            <w:tcW w:w="1559" w:type="dxa"/>
            <w:noWrap/>
            <w:hideMark/>
          </w:tcPr>
          <w:p w14:paraId="4C930F6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Ingleburn Public School</w:t>
            </w:r>
          </w:p>
        </w:tc>
        <w:tc>
          <w:tcPr>
            <w:tcW w:w="709" w:type="dxa"/>
            <w:noWrap/>
            <w:hideMark/>
          </w:tcPr>
          <w:p w14:paraId="40C27C1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020705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78304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8484B5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Oxford Rd</w:t>
            </w:r>
          </w:p>
        </w:tc>
        <w:tc>
          <w:tcPr>
            <w:tcW w:w="1134" w:type="dxa"/>
            <w:noWrap/>
            <w:hideMark/>
          </w:tcPr>
          <w:p w14:paraId="087E791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6F8E5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21.5</w:t>
            </w:r>
          </w:p>
        </w:tc>
        <w:tc>
          <w:tcPr>
            <w:tcW w:w="1134" w:type="dxa"/>
            <w:noWrap/>
            <w:hideMark/>
          </w:tcPr>
          <w:p w14:paraId="4586D15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62.5</w:t>
            </w:r>
          </w:p>
        </w:tc>
        <w:tc>
          <w:tcPr>
            <w:tcW w:w="1134" w:type="dxa"/>
            <w:noWrap/>
            <w:hideMark/>
          </w:tcPr>
          <w:p w14:paraId="601A57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D9A4E0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65</w:t>
            </w:r>
          </w:p>
        </w:tc>
        <w:tc>
          <w:tcPr>
            <w:tcW w:w="1417" w:type="dxa"/>
            <w:noWrap/>
            <w:hideMark/>
          </w:tcPr>
          <w:p w14:paraId="53B0BF5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3D866BAB" w14:textId="77777777" w:rsidTr="001367E0">
        <w:tblPrEx>
          <w:tblCellMar>
            <w:left w:w="108" w:type="dxa"/>
            <w:right w:w="108" w:type="dxa"/>
          </w:tblCellMar>
        </w:tblPrEx>
        <w:trPr>
          <w:trHeight w:val="465"/>
        </w:trPr>
        <w:tc>
          <w:tcPr>
            <w:tcW w:w="737" w:type="dxa"/>
            <w:noWrap/>
            <w:hideMark/>
          </w:tcPr>
          <w:p w14:paraId="17B4389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16224</w:t>
            </w:r>
          </w:p>
        </w:tc>
        <w:tc>
          <w:tcPr>
            <w:tcW w:w="1559" w:type="dxa"/>
            <w:noWrap/>
            <w:hideMark/>
          </w:tcPr>
          <w:p w14:paraId="77EB05D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Inverell High School</w:t>
            </w:r>
          </w:p>
        </w:tc>
        <w:tc>
          <w:tcPr>
            <w:tcW w:w="709" w:type="dxa"/>
            <w:noWrap/>
            <w:hideMark/>
          </w:tcPr>
          <w:p w14:paraId="0E4BE9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15983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218DE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F24DD2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Brae St</w:t>
            </w:r>
          </w:p>
        </w:tc>
        <w:tc>
          <w:tcPr>
            <w:tcW w:w="1134" w:type="dxa"/>
            <w:noWrap/>
            <w:hideMark/>
          </w:tcPr>
          <w:p w14:paraId="4446319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3E915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36.5</w:t>
            </w:r>
          </w:p>
        </w:tc>
        <w:tc>
          <w:tcPr>
            <w:tcW w:w="1134" w:type="dxa"/>
            <w:noWrap/>
            <w:hideMark/>
          </w:tcPr>
          <w:p w14:paraId="2FE4A03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72.7</w:t>
            </w:r>
          </w:p>
        </w:tc>
        <w:tc>
          <w:tcPr>
            <w:tcW w:w="1134" w:type="dxa"/>
            <w:noWrap/>
            <w:hideMark/>
          </w:tcPr>
          <w:p w14:paraId="70E44B1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12229D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130</w:t>
            </w:r>
          </w:p>
        </w:tc>
        <w:tc>
          <w:tcPr>
            <w:tcW w:w="1417" w:type="dxa"/>
            <w:noWrap/>
            <w:hideMark/>
          </w:tcPr>
          <w:p w14:paraId="16AB1D0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w:t>
            </w:r>
          </w:p>
        </w:tc>
      </w:tr>
      <w:tr w:rsidR="006716B4" w:rsidRPr="006716B4" w14:paraId="23C718AC" w14:textId="77777777" w:rsidTr="001367E0">
        <w:tblPrEx>
          <w:tblCellMar>
            <w:left w:w="108" w:type="dxa"/>
            <w:right w:w="108" w:type="dxa"/>
          </w:tblCellMar>
        </w:tblPrEx>
        <w:trPr>
          <w:trHeight w:val="465"/>
        </w:trPr>
        <w:tc>
          <w:tcPr>
            <w:tcW w:w="737" w:type="dxa"/>
            <w:noWrap/>
            <w:hideMark/>
          </w:tcPr>
          <w:p w14:paraId="68DD4C5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14964</w:t>
            </w:r>
          </w:p>
        </w:tc>
        <w:tc>
          <w:tcPr>
            <w:tcW w:w="1559" w:type="dxa"/>
            <w:noWrap/>
            <w:hideMark/>
          </w:tcPr>
          <w:p w14:paraId="0CC64CD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Irrawang High School</w:t>
            </w:r>
          </w:p>
        </w:tc>
        <w:tc>
          <w:tcPr>
            <w:tcW w:w="709" w:type="dxa"/>
            <w:noWrap/>
            <w:hideMark/>
          </w:tcPr>
          <w:p w14:paraId="2E7FC16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62A932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5A5D4F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8D15AC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Mount Hall Rd</w:t>
            </w:r>
          </w:p>
        </w:tc>
        <w:tc>
          <w:tcPr>
            <w:tcW w:w="1134" w:type="dxa"/>
            <w:noWrap/>
            <w:hideMark/>
          </w:tcPr>
          <w:p w14:paraId="22941F9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78BDC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41.0</w:t>
            </w:r>
          </w:p>
        </w:tc>
        <w:tc>
          <w:tcPr>
            <w:tcW w:w="1134" w:type="dxa"/>
            <w:noWrap/>
            <w:hideMark/>
          </w:tcPr>
          <w:p w14:paraId="3B842C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52.0</w:t>
            </w:r>
          </w:p>
        </w:tc>
        <w:tc>
          <w:tcPr>
            <w:tcW w:w="1134" w:type="dxa"/>
            <w:noWrap/>
            <w:hideMark/>
          </w:tcPr>
          <w:p w14:paraId="58BA08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15.6</w:t>
            </w:r>
          </w:p>
        </w:tc>
        <w:tc>
          <w:tcPr>
            <w:tcW w:w="1276" w:type="dxa"/>
            <w:noWrap/>
            <w:hideMark/>
          </w:tcPr>
          <w:p w14:paraId="73F65D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238</w:t>
            </w:r>
          </w:p>
        </w:tc>
        <w:tc>
          <w:tcPr>
            <w:tcW w:w="1417" w:type="dxa"/>
            <w:noWrap/>
            <w:hideMark/>
          </w:tcPr>
          <w:p w14:paraId="4D67D79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w:t>
            </w:r>
          </w:p>
        </w:tc>
      </w:tr>
      <w:tr w:rsidR="006716B4" w:rsidRPr="006716B4" w14:paraId="1FD6D33A" w14:textId="77777777" w:rsidTr="001367E0">
        <w:tblPrEx>
          <w:tblCellMar>
            <w:left w:w="108" w:type="dxa"/>
            <w:right w:w="108" w:type="dxa"/>
          </w:tblCellMar>
        </w:tblPrEx>
        <w:trPr>
          <w:trHeight w:val="465"/>
        </w:trPr>
        <w:tc>
          <w:tcPr>
            <w:tcW w:w="737" w:type="dxa"/>
            <w:noWrap/>
            <w:hideMark/>
          </w:tcPr>
          <w:p w14:paraId="280A3D4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6422</w:t>
            </w:r>
          </w:p>
        </w:tc>
        <w:tc>
          <w:tcPr>
            <w:tcW w:w="1559" w:type="dxa"/>
            <w:noWrap/>
            <w:hideMark/>
          </w:tcPr>
          <w:p w14:paraId="2BDD888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 J Cahill Memorial High School</w:t>
            </w:r>
          </w:p>
        </w:tc>
        <w:tc>
          <w:tcPr>
            <w:tcW w:w="709" w:type="dxa"/>
            <w:noWrap/>
            <w:hideMark/>
          </w:tcPr>
          <w:p w14:paraId="6CCADA8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D2DB4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D601B5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B0534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Sutherland St</w:t>
            </w:r>
          </w:p>
        </w:tc>
        <w:tc>
          <w:tcPr>
            <w:tcW w:w="1134" w:type="dxa"/>
            <w:noWrap/>
            <w:hideMark/>
          </w:tcPr>
          <w:p w14:paraId="61BB8A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2BC80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50.8</w:t>
            </w:r>
          </w:p>
        </w:tc>
        <w:tc>
          <w:tcPr>
            <w:tcW w:w="1134" w:type="dxa"/>
            <w:noWrap/>
            <w:hideMark/>
          </w:tcPr>
          <w:p w14:paraId="448E22F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70.0</w:t>
            </w:r>
          </w:p>
        </w:tc>
        <w:tc>
          <w:tcPr>
            <w:tcW w:w="1134" w:type="dxa"/>
            <w:noWrap/>
            <w:hideMark/>
          </w:tcPr>
          <w:p w14:paraId="1BE0A8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4AF6A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128</w:t>
            </w:r>
          </w:p>
        </w:tc>
        <w:tc>
          <w:tcPr>
            <w:tcW w:w="1417" w:type="dxa"/>
            <w:noWrap/>
            <w:hideMark/>
          </w:tcPr>
          <w:p w14:paraId="289CBB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r>
      <w:tr w:rsidR="006716B4" w:rsidRPr="006716B4" w14:paraId="2A882D7D" w14:textId="77777777" w:rsidTr="001367E0">
        <w:tblPrEx>
          <w:tblCellMar>
            <w:left w:w="108" w:type="dxa"/>
            <w:right w:w="108" w:type="dxa"/>
          </w:tblCellMar>
        </w:tblPrEx>
        <w:trPr>
          <w:trHeight w:val="465"/>
        </w:trPr>
        <w:tc>
          <w:tcPr>
            <w:tcW w:w="737" w:type="dxa"/>
            <w:noWrap/>
            <w:hideMark/>
          </w:tcPr>
          <w:p w14:paraId="0F7213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8626</w:t>
            </w:r>
          </w:p>
        </w:tc>
        <w:tc>
          <w:tcPr>
            <w:tcW w:w="1559" w:type="dxa"/>
            <w:noWrap/>
            <w:hideMark/>
          </w:tcPr>
          <w:p w14:paraId="265CBE1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James Cook Boys High School</w:t>
            </w:r>
          </w:p>
        </w:tc>
        <w:tc>
          <w:tcPr>
            <w:tcW w:w="709" w:type="dxa"/>
            <w:noWrap/>
            <w:hideMark/>
          </w:tcPr>
          <w:p w14:paraId="4EF4FE6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7D16A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7EC8E5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91EA3E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Princes Hwy</w:t>
            </w:r>
          </w:p>
        </w:tc>
        <w:tc>
          <w:tcPr>
            <w:tcW w:w="1134" w:type="dxa"/>
            <w:noWrap/>
            <w:hideMark/>
          </w:tcPr>
          <w:p w14:paraId="6781F8F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03993E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37.8</w:t>
            </w:r>
          </w:p>
        </w:tc>
        <w:tc>
          <w:tcPr>
            <w:tcW w:w="1134" w:type="dxa"/>
            <w:noWrap/>
            <w:hideMark/>
          </w:tcPr>
          <w:p w14:paraId="3BEB827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4F829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F5C22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112</w:t>
            </w:r>
          </w:p>
        </w:tc>
        <w:tc>
          <w:tcPr>
            <w:tcW w:w="1417" w:type="dxa"/>
            <w:noWrap/>
            <w:hideMark/>
          </w:tcPr>
          <w:p w14:paraId="1C9C12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26D9A846" w14:textId="77777777" w:rsidTr="001367E0">
        <w:tblPrEx>
          <w:tblCellMar>
            <w:left w:w="108" w:type="dxa"/>
            <w:right w:w="108" w:type="dxa"/>
          </w:tblCellMar>
        </w:tblPrEx>
        <w:trPr>
          <w:trHeight w:val="465"/>
        </w:trPr>
        <w:tc>
          <w:tcPr>
            <w:tcW w:w="737" w:type="dxa"/>
            <w:noWrap/>
            <w:hideMark/>
          </w:tcPr>
          <w:p w14:paraId="4545D0C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14948</w:t>
            </w:r>
          </w:p>
        </w:tc>
        <w:tc>
          <w:tcPr>
            <w:tcW w:w="1559" w:type="dxa"/>
            <w:noWrap/>
            <w:hideMark/>
          </w:tcPr>
          <w:p w14:paraId="226831C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James Erskine Public School</w:t>
            </w:r>
          </w:p>
        </w:tc>
        <w:tc>
          <w:tcPr>
            <w:tcW w:w="709" w:type="dxa"/>
            <w:noWrap/>
            <w:hideMark/>
          </w:tcPr>
          <w:p w14:paraId="12494E1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145C3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C5CF0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493D00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Peppertree Drive</w:t>
            </w:r>
          </w:p>
        </w:tc>
        <w:tc>
          <w:tcPr>
            <w:tcW w:w="1134" w:type="dxa"/>
            <w:noWrap/>
            <w:hideMark/>
          </w:tcPr>
          <w:p w14:paraId="15A04FC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22201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DAED42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41.7</w:t>
            </w:r>
          </w:p>
        </w:tc>
        <w:tc>
          <w:tcPr>
            <w:tcW w:w="1134" w:type="dxa"/>
            <w:noWrap/>
            <w:hideMark/>
          </w:tcPr>
          <w:p w14:paraId="270CC31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FA51F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w:t>
            </w:r>
          </w:p>
        </w:tc>
        <w:tc>
          <w:tcPr>
            <w:tcW w:w="1417" w:type="dxa"/>
            <w:noWrap/>
            <w:hideMark/>
          </w:tcPr>
          <w:p w14:paraId="6CBCEC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370CC3DF" w14:textId="77777777" w:rsidTr="001367E0">
        <w:tblPrEx>
          <w:tblCellMar>
            <w:left w:w="108" w:type="dxa"/>
            <w:right w:w="108" w:type="dxa"/>
          </w:tblCellMar>
        </w:tblPrEx>
        <w:trPr>
          <w:trHeight w:val="465"/>
        </w:trPr>
        <w:tc>
          <w:tcPr>
            <w:tcW w:w="737" w:type="dxa"/>
            <w:noWrap/>
            <w:hideMark/>
          </w:tcPr>
          <w:p w14:paraId="0719420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10439</w:t>
            </w:r>
          </w:p>
        </w:tc>
        <w:tc>
          <w:tcPr>
            <w:tcW w:w="1559" w:type="dxa"/>
            <w:noWrap/>
            <w:hideMark/>
          </w:tcPr>
          <w:p w14:paraId="6F079E2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James Fallon High School</w:t>
            </w:r>
          </w:p>
        </w:tc>
        <w:tc>
          <w:tcPr>
            <w:tcW w:w="709" w:type="dxa"/>
            <w:noWrap/>
            <w:hideMark/>
          </w:tcPr>
          <w:p w14:paraId="124BF9B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7B6D0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0B7A9E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A32504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Fallon St</w:t>
            </w:r>
          </w:p>
        </w:tc>
        <w:tc>
          <w:tcPr>
            <w:tcW w:w="1134" w:type="dxa"/>
            <w:noWrap/>
            <w:hideMark/>
          </w:tcPr>
          <w:p w14:paraId="773DF9F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FAAB0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32.3</w:t>
            </w:r>
          </w:p>
        </w:tc>
        <w:tc>
          <w:tcPr>
            <w:tcW w:w="1134" w:type="dxa"/>
            <w:noWrap/>
            <w:hideMark/>
          </w:tcPr>
          <w:p w14:paraId="723F14A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55.6</w:t>
            </w:r>
          </w:p>
        </w:tc>
        <w:tc>
          <w:tcPr>
            <w:tcW w:w="1134" w:type="dxa"/>
            <w:noWrap/>
            <w:hideMark/>
          </w:tcPr>
          <w:p w14:paraId="7907EF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40.6</w:t>
            </w:r>
          </w:p>
        </w:tc>
        <w:tc>
          <w:tcPr>
            <w:tcW w:w="1276" w:type="dxa"/>
            <w:noWrap/>
            <w:hideMark/>
          </w:tcPr>
          <w:p w14:paraId="408E5B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152</w:t>
            </w:r>
          </w:p>
        </w:tc>
        <w:tc>
          <w:tcPr>
            <w:tcW w:w="1417" w:type="dxa"/>
            <w:noWrap/>
            <w:hideMark/>
          </w:tcPr>
          <w:p w14:paraId="305B3BA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w:t>
            </w:r>
          </w:p>
        </w:tc>
      </w:tr>
      <w:tr w:rsidR="006716B4" w:rsidRPr="006716B4" w14:paraId="13A3C76B" w14:textId="77777777" w:rsidTr="001367E0">
        <w:tblPrEx>
          <w:tblCellMar>
            <w:left w:w="108" w:type="dxa"/>
            <w:right w:w="108" w:type="dxa"/>
          </w:tblCellMar>
        </w:tblPrEx>
        <w:trPr>
          <w:trHeight w:val="465"/>
        </w:trPr>
        <w:tc>
          <w:tcPr>
            <w:tcW w:w="737" w:type="dxa"/>
            <w:noWrap/>
            <w:hideMark/>
          </w:tcPr>
          <w:p w14:paraId="7FC3170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16211</w:t>
            </w:r>
          </w:p>
        </w:tc>
        <w:tc>
          <w:tcPr>
            <w:tcW w:w="1559" w:type="dxa"/>
            <w:noWrap/>
            <w:hideMark/>
          </w:tcPr>
          <w:p w14:paraId="7A58542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Jamison High School</w:t>
            </w:r>
          </w:p>
        </w:tc>
        <w:tc>
          <w:tcPr>
            <w:tcW w:w="709" w:type="dxa"/>
            <w:noWrap/>
            <w:hideMark/>
          </w:tcPr>
          <w:p w14:paraId="29A0E40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C5909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EDFC9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A5285B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222 Evans St</w:t>
            </w:r>
          </w:p>
        </w:tc>
        <w:tc>
          <w:tcPr>
            <w:tcW w:w="1134" w:type="dxa"/>
            <w:noWrap/>
            <w:hideMark/>
          </w:tcPr>
          <w:p w14:paraId="1AE026D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43F58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30.6</w:t>
            </w:r>
          </w:p>
        </w:tc>
        <w:tc>
          <w:tcPr>
            <w:tcW w:w="1134" w:type="dxa"/>
            <w:noWrap/>
            <w:hideMark/>
          </w:tcPr>
          <w:p w14:paraId="2D36085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34.8</w:t>
            </w:r>
          </w:p>
        </w:tc>
        <w:tc>
          <w:tcPr>
            <w:tcW w:w="1134" w:type="dxa"/>
            <w:noWrap/>
            <w:hideMark/>
          </w:tcPr>
          <w:p w14:paraId="0CEBFFD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14.3</w:t>
            </w:r>
          </w:p>
        </w:tc>
        <w:tc>
          <w:tcPr>
            <w:tcW w:w="1276" w:type="dxa"/>
            <w:noWrap/>
            <w:hideMark/>
          </w:tcPr>
          <w:p w14:paraId="54C311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201</w:t>
            </w:r>
          </w:p>
        </w:tc>
        <w:tc>
          <w:tcPr>
            <w:tcW w:w="1417" w:type="dxa"/>
            <w:noWrap/>
            <w:hideMark/>
          </w:tcPr>
          <w:p w14:paraId="5A8DF9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r>
      <w:tr w:rsidR="006716B4" w:rsidRPr="006716B4" w14:paraId="7ADC6849" w14:textId="77777777" w:rsidTr="001367E0">
        <w:tblPrEx>
          <w:tblCellMar>
            <w:left w:w="108" w:type="dxa"/>
            <w:right w:w="108" w:type="dxa"/>
          </w:tblCellMar>
        </w:tblPrEx>
        <w:trPr>
          <w:trHeight w:val="465"/>
        </w:trPr>
        <w:tc>
          <w:tcPr>
            <w:tcW w:w="737" w:type="dxa"/>
            <w:noWrap/>
            <w:hideMark/>
          </w:tcPr>
          <w:p w14:paraId="0D25FF8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10696</w:t>
            </w:r>
          </w:p>
        </w:tc>
        <w:tc>
          <w:tcPr>
            <w:tcW w:w="1559" w:type="dxa"/>
            <w:noWrap/>
            <w:hideMark/>
          </w:tcPr>
          <w:p w14:paraId="05C9C07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Jamisontown Public School</w:t>
            </w:r>
          </w:p>
        </w:tc>
        <w:tc>
          <w:tcPr>
            <w:tcW w:w="709" w:type="dxa"/>
            <w:noWrap/>
            <w:hideMark/>
          </w:tcPr>
          <w:p w14:paraId="27E9022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103534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79D9E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4E8F0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Thurwood Ave</w:t>
            </w:r>
          </w:p>
        </w:tc>
        <w:tc>
          <w:tcPr>
            <w:tcW w:w="1134" w:type="dxa"/>
            <w:noWrap/>
            <w:hideMark/>
          </w:tcPr>
          <w:p w14:paraId="1750FFE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974FEB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34.1</w:t>
            </w:r>
          </w:p>
        </w:tc>
        <w:tc>
          <w:tcPr>
            <w:tcW w:w="1134" w:type="dxa"/>
            <w:noWrap/>
            <w:hideMark/>
          </w:tcPr>
          <w:p w14:paraId="385C206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4154B1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276" w:type="dxa"/>
            <w:noWrap/>
            <w:hideMark/>
          </w:tcPr>
          <w:p w14:paraId="6931A0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w:t>
            </w:r>
          </w:p>
        </w:tc>
        <w:tc>
          <w:tcPr>
            <w:tcW w:w="1417" w:type="dxa"/>
            <w:noWrap/>
            <w:hideMark/>
          </w:tcPr>
          <w:p w14:paraId="2FEEE5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19F9F453" w14:textId="77777777" w:rsidTr="001367E0">
        <w:tblPrEx>
          <w:tblCellMar>
            <w:left w:w="108" w:type="dxa"/>
            <w:right w:w="108" w:type="dxa"/>
          </w:tblCellMar>
        </w:tblPrEx>
        <w:trPr>
          <w:trHeight w:val="465"/>
        </w:trPr>
        <w:tc>
          <w:tcPr>
            <w:tcW w:w="737" w:type="dxa"/>
            <w:noWrap/>
            <w:hideMark/>
          </w:tcPr>
          <w:p w14:paraId="7499BBA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23659</w:t>
            </w:r>
          </w:p>
        </w:tc>
        <w:tc>
          <w:tcPr>
            <w:tcW w:w="1559" w:type="dxa"/>
            <w:noWrap/>
            <w:hideMark/>
          </w:tcPr>
          <w:p w14:paraId="48C07DD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John Edmondson High School</w:t>
            </w:r>
          </w:p>
        </w:tc>
        <w:tc>
          <w:tcPr>
            <w:tcW w:w="709" w:type="dxa"/>
            <w:noWrap/>
            <w:hideMark/>
          </w:tcPr>
          <w:p w14:paraId="1BA84CF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29C76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78DC6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4F255D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Horningsea Park Dr</w:t>
            </w:r>
          </w:p>
        </w:tc>
        <w:tc>
          <w:tcPr>
            <w:tcW w:w="1134" w:type="dxa"/>
            <w:noWrap/>
            <w:hideMark/>
          </w:tcPr>
          <w:p w14:paraId="1FD37FB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FD7067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36.2</w:t>
            </w:r>
          </w:p>
        </w:tc>
        <w:tc>
          <w:tcPr>
            <w:tcW w:w="1134" w:type="dxa"/>
            <w:noWrap/>
            <w:hideMark/>
          </w:tcPr>
          <w:p w14:paraId="4720CB0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61.5</w:t>
            </w:r>
          </w:p>
        </w:tc>
        <w:tc>
          <w:tcPr>
            <w:tcW w:w="1134" w:type="dxa"/>
            <w:noWrap/>
            <w:hideMark/>
          </w:tcPr>
          <w:p w14:paraId="501A32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80F1E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283</w:t>
            </w:r>
          </w:p>
        </w:tc>
        <w:tc>
          <w:tcPr>
            <w:tcW w:w="1417" w:type="dxa"/>
            <w:noWrap/>
            <w:hideMark/>
          </w:tcPr>
          <w:p w14:paraId="171BA0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w:t>
            </w:r>
          </w:p>
        </w:tc>
      </w:tr>
      <w:tr w:rsidR="006716B4" w:rsidRPr="006716B4" w14:paraId="6FF88DA4" w14:textId="77777777" w:rsidTr="001367E0">
        <w:tblPrEx>
          <w:tblCellMar>
            <w:left w:w="108" w:type="dxa"/>
            <w:right w:w="108" w:type="dxa"/>
          </w:tblCellMar>
        </w:tblPrEx>
        <w:trPr>
          <w:trHeight w:val="465"/>
        </w:trPr>
        <w:tc>
          <w:tcPr>
            <w:tcW w:w="737" w:type="dxa"/>
            <w:noWrap/>
            <w:hideMark/>
          </w:tcPr>
          <w:p w14:paraId="251EE58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9808</w:t>
            </w:r>
          </w:p>
        </w:tc>
        <w:tc>
          <w:tcPr>
            <w:tcW w:w="1559" w:type="dxa"/>
            <w:noWrap/>
            <w:hideMark/>
          </w:tcPr>
          <w:p w14:paraId="2D58299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Kadina High School</w:t>
            </w:r>
          </w:p>
        </w:tc>
        <w:tc>
          <w:tcPr>
            <w:tcW w:w="709" w:type="dxa"/>
            <w:noWrap/>
            <w:hideMark/>
          </w:tcPr>
          <w:p w14:paraId="2A3F31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560EA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0216BC5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D4548B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Kadina St</w:t>
            </w:r>
          </w:p>
        </w:tc>
        <w:tc>
          <w:tcPr>
            <w:tcW w:w="1134" w:type="dxa"/>
            <w:noWrap/>
            <w:hideMark/>
          </w:tcPr>
          <w:p w14:paraId="2603D49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BFFD7E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33.0</w:t>
            </w:r>
          </w:p>
        </w:tc>
        <w:tc>
          <w:tcPr>
            <w:tcW w:w="1134" w:type="dxa"/>
            <w:noWrap/>
            <w:hideMark/>
          </w:tcPr>
          <w:p w14:paraId="210BCA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69.2</w:t>
            </w:r>
          </w:p>
        </w:tc>
        <w:tc>
          <w:tcPr>
            <w:tcW w:w="1134" w:type="dxa"/>
            <w:noWrap/>
            <w:hideMark/>
          </w:tcPr>
          <w:p w14:paraId="5C5D147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8.3</w:t>
            </w:r>
          </w:p>
        </w:tc>
        <w:tc>
          <w:tcPr>
            <w:tcW w:w="1276" w:type="dxa"/>
            <w:noWrap/>
            <w:hideMark/>
          </w:tcPr>
          <w:p w14:paraId="79E7C6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97</w:t>
            </w:r>
          </w:p>
        </w:tc>
        <w:tc>
          <w:tcPr>
            <w:tcW w:w="1417" w:type="dxa"/>
            <w:noWrap/>
            <w:hideMark/>
          </w:tcPr>
          <w:p w14:paraId="4BB4BE6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w:t>
            </w:r>
          </w:p>
        </w:tc>
      </w:tr>
      <w:tr w:rsidR="006716B4" w:rsidRPr="006716B4" w14:paraId="5CFB5D94" w14:textId="77777777" w:rsidTr="001367E0">
        <w:tblPrEx>
          <w:tblCellMar>
            <w:left w:w="108" w:type="dxa"/>
            <w:right w:w="108" w:type="dxa"/>
          </w:tblCellMar>
        </w:tblPrEx>
        <w:trPr>
          <w:trHeight w:val="465"/>
        </w:trPr>
        <w:tc>
          <w:tcPr>
            <w:tcW w:w="737" w:type="dxa"/>
            <w:noWrap/>
            <w:hideMark/>
          </w:tcPr>
          <w:p w14:paraId="2D5EB6D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6367</w:t>
            </w:r>
          </w:p>
        </w:tc>
        <w:tc>
          <w:tcPr>
            <w:tcW w:w="1559" w:type="dxa"/>
            <w:noWrap/>
            <w:hideMark/>
          </w:tcPr>
          <w:p w14:paraId="2598AC3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Kanahooka High School</w:t>
            </w:r>
          </w:p>
        </w:tc>
        <w:tc>
          <w:tcPr>
            <w:tcW w:w="709" w:type="dxa"/>
            <w:noWrap/>
            <w:hideMark/>
          </w:tcPr>
          <w:p w14:paraId="6D13CBF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B83B01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760776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76AB67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Thirroul &amp; Roberts Sts</w:t>
            </w:r>
          </w:p>
        </w:tc>
        <w:tc>
          <w:tcPr>
            <w:tcW w:w="1134" w:type="dxa"/>
            <w:noWrap/>
            <w:hideMark/>
          </w:tcPr>
          <w:p w14:paraId="73E6046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A4417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44.0</w:t>
            </w:r>
          </w:p>
        </w:tc>
        <w:tc>
          <w:tcPr>
            <w:tcW w:w="1134" w:type="dxa"/>
            <w:noWrap/>
            <w:hideMark/>
          </w:tcPr>
          <w:p w14:paraId="014822D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52.0</w:t>
            </w:r>
          </w:p>
        </w:tc>
        <w:tc>
          <w:tcPr>
            <w:tcW w:w="1134" w:type="dxa"/>
            <w:noWrap/>
            <w:hideMark/>
          </w:tcPr>
          <w:p w14:paraId="476C4D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w:t>
            </w:r>
          </w:p>
        </w:tc>
        <w:tc>
          <w:tcPr>
            <w:tcW w:w="1276" w:type="dxa"/>
            <w:noWrap/>
            <w:hideMark/>
          </w:tcPr>
          <w:p w14:paraId="20F7023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189</w:t>
            </w:r>
          </w:p>
        </w:tc>
        <w:tc>
          <w:tcPr>
            <w:tcW w:w="1417" w:type="dxa"/>
            <w:noWrap/>
            <w:hideMark/>
          </w:tcPr>
          <w:p w14:paraId="3F1D2A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w:t>
            </w:r>
          </w:p>
        </w:tc>
      </w:tr>
      <w:tr w:rsidR="006716B4" w:rsidRPr="006716B4" w14:paraId="7B424B0F" w14:textId="77777777" w:rsidTr="001367E0">
        <w:tblPrEx>
          <w:tblCellMar>
            <w:left w:w="108" w:type="dxa"/>
            <w:right w:w="108" w:type="dxa"/>
          </w:tblCellMar>
        </w:tblPrEx>
        <w:trPr>
          <w:trHeight w:val="465"/>
        </w:trPr>
        <w:tc>
          <w:tcPr>
            <w:tcW w:w="737" w:type="dxa"/>
            <w:noWrap/>
            <w:hideMark/>
          </w:tcPr>
          <w:p w14:paraId="3241E71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9658</w:t>
            </w:r>
          </w:p>
        </w:tc>
        <w:tc>
          <w:tcPr>
            <w:tcW w:w="1559" w:type="dxa"/>
            <w:noWrap/>
            <w:hideMark/>
          </w:tcPr>
          <w:p w14:paraId="254AF52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Karangi Public School</w:t>
            </w:r>
          </w:p>
        </w:tc>
        <w:tc>
          <w:tcPr>
            <w:tcW w:w="709" w:type="dxa"/>
            <w:noWrap/>
            <w:hideMark/>
          </w:tcPr>
          <w:p w14:paraId="47ACDC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D9E637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505A5C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5AC506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Coffs Harbour-Coramba Rd</w:t>
            </w:r>
          </w:p>
        </w:tc>
        <w:tc>
          <w:tcPr>
            <w:tcW w:w="1134" w:type="dxa"/>
            <w:noWrap/>
            <w:hideMark/>
          </w:tcPr>
          <w:p w14:paraId="2E9685B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F94C40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34.2</w:t>
            </w:r>
          </w:p>
        </w:tc>
        <w:tc>
          <w:tcPr>
            <w:tcW w:w="1134" w:type="dxa"/>
            <w:noWrap/>
            <w:hideMark/>
          </w:tcPr>
          <w:p w14:paraId="6932094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3F99D6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BD9494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w:t>
            </w:r>
          </w:p>
        </w:tc>
        <w:tc>
          <w:tcPr>
            <w:tcW w:w="1417" w:type="dxa"/>
            <w:noWrap/>
            <w:hideMark/>
          </w:tcPr>
          <w:p w14:paraId="29DC15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6FBB8371" w14:textId="77777777" w:rsidTr="001367E0">
        <w:tblPrEx>
          <w:tblCellMar>
            <w:left w:w="108" w:type="dxa"/>
            <w:right w:w="108" w:type="dxa"/>
          </w:tblCellMar>
        </w:tblPrEx>
        <w:trPr>
          <w:trHeight w:val="465"/>
        </w:trPr>
        <w:tc>
          <w:tcPr>
            <w:tcW w:w="737" w:type="dxa"/>
            <w:noWrap/>
            <w:hideMark/>
          </w:tcPr>
          <w:p w14:paraId="39468B7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28626</w:t>
            </w:r>
          </w:p>
        </w:tc>
        <w:tc>
          <w:tcPr>
            <w:tcW w:w="1559" w:type="dxa"/>
            <w:noWrap/>
            <w:hideMark/>
          </w:tcPr>
          <w:p w14:paraId="6261283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Kariong Mountains High School</w:t>
            </w:r>
          </w:p>
        </w:tc>
        <w:tc>
          <w:tcPr>
            <w:tcW w:w="709" w:type="dxa"/>
            <w:noWrap/>
            <w:hideMark/>
          </w:tcPr>
          <w:p w14:paraId="445104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31EBF8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DA6C2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1728A9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Mt Penang ParklandsFestival Drive</w:t>
            </w:r>
          </w:p>
        </w:tc>
        <w:tc>
          <w:tcPr>
            <w:tcW w:w="1134" w:type="dxa"/>
            <w:noWrap/>
            <w:hideMark/>
          </w:tcPr>
          <w:p w14:paraId="223C710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3C97BD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26.6</w:t>
            </w:r>
          </w:p>
        </w:tc>
        <w:tc>
          <w:tcPr>
            <w:tcW w:w="1134" w:type="dxa"/>
            <w:noWrap/>
            <w:hideMark/>
          </w:tcPr>
          <w:p w14:paraId="63A048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61.1</w:t>
            </w:r>
          </w:p>
        </w:tc>
        <w:tc>
          <w:tcPr>
            <w:tcW w:w="1134" w:type="dxa"/>
            <w:noWrap/>
            <w:hideMark/>
          </w:tcPr>
          <w:p w14:paraId="170175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E138C0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114</w:t>
            </w:r>
          </w:p>
        </w:tc>
        <w:tc>
          <w:tcPr>
            <w:tcW w:w="1417" w:type="dxa"/>
            <w:noWrap/>
            <w:hideMark/>
          </w:tcPr>
          <w:p w14:paraId="3EEEF1B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6FAEF9D7" w14:textId="77777777" w:rsidTr="001367E0">
        <w:tblPrEx>
          <w:tblCellMar>
            <w:left w:w="108" w:type="dxa"/>
            <w:right w:w="108" w:type="dxa"/>
          </w:tblCellMar>
        </w:tblPrEx>
        <w:trPr>
          <w:trHeight w:val="465"/>
        </w:trPr>
        <w:tc>
          <w:tcPr>
            <w:tcW w:w="737" w:type="dxa"/>
            <w:noWrap/>
            <w:hideMark/>
          </w:tcPr>
          <w:p w14:paraId="07AE8C5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15087</w:t>
            </w:r>
          </w:p>
        </w:tc>
        <w:tc>
          <w:tcPr>
            <w:tcW w:w="1559" w:type="dxa"/>
            <w:noWrap/>
            <w:hideMark/>
          </w:tcPr>
          <w:p w14:paraId="4E4A12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Kearns Public School</w:t>
            </w:r>
          </w:p>
        </w:tc>
        <w:tc>
          <w:tcPr>
            <w:tcW w:w="709" w:type="dxa"/>
            <w:noWrap/>
            <w:hideMark/>
          </w:tcPr>
          <w:p w14:paraId="0AC0740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43103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75835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E0F269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 Lawrence Ave</w:t>
            </w:r>
          </w:p>
        </w:tc>
        <w:tc>
          <w:tcPr>
            <w:tcW w:w="1134" w:type="dxa"/>
            <w:noWrap/>
            <w:hideMark/>
          </w:tcPr>
          <w:p w14:paraId="3648C11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024F68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43.7</w:t>
            </w:r>
          </w:p>
        </w:tc>
        <w:tc>
          <w:tcPr>
            <w:tcW w:w="1134" w:type="dxa"/>
            <w:noWrap/>
            <w:hideMark/>
          </w:tcPr>
          <w:p w14:paraId="4511C0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55232CE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17F37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w:t>
            </w:r>
          </w:p>
        </w:tc>
        <w:tc>
          <w:tcPr>
            <w:tcW w:w="1417" w:type="dxa"/>
            <w:noWrap/>
            <w:hideMark/>
          </w:tcPr>
          <w:p w14:paraId="4893F87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06B7BDC2" w14:textId="77777777" w:rsidTr="001367E0">
        <w:tblPrEx>
          <w:tblCellMar>
            <w:left w:w="108" w:type="dxa"/>
            <w:right w:w="108" w:type="dxa"/>
          </w:tblCellMar>
        </w:tblPrEx>
        <w:trPr>
          <w:trHeight w:val="465"/>
        </w:trPr>
        <w:tc>
          <w:tcPr>
            <w:tcW w:w="737" w:type="dxa"/>
            <w:noWrap/>
            <w:hideMark/>
          </w:tcPr>
          <w:p w14:paraId="26B3917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10207</w:t>
            </w:r>
          </w:p>
        </w:tc>
        <w:tc>
          <w:tcPr>
            <w:tcW w:w="1559" w:type="dxa"/>
            <w:noWrap/>
            <w:hideMark/>
          </w:tcPr>
          <w:p w14:paraId="51DF318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Kentlyn Public School</w:t>
            </w:r>
          </w:p>
        </w:tc>
        <w:tc>
          <w:tcPr>
            <w:tcW w:w="709" w:type="dxa"/>
            <w:noWrap/>
            <w:hideMark/>
          </w:tcPr>
          <w:p w14:paraId="7A7CF3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69434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EB2F0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1B5E92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Georges River Rd</w:t>
            </w:r>
          </w:p>
        </w:tc>
        <w:tc>
          <w:tcPr>
            <w:tcW w:w="1134" w:type="dxa"/>
            <w:noWrap/>
            <w:hideMark/>
          </w:tcPr>
          <w:p w14:paraId="4ABF984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3428ED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134" w:type="dxa"/>
            <w:noWrap/>
            <w:hideMark/>
          </w:tcPr>
          <w:p w14:paraId="1B6F02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0CC3E41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21293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c>
          <w:tcPr>
            <w:tcW w:w="1417" w:type="dxa"/>
            <w:noWrap/>
            <w:hideMark/>
          </w:tcPr>
          <w:p w14:paraId="2DB4A8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7885F61B" w14:textId="77777777" w:rsidTr="001367E0">
        <w:tblPrEx>
          <w:tblCellMar>
            <w:left w:w="108" w:type="dxa"/>
            <w:right w:w="108" w:type="dxa"/>
          </w:tblCellMar>
        </w:tblPrEx>
        <w:trPr>
          <w:trHeight w:val="465"/>
        </w:trPr>
        <w:tc>
          <w:tcPr>
            <w:tcW w:w="737" w:type="dxa"/>
            <w:noWrap/>
            <w:hideMark/>
          </w:tcPr>
          <w:p w14:paraId="51F764D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14954</w:t>
            </w:r>
          </w:p>
        </w:tc>
        <w:tc>
          <w:tcPr>
            <w:tcW w:w="1559" w:type="dxa"/>
            <w:noWrap/>
            <w:hideMark/>
          </w:tcPr>
          <w:p w14:paraId="1AE449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Kincumber High School</w:t>
            </w:r>
          </w:p>
        </w:tc>
        <w:tc>
          <w:tcPr>
            <w:tcW w:w="709" w:type="dxa"/>
            <w:noWrap/>
            <w:hideMark/>
          </w:tcPr>
          <w:p w14:paraId="42EEF73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48EBA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2A87D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4D3948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Bungoona Rd</w:t>
            </w:r>
          </w:p>
        </w:tc>
        <w:tc>
          <w:tcPr>
            <w:tcW w:w="1134" w:type="dxa"/>
            <w:noWrap/>
            <w:hideMark/>
          </w:tcPr>
          <w:p w14:paraId="63F5C93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73562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061C3D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32.4</w:t>
            </w:r>
          </w:p>
        </w:tc>
        <w:tc>
          <w:tcPr>
            <w:tcW w:w="1134" w:type="dxa"/>
            <w:noWrap/>
            <w:hideMark/>
          </w:tcPr>
          <w:p w14:paraId="04638DA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19.0</w:t>
            </w:r>
          </w:p>
        </w:tc>
        <w:tc>
          <w:tcPr>
            <w:tcW w:w="1276" w:type="dxa"/>
            <w:noWrap/>
            <w:hideMark/>
          </w:tcPr>
          <w:p w14:paraId="7A3D791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129</w:t>
            </w:r>
          </w:p>
        </w:tc>
        <w:tc>
          <w:tcPr>
            <w:tcW w:w="1417" w:type="dxa"/>
            <w:noWrap/>
            <w:hideMark/>
          </w:tcPr>
          <w:p w14:paraId="235B16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45F3D693" w14:textId="77777777" w:rsidTr="001367E0">
        <w:tblPrEx>
          <w:tblCellMar>
            <w:left w:w="108" w:type="dxa"/>
            <w:right w:w="108" w:type="dxa"/>
          </w:tblCellMar>
        </w:tblPrEx>
        <w:trPr>
          <w:trHeight w:val="465"/>
        </w:trPr>
        <w:tc>
          <w:tcPr>
            <w:tcW w:w="737" w:type="dxa"/>
            <w:noWrap/>
            <w:hideMark/>
          </w:tcPr>
          <w:p w14:paraId="463F68E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8596</w:t>
            </w:r>
          </w:p>
        </w:tc>
        <w:tc>
          <w:tcPr>
            <w:tcW w:w="1559" w:type="dxa"/>
            <w:noWrap/>
            <w:hideMark/>
          </w:tcPr>
          <w:p w14:paraId="09A7A8B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Kingsgrove High School</w:t>
            </w:r>
          </w:p>
        </w:tc>
        <w:tc>
          <w:tcPr>
            <w:tcW w:w="709" w:type="dxa"/>
            <w:noWrap/>
            <w:hideMark/>
          </w:tcPr>
          <w:p w14:paraId="7FFFCBD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33CF29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43471B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AFA420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Kingsgrove Rd</w:t>
            </w:r>
          </w:p>
        </w:tc>
        <w:tc>
          <w:tcPr>
            <w:tcW w:w="1134" w:type="dxa"/>
            <w:noWrap/>
            <w:hideMark/>
          </w:tcPr>
          <w:p w14:paraId="3DC4FA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8BBFB0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28.9</w:t>
            </w:r>
          </w:p>
        </w:tc>
        <w:tc>
          <w:tcPr>
            <w:tcW w:w="1134" w:type="dxa"/>
            <w:noWrap/>
            <w:hideMark/>
          </w:tcPr>
          <w:p w14:paraId="6E9958B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0BED27E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42128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197</w:t>
            </w:r>
          </w:p>
        </w:tc>
        <w:tc>
          <w:tcPr>
            <w:tcW w:w="1417" w:type="dxa"/>
            <w:noWrap/>
            <w:hideMark/>
          </w:tcPr>
          <w:p w14:paraId="270D57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00274351" w14:textId="77777777" w:rsidTr="001367E0">
        <w:tblPrEx>
          <w:tblCellMar>
            <w:left w:w="108" w:type="dxa"/>
            <w:right w:w="108" w:type="dxa"/>
          </w:tblCellMar>
        </w:tblPrEx>
        <w:trPr>
          <w:trHeight w:val="465"/>
        </w:trPr>
        <w:tc>
          <w:tcPr>
            <w:tcW w:w="737" w:type="dxa"/>
            <w:noWrap/>
            <w:hideMark/>
          </w:tcPr>
          <w:p w14:paraId="367BA25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8597</w:t>
            </w:r>
          </w:p>
        </w:tc>
        <w:tc>
          <w:tcPr>
            <w:tcW w:w="1559" w:type="dxa"/>
            <w:noWrap/>
            <w:hideMark/>
          </w:tcPr>
          <w:p w14:paraId="400EB9E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Kingsgrove North High School</w:t>
            </w:r>
          </w:p>
        </w:tc>
        <w:tc>
          <w:tcPr>
            <w:tcW w:w="709" w:type="dxa"/>
            <w:noWrap/>
            <w:hideMark/>
          </w:tcPr>
          <w:p w14:paraId="0FFE501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A52A0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ED5C07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944A09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 Albans Rd</w:t>
            </w:r>
          </w:p>
        </w:tc>
        <w:tc>
          <w:tcPr>
            <w:tcW w:w="1134" w:type="dxa"/>
            <w:noWrap/>
            <w:hideMark/>
          </w:tcPr>
          <w:p w14:paraId="48D0BBA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ABB11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35.4</w:t>
            </w:r>
          </w:p>
        </w:tc>
        <w:tc>
          <w:tcPr>
            <w:tcW w:w="1134" w:type="dxa"/>
            <w:noWrap/>
            <w:hideMark/>
          </w:tcPr>
          <w:p w14:paraId="4595082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0165A57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276" w:type="dxa"/>
            <w:noWrap/>
            <w:hideMark/>
          </w:tcPr>
          <w:p w14:paraId="3388B6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204</w:t>
            </w:r>
          </w:p>
        </w:tc>
        <w:tc>
          <w:tcPr>
            <w:tcW w:w="1417" w:type="dxa"/>
            <w:noWrap/>
            <w:hideMark/>
          </w:tcPr>
          <w:p w14:paraId="1ECED75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22F802CB" w14:textId="77777777" w:rsidTr="001367E0">
        <w:tblPrEx>
          <w:tblCellMar>
            <w:left w:w="108" w:type="dxa"/>
            <w:right w:w="108" w:type="dxa"/>
          </w:tblCellMar>
        </w:tblPrEx>
        <w:trPr>
          <w:trHeight w:val="465"/>
        </w:trPr>
        <w:tc>
          <w:tcPr>
            <w:tcW w:w="737" w:type="dxa"/>
            <w:noWrap/>
            <w:hideMark/>
          </w:tcPr>
          <w:p w14:paraId="7D4E201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10698</w:t>
            </w:r>
          </w:p>
        </w:tc>
        <w:tc>
          <w:tcPr>
            <w:tcW w:w="1559" w:type="dxa"/>
            <w:noWrap/>
            <w:hideMark/>
          </w:tcPr>
          <w:p w14:paraId="3931707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Kingswood High School</w:t>
            </w:r>
          </w:p>
        </w:tc>
        <w:tc>
          <w:tcPr>
            <w:tcW w:w="709" w:type="dxa"/>
            <w:noWrap/>
            <w:hideMark/>
          </w:tcPr>
          <w:p w14:paraId="38B3DF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79F22C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F0721A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FA32EA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Bringelly Rd</w:t>
            </w:r>
          </w:p>
        </w:tc>
        <w:tc>
          <w:tcPr>
            <w:tcW w:w="1134" w:type="dxa"/>
            <w:noWrap/>
            <w:hideMark/>
          </w:tcPr>
          <w:p w14:paraId="2241A9D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C1D698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39.6</w:t>
            </w:r>
          </w:p>
        </w:tc>
        <w:tc>
          <w:tcPr>
            <w:tcW w:w="1134" w:type="dxa"/>
            <w:noWrap/>
            <w:hideMark/>
          </w:tcPr>
          <w:p w14:paraId="1F666AB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36.1</w:t>
            </w:r>
          </w:p>
        </w:tc>
        <w:tc>
          <w:tcPr>
            <w:tcW w:w="1134" w:type="dxa"/>
            <w:noWrap/>
            <w:hideMark/>
          </w:tcPr>
          <w:p w14:paraId="3719907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276" w:type="dxa"/>
            <w:noWrap/>
            <w:hideMark/>
          </w:tcPr>
          <w:p w14:paraId="6AC78A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197</w:t>
            </w:r>
          </w:p>
        </w:tc>
        <w:tc>
          <w:tcPr>
            <w:tcW w:w="1417" w:type="dxa"/>
            <w:noWrap/>
            <w:hideMark/>
          </w:tcPr>
          <w:p w14:paraId="040731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w:t>
            </w:r>
          </w:p>
        </w:tc>
      </w:tr>
      <w:tr w:rsidR="006716B4" w:rsidRPr="006716B4" w14:paraId="069F3BA5" w14:textId="77777777" w:rsidTr="001367E0">
        <w:tblPrEx>
          <w:tblCellMar>
            <w:left w:w="108" w:type="dxa"/>
            <w:right w:w="108" w:type="dxa"/>
          </w:tblCellMar>
        </w:tblPrEx>
        <w:trPr>
          <w:trHeight w:val="465"/>
        </w:trPr>
        <w:tc>
          <w:tcPr>
            <w:tcW w:w="737" w:type="dxa"/>
            <w:noWrap/>
            <w:hideMark/>
          </w:tcPr>
          <w:p w14:paraId="1F8FEA3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10702</w:t>
            </w:r>
          </w:p>
        </w:tc>
        <w:tc>
          <w:tcPr>
            <w:tcW w:w="1559" w:type="dxa"/>
            <w:noWrap/>
            <w:hideMark/>
          </w:tcPr>
          <w:p w14:paraId="6F19B40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Kingswood South Public School</w:t>
            </w:r>
          </w:p>
        </w:tc>
        <w:tc>
          <w:tcPr>
            <w:tcW w:w="709" w:type="dxa"/>
            <w:noWrap/>
            <w:hideMark/>
          </w:tcPr>
          <w:p w14:paraId="481C14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8571FB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1698D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9793E8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Smith St</w:t>
            </w:r>
          </w:p>
        </w:tc>
        <w:tc>
          <w:tcPr>
            <w:tcW w:w="1134" w:type="dxa"/>
            <w:noWrap/>
            <w:hideMark/>
          </w:tcPr>
          <w:p w14:paraId="0B60F1E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12BEB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30.8</w:t>
            </w:r>
          </w:p>
        </w:tc>
        <w:tc>
          <w:tcPr>
            <w:tcW w:w="1134" w:type="dxa"/>
            <w:noWrap/>
            <w:hideMark/>
          </w:tcPr>
          <w:p w14:paraId="2CFB3D6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3D6E8D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5346A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w:t>
            </w:r>
          </w:p>
        </w:tc>
        <w:tc>
          <w:tcPr>
            <w:tcW w:w="1417" w:type="dxa"/>
            <w:noWrap/>
            <w:hideMark/>
          </w:tcPr>
          <w:p w14:paraId="56EABE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67CE7D25" w14:textId="77777777" w:rsidTr="001367E0">
        <w:tblPrEx>
          <w:tblCellMar>
            <w:left w:w="108" w:type="dxa"/>
            <w:right w:w="108" w:type="dxa"/>
          </w:tblCellMar>
        </w:tblPrEx>
        <w:trPr>
          <w:trHeight w:val="465"/>
        </w:trPr>
        <w:tc>
          <w:tcPr>
            <w:tcW w:w="737" w:type="dxa"/>
            <w:noWrap/>
            <w:hideMark/>
          </w:tcPr>
          <w:p w14:paraId="25BFDBA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6337</w:t>
            </w:r>
          </w:p>
        </w:tc>
        <w:tc>
          <w:tcPr>
            <w:tcW w:w="1559" w:type="dxa"/>
            <w:noWrap/>
            <w:hideMark/>
          </w:tcPr>
          <w:p w14:paraId="4C5B07D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Kogarah High School</w:t>
            </w:r>
          </w:p>
        </w:tc>
        <w:tc>
          <w:tcPr>
            <w:tcW w:w="709" w:type="dxa"/>
            <w:noWrap/>
            <w:hideMark/>
          </w:tcPr>
          <w:p w14:paraId="5B4878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655FF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C3DE5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D94FAF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Gladstone St</w:t>
            </w:r>
          </w:p>
        </w:tc>
        <w:tc>
          <w:tcPr>
            <w:tcW w:w="1134" w:type="dxa"/>
            <w:noWrap/>
            <w:hideMark/>
          </w:tcPr>
          <w:p w14:paraId="376DFD2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19585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46.1</w:t>
            </w:r>
          </w:p>
        </w:tc>
        <w:tc>
          <w:tcPr>
            <w:tcW w:w="1134" w:type="dxa"/>
            <w:noWrap/>
            <w:hideMark/>
          </w:tcPr>
          <w:p w14:paraId="3040B1B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3CEF80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B14C9A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175</w:t>
            </w:r>
          </w:p>
        </w:tc>
        <w:tc>
          <w:tcPr>
            <w:tcW w:w="1417" w:type="dxa"/>
            <w:noWrap/>
            <w:hideMark/>
          </w:tcPr>
          <w:p w14:paraId="778942A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6A2E3714" w14:textId="77777777" w:rsidTr="001367E0">
        <w:tblPrEx>
          <w:tblCellMar>
            <w:left w:w="108" w:type="dxa"/>
            <w:right w:w="108" w:type="dxa"/>
          </w:tblCellMar>
        </w:tblPrEx>
        <w:trPr>
          <w:trHeight w:val="465"/>
        </w:trPr>
        <w:tc>
          <w:tcPr>
            <w:tcW w:w="737" w:type="dxa"/>
            <w:noWrap/>
            <w:hideMark/>
          </w:tcPr>
          <w:p w14:paraId="77A3E01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10038</w:t>
            </w:r>
          </w:p>
        </w:tc>
        <w:tc>
          <w:tcPr>
            <w:tcW w:w="1559" w:type="dxa"/>
            <w:noWrap/>
            <w:hideMark/>
          </w:tcPr>
          <w:p w14:paraId="64D9930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Koonawarra Public School</w:t>
            </w:r>
          </w:p>
        </w:tc>
        <w:tc>
          <w:tcPr>
            <w:tcW w:w="709" w:type="dxa"/>
            <w:noWrap/>
            <w:hideMark/>
          </w:tcPr>
          <w:p w14:paraId="09EB1D6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BD313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0B96E94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781016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Byamee St</w:t>
            </w:r>
          </w:p>
        </w:tc>
        <w:tc>
          <w:tcPr>
            <w:tcW w:w="1134" w:type="dxa"/>
            <w:noWrap/>
            <w:hideMark/>
          </w:tcPr>
          <w:p w14:paraId="6B1F52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B9B15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39.1</w:t>
            </w:r>
          </w:p>
        </w:tc>
        <w:tc>
          <w:tcPr>
            <w:tcW w:w="1134" w:type="dxa"/>
            <w:noWrap/>
            <w:hideMark/>
          </w:tcPr>
          <w:p w14:paraId="7781E39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46.9</w:t>
            </w:r>
          </w:p>
        </w:tc>
        <w:tc>
          <w:tcPr>
            <w:tcW w:w="1134" w:type="dxa"/>
            <w:noWrap/>
            <w:hideMark/>
          </w:tcPr>
          <w:p w14:paraId="4D04E6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10.5</w:t>
            </w:r>
          </w:p>
        </w:tc>
        <w:tc>
          <w:tcPr>
            <w:tcW w:w="1276" w:type="dxa"/>
            <w:noWrap/>
            <w:hideMark/>
          </w:tcPr>
          <w:p w14:paraId="501DFD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59</w:t>
            </w:r>
          </w:p>
        </w:tc>
        <w:tc>
          <w:tcPr>
            <w:tcW w:w="1417" w:type="dxa"/>
            <w:noWrap/>
            <w:hideMark/>
          </w:tcPr>
          <w:p w14:paraId="299F95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w:t>
            </w:r>
          </w:p>
        </w:tc>
      </w:tr>
      <w:tr w:rsidR="006716B4" w:rsidRPr="006716B4" w14:paraId="2DA3F5EC" w14:textId="77777777" w:rsidTr="001367E0">
        <w:tblPrEx>
          <w:tblCellMar>
            <w:left w:w="108" w:type="dxa"/>
            <w:right w:w="108" w:type="dxa"/>
          </w:tblCellMar>
        </w:tblPrEx>
        <w:trPr>
          <w:trHeight w:val="465"/>
        </w:trPr>
        <w:tc>
          <w:tcPr>
            <w:tcW w:w="737" w:type="dxa"/>
            <w:noWrap/>
            <w:hideMark/>
          </w:tcPr>
          <w:p w14:paraId="0A03F14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9046</w:t>
            </w:r>
          </w:p>
        </w:tc>
        <w:tc>
          <w:tcPr>
            <w:tcW w:w="1559" w:type="dxa"/>
            <w:noWrap/>
            <w:hideMark/>
          </w:tcPr>
          <w:p w14:paraId="544B0F2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Kotara High School</w:t>
            </w:r>
          </w:p>
        </w:tc>
        <w:tc>
          <w:tcPr>
            <w:tcW w:w="709" w:type="dxa"/>
            <w:noWrap/>
            <w:hideMark/>
          </w:tcPr>
          <w:p w14:paraId="5E91EC8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F2C570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031298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B68D09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Lexington Pde</w:t>
            </w:r>
          </w:p>
        </w:tc>
        <w:tc>
          <w:tcPr>
            <w:tcW w:w="1134" w:type="dxa"/>
            <w:noWrap/>
            <w:hideMark/>
          </w:tcPr>
          <w:p w14:paraId="7F17AAF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4A06C2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17.3</w:t>
            </w:r>
          </w:p>
        </w:tc>
        <w:tc>
          <w:tcPr>
            <w:tcW w:w="1134" w:type="dxa"/>
            <w:noWrap/>
            <w:hideMark/>
          </w:tcPr>
          <w:p w14:paraId="0065B9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134" w:type="dxa"/>
            <w:noWrap/>
            <w:hideMark/>
          </w:tcPr>
          <w:p w14:paraId="598115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w:t>
            </w:r>
          </w:p>
        </w:tc>
        <w:tc>
          <w:tcPr>
            <w:tcW w:w="1276" w:type="dxa"/>
            <w:noWrap/>
            <w:hideMark/>
          </w:tcPr>
          <w:p w14:paraId="481772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122</w:t>
            </w:r>
          </w:p>
        </w:tc>
        <w:tc>
          <w:tcPr>
            <w:tcW w:w="1417" w:type="dxa"/>
            <w:noWrap/>
            <w:hideMark/>
          </w:tcPr>
          <w:p w14:paraId="46866A2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39AEE1B5" w14:textId="77777777" w:rsidTr="001367E0">
        <w:tblPrEx>
          <w:tblCellMar>
            <w:left w:w="108" w:type="dxa"/>
            <w:right w:w="108" w:type="dxa"/>
          </w:tblCellMar>
        </w:tblPrEx>
        <w:trPr>
          <w:trHeight w:val="465"/>
        </w:trPr>
        <w:tc>
          <w:tcPr>
            <w:tcW w:w="737" w:type="dxa"/>
            <w:noWrap/>
            <w:hideMark/>
          </w:tcPr>
          <w:p w14:paraId="061E33B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9755</w:t>
            </w:r>
          </w:p>
        </w:tc>
        <w:tc>
          <w:tcPr>
            <w:tcW w:w="1559" w:type="dxa"/>
            <w:noWrap/>
            <w:hideMark/>
          </w:tcPr>
          <w:p w14:paraId="4FB259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Kyogle Public School</w:t>
            </w:r>
          </w:p>
        </w:tc>
        <w:tc>
          <w:tcPr>
            <w:tcW w:w="709" w:type="dxa"/>
            <w:noWrap/>
            <w:hideMark/>
          </w:tcPr>
          <w:p w14:paraId="081F9C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FBFD14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CCCF4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DD54C2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192 Summerland Way</w:t>
            </w:r>
          </w:p>
        </w:tc>
        <w:tc>
          <w:tcPr>
            <w:tcW w:w="1134" w:type="dxa"/>
            <w:noWrap/>
            <w:hideMark/>
          </w:tcPr>
          <w:p w14:paraId="1AD8349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365467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31.6</w:t>
            </w:r>
          </w:p>
        </w:tc>
        <w:tc>
          <w:tcPr>
            <w:tcW w:w="1134" w:type="dxa"/>
            <w:noWrap/>
            <w:hideMark/>
          </w:tcPr>
          <w:p w14:paraId="0F4D080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193951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6FA6E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w:t>
            </w:r>
          </w:p>
        </w:tc>
        <w:tc>
          <w:tcPr>
            <w:tcW w:w="1417" w:type="dxa"/>
            <w:noWrap/>
            <w:hideMark/>
          </w:tcPr>
          <w:p w14:paraId="1076D3F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r>
      <w:tr w:rsidR="006716B4" w:rsidRPr="006716B4" w14:paraId="6504EAAB" w14:textId="77777777" w:rsidTr="001367E0">
        <w:tblPrEx>
          <w:tblCellMar>
            <w:left w:w="108" w:type="dxa"/>
            <w:right w:w="108" w:type="dxa"/>
          </w:tblCellMar>
        </w:tblPrEx>
        <w:trPr>
          <w:trHeight w:val="465"/>
        </w:trPr>
        <w:tc>
          <w:tcPr>
            <w:tcW w:w="737" w:type="dxa"/>
            <w:noWrap/>
            <w:hideMark/>
          </w:tcPr>
          <w:p w14:paraId="0515A5F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6501</w:t>
            </w:r>
          </w:p>
        </w:tc>
        <w:tc>
          <w:tcPr>
            <w:tcW w:w="1559" w:type="dxa"/>
            <w:noWrap/>
            <w:hideMark/>
          </w:tcPr>
          <w:p w14:paraId="2A8C939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Lake Illawarra High School</w:t>
            </w:r>
          </w:p>
        </w:tc>
        <w:tc>
          <w:tcPr>
            <w:tcW w:w="709" w:type="dxa"/>
            <w:noWrap/>
            <w:hideMark/>
          </w:tcPr>
          <w:p w14:paraId="6E074E7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95AFF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230AC4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F2F9A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Reddall Pde</w:t>
            </w:r>
          </w:p>
        </w:tc>
        <w:tc>
          <w:tcPr>
            <w:tcW w:w="1134" w:type="dxa"/>
            <w:noWrap/>
            <w:hideMark/>
          </w:tcPr>
          <w:p w14:paraId="1046BAC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4791B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38.1</w:t>
            </w:r>
          </w:p>
        </w:tc>
        <w:tc>
          <w:tcPr>
            <w:tcW w:w="1134" w:type="dxa"/>
            <w:noWrap/>
            <w:hideMark/>
          </w:tcPr>
          <w:p w14:paraId="350E72C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58.2</w:t>
            </w:r>
          </w:p>
        </w:tc>
        <w:tc>
          <w:tcPr>
            <w:tcW w:w="1134" w:type="dxa"/>
            <w:noWrap/>
            <w:hideMark/>
          </w:tcPr>
          <w:p w14:paraId="0655D53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24.3</w:t>
            </w:r>
          </w:p>
        </w:tc>
        <w:tc>
          <w:tcPr>
            <w:tcW w:w="1276" w:type="dxa"/>
            <w:noWrap/>
            <w:hideMark/>
          </w:tcPr>
          <w:p w14:paraId="25E298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190</w:t>
            </w:r>
          </w:p>
        </w:tc>
        <w:tc>
          <w:tcPr>
            <w:tcW w:w="1417" w:type="dxa"/>
            <w:noWrap/>
            <w:hideMark/>
          </w:tcPr>
          <w:p w14:paraId="00EED24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w:t>
            </w:r>
          </w:p>
        </w:tc>
      </w:tr>
      <w:tr w:rsidR="006716B4" w:rsidRPr="006716B4" w14:paraId="49E04FB5" w14:textId="77777777" w:rsidTr="001367E0">
        <w:tblPrEx>
          <w:tblCellMar>
            <w:left w:w="108" w:type="dxa"/>
            <w:right w:w="108" w:type="dxa"/>
          </w:tblCellMar>
        </w:tblPrEx>
        <w:trPr>
          <w:trHeight w:val="465"/>
        </w:trPr>
        <w:tc>
          <w:tcPr>
            <w:tcW w:w="737" w:type="dxa"/>
            <w:noWrap/>
            <w:hideMark/>
          </w:tcPr>
          <w:p w14:paraId="08AB80E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8991</w:t>
            </w:r>
          </w:p>
        </w:tc>
        <w:tc>
          <w:tcPr>
            <w:tcW w:w="1559" w:type="dxa"/>
            <w:noWrap/>
            <w:hideMark/>
          </w:tcPr>
          <w:p w14:paraId="367D20F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Lake Macquarie High School</w:t>
            </w:r>
          </w:p>
        </w:tc>
        <w:tc>
          <w:tcPr>
            <w:tcW w:w="709" w:type="dxa"/>
            <w:noWrap/>
            <w:hideMark/>
          </w:tcPr>
          <w:p w14:paraId="7966980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FE2CE0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6B07F1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ADB36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Marmong St</w:t>
            </w:r>
          </w:p>
        </w:tc>
        <w:tc>
          <w:tcPr>
            <w:tcW w:w="1134" w:type="dxa"/>
            <w:noWrap/>
            <w:hideMark/>
          </w:tcPr>
          <w:p w14:paraId="36D8D3F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749491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41.6</w:t>
            </w:r>
          </w:p>
        </w:tc>
        <w:tc>
          <w:tcPr>
            <w:tcW w:w="1134" w:type="dxa"/>
            <w:noWrap/>
            <w:hideMark/>
          </w:tcPr>
          <w:p w14:paraId="1186737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55.6</w:t>
            </w:r>
          </w:p>
        </w:tc>
        <w:tc>
          <w:tcPr>
            <w:tcW w:w="1134" w:type="dxa"/>
            <w:noWrap/>
            <w:hideMark/>
          </w:tcPr>
          <w:p w14:paraId="6E0964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276" w:type="dxa"/>
            <w:noWrap/>
            <w:hideMark/>
          </w:tcPr>
          <w:p w14:paraId="7969A64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150</w:t>
            </w:r>
          </w:p>
        </w:tc>
        <w:tc>
          <w:tcPr>
            <w:tcW w:w="1417" w:type="dxa"/>
            <w:noWrap/>
            <w:hideMark/>
          </w:tcPr>
          <w:p w14:paraId="651DF8D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w:t>
            </w:r>
          </w:p>
        </w:tc>
      </w:tr>
      <w:tr w:rsidR="006716B4" w:rsidRPr="006716B4" w14:paraId="04D33497" w14:textId="77777777" w:rsidTr="001367E0">
        <w:tblPrEx>
          <w:tblCellMar>
            <w:left w:w="108" w:type="dxa"/>
            <w:right w:w="108" w:type="dxa"/>
          </w:tblCellMar>
        </w:tblPrEx>
        <w:trPr>
          <w:trHeight w:val="465"/>
        </w:trPr>
        <w:tc>
          <w:tcPr>
            <w:tcW w:w="737" w:type="dxa"/>
            <w:noWrap/>
            <w:hideMark/>
          </w:tcPr>
          <w:p w14:paraId="3D5EB9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16629</w:t>
            </w:r>
          </w:p>
        </w:tc>
        <w:tc>
          <w:tcPr>
            <w:tcW w:w="1559" w:type="dxa"/>
            <w:noWrap/>
            <w:hideMark/>
          </w:tcPr>
          <w:p w14:paraId="75FB9E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Lake Munmorah High School</w:t>
            </w:r>
          </w:p>
        </w:tc>
        <w:tc>
          <w:tcPr>
            <w:tcW w:w="709" w:type="dxa"/>
            <w:noWrap/>
            <w:hideMark/>
          </w:tcPr>
          <w:p w14:paraId="510703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51EED3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E803AE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8600EB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Carters Rd</w:t>
            </w:r>
          </w:p>
        </w:tc>
        <w:tc>
          <w:tcPr>
            <w:tcW w:w="1134" w:type="dxa"/>
            <w:noWrap/>
            <w:hideMark/>
          </w:tcPr>
          <w:p w14:paraId="1821BD8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16FBF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44.0</w:t>
            </w:r>
          </w:p>
        </w:tc>
        <w:tc>
          <w:tcPr>
            <w:tcW w:w="1134" w:type="dxa"/>
            <w:noWrap/>
            <w:hideMark/>
          </w:tcPr>
          <w:p w14:paraId="171B0F7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46.2</w:t>
            </w:r>
          </w:p>
        </w:tc>
        <w:tc>
          <w:tcPr>
            <w:tcW w:w="1134" w:type="dxa"/>
            <w:noWrap/>
            <w:hideMark/>
          </w:tcPr>
          <w:p w14:paraId="042C703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7D8D13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259</w:t>
            </w:r>
          </w:p>
        </w:tc>
        <w:tc>
          <w:tcPr>
            <w:tcW w:w="1417" w:type="dxa"/>
            <w:noWrap/>
            <w:hideMark/>
          </w:tcPr>
          <w:p w14:paraId="13DF9E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r>
      <w:tr w:rsidR="006716B4" w:rsidRPr="006716B4" w14:paraId="3CCFF5B1" w14:textId="77777777" w:rsidTr="001367E0">
        <w:tblPrEx>
          <w:tblCellMar>
            <w:left w:w="108" w:type="dxa"/>
            <w:right w:w="108" w:type="dxa"/>
          </w:tblCellMar>
        </w:tblPrEx>
        <w:trPr>
          <w:trHeight w:val="465"/>
        </w:trPr>
        <w:tc>
          <w:tcPr>
            <w:tcW w:w="737" w:type="dxa"/>
            <w:noWrap/>
            <w:hideMark/>
          </w:tcPr>
          <w:p w14:paraId="359527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10545</w:t>
            </w:r>
          </w:p>
        </w:tc>
        <w:tc>
          <w:tcPr>
            <w:tcW w:w="1559" w:type="dxa"/>
            <w:noWrap/>
            <w:hideMark/>
          </w:tcPr>
          <w:p w14:paraId="361543C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Lake Wyangan Public School</w:t>
            </w:r>
          </w:p>
        </w:tc>
        <w:tc>
          <w:tcPr>
            <w:tcW w:w="709" w:type="dxa"/>
            <w:noWrap/>
            <w:hideMark/>
          </w:tcPr>
          <w:p w14:paraId="68D60D5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6C9EF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BF35D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25E76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Boorga Rd</w:t>
            </w:r>
          </w:p>
        </w:tc>
        <w:tc>
          <w:tcPr>
            <w:tcW w:w="1134" w:type="dxa"/>
            <w:noWrap/>
            <w:hideMark/>
          </w:tcPr>
          <w:p w14:paraId="7D04D58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D7FC8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30.6</w:t>
            </w:r>
          </w:p>
        </w:tc>
        <w:tc>
          <w:tcPr>
            <w:tcW w:w="1134" w:type="dxa"/>
            <w:noWrap/>
            <w:hideMark/>
          </w:tcPr>
          <w:p w14:paraId="6A4172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6BDD1A6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C4AC0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w:t>
            </w:r>
          </w:p>
        </w:tc>
        <w:tc>
          <w:tcPr>
            <w:tcW w:w="1417" w:type="dxa"/>
            <w:noWrap/>
            <w:hideMark/>
          </w:tcPr>
          <w:p w14:paraId="7ACD9B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7550608E" w14:textId="77777777" w:rsidTr="001367E0">
        <w:tblPrEx>
          <w:tblCellMar>
            <w:left w:w="108" w:type="dxa"/>
            <w:right w:w="108" w:type="dxa"/>
          </w:tblCellMar>
        </w:tblPrEx>
        <w:trPr>
          <w:trHeight w:val="465"/>
        </w:trPr>
        <w:tc>
          <w:tcPr>
            <w:tcW w:w="737" w:type="dxa"/>
            <w:noWrap/>
            <w:hideMark/>
          </w:tcPr>
          <w:p w14:paraId="11116C6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10039</w:t>
            </w:r>
          </w:p>
        </w:tc>
        <w:tc>
          <w:tcPr>
            <w:tcW w:w="1559" w:type="dxa"/>
            <w:noWrap/>
            <w:hideMark/>
          </w:tcPr>
          <w:p w14:paraId="6477A05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Lakelands Public School</w:t>
            </w:r>
          </w:p>
        </w:tc>
        <w:tc>
          <w:tcPr>
            <w:tcW w:w="709" w:type="dxa"/>
            <w:noWrap/>
            <w:hideMark/>
          </w:tcPr>
          <w:p w14:paraId="5C4F71B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ECB3F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06584A7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42C876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Lakelands Drive</w:t>
            </w:r>
          </w:p>
        </w:tc>
        <w:tc>
          <w:tcPr>
            <w:tcW w:w="1134" w:type="dxa"/>
            <w:noWrap/>
            <w:hideMark/>
          </w:tcPr>
          <w:p w14:paraId="3B523BC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CCCFD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24.6</w:t>
            </w:r>
          </w:p>
        </w:tc>
        <w:tc>
          <w:tcPr>
            <w:tcW w:w="1134" w:type="dxa"/>
            <w:noWrap/>
            <w:hideMark/>
          </w:tcPr>
          <w:p w14:paraId="3F2E31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66.7</w:t>
            </w:r>
          </w:p>
        </w:tc>
        <w:tc>
          <w:tcPr>
            <w:tcW w:w="1134" w:type="dxa"/>
            <w:noWrap/>
            <w:hideMark/>
          </w:tcPr>
          <w:p w14:paraId="6A3EC9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5D5B8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w:t>
            </w:r>
          </w:p>
        </w:tc>
        <w:tc>
          <w:tcPr>
            <w:tcW w:w="1417" w:type="dxa"/>
            <w:noWrap/>
            <w:hideMark/>
          </w:tcPr>
          <w:p w14:paraId="73112F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r>
      <w:tr w:rsidR="006716B4" w:rsidRPr="006716B4" w14:paraId="5EF3DB03" w14:textId="77777777" w:rsidTr="001367E0">
        <w:tblPrEx>
          <w:tblCellMar>
            <w:left w:w="108" w:type="dxa"/>
            <w:right w:w="108" w:type="dxa"/>
          </w:tblCellMar>
        </w:tblPrEx>
        <w:trPr>
          <w:trHeight w:val="465"/>
        </w:trPr>
        <w:tc>
          <w:tcPr>
            <w:tcW w:w="737" w:type="dxa"/>
            <w:noWrap/>
            <w:hideMark/>
          </w:tcPr>
          <w:p w14:paraId="279521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7820</w:t>
            </w:r>
          </w:p>
        </w:tc>
        <w:tc>
          <w:tcPr>
            <w:tcW w:w="1559" w:type="dxa"/>
            <w:noWrap/>
            <w:hideMark/>
          </w:tcPr>
          <w:p w14:paraId="1F388CB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Lalor Park Public School</w:t>
            </w:r>
          </w:p>
        </w:tc>
        <w:tc>
          <w:tcPr>
            <w:tcW w:w="709" w:type="dxa"/>
            <w:noWrap/>
            <w:hideMark/>
          </w:tcPr>
          <w:p w14:paraId="577BE15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67F8B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623648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6D58C0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Heffron Rd</w:t>
            </w:r>
          </w:p>
        </w:tc>
        <w:tc>
          <w:tcPr>
            <w:tcW w:w="1134" w:type="dxa"/>
            <w:noWrap/>
            <w:hideMark/>
          </w:tcPr>
          <w:p w14:paraId="396AC13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F8323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34.3</w:t>
            </w:r>
          </w:p>
        </w:tc>
        <w:tc>
          <w:tcPr>
            <w:tcW w:w="1134" w:type="dxa"/>
            <w:noWrap/>
            <w:hideMark/>
          </w:tcPr>
          <w:p w14:paraId="74F34B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34B619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276" w:type="dxa"/>
            <w:noWrap/>
            <w:hideMark/>
          </w:tcPr>
          <w:p w14:paraId="48EEA4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c>
          <w:tcPr>
            <w:tcW w:w="1417" w:type="dxa"/>
            <w:noWrap/>
            <w:hideMark/>
          </w:tcPr>
          <w:p w14:paraId="06329E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42F5F85B" w14:textId="77777777" w:rsidTr="001367E0">
        <w:tblPrEx>
          <w:tblCellMar>
            <w:left w:w="108" w:type="dxa"/>
            <w:right w:w="108" w:type="dxa"/>
          </w:tblCellMar>
        </w:tblPrEx>
        <w:trPr>
          <w:trHeight w:val="465"/>
        </w:trPr>
        <w:tc>
          <w:tcPr>
            <w:tcW w:w="737" w:type="dxa"/>
            <w:noWrap/>
            <w:hideMark/>
          </w:tcPr>
          <w:p w14:paraId="4C25FD1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10557</w:t>
            </w:r>
          </w:p>
        </w:tc>
        <w:tc>
          <w:tcPr>
            <w:tcW w:w="1559" w:type="dxa"/>
            <w:noWrap/>
            <w:hideMark/>
          </w:tcPr>
          <w:p w14:paraId="686C71D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Leeton High School</w:t>
            </w:r>
          </w:p>
        </w:tc>
        <w:tc>
          <w:tcPr>
            <w:tcW w:w="709" w:type="dxa"/>
            <w:noWrap/>
            <w:hideMark/>
          </w:tcPr>
          <w:p w14:paraId="23582E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8F5411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43CE4E7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CA51FE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Mallee &amp; Myrtle Sts</w:t>
            </w:r>
          </w:p>
        </w:tc>
        <w:tc>
          <w:tcPr>
            <w:tcW w:w="1134" w:type="dxa"/>
            <w:noWrap/>
            <w:hideMark/>
          </w:tcPr>
          <w:p w14:paraId="45C566E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109E6D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36.4</w:t>
            </w:r>
          </w:p>
        </w:tc>
        <w:tc>
          <w:tcPr>
            <w:tcW w:w="1134" w:type="dxa"/>
            <w:noWrap/>
            <w:hideMark/>
          </w:tcPr>
          <w:p w14:paraId="33EA8D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67.4</w:t>
            </w:r>
          </w:p>
        </w:tc>
        <w:tc>
          <w:tcPr>
            <w:tcW w:w="1134" w:type="dxa"/>
            <w:noWrap/>
            <w:hideMark/>
          </w:tcPr>
          <w:p w14:paraId="4844DE7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21.9</w:t>
            </w:r>
          </w:p>
        </w:tc>
        <w:tc>
          <w:tcPr>
            <w:tcW w:w="1276" w:type="dxa"/>
            <w:noWrap/>
            <w:hideMark/>
          </w:tcPr>
          <w:p w14:paraId="15186F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110</w:t>
            </w:r>
          </w:p>
        </w:tc>
        <w:tc>
          <w:tcPr>
            <w:tcW w:w="1417" w:type="dxa"/>
            <w:noWrap/>
            <w:hideMark/>
          </w:tcPr>
          <w:p w14:paraId="656DDE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w:t>
            </w:r>
          </w:p>
        </w:tc>
      </w:tr>
      <w:tr w:rsidR="006716B4" w:rsidRPr="006716B4" w14:paraId="5C3DC291" w14:textId="77777777" w:rsidTr="001367E0">
        <w:tblPrEx>
          <w:tblCellMar>
            <w:left w:w="108" w:type="dxa"/>
            <w:right w:w="108" w:type="dxa"/>
          </w:tblCellMar>
        </w:tblPrEx>
        <w:trPr>
          <w:trHeight w:val="465"/>
        </w:trPr>
        <w:tc>
          <w:tcPr>
            <w:tcW w:w="737" w:type="dxa"/>
            <w:noWrap/>
            <w:hideMark/>
          </w:tcPr>
          <w:p w14:paraId="7145805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9738</w:t>
            </w:r>
          </w:p>
        </w:tc>
        <w:tc>
          <w:tcPr>
            <w:tcW w:w="1559" w:type="dxa"/>
            <w:noWrap/>
            <w:hideMark/>
          </w:tcPr>
          <w:p w14:paraId="125A70A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Leeville Public School</w:t>
            </w:r>
          </w:p>
        </w:tc>
        <w:tc>
          <w:tcPr>
            <w:tcW w:w="709" w:type="dxa"/>
            <w:noWrap/>
            <w:hideMark/>
          </w:tcPr>
          <w:p w14:paraId="32A0ED6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2C0FC8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0A4E55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100199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9375 Summerland Way</w:t>
            </w:r>
          </w:p>
        </w:tc>
        <w:tc>
          <w:tcPr>
            <w:tcW w:w="1134" w:type="dxa"/>
            <w:noWrap/>
            <w:hideMark/>
          </w:tcPr>
          <w:p w14:paraId="2BE1C86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FD1496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18.9</w:t>
            </w:r>
          </w:p>
        </w:tc>
        <w:tc>
          <w:tcPr>
            <w:tcW w:w="1134" w:type="dxa"/>
            <w:noWrap/>
            <w:hideMark/>
          </w:tcPr>
          <w:p w14:paraId="6AFA64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22E828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F6ABBC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c>
          <w:tcPr>
            <w:tcW w:w="1417" w:type="dxa"/>
            <w:noWrap/>
            <w:hideMark/>
          </w:tcPr>
          <w:p w14:paraId="7CB238E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1046BC09" w14:textId="77777777" w:rsidTr="001367E0">
        <w:tblPrEx>
          <w:tblCellMar>
            <w:left w:w="108" w:type="dxa"/>
            <w:right w:w="108" w:type="dxa"/>
          </w:tblCellMar>
        </w:tblPrEx>
        <w:trPr>
          <w:trHeight w:val="465"/>
        </w:trPr>
        <w:tc>
          <w:tcPr>
            <w:tcW w:w="737" w:type="dxa"/>
            <w:noWrap/>
            <w:hideMark/>
          </w:tcPr>
          <w:p w14:paraId="485E2DF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6508</w:t>
            </w:r>
          </w:p>
        </w:tc>
        <w:tc>
          <w:tcPr>
            <w:tcW w:w="1559" w:type="dxa"/>
            <w:noWrap/>
            <w:hideMark/>
          </w:tcPr>
          <w:p w14:paraId="6016F94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Leumeah High School</w:t>
            </w:r>
          </w:p>
        </w:tc>
        <w:tc>
          <w:tcPr>
            <w:tcW w:w="709" w:type="dxa"/>
            <w:noWrap/>
            <w:hideMark/>
          </w:tcPr>
          <w:p w14:paraId="6C67209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B5A39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F569B7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89619E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Junction Rd</w:t>
            </w:r>
          </w:p>
        </w:tc>
        <w:tc>
          <w:tcPr>
            <w:tcW w:w="1134" w:type="dxa"/>
            <w:noWrap/>
            <w:hideMark/>
          </w:tcPr>
          <w:p w14:paraId="516CF40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BD9CD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29.8</w:t>
            </w:r>
          </w:p>
        </w:tc>
        <w:tc>
          <w:tcPr>
            <w:tcW w:w="1134" w:type="dxa"/>
            <w:noWrap/>
            <w:hideMark/>
          </w:tcPr>
          <w:p w14:paraId="4DBE488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46.2</w:t>
            </w:r>
          </w:p>
        </w:tc>
        <w:tc>
          <w:tcPr>
            <w:tcW w:w="1134" w:type="dxa"/>
            <w:noWrap/>
            <w:hideMark/>
          </w:tcPr>
          <w:p w14:paraId="17F142C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w:t>
            </w:r>
          </w:p>
        </w:tc>
        <w:tc>
          <w:tcPr>
            <w:tcW w:w="1276" w:type="dxa"/>
            <w:noWrap/>
            <w:hideMark/>
          </w:tcPr>
          <w:p w14:paraId="1D9C918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179</w:t>
            </w:r>
          </w:p>
        </w:tc>
        <w:tc>
          <w:tcPr>
            <w:tcW w:w="1417" w:type="dxa"/>
            <w:noWrap/>
            <w:hideMark/>
          </w:tcPr>
          <w:p w14:paraId="1A88E1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w:t>
            </w:r>
          </w:p>
        </w:tc>
      </w:tr>
      <w:tr w:rsidR="006716B4" w:rsidRPr="006716B4" w14:paraId="7D940C97" w14:textId="77777777" w:rsidTr="001367E0">
        <w:tblPrEx>
          <w:tblCellMar>
            <w:left w:w="108" w:type="dxa"/>
            <w:right w:w="108" w:type="dxa"/>
          </w:tblCellMar>
        </w:tblPrEx>
        <w:trPr>
          <w:trHeight w:val="465"/>
        </w:trPr>
        <w:tc>
          <w:tcPr>
            <w:tcW w:w="737" w:type="dxa"/>
            <w:noWrap/>
            <w:hideMark/>
          </w:tcPr>
          <w:p w14:paraId="04A8675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7606</w:t>
            </w:r>
          </w:p>
        </w:tc>
        <w:tc>
          <w:tcPr>
            <w:tcW w:w="1559" w:type="dxa"/>
            <w:noWrap/>
            <w:hideMark/>
          </w:tcPr>
          <w:p w14:paraId="4B91EFD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Lewisham Public School</w:t>
            </w:r>
          </w:p>
        </w:tc>
        <w:tc>
          <w:tcPr>
            <w:tcW w:w="709" w:type="dxa"/>
            <w:noWrap/>
            <w:hideMark/>
          </w:tcPr>
          <w:p w14:paraId="38AAE6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F5A46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55DA8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519589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The Boulevarde</w:t>
            </w:r>
          </w:p>
        </w:tc>
        <w:tc>
          <w:tcPr>
            <w:tcW w:w="1134" w:type="dxa"/>
            <w:noWrap/>
            <w:hideMark/>
          </w:tcPr>
          <w:p w14:paraId="7868410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2931E1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20.8</w:t>
            </w:r>
          </w:p>
        </w:tc>
        <w:tc>
          <w:tcPr>
            <w:tcW w:w="1134" w:type="dxa"/>
            <w:noWrap/>
            <w:hideMark/>
          </w:tcPr>
          <w:p w14:paraId="70F5C73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1FE7B28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6B834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c>
          <w:tcPr>
            <w:tcW w:w="1417" w:type="dxa"/>
            <w:noWrap/>
            <w:hideMark/>
          </w:tcPr>
          <w:p w14:paraId="33B9E5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5C48EB8B" w14:textId="77777777" w:rsidTr="001367E0">
        <w:tblPrEx>
          <w:tblCellMar>
            <w:left w:w="108" w:type="dxa"/>
            <w:right w:w="108" w:type="dxa"/>
          </w:tblCellMar>
        </w:tblPrEx>
        <w:trPr>
          <w:trHeight w:val="465"/>
        </w:trPr>
        <w:tc>
          <w:tcPr>
            <w:tcW w:w="737" w:type="dxa"/>
            <w:noWrap/>
            <w:hideMark/>
          </w:tcPr>
          <w:p w14:paraId="33B3EEE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14977</w:t>
            </w:r>
          </w:p>
        </w:tc>
        <w:tc>
          <w:tcPr>
            <w:tcW w:w="1559" w:type="dxa"/>
            <w:noWrap/>
            <w:hideMark/>
          </w:tcPr>
          <w:p w14:paraId="18E0B29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Lisarow High School</w:t>
            </w:r>
          </w:p>
        </w:tc>
        <w:tc>
          <w:tcPr>
            <w:tcW w:w="709" w:type="dxa"/>
            <w:noWrap/>
            <w:hideMark/>
          </w:tcPr>
          <w:p w14:paraId="7F2F235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E6AAE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DB7F04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489BA7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Chamberlain Rd</w:t>
            </w:r>
          </w:p>
        </w:tc>
        <w:tc>
          <w:tcPr>
            <w:tcW w:w="1134" w:type="dxa"/>
            <w:noWrap/>
            <w:hideMark/>
          </w:tcPr>
          <w:p w14:paraId="72C27B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A05366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22.4</w:t>
            </w:r>
          </w:p>
        </w:tc>
        <w:tc>
          <w:tcPr>
            <w:tcW w:w="1134" w:type="dxa"/>
            <w:noWrap/>
            <w:hideMark/>
          </w:tcPr>
          <w:p w14:paraId="2503C2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28.0</w:t>
            </w:r>
          </w:p>
        </w:tc>
        <w:tc>
          <w:tcPr>
            <w:tcW w:w="1134" w:type="dxa"/>
            <w:noWrap/>
            <w:hideMark/>
          </w:tcPr>
          <w:p w14:paraId="1C471A0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EBF5C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140</w:t>
            </w:r>
          </w:p>
        </w:tc>
        <w:tc>
          <w:tcPr>
            <w:tcW w:w="1417" w:type="dxa"/>
            <w:noWrap/>
            <w:hideMark/>
          </w:tcPr>
          <w:p w14:paraId="3E5EF7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r>
      <w:tr w:rsidR="006716B4" w:rsidRPr="006716B4" w14:paraId="710DD36D" w14:textId="77777777" w:rsidTr="001367E0">
        <w:tblPrEx>
          <w:tblCellMar>
            <w:left w:w="108" w:type="dxa"/>
            <w:right w:w="108" w:type="dxa"/>
          </w:tblCellMar>
        </w:tblPrEx>
        <w:trPr>
          <w:trHeight w:val="465"/>
        </w:trPr>
        <w:tc>
          <w:tcPr>
            <w:tcW w:w="737" w:type="dxa"/>
            <w:noWrap/>
            <w:hideMark/>
          </w:tcPr>
          <w:p w14:paraId="748126B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4407</w:t>
            </w:r>
          </w:p>
        </w:tc>
        <w:tc>
          <w:tcPr>
            <w:tcW w:w="1559" w:type="dxa"/>
            <w:noWrap/>
            <w:hideMark/>
          </w:tcPr>
          <w:p w14:paraId="19B7E21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Lismore Heights Public School</w:t>
            </w:r>
          </w:p>
        </w:tc>
        <w:tc>
          <w:tcPr>
            <w:tcW w:w="709" w:type="dxa"/>
            <w:noWrap/>
            <w:hideMark/>
          </w:tcPr>
          <w:p w14:paraId="3E68BC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310C2E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451167E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7CB5F1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195 High St</w:t>
            </w:r>
          </w:p>
        </w:tc>
        <w:tc>
          <w:tcPr>
            <w:tcW w:w="1134" w:type="dxa"/>
            <w:noWrap/>
            <w:hideMark/>
          </w:tcPr>
          <w:p w14:paraId="600C815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ACC0F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29.3</w:t>
            </w:r>
          </w:p>
        </w:tc>
        <w:tc>
          <w:tcPr>
            <w:tcW w:w="1134" w:type="dxa"/>
            <w:noWrap/>
            <w:hideMark/>
          </w:tcPr>
          <w:p w14:paraId="6173C5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52.6</w:t>
            </w:r>
          </w:p>
        </w:tc>
        <w:tc>
          <w:tcPr>
            <w:tcW w:w="1134" w:type="dxa"/>
            <w:noWrap/>
            <w:hideMark/>
          </w:tcPr>
          <w:p w14:paraId="315E59C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9.1</w:t>
            </w:r>
          </w:p>
        </w:tc>
        <w:tc>
          <w:tcPr>
            <w:tcW w:w="1276" w:type="dxa"/>
            <w:noWrap/>
            <w:hideMark/>
          </w:tcPr>
          <w:p w14:paraId="0BA627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w:t>
            </w:r>
          </w:p>
        </w:tc>
        <w:tc>
          <w:tcPr>
            <w:tcW w:w="1417" w:type="dxa"/>
            <w:noWrap/>
            <w:hideMark/>
          </w:tcPr>
          <w:p w14:paraId="0058FDD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r>
      <w:tr w:rsidR="006716B4" w:rsidRPr="006716B4" w14:paraId="42A6429F" w14:textId="77777777" w:rsidTr="001367E0">
        <w:tblPrEx>
          <w:tblCellMar>
            <w:left w:w="108" w:type="dxa"/>
            <w:right w:w="108" w:type="dxa"/>
          </w:tblCellMar>
        </w:tblPrEx>
        <w:trPr>
          <w:trHeight w:val="465"/>
        </w:trPr>
        <w:tc>
          <w:tcPr>
            <w:tcW w:w="737" w:type="dxa"/>
            <w:noWrap/>
            <w:hideMark/>
          </w:tcPr>
          <w:p w14:paraId="3A74E5A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9814</w:t>
            </w:r>
          </w:p>
        </w:tc>
        <w:tc>
          <w:tcPr>
            <w:tcW w:w="1559" w:type="dxa"/>
            <w:noWrap/>
            <w:hideMark/>
          </w:tcPr>
          <w:p w14:paraId="319AEC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Lismore High School</w:t>
            </w:r>
          </w:p>
        </w:tc>
        <w:tc>
          <w:tcPr>
            <w:tcW w:w="709" w:type="dxa"/>
            <w:noWrap/>
            <w:hideMark/>
          </w:tcPr>
          <w:p w14:paraId="1F6F79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29FEF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1CC55EF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AD94F8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Dalley St</w:t>
            </w:r>
          </w:p>
        </w:tc>
        <w:tc>
          <w:tcPr>
            <w:tcW w:w="1134" w:type="dxa"/>
            <w:noWrap/>
            <w:hideMark/>
          </w:tcPr>
          <w:p w14:paraId="5DCD869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0B091A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40.3</w:t>
            </w:r>
          </w:p>
        </w:tc>
        <w:tc>
          <w:tcPr>
            <w:tcW w:w="1134" w:type="dxa"/>
            <w:noWrap/>
            <w:hideMark/>
          </w:tcPr>
          <w:p w14:paraId="00D00B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66.7</w:t>
            </w:r>
          </w:p>
        </w:tc>
        <w:tc>
          <w:tcPr>
            <w:tcW w:w="1134" w:type="dxa"/>
            <w:noWrap/>
            <w:hideMark/>
          </w:tcPr>
          <w:p w14:paraId="4845070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26.7</w:t>
            </w:r>
          </w:p>
        </w:tc>
        <w:tc>
          <w:tcPr>
            <w:tcW w:w="1276" w:type="dxa"/>
            <w:noWrap/>
            <w:hideMark/>
          </w:tcPr>
          <w:p w14:paraId="1B2C7E4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127</w:t>
            </w:r>
          </w:p>
        </w:tc>
        <w:tc>
          <w:tcPr>
            <w:tcW w:w="1417" w:type="dxa"/>
            <w:noWrap/>
            <w:hideMark/>
          </w:tcPr>
          <w:p w14:paraId="14F629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w:t>
            </w:r>
          </w:p>
        </w:tc>
      </w:tr>
      <w:tr w:rsidR="006716B4" w:rsidRPr="006716B4" w14:paraId="4DE91FAF" w14:textId="77777777" w:rsidTr="001367E0">
        <w:tblPrEx>
          <w:tblCellMar>
            <w:left w:w="108" w:type="dxa"/>
            <w:right w:w="108" w:type="dxa"/>
          </w:tblCellMar>
        </w:tblPrEx>
        <w:trPr>
          <w:trHeight w:val="465"/>
        </w:trPr>
        <w:tc>
          <w:tcPr>
            <w:tcW w:w="737" w:type="dxa"/>
            <w:noWrap/>
            <w:hideMark/>
          </w:tcPr>
          <w:p w14:paraId="7F56B38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9816</w:t>
            </w:r>
          </w:p>
        </w:tc>
        <w:tc>
          <w:tcPr>
            <w:tcW w:w="1559" w:type="dxa"/>
            <w:noWrap/>
            <w:hideMark/>
          </w:tcPr>
          <w:p w14:paraId="3C319C0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Lismore Public School</w:t>
            </w:r>
          </w:p>
        </w:tc>
        <w:tc>
          <w:tcPr>
            <w:tcW w:w="709" w:type="dxa"/>
            <w:noWrap/>
            <w:hideMark/>
          </w:tcPr>
          <w:p w14:paraId="563C9B7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E2581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2FEE46F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32614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Pound St</w:t>
            </w:r>
          </w:p>
        </w:tc>
        <w:tc>
          <w:tcPr>
            <w:tcW w:w="1134" w:type="dxa"/>
            <w:noWrap/>
            <w:hideMark/>
          </w:tcPr>
          <w:p w14:paraId="46FF961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62D86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32.8</w:t>
            </w:r>
          </w:p>
        </w:tc>
        <w:tc>
          <w:tcPr>
            <w:tcW w:w="1134" w:type="dxa"/>
            <w:noWrap/>
            <w:hideMark/>
          </w:tcPr>
          <w:p w14:paraId="2B91E67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64.3</w:t>
            </w:r>
          </w:p>
        </w:tc>
        <w:tc>
          <w:tcPr>
            <w:tcW w:w="1134" w:type="dxa"/>
            <w:noWrap/>
            <w:hideMark/>
          </w:tcPr>
          <w:p w14:paraId="17441EC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6.3</w:t>
            </w:r>
          </w:p>
        </w:tc>
        <w:tc>
          <w:tcPr>
            <w:tcW w:w="1276" w:type="dxa"/>
            <w:noWrap/>
            <w:hideMark/>
          </w:tcPr>
          <w:p w14:paraId="2B5CA7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58</w:t>
            </w:r>
          </w:p>
        </w:tc>
        <w:tc>
          <w:tcPr>
            <w:tcW w:w="1417" w:type="dxa"/>
            <w:noWrap/>
            <w:hideMark/>
          </w:tcPr>
          <w:p w14:paraId="1C99A8B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w:t>
            </w:r>
          </w:p>
        </w:tc>
      </w:tr>
      <w:tr w:rsidR="006716B4" w:rsidRPr="006716B4" w14:paraId="504A2DE7" w14:textId="77777777" w:rsidTr="001367E0">
        <w:tblPrEx>
          <w:tblCellMar>
            <w:left w:w="108" w:type="dxa"/>
            <w:right w:w="108" w:type="dxa"/>
          </w:tblCellMar>
        </w:tblPrEx>
        <w:trPr>
          <w:trHeight w:val="465"/>
        </w:trPr>
        <w:tc>
          <w:tcPr>
            <w:tcW w:w="737" w:type="dxa"/>
            <w:noWrap/>
            <w:hideMark/>
          </w:tcPr>
          <w:p w14:paraId="03715BD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10509</w:t>
            </w:r>
          </w:p>
        </w:tc>
        <w:tc>
          <w:tcPr>
            <w:tcW w:w="1559" w:type="dxa"/>
            <w:noWrap/>
            <w:hideMark/>
          </w:tcPr>
          <w:p w14:paraId="2EDBE8D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Lockhart Central School</w:t>
            </w:r>
          </w:p>
        </w:tc>
        <w:tc>
          <w:tcPr>
            <w:tcW w:w="709" w:type="dxa"/>
            <w:noWrap/>
            <w:hideMark/>
          </w:tcPr>
          <w:p w14:paraId="4581703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1BB4A4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591D13C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4B8D9E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Halliday St</w:t>
            </w:r>
          </w:p>
        </w:tc>
        <w:tc>
          <w:tcPr>
            <w:tcW w:w="1134" w:type="dxa"/>
            <w:noWrap/>
            <w:hideMark/>
          </w:tcPr>
          <w:p w14:paraId="1302A3B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74F9C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29.3</w:t>
            </w:r>
          </w:p>
        </w:tc>
        <w:tc>
          <w:tcPr>
            <w:tcW w:w="1134" w:type="dxa"/>
            <w:noWrap/>
            <w:hideMark/>
          </w:tcPr>
          <w:p w14:paraId="74362E8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40.0</w:t>
            </w:r>
          </w:p>
        </w:tc>
        <w:tc>
          <w:tcPr>
            <w:tcW w:w="1134" w:type="dxa"/>
            <w:noWrap/>
            <w:hideMark/>
          </w:tcPr>
          <w:p w14:paraId="5DA3F8A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276" w:type="dxa"/>
            <w:noWrap/>
            <w:hideMark/>
          </w:tcPr>
          <w:p w14:paraId="768762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w:t>
            </w:r>
          </w:p>
        </w:tc>
        <w:tc>
          <w:tcPr>
            <w:tcW w:w="1417" w:type="dxa"/>
            <w:noWrap/>
            <w:hideMark/>
          </w:tcPr>
          <w:p w14:paraId="42E46D8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2CEA3F89" w14:textId="77777777" w:rsidTr="001367E0">
        <w:tblPrEx>
          <w:tblCellMar>
            <w:left w:w="108" w:type="dxa"/>
            <w:right w:w="108" w:type="dxa"/>
          </w:tblCellMar>
        </w:tblPrEx>
        <w:trPr>
          <w:trHeight w:val="465"/>
        </w:trPr>
        <w:tc>
          <w:tcPr>
            <w:tcW w:w="737" w:type="dxa"/>
            <w:noWrap/>
            <w:hideMark/>
          </w:tcPr>
          <w:p w14:paraId="48CFE5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10728</w:t>
            </w:r>
          </w:p>
        </w:tc>
        <w:tc>
          <w:tcPr>
            <w:tcW w:w="1559" w:type="dxa"/>
            <w:noWrap/>
            <w:hideMark/>
          </w:tcPr>
          <w:p w14:paraId="6AAA701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Londonderry Public School</w:t>
            </w:r>
          </w:p>
        </w:tc>
        <w:tc>
          <w:tcPr>
            <w:tcW w:w="709" w:type="dxa"/>
            <w:noWrap/>
            <w:hideMark/>
          </w:tcPr>
          <w:p w14:paraId="279A16B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D6547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18683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05D9B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Londonderry Rd</w:t>
            </w:r>
          </w:p>
        </w:tc>
        <w:tc>
          <w:tcPr>
            <w:tcW w:w="1134" w:type="dxa"/>
            <w:noWrap/>
            <w:hideMark/>
          </w:tcPr>
          <w:p w14:paraId="5223764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57DA0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18.8</w:t>
            </w:r>
          </w:p>
        </w:tc>
        <w:tc>
          <w:tcPr>
            <w:tcW w:w="1134" w:type="dxa"/>
            <w:noWrap/>
            <w:hideMark/>
          </w:tcPr>
          <w:p w14:paraId="2F9130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6FEC4C0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72E111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w:t>
            </w:r>
          </w:p>
        </w:tc>
        <w:tc>
          <w:tcPr>
            <w:tcW w:w="1417" w:type="dxa"/>
            <w:noWrap/>
            <w:hideMark/>
          </w:tcPr>
          <w:p w14:paraId="1D53A4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19C2F654" w14:textId="77777777" w:rsidTr="001367E0">
        <w:tblPrEx>
          <w:tblCellMar>
            <w:left w:w="108" w:type="dxa"/>
            <w:right w:w="108" w:type="dxa"/>
          </w:tblCellMar>
        </w:tblPrEx>
        <w:trPr>
          <w:trHeight w:val="465"/>
        </w:trPr>
        <w:tc>
          <w:tcPr>
            <w:tcW w:w="737" w:type="dxa"/>
            <w:noWrap/>
            <w:hideMark/>
          </w:tcPr>
          <w:p w14:paraId="319429C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5331</w:t>
            </w:r>
          </w:p>
        </w:tc>
        <w:tc>
          <w:tcPr>
            <w:tcW w:w="1559" w:type="dxa"/>
            <w:noWrap/>
            <w:hideMark/>
          </w:tcPr>
          <w:p w14:paraId="1C13D4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Luddenham Public School</w:t>
            </w:r>
          </w:p>
        </w:tc>
        <w:tc>
          <w:tcPr>
            <w:tcW w:w="709" w:type="dxa"/>
            <w:noWrap/>
            <w:hideMark/>
          </w:tcPr>
          <w:p w14:paraId="3FD182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3884A0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E8DE7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50878E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24 Jamieson St</w:t>
            </w:r>
          </w:p>
        </w:tc>
        <w:tc>
          <w:tcPr>
            <w:tcW w:w="1134" w:type="dxa"/>
            <w:noWrap/>
            <w:hideMark/>
          </w:tcPr>
          <w:p w14:paraId="5113C42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E5A1F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25.6</w:t>
            </w:r>
          </w:p>
        </w:tc>
        <w:tc>
          <w:tcPr>
            <w:tcW w:w="1134" w:type="dxa"/>
            <w:noWrap/>
            <w:hideMark/>
          </w:tcPr>
          <w:p w14:paraId="62802E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6A9482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E67EA7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417" w:type="dxa"/>
            <w:noWrap/>
            <w:hideMark/>
          </w:tcPr>
          <w:p w14:paraId="539BC4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67A1C907" w14:textId="77777777" w:rsidTr="001367E0">
        <w:tblPrEx>
          <w:tblCellMar>
            <w:left w:w="108" w:type="dxa"/>
            <w:right w:w="108" w:type="dxa"/>
          </w:tblCellMar>
        </w:tblPrEx>
        <w:trPr>
          <w:trHeight w:val="465"/>
        </w:trPr>
        <w:tc>
          <w:tcPr>
            <w:tcW w:w="737" w:type="dxa"/>
            <w:noWrap/>
            <w:hideMark/>
          </w:tcPr>
          <w:p w14:paraId="6770BC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11077</w:t>
            </w:r>
          </w:p>
        </w:tc>
        <w:tc>
          <w:tcPr>
            <w:tcW w:w="1559" w:type="dxa"/>
            <w:noWrap/>
            <w:hideMark/>
          </w:tcPr>
          <w:p w14:paraId="6AFD298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Lue Public School</w:t>
            </w:r>
          </w:p>
        </w:tc>
        <w:tc>
          <w:tcPr>
            <w:tcW w:w="709" w:type="dxa"/>
            <w:noWrap/>
            <w:hideMark/>
          </w:tcPr>
          <w:p w14:paraId="0D2E4F5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4A6CB3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4DCE0A0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46409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Swanston St</w:t>
            </w:r>
          </w:p>
        </w:tc>
        <w:tc>
          <w:tcPr>
            <w:tcW w:w="1134" w:type="dxa"/>
            <w:noWrap/>
            <w:hideMark/>
          </w:tcPr>
          <w:p w14:paraId="3CC9CA9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246D43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8.3</w:t>
            </w:r>
          </w:p>
        </w:tc>
        <w:tc>
          <w:tcPr>
            <w:tcW w:w="1134" w:type="dxa"/>
            <w:noWrap/>
            <w:hideMark/>
          </w:tcPr>
          <w:p w14:paraId="0EC4F2A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349EC6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A233C9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c>
          <w:tcPr>
            <w:tcW w:w="1417" w:type="dxa"/>
            <w:noWrap/>
            <w:hideMark/>
          </w:tcPr>
          <w:p w14:paraId="44D983C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696C7F2F" w14:textId="77777777" w:rsidTr="001367E0">
        <w:tblPrEx>
          <w:tblCellMar>
            <w:left w:w="108" w:type="dxa"/>
            <w:right w:w="108" w:type="dxa"/>
          </w:tblCellMar>
        </w:tblPrEx>
        <w:trPr>
          <w:trHeight w:val="465"/>
        </w:trPr>
        <w:tc>
          <w:tcPr>
            <w:tcW w:w="737" w:type="dxa"/>
            <w:noWrap/>
            <w:hideMark/>
          </w:tcPr>
          <w:p w14:paraId="44A9F9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6437</w:t>
            </w:r>
          </w:p>
        </w:tc>
        <w:tc>
          <w:tcPr>
            <w:tcW w:w="1559" w:type="dxa"/>
            <w:noWrap/>
            <w:hideMark/>
          </w:tcPr>
          <w:p w14:paraId="47E5872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Macintyre High School</w:t>
            </w:r>
          </w:p>
        </w:tc>
        <w:tc>
          <w:tcPr>
            <w:tcW w:w="709" w:type="dxa"/>
            <w:noWrap/>
            <w:hideMark/>
          </w:tcPr>
          <w:p w14:paraId="4B7FF59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6FE2BD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5FE51D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3A18A9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Swanbrook Rd</w:t>
            </w:r>
          </w:p>
        </w:tc>
        <w:tc>
          <w:tcPr>
            <w:tcW w:w="1134" w:type="dxa"/>
            <w:noWrap/>
            <w:hideMark/>
          </w:tcPr>
          <w:p w14:paraId="174E42C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064C59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38.5</w:t>
            </w:r>
          </w:p>
        </w:tc>
        <w:tc>
          <w:tcPr>
            <w:tcW w:w="1134" w:type="dxa"/>
            <w:noWrap/>
            <w:hideMark/>
          </w:tcPr>
          <w:p w14:paraId="24FD81B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69.2</w:t>
            </w:r>
          </w:p>
        </w:tc>
        <w:tc>
          <w:tcPr>
            <w:tcW w:w="1134" w:type="dxa"/>
            <w:noWrap/>
            <w:hideMark/>
          </w:tcPr>
          <w:p w14:paraId="2C65D1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12.1</w:t>
            </w:r>
          </w:p>
        </w:tc>
        <w:tc>
          <w:tcPr>
            <w:tcW w:w="1276" w:type="dxa"/>
            <w:noWrap/>
            <w:hideMark/>
          </w:tcPr>
          <w:p w14:paraId="59289F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122</w:t>
            </w:r>
          </w:p>
        </w:tc>
        <w:tc>
          <w:tcPr>
            <w:tcW w:w="1417" w:type="dxa"/>
            <w:noWrap/>
            <w:hideMark/>
          </w:tcPr>
          <w:p w14:paraId="0678F5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w:t>
            </w:r>
          </w:p>
        </w:tc>
      </w:tr>
      <w:tr w:rsidR="006716B4" w:rsidRPr="006716B4" w14:paraId="4994A2B8" w14:textId="77777777" w:rsidTr="001367E0">
        <w:tblPrEx>
          <w:tblCellMar>
            <w:left w:w="108" w:type="dxa"/>
            <w:right w:w="108" w:type="dxa"/>
          </w:tblCellMar>
        </w:tblPrEx>
        <w:trPr>
          <w:trHeight w:val="465"/>
        </w:trPr>
        <w:tc>
          <w:tcPr>
            <w:tcW w:w="737" w:type="dxa"/>
            <w:noWrap/>
            <w:hideMark/>
          </w:tcPr>
          <w:p w14:paraId="025822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9649</w:t>
            </w:r>
          </w:p>
        </w:tc>
        <w:tc>
          <w:tcPr>
            <w:tcW w:w="1559" w:type="dxa"/>
            <w:noWrap/>
            <w:hideMark/>
          </w:tcPr>
          <w:p w14:paraId="0A2DFFE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Macksville High School</w:t>
            </w:r>
          </w:p>
        </w:tc>
        <w:tc>
          <w:tcPr>
            <w:tcW w:w="709" w:type="dxa"/>
            <w:noWrap/>
            <w:hideMark/>
          </w:tcPr>
          <w:p w14:paraId="21BEF2E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57931F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057DD7B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7C830B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Boundary St</w:t>
            </w:r>
          </w:p>
        </w:tc>
        <w:tc>
          <w:tcPr>
            <w:tcW w:w="1134" w:type="dxa"/>
            <w:noWrap/>
            <w:hideMark/>
          </w:tcPr>
          <w:p w14:paraId="660286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9E212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30.2</w:t>
            </w:r>
          </w:p>
        </w:tc>
        <w:tc>
          <w:tcPr>
            <w:tcW w:w="1134" w:type="dxa"/>
            <w:noWrap/>
            <w:hideMark/>
          </w:tcPr>
          <w:p w14:paraId="40F4A9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66.7</w:t>
            </w:r>
          </w:p>
        </w:tc>
        <w:tc>
          <w:tcPr>
            <w:tcW w:w="1134" w:type="dxa"/>
            <w:noWrap/>
            <w:hideMark/>
          </w:tcPr>
          <w:p w14:paraId="0528EDA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7.4</w:t>
            </w:r>
          </w:p>
        </w:tc>
        <w:tc>
          <w:tcPr>
            <w:tcW w:w="1276" w:type="dxa"/>
            <w:noWrap/>
            <w:hideMark/>
          </w:tcPr>
          <w:p w14:paraId="0E32DF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134</w:t>
            </w:r>
          </w:p>
        </w:tc>
        <w:tc>
          <w:tcPr>
            <w:tcW w:w="1417" w:type="dxa"/>
            <w:noWrap/>
            <w:hideMark/>
          </w:tcPr>
          <w:p w14:paraId="50AAF56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w:t>
            </w:r>
          </w:p>
        </w:tc>
      </w:tr>
      <w:tr w:rsidR="006716B4" w:rsidRPr="006716B4" w14:paraId="3D46E919" w14:textId="77777777" w:rsidTr="001367E0">
        <w:tblPrEx>
          <w:tblCellMar>
            <w:left w:w="108" w:type="dxa"/>
            <w:right w:w="108" w:type="dxa"/>
          </w:tblCellMar>
        </w:tblPrEx>
        <w:trPr>
          <w:trHeight w:val="465"/>
        </w:trPr>
        <w:tc>
          <w:tcPr>
            <w:tcW w:w="737" w:type="dxa"/>
            <w:noWrap/>
            <w:hideMark/>
          </w:tcPr>
          <w:p w14:paraId="663338D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15124</w:t>
            </w:r>
          </w:p>
        </w:tc>
        <w:tc>
          <w:tcPr>
            <w:tcW w:w="1559" w:type="dxa"/>
            <w:noWrap/>
            <w:hideMark/>
          </w:tcPr>
          <w:p w14:paraId="5617B12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Maitland Grossmann High School</w:t>
            </w:r>
          </w:p>
        </w:tc>
        <w:tc>
          <w:tcPr>
            <w:tcW w:w="709" w:type="dxa"/>
            <w:noWrap/>
            <w:hideMark/>
          </w:tcPr>
          <w:p w14:paraId="65F4B9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87D5F8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7CC5C9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AC88F5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Cumberland &amp; Dixon Sts</w:t>
            </w:r>
          </w:p>
        </w:tc>
        <w:tc>
          <w:tcPr>
            <w:tcW w:w="1134" w:type="dxa"/>
            <w:noWrap/>
            <w:hideMark/>
          </w:tcPr>
          <w:p w14:paraId="0B2F42D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2F23E3D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18.8</w:t>
            </w:r>
          </w:p>
        </w:tc>
        <w:tc>
          <w:tcPr>
            <w:tcW w:w="1134" w:type="dxa"/>
            <w:noWrap/>
            <w:hideMark/>
          </w:tcPr>
          <w:p w14:paraId="0EE939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35.7</w:t>
            </w:r>
          </w:p>
        </w:tc>
        <w:tc>
          <w:tcPr>
            <w:tcW w:w="1134" w:type="dxa"/>
            <w:noWrap/>
            <w:hideMark/>
          </w:tcPr>
          <w:p w14:paraId="245A4C6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730EA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163</w:t>
            </w:r>
          </w:p>
        </w:tc>
        <w:tc>
          <w:tcPr>
            <w:tcW w:w="1417" w:type="dxa"/>
            <w:noWrap/>
            <w:hideMark/>
          </w:tcPr>
          <w:p w14:paraId="6AAE56D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r>
      <w:tr w:rsidR="006716B4" w:rsidRPr="006716B4" w14:paraId="7F384F93" w14:textId="77777777" w:rsidTr="001367E0">
        <w:tblPrEx>
          <w:tblCellMar>
            <w:left w:w="108" w:type="dxa"/>
            <w:right w:w="108" w:type="dxa"/>
          </w:tblCellMar>
        </w:tblPrEx>
        <w:trPr>
          <w:trHeight w:val="465"/>
        </w:trPr>
        <w:tc>
          <w:tcPr>
            <w:tcW w:w="737" w:type="dxa"/>
            <w:noWrap/>
            <w:hideMark/>
          </w:tcPr>
          <w:p w14:paraId="6469403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9191</w:t>
            </w:r>
          </w:p>
        </w:tc>
        <w:tc>
          <w:tcPr>
            <w:tcW w:w="1559" w:type="dxa"/>
            <w:noWrap/>
            <w:hideMark/>
          </w:tcPr>
          <w:p w14:paraId="34D274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Maitland High School</w:t>
            </w:r>
          </w:p>
        </w:tc>
        <w:tc>
          <w:tcPr>
            <w:tcW w:w="709" w:type="dxa"/>
            <w:noWrap/>
            <w:hideMark/>
          </w:tcPr>
          <w:p w14:paraId="08C839C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45D87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1323E4D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30DB29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High St</w:t>
            </w:r>
          </w:p>
        </w:tc>
        <w:tc>
          <w:tcPr>
            <w:tcW w:w="1134" w:type="dxa"/>
            <w:noWrap/>
            <w:hideMark/>
          </w:tcPr>
          <w:p w14:paraId="1F89191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994066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34.7</w:t>
            </w:r>
          </w:p>
        </w:tc>
        <w:tc>
          <w:tcPr>
            <w:tcW w:w="1134" w:type="dxa"/>
            <w:noWrap/>
            <w:hideMark/>
          </w:tcPr>
          <w:p w14:paraId="6EC5A9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58.7</w:t>
            </w:r>
          </w:p>
        </w:tc>
        <w:tc>
          <w:tcPr>
            <w:tcW w:w="1134" w:type="dxa"/>
            <w:noWrap/>
            <w:hideMark/>
          </w:tcPr>
          <w:p w14:paraId="300773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7.7</w:t>
            </w:r>
          </w:p>
        </w:tc>
        <w:tc>
          <w:tcPr>
            <w:tcW w:w="1276" w:type="dxa"/>
            <w:noWrap/>
            <w:hideMark/>
          </w:tcPr>
          <w:p w14:paraId="28EC7BE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187</w:t>
            </w:r>
          </w:p>
        </w:tc>
        <w:tc>
          <w:tcPr>
            <w:tcW w:w="1417" w:type="dxa"/>
            <w:noWrap/>
            <w:hideMark/>
          </w:tcPr>
          <w:p w14:paraId="135A03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w:t>
            </w:r>
          </w:p>
        </w:tc>
      </w:tr>
      <w:tr w:rsidR="006716B4" w:rsidRPr="006716B4" w14:paraId="38DA2EE1" w14:textId="77777777" w:rsidTr="001367E0">
        <w:tblPrEx>
          <w:tblCellMar>
            <w:left w:w="108" w:type="dxa"/>
            <w:right w:w="108" w:type="dxa"/>
          </w:tblCellMar>
        </w:tblPrEx>
        <w:trPr>
          <w:trHeight w:val="465"/>
        </w:trPr>
        <w:tc>
          <w:tcPr>
            <w:tcW w:w="737" w:type="dxa"/>
            <w:noWrap/>
            <w:hideMark/>
          </w:tcPr>
          <w:p w14:paraId="2E51BB2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11088</w:t>
            </w:r>
          </w:p>
        </w:tc>
        <w:tc>
          <w:tcPr>
            <w:tcW w:w="1559" w:type="dxa"/>
            <w:noWrap/>
            <w:hideMark/>
          </w:tcPr>
          <w:p w14:paraId="1084BD1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Manildra Public School</w:t>
            </w:r>
          </w:p>
        </w:tc>
        <w:tc>
          <w:tcPr>
            <w:tcW w:w="709" w:type="dxa"/>
            <w:noWrap/>
            <w:hideMark/>
          </w:tcPr>
          <w:p w14:paraId="4F5664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0662A0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A67E7D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F355E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Molong Rd</w:t>
            </w:r>
          </w:p>
        </w:tc>
        <w:tc>
          <w:tcPr>
            <w:tcW w:w="1134" w:type="dxa"/>
            <w:noWrap/>
            <w:hideMark/>
          </w:tcPr>
          <w:p w14:paraId="6D84727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0D280B9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45130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49C0F18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9FFCE5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c>
          <w:tcPr>
            <w:tcW w:w="1417" w:type="dxa"/>
            <w:noWrap/>
            <w:hideMark/>
          </w:tcPr>
          <w:p w14:paraId="359BE6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6A0E6A61" w14:textId="77777777" w:rsidTr="001367E0">
        <w:tblPrEx>
          <w:tblCellMar>
            <w:left w:w="108" w:type="dxa"/>
            <w:right w:w="108" w:type="dxa"/>
          </w:tblCellMar>
        </w:tblPrEx>
        <w:trPr>
          <w:trHeight w:val="465"/>
        </w:trPr>
        <w:tc>
          <w:tcPr>
            <w:tcW w:w="737" w:type="dxa"/>
            <w:noWrap/>
            <w:hideMark/>
          </w:tcPr>
          <w:p w14:paraId="2545421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10501</w:t>
            </w:r>
          </w:p>
        </w:tc>
        <w:tc>
          <w:tcPr>
            <w:tcW w:w="1559" w:type="dxa"/>
            <w:noWrap/>
            <w:hideMark/>
          </w:tcPr>
          <w:p w14:paraId="6D05F3E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Marrar Public School</w:t>
            </w:r>
          </w:p>
        </w:tc>
        <w:tc>
          <w:tcPr>
            <w:tcW w:w="709" w:type="dxa"/>
            <w:noWrap/>
            <w:hideMark/>
          </w:tcPr>
          <w:p w14:paraId="1869D21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EAC62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652E0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47ED4D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Centenary Drive</w:t>
            </w:r>
          </w:p>
        </w:tc>
        <w:tc>
          <w:tcPr>
            <w:tcW w:w="1134" w:type="dxa"/>
            <w:noWrap/>
            <w:hideMark/>
          </w:tcPr>
          <w:p w14:paraId="20B87A6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03D692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26.3</w:t>
            </w:r>
          </w:p>
        </w:tc>
        <w:tc>
          <w:tcPr>
            <w:tcW w:w="1134" w:type="dxa"/>
            <w:noWrap/>
            <w:hideMark/>
          </w:tcPr>
          <w:p w14:paraId="2EF8214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0020D9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73AC1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c>
          <w:tcPr>
            <w:tcW w:w="1417" w:type="dxa"/>
            <w:noWrap/>
            <w:hideMark/>
          </w:tcPr>
          <w:p w14:paraId="740E77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0F100A86" w14:textId="77777777" w:rsidTr="001367E0">
        <w:tblPrEx>
          <w:tblCellMar>
            <w:left w:w="108" w:type="dxa"/>
            <w:right w:w="108" w:type="dxa"/>
          </w:tblCellMar>
        </w:tblPrEx>
        <w:trPr>
          <w:trHeight w:val="465"/>
        </w:trPr>
        <w:tc>
          <w:tcPr>
            <w:tcW w:w="737" w:type="dxa"/>
            <w:noWrap/>
            <w:hideMark/>
          </w:tcPr>
          <w:p w14:paraId="461405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7742</w:t>
            </w:r>
          </w:p>
        </w:tc>
        <w:tc>
          <w:tcPr>
            <w:tcW w:w="1559" w:type="dxa"/>
            <w:noWrap/>
            <w:hideMark/>
          </w:tcPr>
          <w:p w14:paraId="091C0A5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Marsden High School</w:t>
            </w:r>
          </w:p>
        </w:tc>
        <w:tc>
          <w:tcPr>
            <w:tcW w:w="709" w:type="dxa"/>
            <w:noWrap/>
            <w:hideMark/>
          </w:tcPr>
          <w:p w14:paraId="13C50A9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9330C2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66720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D5E1A4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22a Winbourne St</w:t>
            </w:r>
          </w:p>
        </w:tc>
        <w:tc>
          <w:tcPr>
            <w:tcW w:w="1134" w:type="dxa"/>
            <w:noWrap/>
            <w:hideMark/>
          </w:tcPr>
          <w:p w14:paraId="5E23699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F9798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39.8</w:t>
            </w:r>
          </w:p>
        </w:tc>
        <w:tc>
          <w:tcPr>
            <w:tcW w:w="1134" w:type="dxa"/>
            <w:noWrap/>
            <w:hideMark/>
          </w:tcPr>
          <w:p w14:paraId="45D4B31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56.0</w:t>
            </w:r>
          </w:p>
        </w:tc>
        <w:tc>
          <w:tcPr>
            <w:tcW w:w="1134" w:type="dxa"/>
            <w:noWrap/>
            <w:hideMark/>
          </w:tcPr>
          <w:p w14:paraId="0BE683D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13.3</w:t>
            </w:r>
          </w:p>
        </w:tc>
        <w:tc>
          <w:tcPr>
            <w:tcW w:w="1276" w:type="dxa"/>
            <w:noWrap/>
            <w:hideMark/>
          </w:tcPr>
          <w:p w14:paraId="255DBC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159</w:t>
            </w:r>
          </w:p>
        </w:tc>
        <w:tc>
          <w:tcPr>
            <w:tcW w:w="1417" w:type="dxa"/>
            <w:noWrap/>
            <w:hideMark/>
          </w:tcPr>
          <w:p w14:paraId="181C41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w:t>
            </w:r>
          </w:p>
        </w:tc>
      </w:tr>
      <w:tr w:rsidR="006716B4" w:rsidRPr="006716B4" w14:paraId="0A370F86" w14:textId="77777777" w:rsidTr="001367E0">
        <w:tblPrEx>
          <w:tblCellMar>
            <w:left w:w="108" w:type="dxa"/>
            <w:right w:w="108" w:type="dxa"/>
          </w:tblCellMar>
        </w:tblPrEx>
        <w:trPr>
          <w:trHeight w:val="465"/>
        </w:trPr>
        <w:tc>
          <w:tcPr>
            <w:tcW w:w="737" w:type="dxa"/>
            <w:noWrap/>
            <w:hideMark/>
          </w:tcPr>
          <w:p w14:paraId="7570828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4920</w:t>
            </w:r>
          </w:p>
        </w:tc>
        <w:tc>
          <w:tcPr>
            <w:tcW w:w="1559" w:type="dxa"/>
            <w:noWrap/>
            <w:hideMark/>
          </w:tcPr>
          <w:p w14:paraId="784B88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Mascot Public School</w:t>
            </w:r>
          </w:p>
        </w:tc>
        <w:tc>
          <w:tcPr>
            <w:tcW w:w="709" w:type="dxa"/>
            <w:noWrap/>
            <w:hideMark/>
          </w:tcPr>
          <w:p w14:paraId="04B3DCD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32B403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D4BC60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EF946B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King St</w:t>
            </w:r>
          </w:p>
        </w:tc>
        <w:tc>
          <w:tcPr>
            <w:tcW w:w="1134" w:type="dxa"/>
            <w:noWrap/>
            <w:hideMark/>
          </w:tcPr>
          <w:p w14:paraId="4C1B16E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64B55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23.9</w:t>
            </w:r>
          </w:p>
        </w:tc>
        <w:tc>
          <w:tcPr>
            <w:tcW w:w="1134" w:type="dxa"/>
            <w:noWrap/>
            <w:hideMark/>
          </w:tcPr>
          <w:p w14:paraId="5313035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37.5</w:t>
            </w:r>
          </w:p>
        </w:tc>
        <w:tc>
          <w:tcPr>
            <w:tcW w:w="1134" w:type="dxa"/>
            <w:noWrap/>
            <w:hideMark/>
          </w:tcPr>
          <w:p w14:paraId="1B751C0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6C1A5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w:t>
            </w:r>
          </w:p>
        </w:tc>
        <w:tc>
          <w:tcPr>
            <w:tcW w:w="1417" w:type="dxa"/>
            <w:noWrap/>
            <w:hideMark/>
          </w:tcPr>
          <w:p w14:paraId="7DED0DC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04FBE84E" w14:textId="77777777" w:rsidTr="001367E0">
        <w:tblPrEx>
          <w:tblCellMar>
            <w:left w:w="108" w:type="dxa"/>
            <w:right w:w="108" w:type="dxa"/>
          </w:tblCellMar>
        </w:tblPrEx>
        <w:trPr>
          <w:trHeight w:val="465"/>
        </w:trPr>
        <w:tc>
          <w:tcPr>
            <w:tcW w:w="737" w:type="dxa"/>
            <w:noWrap/>
            <w:hideMark/>
          </w:tcPr>
          <w:p w14:paraId="7D5B350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7569</w:t>
            </w:r>
          </w:p>
        </w:tc>
        <w:tc>
          <w:tcPr>
            <w:tcW w:w="1559" w:type="dxa"/>
            <w:noWrap/>
            <w:hideMark/>
          </w:tcPr>
          <w:p w14:paraId="2F0D89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Matraville Public School</w:t>
            </w:r>
          </w:p>
        </w:tc>
        <w:tc>
          <w:tcPr>
            <w:tcW w:w="709" w:type="dxa"/>
            <w:noWrap/>
            <w:hideMark/>
          </w:tcPr>
          <w:p w14:paraId="356C9C3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2B2F2C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617B61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6B1AA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310 Bunnerong Rd</w:t>
            </w:r>
          </w:p>
        </w:tc>
        <w:tc>
          <w:tcPr>
            <w:tcW w:w="1134" w:type="dxa"/>
            <w:noWrap/>
            <w:hideMark/>
          </w:tcPr>
          <w:p w14:paraId="38EEC27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AA7FB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24.0</w:t>
            </w:r>
          </w:p>
        </w:tc>
        <w:tc>
          <w:tcPr>
            <w:tcW w:w="1134" w:type="dxa"/>
            <w:noWrap/>
            <w:hideMark/>
          </w:tcPr>
          <w:p w14:paraId="597B1D2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631A78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98303B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c>
          <w:tcPr>
            <w:tcW w:w="1417" w:type="dxa"/>
            <w:noWrap/>
            <w:hideMark/>
          </w:tcPr>
          <w:p w14:paraId="02334C1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1B85C75C" w14:textId="77777777" w:rsidTr="001367E0">
        <w:tblPrEx>
          <w:tblCellMar>
            <w:left w:w="108" w:type="dxa"/>
            <w:right w:w="108" w:type="dxa"/>
          </w:tblCellMar>
        </w:tblPrEx>
        <w:trPr>
          <w:trHeight w:val="465"/>
        </w:trPr>
        <w:tc>
          <w:tcPr>
            <w:tcW w:w="737" w:type="dxa"/>
            <w:noWrap/>
            <w:hideMark/>
          </w:tcPr>
          <w:p w14:paraId="4F0B9DC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7570</w:t>
            </w:r>
          </w:p>
        </w:tc>
        <w:tc>
          <w:tcPr>
            <w:tcW w:w="1559" w:type="dxa"/>
            <w:noWrap/>
            <w:hideMark/>
          </w:tcPr>
          <w:p w14:paraId="0BB1AB6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Matraville Soldiers Settlement Public School</w:t>
            </w:r>
          </w:p>
        </w:tc>
        <w:tc>
          <w:tcPr>
            <w:tcW w:w="709" w:type="dxa"/>
            <w:noWrap/>
            <w:hideMark/>
          </w:tcPr>
          <w:p w14:paraId="3A09F3E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ADF8C9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D2126E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BDDCE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Menin Rd</w:t>
            </w:r>
          </w:p>
        </w:tc>
        <w:tc>
          <w:tcPr>
            <w:tcW w:w="1134" w:type="dxa"/>
            <w:noWrap/>
            <w:hideMark/>
          </w:tcPr>
          <w:p w14:paraId="6755226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8151BB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32.1</w:t>
            </w:r>
          </w:p>
        </w:tc>
        <w:tc>
          <w:tcPr>
            <w:tcW w:w="1134" w:type="dxa"/>
            <w:noWrap/>
            <w:hideMark/>
          </w:tcPr>
          <w:p w14:paraId="6CD4F6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42.9</w:t>
            </w:r>
          </w:p>
        </w:tc>
        <w:tc>
          <w:tcPr>
            <w:tcW w:w="1134" w:type="dxa"/>
            <w:noWrap/>
            <w:hideMark/>
          </w:tcPr>
          <w:p w14:paraId="4105317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F483D1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w:t>
            </w:r>
          </w:p>
        </w:tc>
        <w:tc>
          <w:tcPr>
            <w:tcW w:w="1417" w:type="dxa"/>
            <w:noWrap/>
            <w:hideMark/>
          </w:tcPr>
          <w:p w14:paraId="115C431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w:t>
            </w:r>
          </w:p>
        </w:tc>
      </w:tr>
      <w:tr w:rsidR="006716B4" w:rsidRPr="006716B4" w14:paraId="51183507" w14:textId="77777777" w:rsidTr="001367E0">
        <w:tblPrEx>
          <w:tblCellMar>
            <w:left w:w="108" w:type="dxa"/>
            <w:right w:w="108" w:type="dxa"/>
          </w:tblCellMar>
        </w:tblPrEx>
        <w:trPr>
          <w:trHeight w:val="465"/>
        </w:trPr>
        <w:tc>
          <w:tcPr>
            <w:tcW w:w="737" w:type="dxa"/>
            <w:noWrap/>
            <w:hideMark/>
          </w:tcPr>
          <w:p w14:paraId="763DC24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8568</w:t>
            </w:r>
          </w:p>
        </w:tc>
        <w:tc>
          <w:tcPr>
            <w:tcW w:w="1559" w:type="dxa"/>
            <w:noWrap/>
            <w:hideMark/>
          </w:tcPr>
          <w:p w14:paraId="3A52FDE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McCallums Hill Public School</w:t>
            </w:r>
          </w:p>
        </w:tc>
        <w:tc>
          <w:tcPr>
            <w:tcW w:w="709" w:type="dxa"/>
            <w:noWrap/>
            <w:hideMark/>
          </w:tcPr>
          <w:p w14:paraId="1CE448B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CC733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1195C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505A33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McCallum St</w:t>
            </w:r>
          </w:p>
        </w:tc>
        <w:tc>
          <w:tcPr>
            <w:tcW w:w="1134" w:type="dxa"/>
            <w:noWrap/>
            <w:hideMark/>
          </w:tcPr>
          <w:p w14:paraId="0453D95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FC69C4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25.2</w:t>
            </w:r>
          </w:p>
        </w:tc>
        <w:tc>
          <w:tcPr>
            <w:tcW w:w="1134" w:type="dxa"/>
            <w:noWrap/>
            <w:hideMark/>
          </w:tcPr>
          <w:p w14:paraId="216715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0ABC65E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89D9E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w:t>
            </w:r>
          </w:p>
        </w:tc>
        <w:tc>
          <w:tcPr>
            <w:tcW w:w="1417" w:type="dxa"/>
            <w:noWrap/>
            <w:hideMark/>
          </w:tcPr>
          <w:p w14:paraId="51D41AE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52AFCCA8" w14:textId="77777777" w:rsidTr="001367E0">
        <w:tblPrEx>
          <w:tblCellMar>
            <w:left w:w="108" w:type="dxa"/>
            <w:right w:w="108" w:type="dxa"/>
          </w:tblCellMar>
        </w:tblPrEx>
        <w:trPr>
          <w:trHeight w:val="465"/>
        </w:trPr>
        <w:tc>
          <w:tcPr>
            <w:tcW w:w="737" w:type="dxa"/>
            <w:noWrap/>
            <w:hideMark/>
          </w:tcPr>
          <w:p w14:paraId="28B7411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9625</w:t>
            </w:r>
          </w:p>
        </w:tc>
        <w:tc>
          <w:tcPr>
            <w:tcW w:w="1559" w:type="dxa"/>
            <w:noWrap/>
            <w:hideMark/>
          </w:tcPr>
          <w:p w14:paraId="19489F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Melville High School</w:t>
            </w:r>
          </w:p>
        </w:tc>
        <w:tc>
          <w:tcPr>
            <w:tcW w:w="709" w:type="dxa"/>
            <w:noWrap/>
            <w:hideMark/>
          </w:tcPr>
          <w:p w14:paraId="122BB35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18B06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D74734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77707A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Nicholson St</w:t>
            </w:r>
          </w:p>
        </w:tc>
        <w:tc>
          <w:tcPr>
            <w:tcW w:w="1134" w:type="dxa"/>
            <w:noWrap/>
            <w:hideMark/>
          </w:tcPr>
          <w:p w14:paraId="6C6CF5C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B1E571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30.5</w:t>
            </w:r>
          </w:p>
        </w:tc>
        <w:tc>
          <w:tcPr>
            <w:tcW w:w="1134" w:type="dxa"/>
            <w:noWrap/>
            <w:hideMark/>
          </w:tcPr>
          <w:p w14:paraId="45FF1D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53.6</w:t>
            </w:r>
          </w:p>
        </w:tc>
        <w:tc>
          <w:tcPr>
            <w:tcW w:w="1134" w:type="dxa"/>
            <w:noWrap/>
            <w:hideMark/>
          </w:tcPr>
          <w:p w14:paraId="6726967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24.3</w:t>
            </w:r>
          </w:p>
        </w:tc>
        <w:tc>
          <w:tcPr>
            <w:tcW w:w="1276" w:type="dxa"/>
            <w:noWrap/>
            <w:hideMark/>
          </w:tcPr>
          <w:p w14:paraId="4E6723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187</w:t>
            </w:r>
          </w:p>
        </w:tc>
        <w:tc>
          <w:tcPr>
            <w:tcW w:w="1417" w:type="dxa"/>
            <w:noWrap/>
            <w:hideMark/>
          </w:tcPr>
          <w:p w14:paraId="65B7AE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w:t>
            </w:r>
          </w:p>
        </w:tc>
      </w:tr>
      <w:tr w:rsidR="006716B4" w:rsidRPr="006716B4" w14:paraId="217C7AD0" w14:textId="77777777" w:rsidTr="001367E0">
        <w:tblPrEx>
          <w:tblCellMar>
            <w:left w:w="108" w:type="dxa"/>
            <w:right w:w="108" w:type="dxa"/>
          </w:tblCellMar>
        </w:tblPrEx>
        <w:trPr>
          <w:trHeight w:val="465"/>
        </w:trPr>
        <w:tc>
          <w:tcPr>
            <w:tcW w:w="737" w:type="dxa"/>
            <w:noWrap/>
            <w:hideMark/>
          </w:tcPr>
          <w:p w14:paraId="3D4B31C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8670</w:t>
            </w:r>
          </w:p>
        </w:tc>
        <w:tc>
          <w:tcPr>
            <w:tcW w:w="1559" w:type="dxa"/>
            <w:noWrap/>
            <w:hideMark/>
          </w:tcPr>
          <w:p w14:paraId="08C19CF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Menai Public School</w:t>
            </w:r>
          </w:p>
        </w:tc>
        <w:tc>
          <w:tcPr>
            <w:tcW w:w="709" w:type="dxa"/>
            <w:noWrap/>
            <w:hideMark/>
          </w:tcPr>
          <w:p w14:paraId="06AEE13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E027A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01AEA3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39703D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4R Hall Drive</w:t>
            </w:r>
          </w:p>
        </w:tc>
        <w:tc>
          <w:tcPr>
            <w:tcW w:w="1134" w:type="dxa"/>
            <w:noWrap/>
            <w:hideMark/>
          </w:tcPr>
          <w:p w14:paraId="337AFEC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08C466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29.8</w:t>
            </w:r>
          </w:p>
        </w:tc>
        <w:tc>
          <w:tcPr>
            <w:tcW w:w="1134" w:type="dxa"/>
            <w:noWrap/>
            <w:hideMark/>
          </w:tcPr>
          <w:p w14:paraId="70757C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6633B6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8E075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w:t>
            </w:r>
          </w:p>
        </w:tc>
        <w:tc>
          <w:tcPr>
            <w:tcW w:w="1417" w:type="dxa"/>
            <w:noWrap/>
            <w:hideMark/>
          </w:tcPr>
          <w:p w14:paraId="060C50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06D715EA" w14:textId="77777777" w:rsidTr="001367E0">
        <w:tblPrEx>
          <w:tblCellMar>
            <w:left w:w="108" w:type="dxa"/>
            <w:right w:w="108" w:type="dxa"/>
          </w:tblCellMar>
        </w:tblPrEx>
        <w:trPr>
          <w:trHeight w:val="465"/>
        </w:trPr>
        <w:tc>
          <w:tcPr>
            <w:tcW w:w="737" w:type="dxa"/>
            <w:noWrap/>
            <w:hideMark/>
          </w:tcPr>
          <w:p w14:paraId="3F803BC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17451</w:t>
            </w:r>
          </w:p>
        </w:tc>
        <w:tc>
          <w:tcPr>
            <w:tcW w:w="1559" w:type="dxa"/>
            <w:noWrap/>
            <w:hideMark/>
          </w:tcPr>
          <w:p w14:paraId="35812BD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Merrylands Public School</w:t>
            </w:r>
          </w:p>
        </w:tc>
        <w:tc>
          <w:tcPr>
            <w:tcW w:w="709" w:type="dxa"/>
            <w:noWrap/>
            <w:hideMark/>
          </w:tcPr>
          <w:p w14:paraId="377A96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4DCCD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5CFAB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AF812E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Fowler Rd</w:t>
            </w:r>
          </w:p>
        </w:tc>
        <w:tc>
          <w:tcPr>
            <w:tcW w:w="1134" w:type="dxa"/>
            <w:noWrap/>
            <w:hideMark/>
          </w:tcPr>
          <w:p w14:paraId="39F948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B57E13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48.4</w:t>
            </w:r>
          </w:p>
        </w:tc>
        <w:tc>
          <w:tcPr>
            <w:tcW w:w="1134" w:type="dxa"/>
            <w:noWrap/>
            <w:hideMark/>
          </w:tcPr>
          <w:p w14:paraId="656868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71896E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0629DD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59</w:t>
            </w:r>
          </w:p>
        </w:tc>
        <w:tc>
          <w:tcPr>
            <w:tcW w:w="1417" w:type="dxa"/>
            <w:noWrap/>
            <w:hideMark/>
          </w:tcPr>
          <w:p w14:paraId="224D34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5142F700" w14:textId="77777777" w:rsidTr="001367E0">
        <w:tblPrEx>
          <w:tblCellMar>
            <w:left w:w="108" w:type="dxa"/>
            <w:right w:w="108" w:type="dxa"/>
          </w:tblCellMar>
        </w:tblPrEx>
        <w:trPr>
          <w:trHeight w:val="465"/>
        </w:trPr>
        <w:tc>
          <w:tcPr>
            <w:tcW w:w="737" w:type="dxa"/>
            <w:noWrap/>
            <w:hideMark/>
          </w:tcPr>
          <w:p w14:paraId="04705F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28166</w:t>
            </w:r>
          </w:p>
        </w:tc>
        <w:tc>
          <w:tcPr>
            <w:tcW w:w="1559" w:type="dxa"/>
            <w:noWrap/>
            <w:hideMark/>
          </w:tcPr>
          <w:p w14:paraId="6611E1C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Middleton Grange Public School</w:t>
            </w:r>
          </w:p>
        </w:tc>
        <w:tc>
          <w:tcPr>
            <w:tcW w:w="709" w:type="dxa"/>
            <w:noWrap/>
            <w:hideMark/>
          </w:tcPr>
          <w:p w14:paraId="571083C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F9BA7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16A6E2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B10961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50 Hall Circuit</w:t>
            </w:r>
          </w:p>
        </w:tc>
        <w:tc>
          <w:tcPr>
            <w:tcW w:w="1134" w:type="dxa"/>
            <w:noWrap/>
            <w:hideMark/>
          </w:tcPr>
          <w:p w14:paraId="765B254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1B3200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28.6</w:t>
            </w:r>
          </w:p>
        </w:tc>
        <w:tc>
          <w:tcPr>
            <w:tcW w:w="1134" w:type="dxa"/>
            <w:noWrap/>
            <w:hideMark/>
          </w:tcPr>
          <w:p w14:paraId="6FE0FF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25B55E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9EED9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417" w:type="dxa"/>
            <w:noWrap/>
            <w:hideMark/>
          </w:tcPr>
          <w:p w14:paraId="1B0CB33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1CE3E166" w14:textId="77777777" w:rsidTr="001367E0">
        <w:tblPrEx>
          <w:tblCellMar>
            <w:left w:w="108" w:type="dxa"/>
            <w:right w:w="108" w:type="dxa"/>
          </w:tblCellMar>
        </w:tblPrEx>
        <w:trPr>
          <w:trHeight w:val="465"/>
        </w:trPr>
        <w:tc>
          <w:tcPr>
            <w:tcW w:w="737" w:type="dxa"/>
            <w:noWrap/>
            <w:hideMark/>
          </w:tcPr>
          <w:p w14:paraId="110AAE8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11094</w:t>
            </w:r>
          </w:p>
        </w:tc>
        <w:tc>
          <w:tcPr>
            <w:tcW w:w="1559" w:type="dxa"/>
            <w:noWrap/>
            <w:hideMark/>
          </w:tcPr>
          <w:p w14:paraId="61D6C16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Middleton Public School</w:t>
            </w:r>
          </w:p>
        </w:tc>
        <w:tc>
          <w:tcPr>
            <w:tcW w:w="709" w:type="dxa"/>
            <w:noWrap/>
            <w:hideMark/>
          </w:tcPr>
          <w:p w14:paraId="06C7052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C1E91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5BBAE2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B9B48F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Medlyn St</w:t>
            </w:r>
          </w:p>
        </w:tc>
        <w:tc>
          <w:tcPr>
            <w:tcW w:w="1134" w:type="dxa"/>
            <w:noWrap/>
            <w:hideMark/>
          </w:tcPr>
          <w:p w14:paraId="7F4AB63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03D6CA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30.7</w:t>
            </w:r>
          </w:p>
        </w:tc>
        <w:tc>
          <w:tcPr>
            <w:tcW w:w="1134" w:type="dxa"/>
            <w:noWrap/>
            <w:hideMark/>
          </w:tcPr>
          <w:p w14:paraId="7F7EAC5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47.4</w:t>
            </w:r>
          </w:p>
        </w:tc>
        <w:tc>
          <w:tcPr>
            <w:tcW w:w="1134" w:type="dxa"/>
            <w:noWrap/>
            <w:hideMark/>
          </w:tcPr>
          <w:p w14:paraId="39A780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15.4</w:t>
            </w:r>
          </w:p>
        </w:tc>
        <w:tc>
          <w:tcPr>
            <w:tcW w:w="1276" w:type="dxa"/>
            <w:noWrap/>
            <w:hideMark/>
          </w:tcPr>
          <w:p w14:paraId="69FFF6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w:t>
            </w:r>
          </w:p>
        </w:tc>
        <w:tc>
          <w:tcPr>
            <w:tcW w:w="1417" w:type="dxa"/>
            <w:noWrap/>
            <w:hideMark/>
          </w:tcPr>
          <w:p w14:paraId="1BB229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w:t>
            </w:r>
          </w:p>
        </w:tc>
      </w:tr>
      <w:tr w:rsidR="006716B4" w:rsidRPr="006716B4" w14:paraId="42D089F0" w14:textId="77777777" w:rsidTr="001367E0">
        <w:tblPrEx>
          <w:tblCellMar>
            <w:left w:w="108" w:type="dxa"/>
            <w:right w:w="108" w:type="dxa"/>
          </w:tblCellMar>
        </w:tblPrEx>
        <w:trPr>
          <w:trHeight w:val="465"/>
        </w:trPr>
        <w:tc>
          <w:tcPr>
            <w:tcW w:w="737" w:type="dxa"/>
            <w:noWrap/>
            <w:hideMark/>
          </w:tcPr>
          <w:p w14:paraId="6D4AC54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10995</w:t>
            </w:r>
          </w:p>
        </w:tc>
        <w:tc>
          <w:tcPr>
            <w:tcW w:w="1559" w:type="dxa"/>
            <w:noWrap/>
            <w:hideMark/>
          </w:tcPr>
          <w:p w14:paraId="687FB3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Millthorpe Public School</w:t>
            </w:r>
          </w:p>
        </w:tc>
        <w:tc>
          <w:tcPr>
            <w:tcW w:w="709" w:type="dxa"/>
            <w:noWrap/>
            <w:hideMark/>
          </w:tcPr>
          <w:p w14:paraId="0620919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A7D2A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1EE5FD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83CF06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Park St</w:t>
            </w:r>
          </w:p>
        </w:tc>
        <w:tc>
          <w:tcPr>
            <w:tcW w:w="1134" w:type="dxa"/>
            <w:noWrap/>
            <w:hideMark/>
          </w:tcPr>
          <w:p w14:paraId="54E0562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3D55AD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19.0</w:t>
            </w:r>
          </w:p>
        </w:tc>
        <w:tc>
          <w:tcPr>
            <w:tcW w:w="1134" w:type="dxa"/>
            <w:noWrap/>
            <w:hideMark/>
          </w:tcPr>
          <w:p w14:paraId="1AECC1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07BE29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276" w:type="dxa"/>
            <w:noWrap/>
            <w:hideMark/>
          </w:tcPr>
          <w:p w14:paraId="254C479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w:t>
            </w:r>
          </w:p>
        </w:tc>
        <w:tc>
          <w:tcPr>
            <w:tcW w:w="1417" w:type="dxa"/>
            <w:noWrap/>
            <w:hideMark/>
          </w:tcPr>
          <w:p w14:paraId="7A62FEA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46C79E7F" w14:textId="77777777" w:rsidTr="001367E0">
        <w:tblPrEx>
          <w:tblCellMar>
            <w:left w:w="108" w:type="dxa"/>
            <w:right w:w="108" w:type="dxa"/>
          </w:tblCellMar>
        </w:tblPrEx>
        <w:trPr>
          <w:trHeight w:val="465"/>
        </w:trPr>
        <w:tc>
          <w:tcPr>
            <w:tcW w:w="737" w:type="dxa"/>
            <w:noWrap/>
            <w:hideMark/>
          </w:tcPr>
          <w:p w14:paraId="55488F4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7837</w:t>
            </w:r>
          </w:p>
        </w:tc>
        <w:tc>
          <w:tcPr>
            <w:tcW w:w="1559" w:type="dxa"/>
            <w:noWrap/>
            <w:hideMark/>
          </w:tcPr>
          <w:p w14:paraId="5BADA7D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Mitchell High School</w:t>
            </w:r>
          </w:p>
        </w:tc>
        <w:tc>
          <w:tcPr>
            <w:tcW w:w="709" w:type="dxa"/>
            <w:noWrap/>
            <w:hideMark/>
          </w:tcPr>
          <w:p w14:paraId="300D493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8BE6F7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CC7E4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B8A77E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Keyworth Drive</w:t>
            </w:r>
          </w:p>
        </w:tc>
        <w:tc>
          <w:tcPr>
            <w:tcW w:w="1134" w:type="dxa"/>
            <w:noWrap/>
            <w:hideMark/>
          </w:tcPr>
          <w:p w14:paraId="3A26D10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E2DD9F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31.2</w:t>
            </w:r>
          </w:p>
        </w:tc>
        <w:tc>
          <w:tcPr>
            <w:tcW w:w="1134" w:type="dxa"/>
            <w:noWrap/>
            <w:hideMark/>
          </w:tcPr>
          <w:p w14:paraId="40101CE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453145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E387E5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417" w:type="dxa"/>
            <w:noWrap/>
            <w:hideMark/>
          </w:tcPr>
          <w:p w14:paraId="2854582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5479426C" w14:textId="77777777" w:rsidTr="001367E0">
        <w:tblPrEx>
          <w:tblCellMar>
            <w:left w:w="108" w:type="dxa"/>
            <w:right w:w="108" w:type="dxa"/>
          </w:tblCellMar>
        </w:tblPrEx>
        <w:trPr>
          <w:trHeight w:val="465"/>
        </w:trPr>
        <w:tc>
          <w:tcPr>
            <w:tcW w:w="737" w:type="dxa"/>
            <w:noWrap/>
            <w:hideMark/>
          </w:tcPr>
          <w:p w14:paraId="73185A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10431</w:t>
            </w:r>
          </w:p>
        </w:tc>
        <w:tc>
          <w:tcPr>
            <w:tcW w:w="1559" w:type="dxa"/>
            <w:noWrap/>
            <w:hideMark/>
          </w:tcPr>
          <w:p w14:paraId="085133A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Monaro High School</w:t>
            </w:r>
          </w:p>
        </w:tc>
        <w:tc>
          <w:tcPr>
            <w:tcW w:w="709" w:type="dxa"/>
            <w:noWrap/>
            <w:hideMark/>
          </w:tcPr>
          <w:p w14:paraId="2E38634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44505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6EB9C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7E27A6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Mittagong Rd</w:t>
            </w:r>
          </w:p>
        </w:tc>
        <w:tc>
          <w:tcPr>
            <w:tcW w:w="1134" w:type="dxa"/>
            <w:noWrap/>
            <w:hideMark/>
          </w:tcPr>
          <w:p w14:paraId="067FD5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13465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32.4</w:t>
            </w:r>
          </w:p>
        </w:tc>
        <w:tc>
          <w:tcPr>
            <w:tcW w:w="1134" w:type="dxa"/>
            <w:noWrap/>
            <w:hideMark/>
          </w:tcPr>
          <w:p w14:paraId="0239CAE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7E2A66C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BB585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114</w:t>
            </w:r>
          </w:p>
        </w:tc>
        <w:tc>
          <w:tcPr>
            <w:tcW w:w="1417" w:type="dxa"/>
            <w:noWrap/>
            <w:hideMark/>
          </w:tcPr>
          <w:p w14:paraId="3DD94D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w:t>
            </w:r>
          </w:p>
        </w:tc>
      </w:tr>
      <w:tr w:rsidR="006716B4" w:rsidRPr="006716B4" w14:paraId="55188FA2" w14:textId="77777777" w:rsidTr="001367E0">
        <w:tblPrEx>
          <w:tblCellMar>
            <w:left w:w="108" w:type="dxa"/>
            <w:right w:w="108" w:type="dxa"/>
          </w:tblCellMar>
        </w:tblPrEx>
        <w:trPr>
          <w:trHeight w:val="465"/>
        </w:trPr>
        <w:tc>
          <w:tcPr>
            <w:tcW w:w="737" w:type="dxa"/>
            <w:noWrap/>
            <w:hideMark/>
          </w:tcPr>
          <w:p w14:paraId="4AF6031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9383</w:t>
            </w:r>
          </w:p>
        </w:tc>
        <w:tc>
          <w:tcPr>
            <w:tcW w:w="1559" w:type="dxa"/>
            <w:noWrap/>
            <w:hideMark/>
          </w:tcPr>
          <w:p w14:paraId="5AE0C19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Moonbi Public School</w:t>
            </w:r>
          </w:p>
        </w:tc>
        <w:tc>
          <w:tcPr>
            <w:tcW w:w="709" w:type="dxa"/>
            <w:noWrap/>
            <w:hideMark/>
          </w:tcPr>
          <w:p w14:paraId="7B6EFD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C0B22F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024976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748C1A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New England Hwy</w:t>
            </w:r>
          </w:p>
        </w:tc>
        <w:tc>
          <w:tcPr>
            <w:tcW w:w="1134" w:type="dxa"/>
            <w:noWrap/>
            <w:hideMark/>
          </w:tcPr>
          <w:p w14:paraId="1D3AA4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DD7CBD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27.3</w:t>
            </w:r>
          </w:p>
        </w:tc>
        <w:tc>
          <w:tcPr>
            <w:tcW w:w="1134" w:type="dxa"/>
            <w:noWrap/>
            <w:hideMark/>
          </w:tcPr>
          <w:p w14:paraId="0AB483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4A33F0D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5AAE7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c>
          <w:tcPr>
            <w:tcW w:w="1417" w:type="dxa"/>
            <w:noWrap/>
            <w:hideMark/>
          </w:tcPr>
          <w:p w14:paraId="4885EE6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9EC27D6" w14:textId="77777777" w:rsidTr="001367E0">
        <w:tblPrEx>
          <w:tblCellMar>
            <w:left w:w="108" w:type="dxa"/>
            <w:right w:w="108" w:type="dxa"/>
          </w:tblCellMar>
        </w:tblPrEx>
        <w:trPr>
          <w:trHeight w:val="465"/>
        </w:trPr>
        <w:tc>
          <w:tcPr>
            <w:tcW w:w="737" w:type="dxa"/>
            <w:noWrap/>
            <w:hideMark/>
          </w:tcPr>
          <w:p w14:paraId="2A4B10F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8624</w:t>
            </w:r>
          </w:p>
        </w:tc>
        <w:tc>
          <w:tcPr>
            <w:tcW w:w="1559" w:type="dxa"/>
            <w:noWrap/>
            <w:hideMark/>
          </w:tcPr>
          <w:p w14:paraId="1CD7C3A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Moorefield Girls High School</w:t>
            </w:r>
          </w:p>
        </w:tc>
        <w:tc>
          <w:tcPr>
            <w:tcW w:w="709" w:type="dxa"/>
            <w:noWrap/>
            <w:hideMark/>
          </w:tcPr>
          <w:p w14:paraId="1C78CBC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12E9EC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48D4FE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C3FC33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Princes Hwy</w:t>
            </w:r>
          </w:p>
        </w:tc>
        <w:tc>
          <w:tcPr>
            <w:tcW w:w="1134" w:type="dxa"/>
            <w:noWrap/>
            <w:hideMark/>
          </w:tcPr>
          <w:p w14:paraId="4531BEF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07818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32.8</w:t>
            </w:r>
          </w:p>
        </w:tc>
        <w:tc>
          <w:tcPr>
            <w:tcW w:w="1134" w:type="dxa"/>
            <w:noWrap/>
            <w:hideMark/>
          </w:tcPr>
          <w:p w14:paraId="3A582E0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63EA48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DFEDD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88</w:t>
            </w:r>
          </w:p>
        </w:tc>
        <w:tc>
          <w:tcPr>
            <w:tcW w:w="1417" w:type="dxa"/>
            <w:noWrap/>
            <w:hideMark/>
          </w:tcPr>
          <w:p w14:paraId="25794F8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5F19A473" w14:textId="77777777" w:rsidTr="001367E0">
        <w:tblPrEx>
          <w:tblCellMar>
            <w:left w:w="108" w:type="dxa"/>
            <w:right w:w="108" w:type="dxa"/>
          </w:tblCellMar>
        </w:tblPrEx>
        <w:trPr>
          <w:trHeight w:val="465"/>
        </w:trPr>
        <w:tc>
          <w:tcPr>
            <w:tcW w:w="737" w:type="dxa"/>
            <w:noWrap/>
            <w:hideMark/>
          </w:tcPr>
          <w:p w14:paraId="33C10F0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6346</w:t>
            </w:r>
          </w:p>
        </w:tc>
        <w:tc>
          <w:tcPr>
            <w:tcW w:w="1559" w:type="dxa"/>
            <w:noWrap/>
            <w:hideMark/>
          </w:tcPr>
          <w:p w14:paraId="1069D0D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Morisset High School</w:t>
            </w:r>
          </w:p>
        </w:tc>
        <w:tc>
          <w:tcPr>
            <w:tcW w:w="709" w:type="dxa"/>
            <w:noWrap/>
            <w:hideMark/>
          </w:tcPr>
          <w:p w14:paraId="467E81E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E4A70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08B8B91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1A0E3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Bridge St</w:t>
            </w:r>
          </w:p>
        </w:tc>
        <w:tc>
          <w:tcPr>
            <w:tcW w:w="1134" w:type="dxa"/>
            <w:noWrap/>
            <w:hideMark/>
          </w:tcPr>
          <w:p w14:paraId="04407D3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90FC9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35.6</w:t>
            </w:r>
          </w:p>
        </w:tc>
        <w:tc>
          <w:tcPr>
            <w:tcW w:w="1134" w:type="dxa"/>
            <w:noWrap/>
            <w:hideMark/>
          </w:tcPr>
          <w:p w14:paraId="2DAE068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083E276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w:t>
            </w:r>
          </w:p>
        </w:tc>
        <w:tc>
          <w:tcPr>
            <w:tcW w:w="1276" w:type="dxa"/>
            <w:noWrap/>
            <w:hideMark/>
          </w:tcPr>
          <w:p w14:paraId="537ADF5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202</w:t>
            </w:r>
          </w:p>
        </w:tc>
        <w:tc>
          <w:tcPr>
            <w:tcW w:w="1417" w:type="dxa"/>
            <w:noWrap/>
            <w:hideMark/>
          </w:tcPr>
          <w:p w14:paraId="2BD680D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w:t>
            </w:r>
          </w:p>
        </w:tc>
      </w:tr>
      <w:tr w:rsidR="006716B4" w:rsidRPr="006716B4" w14:paraId="232D420A" w14:textId="77777777" w:rsidTr="001367E0">
        <w:tblPrEx>
          <w:tblCellMar>
            <w:left w:w="108" w:type="dxa"/>
            <w:right w:w="108" w:type="dxa"/>
          </w:tblCellMar>
        </w:tblPrEx>
        <w:trPr>
          <w:trHeight w:val="465"/>
        </w:trPr>
        <w:tc>
          <w:tcPr>
            <w:tcW w:w="737" w:type="dxa"/>
            <w:noWrap/>
            <w:hideMark/>
          </w:tcPr>
          <w:p w14:paraId="75C6C2A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10247</w:t>
            </w:r>
          </w:p>
        </w:tc>
        <w:tc>
          <w:tcPr>
            <w:tcW w:w="1559" w:type="dxa"/>
            <w:noWrap/>
            <w:hideMark/>
          </w:tcPr>
          <w:p w14:paraId="6525F8E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Moss Vale High School</w:t>
            </w:r>
          </w:p>
        </w:tc>
        <w:tc>
          <w:tcPr>
            <w:tcW w:w="709" w:type="dxa"/>
            <w:noWrap/>
            <w:hideMark/>
          </w:tcPr>
          <w:p w14:paraId="7CC987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A5C9F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E5C57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7A64F0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Narellan Rd</w:t>
            </w:r>
          </w:p>
        </w:tc>
        <w:tc>
          <w:tcPr>
            <w:tcW w:w="1134" w:type="dxa"/>
            <w:noWrap/>
            <w:hideMark/>
          </w:tcPr>
          <w:p w14:paraId="3232AC4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D0775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33.8</w:t>
            </w:r>
          </w:p>
        </w:tc>
        <w:tc>
          <w:tcPr>
            <w:tcW w:w="1134" w:type="dxa"/>
            <w:noWrap/>
            <w:hideMark/>
          </w:tcPr>
          <w:p w14:paraId="023A91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64.3</w:t>
            </w:r>
          </w:p>
        </w:tc>
        <w:tc>
          <w:tcPr>
            <w:tcW w:w="1134" w:type="dxa"/>
            <w:noWrap/>
            <w:hideMark/>
          </w:tcPr>
          <w:p w14:paraId="1BE3BD9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276" w:type="dxa"/>
            <w:noWrap/>
            <w:hideMark/>
          </w:tcPr>
          <w:p w14:paraId="0AEDF6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129</w:t>
            </w:r>
          </w:p>
        </w:tc>
        <w:tc>
          <w:tcPr>
            <w:tcW w:w="1417" w:type="dxa"/>
            <w:noWrap/>
            <w:hideMark/>
          </w:tcPr>
          <w:p w14:paraId="661DE02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w:t>
            </w:r>
          </w:p>
        </w:tc>
      </w:tr>
      <w:tr w:rsidR="006716B4" w:rsidRPr="006716B4" w14:paraId="4C6C7A2E" w14:textId="77777777" w:rsidTr="001367E0">
        <w:tblPrEx>
          <w:tblCellMar>
            <w:left w:w="108" w:type="dxa"/>
            <w:right w:w="108" w:type="dxa"/>
          </w:tblCellMar>
        </w:tblPrEx>
        <w:trPr>
          <w:trHeight w:val="465"/>
        </w:trPr>
        <w:tc>
          <w:tcPr>
            <w:tcW w:w="737" w:type="dxa"/>
            <w:noWrap/>
            <w:hideMark/>
          </w:tcPr>
          <w:p w14:paraId="1A4B358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17057</w:t>
            </w:r>
          </w:p>
        </w:tc>
        <w:tc>
          <w:tcPr>
            <w:tcW w:w="1559" w:type="dxa"/>
            <w:noWrap/>
            <w:hideMark/>
          </w:tcPr>
          <w:p w14:paraId="52504E5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Mount Annan High School</w:t>
            </w:r>
          </w:p>
        </w:tc>
        <w:tc>
          <w:tcPr>
            <w:tcW w:w="709" w:type="dxa"/>
            <w:noWrap/>
            <w:hideMark/>
          </w:tcPr>
          <w:p w14:paraId="6DDAF79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45A13D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EB89FE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BDA8D7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248 Welling Drive</w:t>
            </w:r>
          </w:p>
        </w:tc>
        <w:tc>
          <w:tcPr>
            <w:tcW w:w="1134" w:type="dxa"/>
            <w:noWrap/>
            <w:hideMark/>
          </w:tcPr>
          <w:p w14:paraId="6A71414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5E22C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35.2</w:t>
            </w:r>
          </w:p>
        </w:tc>
        <w:tc>
          <w:tcPr>
            <w:tcW w:w="1134" w:type="dxa"/>
            <w:noWrap/>
            <w:hideMark/>
          </w:tcPr>
          <w:p w14:paraId="20C24C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61.9</w:t>
            </w:r>
          </w:p>
        </w:tc>
        <w:tc>
          <w:tcPr>
            <w:tcW w:w="1134" w:type="dxa"/>
            <w:noWrap/>
            <w:hideMark/>
          </w:tcPr>
          <w:p w14:paraId="58F970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461500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156</w:t>
            </w:r>
          </w:p>
        </w:tc>
        <w:tc>
          <w:tcPr>
            <w:tcW w:w="1417" w:type="dxa"/>
            <w:noWrap/>
            <w:hideMark/>
          </w:tcPr>
          <w:p w14:paraId="54473FE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w:t>
            </w:r>
          </w:p>
        </w:tc>
      </w:tr>
      <w:tr w:rsidR="006716B4" w:rsidRPr="006716B4" w14:paraId="02645C3A" w14:textId="77777777" w:rsidTr="001367E0">
        <w:tblPrEx>
          <w:tblCellMar>
            <w:left w:w="108" w:type="dxa"/>
            <w:right w:w="108" w:type="dxa"/>
          </w:tblCellMar>
        </w:tblPrEx>
        <w:trPr>
          <w:trHeight w:val="465"/>
        </w:trPr>
        <w:tc>
          <w:tcPr>
            <w:tcW w:w="737" w:type="dxa"/>
            <w:noWrap/>
            <w:hideMark/>
          </w:tcPr>
          <w:p w14:paraId="7898260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10815</w:t>
            </w:r>
          </w:p>
        </w:tc>
        <w:tc>
          <w:tcPr>
            <w:tcW w:w="1559" w:type="dxa"/>
            <w:noWrap/>
            <w:hideMark/>
          </w:tcPr>
          <w:p w14:paraId="7FF8BD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Mount Druitt Public School</w:t>
            </w:r>
          </w:p>
        </w:tc>
        <w:tc>
          <w:tcPr>
            <w:tcW w:w="709" w:type="dxa"/>
            <w:noWrap/>
            <w:hideMark/>
          </w:tcPr>
          <w:p w14:paraId="04955B4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0DB807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FDD49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7588FC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Belmore Ave</w:t>
            </w:r>
          </w:p>
        </w:tc>
        <w:tc>
          <w:tcPr>
            <w:tcW w:w="1134" w:type="dxa"/>
            <w:noWrap/>
            <w:hideMark/>
          </w:tcPr>
          <w:p w14:paraId="7B90C9E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C9F03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37.6</w:t>
            </w:r>
          </w:p>
        </w:tc>
        <w:tc>
          <w:tcPr>
            <w:tcW w:w="1134" w:type="dxa"/>
            <w:noWrap/>
            <w:hideMark/>
          </w:tcPr>
          <w:p w14:paraId="7B49C8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5892AAF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DB690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89</w:t>
            </w:r>
          </w:p>
        </w:tc>
        <w:tc>
          <w:tcPr>
            <w:tcW w:w="1417" w:type="dxa"/>
            <w:noWrap/>
            <w:hideMark/>
          </w:tcPr>
          <w:p w14:paraId="2FE515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7CD05689" w14:textId="77777777" w:rsidTr="001367E0">
        <w:tblPrEx>
          <w:tblCellMar>
            <w:left w:w="108" w:type="dxa"/>
            <w:right w:w="108" w:type="dxa"/>
          </w:tblCellMar>
        </w:tblPrEx>
        <w:trPr>
          <w:trHeight w:val="465"/>
        </w:trPr>
        <w:tc>
          <w:tcPr>
            <w:tcW w:w="737" w:type="dxa"/>
            <w:noWrap/>
            <w:hideMark/>
          </w:tcPr>
          <w:p w14:paraId="5F32D6C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14958</w:t>
            </w:r>
          </w:p>
        </w:tc>
        <w:tc>
          <w:tcPr>
            <w:tcW w:w="1559" w:type="dxa"/>
            <w:noWrap/>
            <w:hideMark/>
          </w:tcPr>
          <w:p w14:paraId="3C65F1C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Mount View High School</w:t>
            </w:r>
          </w:p>
        </w:tc>
        <w:tc>
          <w:tcPr>
            <w:tcW w:w="709" w:type="dxa"/>
            <w:noWrap/>
            <w:hideMark/>
          </w:tcPr>
          <w:p w14:paraId="2DFA12B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DAD277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26CFB5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961B62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Mount View Rd</w:t>
            </w:r>
          </w:p>
        </w:tc>
        <w:tc>
          <w:tcPr>
            <w:tcW w:w="1134" w:type="dxa"/>
            <w:noWrap/>
            <w:hideMark/>
          </w:tcPr>
          <w:p w14:paraId="049698E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07433A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36.8</w:t>
            </w:r>
          </w:p>
        </w:tc>
        <w:tc>
          <w:tcPr>
            <w:tcW w:w="1134" w:type="dxa"/>
            <w:noWrap/>
            <w:hideMark/>
          </w:tcPr>
          <w:p w14:paraId="24EF4D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52.5</w:t>
            </w:r>
          </w:p>
        </w:tc>
        <w:tc>
          <w:tcPr>
            <w:tcW w:w="1134" w:type="dxa"/>
            <w:noWrap/>
            <w:hideMark/>
          </w:tcPr>
          <w:p w14:paraId="0B75CB4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9.1</w:t>
            </w:r>
          </w:p>
        </w:tc>
        <w:tc>
          <w:tcPr>
            <w:tcW w:w="1276" w:type="dxa"/>
            <w:noWrap/>
            <w:hideMark/>
          </w:tcPr>
          <w:p w14:paraId="41036A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255</w:t>
            </w:r>
          </w:p>
        </w:tc>
        <w:tc>
          <w:tcPr>
            <w:tcW w:w="1417" w:type="dxa"/>
            <w:noWrap/>
            <w:hideMark/>
          </w:tcPr>
          <w:p w14:paraId="3B1DAF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w:t>
            </w:r>
          </w:p>
        </w:tc>
      </w:tr>
      <w:tr w:rsidR="006716B4" w:rsidRPr="006716B4" w14:paraId="51341F41" w14:textId="77777777" w:rsidTr="001367E0">
        <w:tblPrEx>
          <w:tblCellMar>
            <w:left w:w="108" w:type="dxa"/>
            <w:right w:w="108" w:type="dxa"/>
          </w:tblCellMar>
        </w:tblPrEx>
        <w:trPr>
          <w:trHeight w:val="465"/>
        </w:trPr>
        <w:tc>
          <w:tcPr>
            <w:tcW w:w="737" w:type="dxa"/>
            <w:noWrap/>
            <w:hideMark/>
          </w:tcPr>
          <w:p w14:paraId="5F94D26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11078</w:t>
            </w:r>
          </w:p>
        </w:tc>
        <w:tc>
          <w:tcPr>
            <w:tcW w:w="1559" w:type="dxa"/>
            <w:noWrap/>
            <w:hideMark/>
          </w:tcPr>
          <w:p w14:paraId="6B58DDB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Mudgee High School</w:t>
            </w:r>
          </w:p>
        </w:tc>
        <w:tc>
          <w:tcPr>
            <w:tcW w:w="709" w:type="dxa"/>
            <w:noWrap/>
            <w:hideMark/>
          </w:tcPr>
          <w:p w14:paraId="4B3F5C1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8BD0D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67A915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CA8525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41 Douro St</w:t>
            </w:r>
          </w:p>
        </w:tc>
        <w:tc>
          <w:tcPr>
            <w:tcW w:w="1134" w:type="dxa"/>
            <w:noWrap/>
            <w:hideMark/>
          </w:tcPr>
          <w:p w14:paraId="406C8A1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EFB23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32.9</w:t>
            </w:r>
          </w:p>
        </w:tc>
        <w:tc>
          <w:tcPr>
            <w:tcW w:w="1134" w:type="dxa"/>
            <w:noWrap/>
            <w:hideMark/>
          </w:tcPr>
          <w:p w14:paraId="23830D6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64.5</w:t>
            </w:r>
          </w:p>
        </w:tc>
        <w:tc>
          <w:tcPr>
            <w:tcW w:w="1134" w:type="dxa"/>
            <w:noWrap/>
            <w:hideMark/>
          </w:tcPr>
          <w:p w14:paraId="75A553F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19.0</w:t>
            </w:r>
          </w:p>
        </w:tc>
        <w:tc>
          <w:tcPr>
            <w:tcW w:w="1276" w:type="dxa"/>
            <w:noWrap/>
            <w:hideMark/>
          </w:tcPr>
          <w:p w14:paraId="62935C7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243</w:t>
            </w:r>
          </w:p>
        </w:tc>
        <w:tc>
          <w:tcPr>
            <w:tcW w:w="1417" w:type="dxa"/>
            <w:noWrap/>
            <w:hideMark/>
          </w:tcPr>
          <w:p w14:paraId="4A4EEF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w:t>
            </w:r>
          </w:p>
        </w:tc>
      </w:tr>
      <w:tr w:rsidR="006716B4" w:rsidRPr="006716B4" w14:paraId="5C7238E8" w14:textId="77777777" w:rsidTr="001367E0">
        <w:tblPrEx>
          <w:tblCellMar>
            <w:left w:w="108" w:type="dxa"/>
            <w:right w:w="108" w:type="dxa"/>
          </w:tblCellMar>
        </w:tblPrEx>
        <w:trPr>
          <w:trHeight w:val="465"/>
        </w:trPr>
        <w:tc>
          <w:tcPr>
            <w:tcW w:w="737" w:type="dxa"/>
            <w:noWrap/>
            <w:hideMark/>
          </w:tcPr>
          <w:p w14:paraId="579FE0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10470</w:t>
            </w:r>
          </w:p>
        </w:tc>
        <w:tc>
          <w:tcPr>
            <w:tcW w:w="1559" w:type="dxa"/>
            <w:noWrap/>
            <w:hideMark/>
          </w:tcPr>
          <w:p w14:paraId="2B6C9BB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Mulwala Public School</w:t>
            </w:r>
          </w:p>
        </w:tc>
        <w:tc>
          <w:tcPr>
            <w:tcW w:w="709" w:type="dxa"/>
            <w:noWrap/>
            <w:hideMark/>
          </w:tcPr>
          <w:p w14:paraId="009EF96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DD38FA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683BF22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EC6D08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Melbourne St</w:t>
            </w:r>
          </w:p>
        </w:tc>
        <w:tc>
          <w:tcPr>
            <w:tcW w:w="1134" w:type="dxa"/>
            <w:noWrap/>
            <w:hideMark/>
          </w:tcPr>
          <w:p w14:paraId="0C3BF5D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352DE3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13.3</w:t>
            </w:r>
          </w:p>
        </w:tc>
        <w:tc>
          <w:tcPr>
            <w:tcW w:w="1134" w:type="dxa"/>
            <w:noWrap/>
            <w:hideMark/>
          </w:tcPr>
          <w:p w14:paraId="4D22FA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1F5E3D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1331B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c>
          <w:tcPr>
            <w:tcW w:w="1417" w:type="dxa"/>
            <w:noWrap/>
            <w:hideMark/>
          </w:tcPr>
          <w:p w14:paraId="00B5E0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776E974D" w14:textId="77777777" w:rsidTr="001367E0">
        <w:tblPrEx>
          <w:tblCellMar>
            <w:left w:w="108" w:type="dxa"/>
            <w:right w:w="108" w:type="dxa"/>
          </w:tblCellMar>
        </w:tblPrEx>
        <w:trPr>
          <w:trHeight w:val="465"/>
        </w:trPr>
        <w:tc>
          <w:tcPr>
            <w:tcW w:w="737" w:type="dxa"/>
            <w:noWrap/>
            <w:hideMark/>
          </w:tcPr>
          <w:p w14:paraId="24FE152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10449</w:t>
            </w:r>
          </w:p>
        </w:tc>
        <w:tc>
          <w:tcPr>
            <w:tcW w:w="1559" w:type="dxa"/>
            <w:noWrap/>
            <w:hideMark/>
          </w:tcPr>
          <w:p w14:paraId="427DEAD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Murray High School</w:t>
            </w:r>
          </w:p>
        </w:tc>
        <w:tc>
          <w:tcPr>
            <w:tcW w:w="709" w:type="dxa"/>
            <w:noWrap/>
            <w:hideMark/>
          </w:tcPr>
          <w:p w14:paraId="73A7B9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4773F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6DC8F0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0CD5E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Kaitlers Rd</w:t>
            </w:r>
          </w:p>
        </w:tc>
        <w:tc>
          <w:tcPr>
            <w:tcW w:w="1134" w:type="dxa"/>
            <w:noWrap/>
            <w:hideMark/>
          </w:tcPr>
          <w:p w14:paraId="71A767C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E45BC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34.1</w:t>
            </w:r>
          </w:p>
        </w:tc>
        <w:tc>
          <w:tcPr>
            <w:tcW w:w="1134" w:type="dxa"/>
            <w:noWrap/>
            <w:hideMark/>
          </w:tcPr>
          <w:p w14:paraId="146E86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46.2</w:t>
            </w:r>
          </w:p>
        </w:tc>
        <w:tc>
          <w:tcPr>
            <w:tcW w:w="1134" w:type="dxa"/>
            <w:noWrap/>
            <w:hideMark/>
          </w:tcPr>
          <w:p w14:paraId="6F3730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276" w:type="dxa"/>
            <w:noWrap/>
            <w:hideMark/>
          </w:tcPr>
          <w:p w14:paraId="33508FF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178</w:t>
            </w:r>
          </w:p>
        </w:tc>
        <w:tc>
          <w:tcPr>
            <w:tcW w:w="1417" w:type="dxa"/>
            <w:noWrap/>
            <w:hideMark/>
          </w:tcPr>
          <w:p w14:paraId="34B0A3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r>
      <w:tr w:rsidR="006716B4" w:rsidRPr="006716B4" w14:paraId="098A45BB" w14:textId="77777777" w:rsidTr="001367E0">
        <w:tblPrEx>
          <w:tblCellMar>
            <w:left w:w="108" w:type="dxa"/>
            <w:right w:w="108" w:type="dxa"/>
          </w:tblCellMar>
        </w:tblPrEx>
        <w:trPr>
          <w:trHeight w:val="465"/>
        </w:trPr>
        <w:tc>
          <w:tcPr>
            <w:tcW w:w="737" w:type="dxa"/>
            <w:noWrap/>
            <w:hideMark/>
          </w:tcPr>
          <w:p w14:paraId="68AF6A4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9916</w:t>
            </w:r>
          </w:p>
        </w:tc>
        <w:tc>
          <w:tcPr>
            <w:tcW w:w="1559" w:type="dxa"/>
            <w:noWrap/>
            <w:hideMark/>
          </w:tcPr>
          <w:p w14:paraId="2C8CB84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Murwillumbah High School</w:t>
            </w:r>
          </w:p>
        </w:tc>
        <w:tc>
          <w:tcPr>
            <w:tcW w:w="709" w:type="dxa"/>
            <w:noWrap/>
            <w:hideMark/>
          </w:tcPr>
          <w:p w14:paraId="2D8736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748152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636088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96A48A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Riverview St</w:t>
            </w:r>
          </w:p>
        </w:tc>
        <w:tc>
          <w:tcPr>
            <w:tcW w:w="1134" w:type="dxa"/>
            <w:noWrap/>
            <w:hideMark/>
          </w:tcPr>
          <w:p w14:paraId="4D72C70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74B0C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31.9</w:t>
            </w:r>
          </w:p>
        </w:tc>
        <w:tc>
          <w:tcPr>
            <w:tcW w:w="1134" w:type="dxa"/>
            <w:noWrap/>
            <w:hideMark/>
          </w:tcPr>
          <w:p w14:paraId="251914E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26.3</w:t>
            </w:r>
          </w:p>
        </w:tc>
        <w:tc>
          <w:tcPr>
            <w:tcW w:w="1134" w:type="dxa"/>
            <w:noWrap/>
            <w:hideMark/>
          </w:tcPr>
          <w:p w14:paraId="4E43A9C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4D4F23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130</w:t>
            </w:r>
          </w:p>
        </w:tc>
        <w:tc>
          <w:tcPr>
            <w:tcW w:w="1417" w:type="dxa"/>
            <w:noWrap/>
            <w:hideMark/>
          </w:tcPr>
          <w:p w14:paraId="485BEC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71D805A6" w14:textId="77777777" w:rsidTr="001367E0">
        <w:tblPrEx>
          <w:tblCellMar>
            <w:left w:w="108" w:type="dxa"/>
            <w:right w:w="108" w:type="dxa"/>
          </w:tblCellMar>
        </w:tblPrEx>
        <w:trPr>
          <w:trHeight w:val="465"/>
        </w:trPr>
        <w:tc>
          <w:tcPr>
            <w:tcW w:w="737" w:type="dxa"/>
            <w:noWrap/>
            <w:hideMark/>
          </w:tcPr>
          <w:p w14:paraId="18A1BD8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6400</w:t>
            </w:r>
          </w:p>
        </w:tc>
        <w:tc>
          <w:tcPr>
            <w:tcW w:w="1559" w:type="dxa"/>
            <w:noWrap/>
            <w:hideMark/>
          </w:tcPr>
          <w:p w14:paraId="0FF0861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Muswellbrook High School</w:t>
            </w:r>
          </w:p>
        </w:tc>
        <w:tc>
          <w:tcPr>
            <w:tcW w:w="709" w:type="dxa"/>
            <w:noWrap/>
            <w:hideMark/>
          </w:tcPr>
          <w:p w14:paraId="1953D92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0BD54C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A6A19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37280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King St</w:t>
            </w:r>
          </w:p>
        </w:tc>
        <w:tc>
          <w:tcPr>
            <w:tcW w:w="1134" w:type="dxa"/>
            <w:noWrap/>
            <w:hideMark/>
          </w:tcPr>
          <w:p w14:paraId="2AB101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3A400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35.9</w:t>
            </w:r>
          </w:p>
        </w:tc>
        <w:tc>
          <w:tcPr>
            <w:tcW w:w="1134" w:type="dxa"/>
            <w:noWrap/>
            <w:hideMark/>
          </w:tcPr>
          <w:p w14:paraId="25AA433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56.9</w:t>
            </w:r>
          </w:p>
        </w:tc>
        <w:tc>
          <w:tcPr>
            <w:tcW w:w="1134" w:type="dxa"/>
            <w:noWrap/>
            <w:hideMark/>
          </w:tcPr>
          <w:p w14:paraId="0FE2202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7.3</w:t>
            </w:r>
          </w:p>
        </w:tc>
        <w:tc>
          <w:tcPr>
            <w:tcW w:w="1276" w:type="dxa"/>
            <w:noWrap/>
            <w:hideMark/>
          </w:tcPr>
          <w:p w14:paraId="70F92DD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197</w:t>
            </w:r>
          </w:p>
        </w:tc>
        <w:tc>
          <w:tcPr>
            <w:tcW w:w="1417" w:type="dxa"/>
            <w:noWrap/>
            <w:hideMark/>
          </w:tcPr>
          <w:p w14:paraId="2260AC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w:t>
            </w:r>
          </w:p>
        </w:tc>
      </w:tr>
      <w:tr w:rsidR="006716B4" w:rsidRPr="006716B4" w14:paraId="056171F8" w14:textId="77777777" w:rsidTr="001367E0">
        <w:tblPrEx>
          <w:tblCellMar>
            <w:left w:w="108" w:type="dxa"/>
            <w:right w:w="108" w:type="dxa"/>
          </w:tblCellMar>
        </w:tblPrEx>
        <w:trPr>
          <w:trHeight w:val="465"/>
        </w:trPr>
        <w:tc>
          <w:tcPr>
            <w:tcW w:w="737" w:type="dxa"/>
            <w:noWrap/>
            <w:hideMark/>
          </w:tcPr>
          <w:p w14:paraId="075D988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14694</w:t>
            </w:r>
          </w:p>
        </w:tc>
        <w:tc>
          <w:tcPr>
            <w:tcW w:w="1559" w:type="dxa"/>
            <w:noWrap/>
            <w:hideMark/>
          </w:tcPr>
          <w:p w14:paraId="2CB264F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Narara Valley High School</w:t>
            </w:r>
          </w:p>
        </w:tc>
        <w:tc>
          <w:tcPr>
            <w:tcW w:w="709" w:type="dxa"/>
            <w:noWrap/>
            <w:hideMark/>
          </w:tcPr>
          <w:p w14:paraId="52D8285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990EF9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84561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8CBBA8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Cnr Fountains &amp; Pandala Rds</w:t>
            </w:r>
          </w:p>
        </w:tc>
        <w:tc>
          <w:tcPr>
            <w:tcW w:w="1134" w:type="dxa"/>
            <w:noWrap/>
            <w:hideMark/>
          </w:tcPr>
          <w:p w14:paraId="3ABF0A8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E02EB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24.2</w:t>
            </w:r>
          </w:p>
        </w:tc>
        <w:tc>
          <w:tcPr>
            <w:tcW w:w="1134" w:type="dxa"/>
            <w:noWrap/>
            <w:hideMark/>
          </w:tcPr>
          <w:p w14:paraId="61182C8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51.2</w:t>
            </w:r>
          </w:p>
        </w:tc>
        <w:tc>
          <w:tcPr>
            <w:tcW w:w="1134" w:type="dxa"/>
            <w:noWrap/>
            <w:hideMark/>
          </w:tcPr>
          <w:p w14:paraId="777036D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w:t>
            </w:r>
          </w:p>
        </w:tc>
        <w:tc>
          <w:tcPr>
            <w:tcW w:w="1276" w:type="dxa"/>
            <w:noWrap/>
            <w:hideMark/>
          </w:tcPr>
          <w:p w14:paraId="26F4B8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199</w:t>
            </w:r>
          </w:p>
        </w:tc>
        <w:tc>
          <w:tcPr>
            <w:tcW w:w="1417" w:type="dxa"/>
            <w:noWrap/>
            <w:hideMark/>
          </w:tcPr>
          <w:p w14:paraId="1547FA7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w:t>
            </w:r>
          </w:p>
        </w:tc>
      </w:tr>
      <w:tr w:rsidR="006716B4" w:rsidRPr="006716B4" w14:paraId="34D63EC5" w14:textId="77777777" w:rsidTr="001367E0">
        <w:tblPrEx>
          <w:tblCellMar>
            <w:left w:w="108" w:type="dxa"/>
            <w:right w:w="108" w:type="dxa"/>
          </w:tblCellMar>
        </w:tblPrEx>
        <w:trPr>
          <w:trHeight w:val="465"/>
        </w:trPr>
        <w:tc>
          <w:tcPr>
            <w:tcW w:w="737" w:type="dxa"/>
            <w:noWrap/>
            <w:hideMark/>
          </w:tcPr>
          <w:p w14:paraId="065DE16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7712</w:t>
            </w:r>
          </w:p>
        </w:tc>
        <w:tc>
          <w:tcPr>
            <w:tcW w:w="1559" w:type="dxa"/>
            <w:noWrap/>
            <w:hideMark/>
          </w:tcPr>
          <w:p w14:paraId="5A9E047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Narrabeen Sports High School</w:t>
            </w:r>
          </w:p>
        </w:tc>
        <w:tc>
          <w:tcPr>
            <w:tcW w:w="709" w:type="dxa"/>
            <w:noWrap/>
            <w:hideMark/>
          </w:tcPr>
          <w:p w14:paraId="7B1F0C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13CA7B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EFAEA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B1173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 Namona St</w:t>
            </w:r>
          </w:p>
        </w:tc>
        <w:tc>
          <w:tcPr>
            <w:tcW w:w="1134" w:type="dxa"/>
            <w:noWrap/>
            <w:hideMark/>
          </w:tcPr>
          <w:p w14:paraId="278EDD8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ED57A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23.4</w:t>
            </w:r>
          </w:p>
        </w:tc>
        <w:tc>
          <w:tcPr>
            <w:tcW w:w="1134" w:type="dxa"/>
            <w:noWrap/>
            <w:hideMark/>
          </w:tcPr>
          <w:p w14:paraId="4ECF47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00E7F3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D6EEE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w:t>
            </w:r>
          </w:p>
        </w:tc>
        <w:tc>
          <w:tcPr>
            <w:tcW w:w="1417" w:type="dxa"/>
            <w:noWrap/>
            <w:hideMark/>
          </w:tcPr>
          <w:p w14:paraId="03CEEFE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1386BA97" w14:textId="77777777" w:rsidTr="001367E0">
        <w:tblPrEx>
          <w:tblCellMar>
            <w:left w:w="108" w:type="dxa"/>
            <w:right w:w="108" w:type="dxa"/>
          </w:tblCellMar>
        </w:tblPrEx>
        <w:trPr>
          <w:trHeight w:val="465"/>
        </w:trPr>
        <w:tc>
          <w:tcPr>
            <w:tcW w:w="737" w:type="dxa"/>
            <w:noWrap/>
            <w:hideMark/>
          </w:tcPr>
          <w:p w14:paraId="1A32DA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6409</w:t>
            </w:r>
          </w:p>
        </w:tc>
        <w:tc>
          <w:tcPr>
            <w:tcW w:w="1559" w:type="dxa"/>
            <w:noWrap/>
            <w:hideMark/>
          </w:tcPr>
          <w:p w14:paraId="2C024AB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Narrabri High School</w:t>
            </w:r>
          </w:p>
        </w:tc>
        <w:tc>
          <w:tcPr>
            <w:tcW w:w="709" w:type="dxa"/>
            <w:noWrap/>
            <w:hideMark/>
          </w:tcPr>
          <w:p w14:paraId="6EF820F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014CA0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7897D1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352BC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Gibbons St</w:t>
            </w:r>
          </w:p>
        </w:tc>
        <w:tc>
          <w:tcPr>
            <w:tcW w:w="1134" w:type="dxa"/>
            <w:noWrap/>
            <w:hideMark/>
          </w:tcPr>
          <w:p w14:paraId="4810838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C9229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31.6</w:t>
            </w:r>
          </w:p>
        </w:tc>
        <w:tc>
          <w:tcPr>
            <w:tcW w:w="1134" w:type="dxa"/>
            <w:noWrap/>
            <w:hideMark/>
          </w:tcPr>
          <w:p w14:paraId="4E3DF0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60.8</w:t>
            </w:r>
          </w:p>
        </w:tc>
        <w:tc>
          <w:tcPr>
            <w:tcW w:w="1134" w:type="dxa"/>
            <w:noWrap/>
            <w:hideMark/>
          </w:tcPr>
          <w:p w14:paraId="394326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11.8</w:t>
            </w:r>
          </w:p>
        </w:tc>
        <w:tc>
          <w:tcPr>
            <w:tcW w:w="1276" w:type="dxa"/>
            <w:noWrap/>
            <w:hideMark/>
          </w:tcPr>
          <w:p w14:paraId="601E24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121</w:t>
            </w:r>
          </w:p>
        </w:tc>
        <w:tc>
          <w:tcPr>
            <w:tcW w:w="1417" w:type="dxa"/>
            <w:noWrap/>
            <w:hideMark/>
          </w:tcPr>
          <w:p w14:paraId="7F7DAD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w:t>
            </w:r>
          </w:p>
        </w:tc>
      </w:tr>
      <w:tr w:rsidR="006716B4" w:rsidRPr="006716B4" w14:paraId="27646286" w14:textId="77777777" w:rsidTr="001367E0">
        <w:tblPrEx>
          <w:tblCellMar>
            <w:left w:w="108" w:type="dxa"/>
            <w:right w:w="108" w:type="dxa"/>
          </w:tblCellMar>
        </w:tblPrEx>
        <w:trPr>
          <w:trHeight w:val="465"/>
        </w:trPr>
        <w:tc>
          <w:tcPr>
            <w:tcW w:w="737" w:type="dxa"/>
            <w:noWrap/>
            <w:hideMark/>
          </w:tcPr>
          <w:p w14:paraId="32B0E3A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10551</w:t>
            </w:r>
          </w:p>
        </w:tc>
        <w:tc>
          <w:tcPr>
            <w:tcW w:w="1559" w:type="dxa"/>
            <w:noWrap/>
            <w:hideMark/>
          </w:tcPr>
          <w:p w14:paraId="4719A13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Narrandera Public School</w:t>
            </w:r>
          </w:p>
        </w:tc>
        <w:tc>
          <w:tcPr>
            <w:tcW w:w="709" w:type="dxa"/>
            <w:noWrap/>
            <w:hideMark/>
          </w:tcPr>
          <w:p w14:paraId="3D4A428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4E7DB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DEE43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8AC351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Adam St</w:t>
            </w:r>
          </w:p>
        </w:tc>
        <w:tc>
          <w:tcPr>
            <w:tcW w:w="1134" w:type="dxa"/>
            <w:noWrap/>
            <w:hideMark/>
          </w:tcPr>
          <w:p w14:paraId="717C90F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2D2FC2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43.3</w:t>
            </w:r>
          </w:p>
        </w:tc>
        <w:tc>
          <w:tcPr>
            <w:tcW w:w="1134" w:type="dxa"/>
            <w:noWrap/>
            <w:hideMark/>
          </w:tcPr>
          <w:p w14:paraId="032007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57.4</w:t>
            </w:r>
          </w:p>
        </w:tc>
        <w:tc>
          <w:tcPr>
            <w:tcW w:w="1134" w:type="dxa"/>
            <w:noWrap/>
            <w:hideMark/>
          </w:tcPr>
          <w:p w14:paraId="7EBF83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w:t>
            </w:r>
          </w:p>
        </w:tc>
        <w:tc>
          <w:tcPr>
            <w:tcW w:w="1276" w:type="dxa"/>
            <w:noWrap/>
            <w:hideMark/>
          </w:tcPr>
          <w:p w14:paraId="1413EE7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65</w:t>
            </w:r>
          </w:p>
        </w:tc>
        <w:tc>
          <w:tcPr>
            <w:tcW w:w="1417" w:type="dxa"/>
            <w:noWrap/>
            <w:hideMark/>
          </w:tcPr>
          <w:p w14:paraId="5BB0C4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w:t>
            </w:r>
          </w:p>
        </w:tc>
      </w:tr>
      <w:tr w:rsidR="006716B4" w:rsidRPr="006716B4" w14:paraId="1027C9BA" w14:textId="77777777" w:rsidTr="001367E0">
        <w:tblPrEx>
          <w:tblCellMar>
            <w:left w:w="108" w:type="dxa"/>
            <w:right w:w="108" w:type="dxa"/>
          </w:tblCellMar>
        </w:tblPrEx>
        <w:trPr>
          <w:trHeight w:val="465"/>
        </w:trPr>
        <w:tc>
          <w:tcPr>
            <w:tcW w:w="737" w:type="dxa"/>
            <w:noWrap/>
            <w:hideMark/>
          </w:tcPr>
          <w:p w14:paraId="512481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10709</w:t>
            </w:r>
          </w:p>
        </w:tc>
        <w:tc>
          <w:tcPr>
            <w:tcW w:w="1559" w:type="dxa"/>
            <w:noWrap/>
            <w:hideMark/>
          </w:tcPr>
          <w:p w14:paraId="009373A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Nepean High School</w:t>
            </w:r>
          </w:p>
        </w:tc>
        <w:tc>
          <w:tcPr>
            <w:tcW w:w="709" w:type="dxa"/>
            <w:noWrap/>
            <w:hideMark/>
          </w:tcPr>
          <w:p w14:paraId="33C7B42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F569B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8A99A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D9BBAB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Great Western Hwy</w:t>
            </w:r>
          </w:p>
        </w:tc>
        <w:tc>
          <w:tcPr>
            <w:tcW w:w="1134" w:type="dxa"/>
            <w:noWrap/>
            <w:hideMark/>
          </w:tcPr>
          <w:p w14:paraId="0A565D8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E4FB75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27.2</w:t>
            </w:r>
          </w:p>
        </w:tc>
        <w:tc>
          <w:tcPr>
            <w:tcW w:w="1134" w:type="dxa"/>
            <w:noWrap/>
            <w:hideMark/>
          </w:tcPr>
          <w:p w14:paraId="4338C17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43.2</w:t>
            </w:r>
          </w:p>
        </w:tc>
        <w:tc>
          <w:tcPr>
            <w:tcW w:w="1134" w:type="dxa"/>
            <w:noWrap/>
            <w:hideMark/>
          </w:tcPr>
          <w:p w14:paraId="7362FC0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w:t>
            </w:r>
          </w:p>
        </w:tc>
        <w:tc>
          <w:tcPr>
            <w:tcW w:w="1276" w:type="dxa"/>
            <w:noWrap/>
            <w:hideMark/>
          </w:tcPr>
          <w:p w14:paraId="376B4D7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151</w:t>
            </w:r>
          </w:p>
        </w:tc>
        <w:tc>
          <w:tcPr>
            <w:tcW w:w="1417" w:type="dxa"/>
            <w:noWrap/>
            <w:hideMark/>
          </w:tcPr>
          <w:p w14:paraId="2A86CB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w:t>
            </w:r>
          </w:p>
        </w:tc>
      </w:tr>
      <w:tr w:rsidR="006716B4" w:rsidRPr="006716B4" w14:paraId="5D6D6409" w14:textId="77777777" w:rsidTr="001367E0">
        <w:tblPrEx>
          <w:tblCellMar>
            <w:left w:w="108" w:type="dxa"/>
            <w:right w:w="108" w:type="dxa"/>
          </w:tblCellMar>
        </w:tblPrEx>
        <w:trPr>
          <w:trHeight w:val="465"/>
        </w:trPr>
        <w:tc>
          <w:tcPr>
            <w:tcW w:w="737" w:type="dxa"/>
            <w:noWrap/>
            <w:hideMark/>
          </w:tcPr>
          <w:p w14:paraId="6172938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9142</w:t>
            </w:r>
          </w:p>
        </w:tc>
        <w:tc>
          <w:tcPr>
            <w:tcW w:w="1559" w:type="dxa"/>
            <w:noWrap/>
            <w:hideMark/>
          </w:tcPr>
          <w:p w14:paraId="03935DC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Newcastle High School</w:t>
            </w:r>
          </w:p>
        </w:tc>
        <w:tc>
          <w:tcPr>
            <w:tcW w:w="709" w:type="dxa"/>
            <w:noWrap/>
            <w:hideMark/>
          </w:tcPr>
          <w:p w14:paraId="4781F8D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034C7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63DCCA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84BD9B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Park Way Ave</w:t>
            </w:r>
          </w:p>
        </w:tc>
        <w:tc>
          <w:tcPr>
            <w:tcW w:w="1134" w:type="dxa"/>
            <w:noWrap/>
            <w:hideMark/>
          </w:tcPr>
          <w:p w14:paraId="00EC982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F95D30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23.2</w:t>
            </w:r>
          </w:p>
        </w:tc>
        <w:tc>
          <w:tcPr>
            <w:tcW w:w="1134" w:type="dxa"/>
            <w:noWrap/>
            <w:hideMark/>
          </w:tcPr>
          <w:p w14:paraId="01CCA81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61.3</w:t>
            </w:r>
          </w:p>
        </w:tc>
        <w:tc>
          <w:tcPr>
            <w:tcW w:w="1134" w:type="dxa"/>
            <w:noWrap/>
            <w:hideMark/>
          </w:tcPr>
          <w:p w14:paraId="2359D18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5.9</w:t>
            </w:r>
          </w:p>
        </w:tc>
        <w:tc>
          <w:tcPr>
            <w:tcW w:w="1276" w:type="dxa"/>
            <w:noWrap/>
            <w:hideMark/>
          </w:tcPr>
          <w:p w14:paraId="47C76B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165</w:t>
            </w:r>
          </w:p>
        </w:tc>
        <w:tc>
          <w:tcPr>
            <w:tcW w:w="1417" w:type="dxa"/>
            <w:noWrap/>
            <w:hideMark/>
          </w:tcPr>
          <w:p w14:paraId="487577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w:t>
            </w:r>
          </w:p>
        </w:tc>
      </w:tr>
      <w:tr w:rsidR="006716B4" w:rsidRPr="006716B4" w14:paraId="6E1966EB" w14:textId="77777777" w:rsidTr="001367E0">
        <w:tblPrEx>
          <w:tblCellMar>
            <w:left w:w="108" w:type="dxa"/>
            <w:right w:w="108" w:type="dxa"/>
          </w:tblCellMar>
        </w:tblPrEx>
        <w:trPr>
          <w:trHeight w:val="465"/>
        </w:trPr>
        <w:tc>
          <w:tcPr>
            <w:tcW w:w="737" w:type="dxa"/>
            <w:noWrap/>
            <w:hideMark/>
          </w:tcPr>
          <w:p w14:paraId="48A3A28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9387</w:t>
            </w:r>
          </w:p>
        </w:tc>
        <w:tc>
          <w:tcPr>
            <w:tcW w:w="1559" w:type="dxa"/>
            <w:noWrap/>
            <w:hideMark/>
          </w:tcPr>
          <w:p w14:paraId="489F1F8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Niangala Public School</w:t>
            </w:r>
          </w:p>
        </w:tc>
        <w:tc>
          <w:tcPr>
            <w:tcW w:w="709" w:type="dxa"/>
            <w:noWrap/>
            <w:hideMark/>
          </w:tcPr>
          <w:p w14:paraId="1B88B1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61B695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44A5C9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73441B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Foster Street</w:t>
            </w:r>
          </w:p>
        </w:tc>
        <w:tc>
          <w:tcPr>
            <w:tcW w:w="1134" w:type="dxa"/>
            <w:noWrap/>
            <w:hideMark/>
          </w:tcPr>
          <w:p w14:paraId="1AC8B28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07520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486EE70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61A2435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8FE89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c>
          <w:tcPr>
            <w:tcW w:w="1417" w:type="dxa"/>
            <w:noWrap/>
            <w:hideMark/>
          </w:tcPr>
          <w:p w14:paraId="47F070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1AB3ED32" w14:textId="77777777" w:rsidTr="001367E0">
        <w:tblPrEx>
          <w:tblCellMar>
            <w:left w:w="108" w:type="dxa"/>
            <w:right w:w="108" w:type="dxa"/>
          </w:tblCellMar>
        </w:tblPrEx>
        <w:trPr>
          <w:trHeight w:val="465"/>
        </w:trPr>
        <w:tc>
          <w:tcPr>
            <w:tcW w:w="737" w:type="dxa"/>
            <w:noWrap/>
            <w:hideMark/>
          </w:tcPr>
          <w:p w14:paraId="5F8E45F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6372</w:t>
            </w:r>
          </w:p>
        </w:tc>
        <w:tc>
          <w:tcPr>
            <w:tcW w:w="1559" w:type="dxa"/>
            <w:noWrap/>
            <w:hideMark/>
          </w:tcPr>
          <w:p w14:paraId="701E496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Northlakes High School</w:t>
            </w:r>
          </w:p>
        </w:tc>
        <w:tc>
          <w:tcPr>
            <w:tcW w:w="709" w:type="dxa"/>
            <w:noWrap/>
            <w:hideMark/>
          </w:tcPr>
          <w:p w14:paraId="54F3C5B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6F6007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67D75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613A0A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Brava Ave</w:t>
            </w:r>
          </w:p>
        </w:tc>
        <w:tc>
          <w:tcPr>
            <w:tcW w:w="1134" w:type="dxa"/>
            <w:noWrap/>
            <w:hideMark/>
          </w:tcPr>
          <w:p w14:paraId="4A06045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3E2A01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47.5</w:t>
            </w:r>
          </w:p>
        </w:tc>
        <w:tc>
          <w:tcPr>
            <w:tcW w:w="1134" w:type="dxa"/>
            <w:noWrap/>
            <w:hideMark/>
          </w:tcPr>
          <w:p w14:paraId="08240A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51.4</w:t>
            </w:r>
          </w:p>
        </w:tc>
        <w:tc>
          <w:tcPr>
            <w:tcW w:w="1134" w:type="dxa"/>
            <w:noWrap/>
            <w:hideMark/>
          </w:tcPr>
          <w:p w14:paraId="69C193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11.4</w:t>
            </w:r>
          </w:p>
        </w:tc>
        <w:tc>
          <w:tcPr>
            <w:tcW w:w="1276" w:type="dxa"/>
            <w:noWrap/>
            <w:hideMark/>
          </w:tcPr>
          <w:p w14:paraId="42511A2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402</w:t>
            </w:r>
          </w:p>
        </w:tc>
        <w:tc>
          <w:tcPr>
            <w:tcW w:w="1417" w:type="dxa"/>
            <w:noWrap/>
            <w:hideMark/>
          </w:tcPr>
          <w:p w14:paraId="3C65712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w:t>
            </w:r>
          </w:p>
        </w:tc>
      </w:tr>
      <w:tr w:rsidR="006716B4" w:rsidRPr="006716B4" w14:paraId="50901C8C" w14:textId="77777777" w:rsidTr="001367E0">
        <w:tblPrEx>
          <w:tblCellMar>
            <w:left w:w="108" w:type="dxa"/>
            <w:right w:w="108" w:type="dxa"/>
          </w:tblCellMar>
        </w:tblPrEx>
        <w:trPr>
          <w:trHeight w:val="465"/>
        </w:trPr>
        <w:tc>
          <w:tcPr>
            <w:tcW w:w="737" w:type="dxa"/>
            <w:noWrap/>
            <w:hideMark/>
          </w:tcPr>
          <w:p w14:paraId="039F57D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15120</w:t>
            </w:r>
          </w:p>
        </w:tc>
        <w:tc>
          <w:tcPr>
            <w:tcW w:w="1559" w:type="dxa"/>
            <w:noWrap/>
            <w:hideMark/>
          </w:tcPr>
          <w:p w14:paraId="12F930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Northlakes Public School</w:t>
            </w:r>
          </w:p>
        </w:tc>
        <w:tc>
          <w:tcPr>
            <w:tcW w:w="709" w:type="dxa"/>
            <w:noWrap/>
            <w:hideMark/>
          </w:tcPr>
          <w:p w14:paraId="7CC6086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43CF47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17C4B8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86A7E5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Goorama Ave</w:t>
            </w:r>
          </w:p>
        </w:tc>
        <w:tc>
          <w:tcPr>
            <w:tcW w:w="1134" w:type="dxa"/>
            <w:noWrap/>
            <w:hideMark/>
          </w:tcPr>
          <w:p w14:paraId="087EAD7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ED0CB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32.2</w:t>
            </w:r>
          </w:p>
        </w:tc>
        <w:tc>
          <w:tcPr>
            <w:tcW w:w="1134" w:type="dxa"/>
            <w:noWrap/>
            <w:hideMark/>
          </w:tcPr>
          <w:p w14:paraId="2B1511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30.8</w:t>
            </w:r>
          </w:p>
        </w:tc>
        <w:tc>
          <w:tcPr>
            <w:tcW w:w="1134" w:type="dxa"/>
            <w:noWrap/>
            <w:hideMark/>
          </w:tcPr>
          <w:p w14:paraId="625FBA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7.1</w:t>
            </w:r>
          </w:p>
        </w:tc>
        <w:tc>
          <w:tcPr>
            <w:tcW w:w="1276" w:type="dxa"/>
            <w:noWrap/>
            <w:hideMark/>
          </w:tcPr>
          <w:p w14:paraId="0D82A5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79</w:t>
            </w:r>
          </w:p>
        </w:tc>
        <w:tc>
          <w:tcPr>
            <w:tcW w:w="1417" w:type="dxa"/>
            <w:noWrap/>
            <w:hideMark/>
          </w:tcPr>
          <w:p w14:paraId="6802DA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r>
      <w:tr w:rsidR="006716B4" w:rsidRPr="006716B4" w14:paraId="6E05779B" w14:textId="77777777" w:rsidTr="001367E0">
        <w:tblPrEx>
          <w:tblCellMar>
            <w:left w:w="108" w:type="dxa"/>
            <w:right w:w="108" w:type="dxa"/>
          </w:tblCellMar>
        </w:tblPrEx>
        <w:trPr>
          <w:trHeight w:val="465"/>
        </w:trPr>
        <w:tc>
          <w:tcPr>
            <w:tcW w:w="737" w:type="dxa"/>
            <w:noWrap/>
            <w:hideMark/>
          </w:tcPr>
          <w:p w14:paraId="43A404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16253</w:t>
            </w:r>
          </w:p>
        </w:tc>
        <w:tc>
          <w:tcPr>
            <w:tcW w:w="1559" w:type="dxa"/>
            <w:noWrap/>
            <w:hideMark/>
          </w:tcPr>
          <w:p w14:paraId="06459E7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Nuwarra Public School</w:t>
            </w:r>
          </w:p>
        </w:tc>
        <w:tc>
          <w:tcPr>
            <w:tcW w:w="709" w:type="dxa"/>
            <w:noWrap/>
            <w:hideMark/>
          </w:tcPr>
          <w:p w14:paraId="37DE1B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EC520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B89478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C8A9A3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McKay Ave</w:t>
            </w:r>
          </w:p>
        </w:tc>
        <w:tc>
          <w:tcPr>
            <w:tcW w:w="1134" w:type="dxa"/>
            <w:noWrap/>
            <w:hideMark/>
          </w:tcPr>
          <w:p w14:paraId="1C4B912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A0BE5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34.2</w:t>
            </w:r>
          </w:p>
        </w:tc>
        <w:tc>
          <w:tcPr>
            <w:tcW w:w="1134" w:type="dxa"/>
            <w:noWrap/>
            <w:hideMark/>
          </w:tcPr>
          <w:p w14:paraId="556F33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260AB4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276" w:type="dxa"/>
            <w:noWrap/>
            <w:hideMark/>
          </w:tcPr>
          <w:p w14:paraId="03C67DC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w:t>
            </w:r>
          </w:p>
        </w:tc>
        <w:tc>
          <w:tcPr>
            <w:tcW w:w="1417" w:type="dxa"/>
            <w:noWrap/>
            <w:hideMark/>
          </w:tcPr>
          <w:p w14:paraId="70D31CD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088A83D9" w14:textId="77777777" w:rsidTr="001367E0">
        <w:tblPrEx>
          <w:tblCellMar>
            <w:left w:w="108" w:type="dxa"/>
            <w:right w:w="108" w:type="dxa"/>
          </w:tblCellMar>
        </w:tblPrEx>
        <w:trPr>
          <w:trHeight w:val="465"/>
        </w:trPr>
        <w:tc>
          <w:tcPr>
            <w:tcW w:w="737" w:type="dxa"/>
            <w:noWrap/>
            <w:hideMark/>
          </w:tcPr>
          <w:p w14:paraId="62CA74E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6502</w:t>
            </w:r>
          </w:p>
        </w:tc>
        <w:tc>
          <w:tcPr>
            <w:tcW w:w="1559" w:type="dxa"/>
            <w:noWrap/>
            <w:hideMark/>
          </w:tcPr>
          <w:p w14:paraId="0BF3F56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Oak Flats High School</w:t>
            </w:r>
          </w:p>
        </w:tc>
        <w:tc>
          <w:tcPr>
            <w:tcW w:w="709" w:type="dxa"/>
            <w:noWrap/>
            <w:hideMark/>
          </w:tcPr>
          <w:p w14:paraId="2919187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2CCC7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450B88E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68FB3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The Esplanade</w:t>
            </w:r>
          </w:p>
        </w:tc>
        <w:tc>
          <w:tcPr>
            <w:tcW w:w="1134" w:type="dxa"/>
            <w:noWrap/>
            <w:hideMark/>
          </w:tcPr>
          <w:p w14:paraId="31E233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DE696E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33.7</w:t>
            </w:r>
          </w:p>
        </w:tc>
        <w:tc>
          <w:tcPr>
            <w:tcW w:w="1134" w:type="dxa"/>
            <w:noWrap/>
            <w:hideMark/>
          </w:tcPr>
          <w:p w14:paraId="2238B25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55.3</w:t>
            </w:r>
          </w:p>
        </w:tc>
        <w:tc>
          <w:tcPr>
            <w:tcW w:w="1134" w:type="dxa"/>
            <w:noWrap/>
            <w:hideMark/>
          </w:tcPr>
          <w:p w14:paraId="741EFFA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8.7</w:t>
            </w:r>
          </w:p>
        </w:tc>
        <w:tc>
          <w:tcPr>
            <w:tcW w:w="1276" w:type="dxa"/>
            <w:noWrap/>
            <w:hideMark/>
          </w:tcPr>
          <w:p w14:paraId="6441DA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191</w:t>
            </w:r>
          </w:p>
        </w:tc>
        <w:tc>
          <w:tcPr>
            <w:tcW w:w="1417" w:type="dxa"/>
            <w:noWrap/>
            <w:hideMark/>
          </w:tcPr>
          <w:p w14:paraId="4D7B26C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w:t>
            </w:r>
          </w:p>
        </w:tc>
      </w:tr>
      <w:tr w:rsidR="006716B4" w:rsidRPr="006716B4" w14:paraId="2C993B50" w14:textId="77777777" w:rsidTr="001367E0">
        <w:tblPrEx>
          <w:tblCellMar>
            <w:left w:w="108" w:type="dxa"/>
            <w:right w:w="108" w:type="dxa"/>
          </w:tblCellMar>
        </w:tblPrEx>
        <w:trPr>
          <w:trHeight w:val="465"/>
        </w:trPr>
        <w:tc>
          <w:tcPr>
            <w:tcW w:w="737" w:type="dxa"/>
            <w:noWrap/>
            <w:hideMark/>
          </w:tcPr>
          <w:p w14:paraId="44F0C51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16254</w:t>
            </w:r>
          </w:p>
        </w:tc>
        <w:tc>
          <w:tcPr>
            <w:tcW w:w="1559" w:type="dxa"/>
            <w:noWrap/>
            <w:hideMark/>
          </w:tcPr>
          <w:p w14:paraId="63C6ECF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Oberon High School</w:t>
            </w:r>
          </w:p>
        </w:tc>
        <w:tc>
          <w:tcPr>
            <w:tcW w:w="709" w:type="dxa"/>
            <w:noWrap/>
            <w:hideMark/>
          </w:tcPr>
          <w:p w14:paraId="617D63C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26964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4043ED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8E859D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Ross St</w:t>
            </w:r>
          </w:p>
        </w:tc>
        <w:tc>
          <w:tcPr>
            <w:tcW w:w="1134" w:type="dxa"/>
            <w:noWrap/>
            <w:hideMark/>
          </w:tcPr>
          <w:p w14:paraId="54CC61F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FD6B2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41.2</w:t>
            </w:r>
          </w:p>
        </w:tc>
        <w:tc>
          <w:tcPr>
            <w:tcW w:w="1134" w:type="dxa"/>
            <w:noWrap/>
            <w:hideMark/>
          </w:tcPr>
          <w:p w14:paraId="2A84B8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134" w:type="dxa"/>
            <w:noWrap/>
            <w:hideMark/>
          </w:tcPr>
          <w:p w14:paraId="40AAD5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4D1066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w:t>
            </w:r>
          </w:p>
        </w:tc>
        <w:tc>
          <w:tcPr>
            <w:tcW w:w="1417" w:type="dxa"/>
            <w:noWrap/>
            <w:hideMark/>
          </w:tcPr>
          <w:p w14:paraId="11EF83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42729545" w14:textId="77777777" w:rsidTr="001367E0">
        <w:tblPrEx>
          <w:tblCellMar>
            <w:left w:w="108" w:type="dxa"/>
            <w:right w:w="108" w:type="dxa"/>
          </w:tblCellMar>
        </w:tblPrEx>
        <w:trPr>
          <w:trHeight w:val="465"/>
        </w:trPr>
        <w:tc>
          <w:tcPr>
            <w:tcW w:w="737" w:type="dxa"/>
            <w:noWrap/>
            <w:hideMark/>
          </w:tcPr>
          <w:p w14:paraId="0D8529A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10959</w:t>
            </w:r>
          </w:p>
        </w:tc>
        <w:tc>
          <w:tcPr>
            <w:tcW w:w="1559" w:type="dxa"/>
            <w:noWrap/>
            <w:hideMark/>
          </w:tcPr>
          <w:p w14:paraId="489BD1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Oberon Public School</w:t>
            </w:r>
          </w:p>
        </w:tc>
        <w:tc>
          <w:tcPr>
            <w:tcW w:w="709" w:type="dxa"/>
            <w:noWrap/>
            <w:hideMark/>
          </w:tcPr>
          <w:p w14:paraId="1CBB097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E66F4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5EC527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C7CC8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Dart St</w:t>
            </w:r>
          </w:p>
        </w:tc>
        <w:tc>
          <w:tcPr>
            <w:tcW w:w="1134" w:type="dxa"/>
            <w:noWrap/>
            <w:hideMark/>
          </w:tcPr>
          <w:p w14:paraId="6A16919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EDB8A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31.5</w:t>
            </w:r>
          </w:p>
        </w:tc>
        <w:tc>
          <w:tcPr>
            <w:tcW w:w="1134" w:type="dxa"/>
            <w:noWrap/>
            <w:hideMark/>
          </w:tcPr>
          <w:p w14:paraId="475738E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782F7F3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13128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w:t>
            </w:r>
          </w:p>
        </w:tc>
        <w:tc>
          <w:tcPr>
            <w:tcW w:w="1417" w:type="dxa"/>
            <w:noWrap/>
            <w:hideMark/>
          </w:tcPr>
          <w:p w14:paraId="65E2A2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4F94B9C8" w14:textId="77777777" w:rsidTr="001367E0">
        <w:tblPrEx>
          <w:tblCellMar>
            <w:left w:w="108" w:type="dxa"/>
            <w:right w:w="108" w:type="dxa"/>
          </w:tblCellMar>
        </w:tblPrEx>
        <w:trPr>
          <w:trHeight w:val="465"/>
        </w:trPr>
        <w:tc>
          <w:tcPr>
            <w:tcW w:w="737" w:type="dxa"/>
            <w:noWrap/>
            <w:hideMark/>
          </w:tcPr>
          <w:p w14:paraId="40D54445"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16256</w:t>
            </w:r>
          </w:p>
        </w:tc>
        <w:tc>
          <w:tcPr>
            <w:tcW w:w="1559" w:type="dxa"/>
            <w:noWrap/>
            <w:hideMark/>
          </w:tcPr>
          <w:p w14:paraId="50A8DA7D"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Orana Heights Public School</w:t>
            </w:r>
          </w:p>
        </w:tc>
        <w:tc>
          <w:tcPr>
            <w:tcW w:w="709" w:type="dxa"/>
            <w:noWrap/>
            <w:hideMark/>
          </w:tcPr>
          <w:p w14:paraId="78D2DBED"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DEC</w:t>
            </w:r>
          </w:p>
        </w:tc>
        <w:tc>
          <w:tcPr>
            <w:tcW w:w="992" w:type="dxa"/>
            <w:noWrap/>
            <w:hideMark/>
          </w:tcPr>
          <w:p w14:paraId="4C4C103A" w14:textId="77777777" w:rsidR="006716B4" w:rsidRPr="00707DE9" w:rsidRDefault="006716B4" w:rsidP="006716B4">
            <w:pPr>
              <w:jc w:val="right"/>
              <w:rPr>
                <w:rFonts w:eastAsia="Times New Roman" w:cs="Times New Roman"/>
                <w:sz w:val="18"/>
                <w:szCs w:val="18"/>
                <w:lang w:eastAsia="en-AU"/>
              </w:rPr>
            </w:pPr>
            <w:r w:rsidRPr="00707DE9">
              <w:rPr>
                <w:rFonts w:eastAsia="Times New Roman" w:cs="Times New Roman"/>
                <w:sz w:val="18"/>
                <w:szCs w:val="18"/>
                <w:lang w:eastAsia="en-AU"/>
              </w:rPr>
              <w:t>2.1.2</w:t>
            </w:r>
          </w:p>
        </w:tc>
        <w:tc>
          <w:tcPr>
            <w:tcW w:w="1134" w:type="dxa"/>
            <w:noWrap/>
            <w:hideMark/>
          </w:tcPr>
          <w:p w14:paraId="1D1767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5FB97D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Oak St</w:t>
            </w:r>
          </w:p>
        </w:tc>
        <w:tc>
          <w:tcPr>
            <w:tcW w:w="1134" w:type="dxa"/>
            <w:noWrap/>
            <w:hideMark/>
          </w:tcPr>
          <w:p w14:paraId="3FFBEB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E918D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28.4</w:t>
            </w:r>
          </w:p>
        </w:tc>
        <w:tc>
          <w:tcPr>
            <w:tcW w:w="1134" w:type="dxa"/>
            <w:noWrap/>
            <w:hideMark/>
          </w:tcPr>
          <w:p w14:paraId="70EBA8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26.7</w:t>
            </w:r>
          </w:p>
        </w:tc>
        <w:tc>
          <w:tcPr>
            <w:tcW w:w="1134" w:type="dxa"/>
            <w:noWrap/>
            <w:hideMark/>
          </w:tcPr>
          <w:p w14:paraId="1B9DB4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9.1</w:t>
            </w:r>
          </w:p>
        </w:tc>
        <w:tc>
          <w:tcPr>
            <w:tcW w:w="1276" w:type="dxa"/>
            <w:noWrap/>
            <w:hideMark/>
          </w:tcPr>
          <w:p w14:paraId="0C1FD3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79</w:t>
            </w:r>
          </w:p>
        </w:tc>
        <w:tc>
          <w:tcPr>
            <w:tcW w:w="1417" w:type="dxa"/>
            <w:noWrap/>
            <w:hideMark/>
          </w:tcPr>
          <w:p w14:paraId="3C10122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w:t>
            </w:r>
          </w:p>
        </w:tc>
      </w:tr>
      <w:tr w:rsidR="006716B4" w:rsidRPr="006716B4" w14:paraId="52DB25A4" w14:textId="77777777" w:rsidTr="001367E0">
        <w:tblPrEx>
          <w:tblCellMar>
            <w:left w:w="108" w:type="dxa"/>
            <w:right w:w="108" w:type="dxa"/>
          </w:tblCellMar>
        </w:tblPrEx>
        <w:trPr>
          <w:trHeight w:val="465"/>
        </w:trPr>
        <w:tc>
          <w:tcPr>
            <w:tcW w:w="737" w:type="dxa"/>
            <w:noWrap/>
            <w:hideMark/>
          </w:tcPr>
          <w:p w14:paraId="17A80B2B"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16643</w:t>
            </w:r>
          </w:p>
        </w:tc>
        <w:tc>
          <w:tcPr>
            <w:tcW w:w="1559" w:type="dxa"/>
            <w:noWrap/>
            <w:hideMark/>
          </w:tcPr>
          <w:p w14:paraId="24C13E79"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Orange Public School</w:t>
            </w:r>
          </w:p>
        </w:tc>
        <w:tc>
          <w:tcPr>
            <w:tcW w:w="709" w:type="dxa"/>
            <w:noWrap/>
            <w:hideMark/>
          </w:tcPr>
          <w:p w14:paraId="2486773C"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DEC</w:t>
            </w:r>
          </w:p>
        </w:tc>
        <w:tc>
          <w:tcPr>
            <w:tcW w:w="992" w:type="dxa"/>
            <w:noWrap/>
            <w:hideMark/>
          </w:tcPr>
          <w:p w14:paraId="5598F304" w14:textId="4E314BAF" w:rsidR="006716B4" w:rsidRPr="00707DE9" w:rsidRDefault="00B742C1" w:rsidP="006716B4">
            <w:pPr>
              <w:jc w:val="right"/>
              <w:rPr>
                <w:rFonts w:eastAsia="Times New Roman" w:cs="Times New Roman"/>
                <w:sz w:val="18"/>
                <w:szCs w:val="18"/>
                <w:lang w:eastAsia="en-AU"/>
              </w:rPr>
            </w:pPr>
            <w:r>
              <w:rPr>
                <w:rFonts w:eastAsia="Times New Roman" w:cs="Times New Roman"/>
                <w:sz w:val="18"/>
                <w:szCs w:val="18"/>
                <w:lang w:eastAsia="en-AU"/>
              </w:rPr>
              <w:t>2.1.1</w:t>
            </w:r>
          </w:p>
        </w:tc>
        <w:tc>
          <w:tcPr>
            <w:tcW w:w="1134" w:type="dxa"/>
            <w:noWrap/>
            <w:hideMark/>
          </w:tcPr>
          <w:p w14:paraId="67AFBF7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5C50F7FE" w14:textId="089F8615" w:rsidR="006716B4" w:rsidRPr="006716B4" w:rsidRDefault="00EF0125" w:rsidP="006716B4">
            <w:pPr>
              <w:rPr>
                <w:rFonts w:eastAsia="Times New Roman" w:cs="Times New Roman"/>
                <w:color w:val="000000"/>
                <w:sz w:val="18"/>
                <w:szCs w:val="18"/>
                <w:lang w:eastAsia="en-AU"/>
              </w:rPr>
            </w:pPr>
            <w:r>
              <w:rPr>
                <w:rFonts w:eastAsia="Times New Roman" w:cs="Times New Roman"/>
                <w:color w:val="000000"/>
                <w:sz w:val="18"/>
                <w:szCs w:val="18"/>
                <w:lang w:eastAsia="en-AU"/>
              </w:rPr>
              <w:t>78 Kite St</w:t>
            </w:r>
          </w:p>
        </w:tc>
        <w:tc>
          <w:tcPr>
            <w:tcW w:w="1134" w:type="dxa"/>
            <w:noWrap/>
            <w:hideMark/>
          </w:tcPr>
          <w:p w14:paraId="2946BB38" w14:textId="77777777" w:rsidR="006716B4" w:rsidRPr="006716B4" w:rsidRDefault="006716B4" w:rsidP="006716B4">
            <w:pPr>
              <w:rPr>
                <w:rFonts w:eastAsia="Times New Roman" w:cs="Times New Roman"/>
                <w:color w:val="000000"/>
                <w:sz w:val="18"/>
                <w:szCs w:val="18"/>
                <w:lang w:eastAsia="en-AU"/>
              </w:rPr>
            </w:pPr>
          </w:p>
        </w:tc>
        <w:tc>
          <w:tcPr>
            <w:tcW w:w="1276" w:type="dxa"/>
            <w:noWrap/>
            <w:hideMark/>
          </w:tcPr>
          <w:p w14:paraId="1989150F" w14:textId="65AF9A42" w:rsidR="006716B4" w:rsidRPr="006716B4" w:rsidRDefault="00CE3A09" w:rsidP="00CE3A09">
            <w:pPr>
              <w:jc w:val="right"/>
              <w:rPr>
                <w:rFonts w:eastAsia="Times New Roman" w:cs="Times New Roman"/>
                <w:color w:val="000000"/>
                <w:sz w:val="18"/>
                <w:szCs w:val="18"/>
                <w:lang w:eastAsia="en-AU"/>
              </w:rPr>
            </w:pPr>
            <w:r>
              <w:rPr>
                <w:rFonts w:eastAsia="Times New Roman" w:cs="Times New Roman"/>
                <w:color w:val="000000"/>
                <w:sz w:val="18"/>
                <w:szCs w:val="18"/>
                <w:lang w:eastAsia="en-AU"/>
              </w:rPr>
              <w:t>24.8</w:t>
            </w:r>
          </w:p>
        </w:tc>
        <w:tc>
          <w:tcPr>
            <w:tcW w:w="1134" w:type="dxa"/>
            <w:noWrap/>
            <w:hideMark/>
          </w:tcPr>
          <w:p w14:paraId="3AF99F64" w14:textId="1CBDC925" w:rsidR="006716B4" w:rsidRPr="006716B4" w:rsidRDefault="00CE3A09" w:rsidP="00CE3A09">
            <w:pPr>
              <w:jc w:val="right"/>
              <w:rPr>
                <w:rFonts w:eastAsia="Times New Roman" w:cs="Times New Roman"/>
                <w:color w:val="000000"/>
                <w:sz w:val="18"/>
                <w:szCs w:val="18"/>
                <w:lang w:eastAsia="en-AU"/>
              </w:rPr>
            </w:pPr>
            <w:r>
              <w:rPr>
                <w:rFonts w:eastAsia="Times New Roman" w:cs="Times New Roman"/>
                <w:color w:val="000000"/>
                <w:sz w:val="18"/>
                <w:szCs w:val="18"/>
                <w:lang w:eastAsia="en-AU"/>
              </w:rPr>
              <w:t>35.7</w:t>
            </w:r>
          </w:p>
        </w:tc>
        <w:tc>
          <w:tcPr>
            <w:tcW w:w="1134" w:type="dxa"/>
            <w:noWrap/>
            <w:hideMark/>
          </w:tcPr>
          <w:p w14:paraId="156488FC" w14:textId="37DA4AE3" w:rsidR="006716B4" w:rsidRPr="006716B4" w:rsidRDefault="00CE3A09" w:rsidP="00CE3A09">
            <w:pPr>
              <w:jc w:val="right"/>
              <w:rPr>
                <w:rFonts w:eastAsia="Times New Roman" w:cs="Times New Roman"/>
                <w:color w:val="000000"/>
                <w:sz w:val="18"/>
                <w:szCs w:val="18"/>
                <w:lang w:eastAsia="en-AU"/>
              </w:rPr>
            </w:pPr>
            <w:r>
              <w:rPr>
                <w:rFonts w:eastAsia="Times New Roman" w:cs="Times New Roman"/>
                <w:color w:val="000000"/>
                <w:sz w:val="18"/>
                <w:szCs w:val="18"/>
                <w:lang w:eastAsia="en-AU"/>
              </w:rPr>
              <w:t>0.0</w:t>
            </w:r>
          </w:p>
        </w:tc>
        <w:tc>
          <w:tcPr>
            <w:tcW w:w="1276" w:type="dxa"/>
            <w:noWrap/>
            <w:hideMark/>
          </w:tcPr>
          <w:p w14:paraId="4CE7F43A" w14:textId="4C77B404" w:rsidR="006716B4" w:rsidRPr="006716B4" w:rsidRDefault="00CE3A09" w:rsidP="00CE3A09">
            <w:pPr>
              <w:jc w:val="right"/>
              <w:rPr>
                <w:rFonts w:eastAsia="Times New Roman" w:cs="Times New Roman"/>
                <w:color w:val="000000"/>
                <w:sz w:val="18"/>
                <w:szCs w:val="18"/>
                <w:lang w:eastAsia="en-AU"/>
              </w:rPr>
            </w:pPr>
            <w:r>
              <w:rPr>
                <w:rFonts w:eastAsia="Times New Roman" w:cs="Times New Roman"/>
                <w:color w:val="000000"/>
                <w:sz w:val="18"/>
                <w:szCs w:val="18"/>
                <w:lang w:eastAsia="en-AU"/>
              </w:rPr>
              <w:t>86</w:t>
            </w:r>
          </w:p>
        </w:tc>
        <w:tc>
          <w:tcPr>
            <w:tcW w:w="1417" w:type="dxa"/>
            <w:noWrap/>
            <w:hideMark/>
          </w:tcPr>
          <w:p w14:paraId="2741D738" w14:textId="77777777" w:rsidR="006716B4" w:rsidRDefault="00CE3A09" w:rsidP="00CE3A09">
            <w:pPr>
              <w:jc w:val="right"/>
              <w:rPr>
                <w:rFonts w:eastAsia="Times New Roman" w:cs="Times New Roman"/>
                <w:color w:val="000000"/>
                <w:sz w:val="18"/>
                <w:szCs w:val="18"/>
                <w:lang w:eastAsia="en-AU"/>
              </w:rPr>
            </w:pPr>
            <w:r>
              <w:rPr>
                <w:rFonts w:eastAsia="Times New Roman" w:cs="Times New Roman"/>
                <w:color w:val="000000"/>
                <w:sz w:val="18"/>
                <w:szCs w:val="18"/>
                <w:lang w:eastAsia="en-AU"/>
              </w:rPr>
              <w:t>10</w:t>
            </w:r>
          </w:p>
          <w:p w14:paraId="79913640" w14:textId="77777777" w:rsidR="00CE3A09" w:rsidRPr="006716B4" w:rsidRDefault="00CE3A09" w:rsidP="00CE3A09">
            <w:pPr>
              <w:jc w:val="right"/>
              <w:rPr>
                <w:rFonts w:eastAsia="Times New Roman" w:cs="Times New Roman"/>
                <w:color w:val="000000"/>
                <w:sz w:val="18"/>
                <w:szCs w:val="18"/>
                <w:lang w:eastAsia="en-AU"/>
              </w:rPr>
            </w:pPr>
          </w:p>
        </w:tc>
      </w:tr>
      <w:tr w:rsidR="006716B4" w:rsidRPr="006716B4" w14:paraId="27067D05" w14:textId="77777777" w:rsidTr="001367E0">
        <w:tblPrEx>
          <w:tblCellMar>
            <w:left w:w="108" w:type="dxa"/>
            <w:right w:w="108" w:type="dxa"/>
          </w:tblCellMar>
        </w:tblPrEx>
        <w:trPr>
          <w:trHeight w:val="465"/>
        </w:trPr>
        <w:tc>
          <w:tcPr>
            <w:tcW w:w="737" w:type="dxa"/>
            <w:noWrap/>
            <w:hideMark/>
          </w:tcPr>
          <w:p w14:paraId="3C3FF01A" w14:textId="23EA4A0D"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11010</w:t>
            </w:r>
          </w:p>
        </w:tc>
        <w:tc>
          <w:tcPr>
            <w:tcW w:w="1559" w:type="dxa"/>
            <w:noWrap/>
            <w:hideMark/>
          </w:tcPr>
          <w:p w14:paraId="7BEAE20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Orange East Public School</w:t>
            </w:r>
          </w:p>
        </w:tc>
        <w:tc>
          <w:tcPr>
            <w:tcW w:w="709" w:type="dxa"/>
            <w:noWrap/>
            <w:hideMark/>
          </w:tcPr>
          <w:p w14:paraId="7CEDCC1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9BB1B9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2A1F5C1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01C69B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45 Spring St</w:t>
            </w:r>
          </w:p>
        </w:tc>
        <w:tc>
          <w:tcPr>
            <w:tcW w:w="1134" w:type="dxa"/>
            <w:noWrap/>
            <w:hideMark/>
          </w:tcPr>
          <w:p w14:paraId="2D118F3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5B102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29.4</w:t>
            </w:r>
          </w:p>
        </w:tc>
        <w:tc>
          <w:tcPr>
            <w:tcW w:w="1134" w:type="dxa"/>
            <w:noWrap/>
            <w:hideMark/>
          </w:tcPr>
          <w:p w14:paraId="42BDE0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0951FA2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8F790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w:t>
            </w:r>
          </w:p>
        </w:tc>
        <w:tc>
          <w:tcPr>
            <w:tcW w:w="1417" w:type="dxa"/>
            <w:noWrap/>
            <w:hideMark/>
          </w:tcPr>
          <w:p w14:paraId="3C65C36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w:t>
            </w:r>
          </w:p>
        </w:tc>
      </w:tr>
      <w:tr w:rsidR="006716B4" w:rsidRPr="006716B4" w14:paraId="683C2CC7" w14:textId="77777777" w:rsidTr="001367E0">
        <w:tblPrEx>
          <w:tblCellMar>
            <w:left w:w="108" w:type="dxa"/>
            <w:right w:w="108" w:type="dxa"/>
          </w:tblCellMar>
        </w:tblPrEx>
        <w:trPr>
          <w:trHeight w:val="465"/>
        </w:trPr>
        <w:tc>
          <w:tcPr>
            <w:tcW w:w="737" w:type="dxa"/>
            <w:noWrap/>
            <w:hideMark/>
          </w:tcPr>
          <w:p w14:paraId="3EF6F58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11011</w:t>
            </w:r>
          </w:p>
        </w:tc>
        <w:tc>
          <w:tcPr>
            <w:tcW w:w="1559" w:type="dxa"/>
            <w:noWrap/>
            <w:hideMark/>
          </w:tcPr>
          <w:p w14:paraId="2336AF5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Orange High School</w:t>
            </w:r>
          </w:p>
        </w:tc>
        <w:tc>
          <w:tcPr>
            <w:tcW w:w="709" w:type="dxa"/>
            <w:noWrap/>
            <w:hideMark/>
          </w:tcPr>
          <w:p w14:paraId="03F147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A60B5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4B1BD8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6450DE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Woodward St</w:t>
            </w:r>
          </w:p>
        </w:tc>
        <w:tc>
          <w:tcPr>
            <w:tcW w:w="1134" w:type="dxa"/>
            <w:noWrap/>
            <w:hideMark/>
          </w:tcPr>
          <w:p w14:paraId="22336FA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A4E07A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31.4</w:t>
            </w:r>
          </w:p>
        </w:tc>
        <w:tc>
          <w:tcPr>
            <w:tcW w:w="1134" w:type="dxa"/>
            <w:noWrap/>
            <w:hideMark/>
          </w:tcPr>
          <w:p w14:paraId="0E8819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51.4</w:t>
            </w:r>
          </w:p>
        </w:tc>
        <w:tc>
          <w:tcPr>
            <w:tcW w:w="1134" w:type="dxa"/>
            <w:noWrap/>
            <w:hideMark/>
          </w:tcPr>
          <w:p w14:paraId="1645998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71F01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217</w:t>
            </w:r>
          </w:p>
        </w:tc>
        <w:tc>
          <w:tcPr>
            <w:tcW w:w="1417" w:type="dxa"/>
            <w:noWrap/>
            <w:hideMark/>
          </w:tcPr>
          <w:p w14:paraId="4B8FD7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w:t>
            </w:r>
          </w:p>
        </w:tc>
      </w:tr>
      <w:tr w:rsidR="006716B4" w:rsidRPr="006716B4" w14:paraId="779267B7" w14:textId="77777777" w:rsidTr="001367E0">
        <w:tblPrEx>
          <w:tblCellMar>
            <w:left w:w="108" w:type="dxa"/>
            <w:right w:w="108" w:type="dxa"/>
          </w:tblCellMar>
        </w:tblPrEx>
        <w:trPr>
          <w:trHeight w:val="465"/>
        </w:trPr>
        <w:tc>
          <w:tcPr>
            <w:tcW w:w="737" w:type="dxa"/>
            <w:noWrap/>
            <w:hideMark/>
          </w:tcPr>
          <w:p w14:paraId="678EC5C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9662</w:t>
            </w:r>
          </w:p>
        </w:tc>
        <w:tc>
          <w:tcPr>
            <w:tcW w:w="1559" w:type="dxa"/>
            <w:noWrap/>
            <w:hideMark/>
          </w:tcPr>
          <w:p w14:paraId="6B473E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Orara High School</w:t>
            </w:r>
          </w:p>
        </w:tc>
        <w:tc>
          <w:tcPr>
            <w:tcW w:w="709" w:type="dxa"/>
            <w:noWrap/>
            <w:hideMark/>
          </w:tcPr>
          <w:p w14:paraId="2741764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56324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1781467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5787D5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Joyce St</w:t>
            </w:r>
          </w:p>
        </w:tc>
        <w:tc>
          <w:tcPr>
            <w:tcW w:w="1134" w:type="dxa"/>
            <w:noWrap/>
            <w:hideMark/>
          </w:tcPr>
          <w:p w14:paraId="0A6CA0F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466CB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32.5</w:t>
            </w:r>
          </w:p>
        </w:tc>
        <w:tc>
          <w:tcPr>
            <w:tcW w:w="1134" w:type="dxa"/>
            <w:noWrap/>
            <w:hideMark/>
          </w:tcPr>
          <w:p w14:paraId="768AEC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55.2</w:t>
            </w:r>
          </w:p>
        </w:tc>
        <w:tc>
          <w:tcPr>
            <w:tcW w:w="1134" w:type="dxa"/>
            <w:noWrap/>
            <w:hideMark/>
          </w:tcPr>
          <w:p w14:paraId="4AA5A9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15.4</w:t>
            </w:r>
          </w:p>
        </w:tc>
        <w:tc>
          <w:tcPr>
            <w:tcW w:w="1276" w:type="dxa"/>
            <w:noWrap/>
            <w:hideMark/>
          </w:tcPr>
          <w:p w14:paraId="506BE2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146</w:t>
            </w:r>
          </w:p>
        </w:tc>
        <w:tc>
          <w:tcPr>
            <w:tcW w:w="1417" w:type="dxa"/>
            <w:noWrap/>
            <w:hideMark/>
          </w:tcPr>
          <w:p w14:paraId="55D215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w:t>
            </w:r>
          </w:p>
        </w:tc>
      </w:tr>
      <w:tr w:rsidR="006716B4" w:rsidRPr="006716B4" w14:paraId="47EE1451" w14:textId="77777777" w:rsidTr="001367E0">
        <w:tblPrEx>
          <w:tblCellMar>
            <w:left w:w="108" w:type="dxa"/>
            <w:right w:w="108" w:type="dxa"/>
          </w:tblCellMar>
        </w:tblPrEx>
        <w:trPr>
          <w:trHeight w:val="465"/>
        </w:trPr>
        <w:tc>
          <w:tcPr>
            <w:tcW w:w="737" w:type="dxa"/>
            <w:noWrap/>
            <w:hideMark/>
          </w:tcPr>
          <w:p w14:paraId="46A1C3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9349</w:t>
            </w:r>
          </w:p>
        </w:tc>
        <w:tc>
          <w:tcPr>
            <w:tcW w:w="1559" w:type="dxa"/>
            <w:noWrap/>
            <w:hideMark/>
          </w:tcPr>
          <w:p w14:paraId="46E8284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Oxley High School</w:t>
            </w:r>
          </w:p>
        </w:tc>
        <w:tc>
          <w:tcPr>
            <w:tcW w:w="709" w:type="dxa"/>
            <w:noWrap/>
            <w:hideMark/>
          </w:tcPr>
          <w:p w14:paraId="535D4F0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DADC4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4E5F8B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278699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Piper St</w:t>
            </w:r>
          </w:p>
        </w:tc>
        <w:tc>
          <w:tcPr>
            <w:tcW w:w="1134" w:type="dxa"/>
            <w:noWrap/>
            <w:hideMark/>
          </w:tcPr>
          <w:p w14:paraId="2078DFB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82B38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31.9</w:t>
            </w:r>
          </w:p>
        </w:tc>
        <w:tc>
          <w:tcPr>
            <w:tcW w:w="1134" w:type="dxa"/>
            <w:noWrap/>
            <w:hideMark/>
          </w:tcPr>
          <w:p w14:paraId="0D35FC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54.7</w:t>
            </w:r>
          </w:p>
        </w:tc>
        <w:tc>
          <w:tcPr>
            <w:tcW w:w="1134" w:type="dxa"/>
            <w:noWrap/>
            <w:hideMark/>
          </w:tcPr>
          <w:p w14:paraId="6B2A7C1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w:t>
            </w:r>
          </w:p>
        </w:tc>
        <w:tc>
          <w:tcPr>
            <w:tcW w:w="1276" w:type="dxa"/>
            <w:noWrap/>
            <w:hideMark/>
          </w:tcPr>
          <w:p w14:paraId="57E76D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220</w:t>
            </w:r>
          </w:p>
        </w:tc>
        <w:tc>
          <w:tcPr>
            <w:tcW w:w="1417" w:type="dxa"/>
            <w:noWrap/>
            <w:hideMark/>
          </w:tcPr>
          <w:p w14:paraId="6473C2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47</w:t>
            </w:r>
          </w:p>
        </w:tc>
      </w:tr>
      <w:tr w:rsidR="006716B4" w:rsidRPr="006716B4" w14:paraId="158ED930" w14:textId="77777777" w:rsidTr="001367E0">
        <w:tblPrEx>
          <w:tblCellMar>
            <w:left w:w="108" w:type="dxa"/>
            <w:right w:w="108" w:type="dxa"/>
          </w:tblCellMar>
        </w:tblPrEx>
        <w:trPr>
          <w:trHeight w:val="465"/>
        </w:trPr>
        <w:tc>
          <w:tcPr>
            <w:tcW w:w="737" w:type="dxa"/>
            <w:noWrap/>
            <w:hideMark/>
          </w:tcPr>
          <w:p w14:paraId="138E2F9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9350</w:t>
            </w:r>
          </w:p>
        </w:tc>
        <w:tc>
          <w:tcPr>
            <w:tcW w:w="1559" w:type="dxa"/>
            <w:noWrap/>
            <w:hideMark/>
          </w:tcPr>
          <w:p w14:paraId="50C43DE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Oxley Vale Public School</w:t>
            </w:r>
          </w:p>
        </w:tc>
        <w:tc>
          <w:tcPr>
            <w:tcW w:w="709" w:type="dxa"/>
            <w:noWrap/>
            <w:hideMark/>
          </w:tcPr>
          <w:p w14:paraId="1387611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BA3B21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61F3682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1EEA3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Manilla Rd</w:t>
            </w:r>
          </w:p>
        </w:tc>
        <w:tc>
          <w:tcPr>
            <w:tcW w:w="1134" w:type="dxa"/>
            <w:noWrap/>
            <w:hideMark/>
          </w:tcPr>
          <w:p w14:paraId="4AF1836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E4C1A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20.4</w:t>
            </w:r>
          </w:p>
        </w:tc>
        <w:tc>
          <w:tcPr>
            <w:tcW w:w="1134" w:type="dxa"/>
            <w:noWrap/>
            <w:hideMark/>
          </w:tcPr>
          <w:p w14:paraId="389357E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22.5</w:t>
            </w:r>
          </w:p>
        </w:tc>
        <w:tc>
          <w:tcPr>
            <w:tcW w:w="1134" w:type="dxa"/>
            <w:noWrap/>
            <w:hideMark/>
          </w:tcPr>
          <w:p w14:paraId="07A012B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w:t>
            </w:r>
          </w:p>
        </w:tc>
        <w:tc>
          <w:tcPr>
            <w:tcW w:w="1276" w:type="dxa"/>
            <w:noWrap/>
            <w:hideMark/>
          </w:tcPr>
          <w:p w14:paraId="22F98E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w:t>
            </w:r>
          </w:p>
        </w:tc>
        <w:tc>
          <w:tcPr>
            <w:tcW w:w="1417" w:type="dxa"/>
            <w:noWrap/>
            <w:hideMark/>
          </w:tcPr>
          <w:p w14:paraId="5AD417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w:t>
            </w:r>
          </w:p>
        </w:tc>
      </w:tr>
      <w:tr w:rsidR="006716B4" w:rsidRPr="006716B4" w14:paraId="465C6C51" w14:textId="77777777" w:rsidTr="001367E0">
        <w:tblPrEx>
          <w:tblCellMar>
            <w:left w:w="108" w:type="dxa"/>
            <w:right w:w="108" w:type="dxa"/>
          </w:tblCellMar>
        </w:tblPrEx>
        <w:trPr>
          <w:trHeight w:val="465"/>
        </w:trPr>
        <w:tc>
          <w:tcPr>
            <w:tcW w:w="737" w:type="dxa"/>
            <w:noWrap/>
            <w:hideMark/>
          </w:tcPr>
          <w:p w14:paraId="242ED5B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9497</w:t>
            </w:r>
          </w:p>
        </w:tc>
        <w:tc>
          <w:tcPr>
            <w:tcW w:w="1559" w:type="dxa"/>
            <w:noWrap/>
            <w:hideMark/>
          </w:tcPr>
          <w:p w14:paraId="33C987B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Pallamallawa Public School</w:t>
            </w:r>
          </w:p>
        </w:tc>
        <w:tc>
          <w:tcPr>
            <w:tcW w:w="709" w:type="dxa"/>
            <w:noWrap/>
            <w:hideMark/>
          </w:tcPr>
          <w:p w14:paraId="5567BD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7CBE86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49F5A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064E0E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Centre St</w:t>
            </w:r>
          </w:p>
        </w:tc>
        <w:tc>
          <w:tcPr>
            <w:tcW w:w="1134" w:type="dxa"/>
            <w:noWrap/>
            <w:hideMark/>
          </w:tcPr>
          <w:p w14:paraId="1915C9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3DC3E1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47.1</w:t>
            </w:r>
          </w:p>
        </w:tc>
        <w:tc>
          <w:tcPr>
            <w:tcW w:w="1134" w:type="dxa"/>
            <w:noWrap/>
            <w:hideMark/>
          </w:tcPr>
          <w:p w14:paraId="634627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156960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6A0A7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c>
          <w:tcPr>
            <w:tcW w:w="1417" w:type="dxa"/>
            <w:noWrap/>
            <w:hideMark/>
          </w:tcPr>
          <w:p w14:paraId="5C3708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42CC261E" w14:textId="77777777" w:rsidTr="001367E0">
        <w:tblPrEx>
          <w:tblCellMar>
            <w:left w:w="108" w:type="dxa"/>
            <w:right w:w="108" w:type="dxa"/>
          </w:tblCellMar>
        </w:tblPrEx>
        <w:trPr>
          <w:trHeight w:val="465"/>
        </w:trPr>
        <w:tc>
          <w:tcPr>
            <w:tcW w:w="737" w:type="dxa"/>
            <w:noWrap/>
            <w:hideMark/>
          </w:tcPr>
          <w:p w14:paraId="62B42B5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9716</w:t>
            </w:r>
          </w:p>
        </w:tc>
        <w:tc>
          <w:tcPr>
            <w:tcW w:w="1559" w:type="dxa"/>
            <w:noWrap/>
            <w:hideMark/>
          </w:tcPr>
          <w:p w14:paraId="34EF0F6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Palmers Island Public School</w:t>
            </w:r>
          </w:p>
        </w:tc>
        <w:tc>
          <w:tcPr>
            <w:tcW w:w="709" w:type="dxa"/>
            <w:noWrap/>
            <w:hideMark/>
          </w:tcPr>
          <w:p w14:paraId="522FC79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E0934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1224F0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E2E4C5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Maclean-Yamba Rd</w:t>
            </w:r>
          </w:p>
        </w:tc>
        <w:tc>
          <w:tcPr>
            <w:tcW w:w="1134" w:type="dxa"/>
            <w:noWrap/>
            <w:hideMark/>
          </w:tcPr>
          <w:p w14:paraId="4134432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D0138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22.9</w:t>
            </w:r>
          </w:p>
        </w:tc>
        <w:tc>
          <w:tcPr>
            <w:tcW w:w="1134" w:type="dxa"/>
            <w:noWrap/>
            <w:hideMark/>
          </w:tcPr>
          <w:p w14:paraId="02D931C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61581A7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BFBA8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c>
          <w:tcPr>
            <w:tcW w:w="1417" w:type="dxa"/>
            <w:noWrap/>
            <w:hideMark/>
          </w:tcPr>
          <w:p w14:paraId="507F68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157F3B4" w14:textId="77777777" w:rsidTr="001367E0">
        <w:tblPrEx>
          <w:tblCellMar>
            <w:left w:w="108" w:type="dxa"/>
            <w:right w:w="108" w:type="dxa"/>
          </w:tblCellMar>
        </w:tblPrEx>
        <w:trPr>
          <w:trHeight w:val="465"/>
        </w:trPr>
        <w:tc>
          <w:tcPr>
            <w:tcW w:w="737" w:type="dxa"/>
            <w:noWrap/>
            <w:hideMark/>
          </w:tcPr>
          <w:p w14:paraId="2CDF275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11095</w:t>
            </w:r>
          </w:p>
        </w:tc>
        <w:tc>
          <w:tcPr>
            <w:tcW w:w="1559" w:type="dxa"/>
            <w:noWrap/>
            <w:hideMark/>
          </w:tcPr>
          <w:p w14:paraId="07F4F14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Parkes East Public School</w:t>
            </w:r>
          </w:p>
        </w:tc>
        <w:tc>
          <w:tcPr>
            <w:tcW w:w="709" w:type="dxa"/>
            <w:noWrap/>
            <w:hideMark/>
          </w:tcPr>
          <w:p w14:paraId="5AD9CF6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0F626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E3FB4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D0DB54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1-3 Thornbury St</w:t>
            </w:r>
          </w:p>
        </w:tc>
        <w:tc>
          <w:tcPr>
            <w:tcW w:w="1134" w:type="dxa"/>
            <w:noWrap/>
            <w:hideMark/>
          </w:tcPr>
          <w:p w14:paraId="71F141C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F767F2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29.5</w:t>
            </w:r>
          </w:p>
        </w:tc>
        <w:tc>
          <w:tcPr>
            <w:tcW w:w="1134" w:type="dxa"/>
            <w:noWrap/>
            <w:hideMark/>
          </w:tcPr>
          <w:p w14:paraId="0FFA17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0875920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276" w:type="dxa"/>
            <w:noWrap/>
            <w:hideMark/>
          </w:tcPr>
          <w:p w14:paraId="216F0A3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w:t>
            </w:r>
          </w:p>
        </w:tc>
        <w:tc>
          <w:tcPr>
            <w:tcW w:w="1417" w:type="dxa"/>
            <w:noWrap/>
            <w:hideMark/>
          </w:tcPr>
          <w:p w14:paraId="3BE73E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74D41F1D" w14:textId="77777777" w:rsidTr="001367E0">
        <w:tblPrEx>
          <w:tblCellMar>
            <w:left w:w="108" w:type="dxa"/>
            <w:right w:w="108" w:type="dxa"/>
          </w:tblCellMar>
        </w:tblPrEx>
        <w:trPr>
          <w:trHeight w:val="465"/>
        </w:trPr>
        <w:tc>
          <w:tcPr>
            <w:tcW w:w="737" w:type="dxa"/>
            <w:noWrap/>
            <w:hideMark/>
          </w:tcPr>
          <w:p w14:paraId="162D0E9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11096</w:t>
            </w:r>
          </w:p>
        </w:tc>
        <w:tc>
          <w:tcPr>
            <w:tcW w:w="1559" w:type="dxa"/>
            <w:noWrap/>
            <w:hideMark/>
          </w:tcPr>
          <w:p w14:paraId="59968F2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Parkes High School</w:t>
            </w:r>
          </w:p>
        </w:tc>
        <w:tc>
          <w:tcPr>
            <w:tcW w:w="709" w:type="dxa"/>
            <w:noWrap/>
            <w:hideMark/>
          </w:tcPr>
          <w:p w14:paraId="7FFE972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4F947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4A320F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D92EEF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Albert St</w:t>
            </w:r>
          </w:p>
        </w:tc>
        <w:tc>
          <w:tcPr>
            <w:tcW w:w="1134" w:type="dxa"/>
            <w:noWrap/>
            <w:hideMark/>
          </w:tcPr>
          <w:p w14:paraId="08E799F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80A267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33.7</w:t>
            </w:r>
          </w:p>
        </w:tc>
        <w:tc>
          <w:tcPr>
            <w:tcW w:w="1134" w:type="dxa"/>
            <w:noWrap/>
            <w:hideMark/>
          </w:tcPr>
          <w:p w14:paraId="7871A01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60.4</w:t>
            </w:r>
          </w:p>
        </w:tc>
        <w:tc>
          <w:tcPr>
            <w:tcW w:w="1134" w:type="dxa"/>
            <w:noWrap/>
            <w:hideMark/>
          </w:tcPr>
          <w:p w14:paraId="3A180A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27.8</w:t>
            </w:r>
          </w:p>
        </w:tc>
        <w:tc>
          <w:tcPr>
            <w:tcW w:w="1276" w:type="dxa"/>
            <w:noWrap/>
            <w:hideMark/>
          </w:tcPr>
          <w:p w14:paraId="475B3A8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173</w:t>
            </w:r>
          </w:p>
        </w:tc>
        <w:tc>
          <w:tcPr>
            <w:tcW w:w="1417" w:type="dxa"/>
            <w:noWrap/>
            <w:hideMark/>
          </w:tcPr>
          <w:p w14:paraId="11E0B6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w:t>
            </w:r>
          </w:p>
        </w:tc>
      </w:tr>
      <w:tr w:rsidR="006716B4" w:rsidRPr="006716B4" w14:paraId="27E1D721" w14:textId="77777777" w:rsidTr="001367E0">
        <w:tblPrEx>
          <w:tblCellMar>
            <w:left w:w="108" w:type="dxa"/>
            <w:right w:w="108" w:type="dxa"/>
          </w:tblCellMar>
        </w:tblPrEx>
        <w:trPr>
          <w:trHeight w:val="465"/>
        </w:trPr>
        <w:tc>
          <w:tcPr>
            <w:tcW w:w="737" w:type="dxa"/>
            <w:noWrap/>
            <w:hideMark/>
          </w:tcPr>
          <w:p w14:paraId="08BA8BC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7846</w:t>
            </w:r>
          </w:p>
        </w:tc>
        <w:tc>
          <w:tcPr>
            <w:tcW w:w="1559" w:type="dxa"/>
            <w:noWrap/>
            <w:hideMark/>
          </w:tcPr>
          <w:p w14:paraId="77912EE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Parramatta West Public School</w:t>
            </w:r>
          </w:p>
        </w:tc>
        <w:tc>
          <w:tcPr>
            <w:tcW w:w="709" w:type="dxa"/>
            <w:noWrap/>
            <w:hideMark/>
          </w:tcPr>
          <w:p w14:paraId="17C0428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5C6331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FA34D6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6DD43E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Auburn &amp; Young Sts</w:t>
            </w:r>
          </w:p>
        </w:tc>
        <w:tc>
          <w:tcPr>
            <w:tcW w:w="1134" w:type="dxa"/>
            <w:noWrap/>
            <w:hideMark/>
          </w:tcPr>
          <w:p w14:paraId="4182ECC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6C366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23.3</w:t>
            </w:r>
          </w:p>
        </w:tc>
        <w:tc>
          <w:tcPr>
            <w:tcW w:w="1134" w:type="dxa"/>
            <w:noWrap/>
            <w:hideMark/>
          </w:tcPr>
          <w:p w14:paraId="2137FB5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7BB276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880840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w:t>
            </w:r>
          </w:p>
        </w:tc>
        <w:tc>
          <w:tcPr>
            <w:tcW w:w="1417" w:type="dxa"/>
            <w:noWrap/>
            <w:hideMark/>
          </w:tcPr>
          <w:p w14:paraId="4556A41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0342D8D0" w14:textId="77777777" w:rsidTr="001367E0">
        <w:tblPrEx>
          <w:tblCellMar>
            <w:left w:w="108" w:type="dxa"/>
            <w:right w:w="108" w:type="dxa"/>
          </w:tblCellMar>
        </w:tblPrEx>
        <w:trPr>
          <w:trHeight w:val="465"/>
        </w:trPr>
        <w:tc>
          <w:tcPr>
            <w:tcW w:w="737" w:type="dxa"/>
            <w:noWrap/>
            <w:hideMark/>
          </w:tcPr>
          <w:p w14:paraId="1E06DF7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9351</w:t>
            </w:r>
          </w:p>
        </w:tc>
        <w:tc>
          <w:tcPr>
            <w:tcW w:w="1559" w:type="dxa"/>
            <w:noWrap/>
            <w:hideMark/>
          </w:tcPr>
          <w:p w14:paraId="08B8715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Peel High School</w:t>
            </w:r>
          </w:p>
        </w:tc>
        <w:tc>
          <w:tcPr>
            <w:tcW w:w="709" w:type="dxa"/>
            <w:noWrap/>
            <w:hideMark/>
          </w:tcPr>
          <w:p w14:paraId="26E1C40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E2AA9D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05C39B9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C35BA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88 Gunnedah Rd</w:t>
            </w:r>
          </w:p>
        </w:tc>
        <w:tc>
          <w:tcPr>
            <w:tcW w:w="1134" w:type="dxa"/>
            <w:noWrap/>
            <w:hideMark/>
          </w:tcPr>
          <w:p w14:paraId="743E43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3BC56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51.8</w:t>
            </w:r>
          </w:p>
        </w:tc>
        <w:tc>
          <w:tcPr>
            <w:tcW w:w="1134" w:type="dxa"/>
            <w:noWrap/>
            <w:hideMark/>
          </w:tcPr>
          <w:p w14:paraId="3B48D79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67.6</w:t>
            </w:r>
          </w:p>
        </w:tc>
        <w:tc>
          <w:tcPr>
            <w:tcW w:w="1134" w:type="dxa"/>
            <w:noWrap/>
            <w:hideMark/>
          </w:tcPr>
          <w:p w14:paraId="7482A3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14.1</w:t>
            </w:r>
          </w:p>
        </w:tc>
        <w:tc>
          <w:tcPr>
            <w:tcW w:w="1276" w:type="dxa"/>
            <w:noWrap/>
            <w:hideMark/>
          </w:tcPr>
          <w:p w14:paraId="52CB213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190</w:t>
            </w:r>
          </w:p>
        </w:tc>
        <w:tc>
          <w:tcPr>
            <w:tcW w:w="1417" w:type="dxa"/>
            <w:noWrap/>
            <w:hideMark/>
          </w:tcPr>
          <w:p w14:paraId="55C50AF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92</w:t>
            </w:r>
          </w:p>
        </w:tc>
      </w:tr>
      <w:tr w:rsidR="006716B4" w:rsidRPr="006716B4" w14:paraId="1FE8CFDC" w14:textId="77777777" w:rsidTr="001367E0">
        <w:tblPrEx>
          <w:tblCellMar>
            <w:left w:w="108" w:type="dxa"/>
            <w:right w:w="108" w:type="dxa"/>
          </w:tblCellMar>
        </w:tblPrEx>
        <w:trPr>
          <w:trHeight w:val="465"/>
        </w:trPr>
        <w:tc>
          <w:tcPr>
            <w:tcW w:w="737" w:type="dxa"/>
            <w:noWrap/>
            <w:hideMark/>
          </w:tcPr>
          <w:p w14:paraId="36845BA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7809</w:t>
            </w:r>
          </w:p>
        </w:tc>
        <w:tc>
          <w:tcPr>
            <w:tcW w:w="1559" w:type="dxa"/>
            <w:noWrap/>
            <w:hideMark/>
          </w:tcPr>
          <w:p w14:paraId="0EBE244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Pendle Hill High School</w:t>
            </w:r>
          </w:p>
        </w:tc>
        <w:tc>
          <w:tcPr>
            <w:tcW w:w="709" w:type="dxa"/>
            <w:noWrap/>
            <w:hideMark/>
          </w:tcPr>
          <w:p w14:paraId="2F8301F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FEEA3A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10989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5E043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Knox St</w:t>
            </w:r>
          </w:p>
        </w:tc>
        <w:tc>
          <w:tcPr>
            <w:tcW w:w="1134" w:type="dxa"/>
            <w:noWrap/>
            <w:hideMark/>
          </w:tcPr>
          <w:p w14:paraId="7792781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91584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47.7</w:t>
            </w:r>
          </w:p>
        </w:tc>
        <w:tc>
          <w:tcPr>
            <w:tcW w:w="1134" w:type="dxa"/>
            <w:noWrap/>
            <w:hideMark/>
          </w:tcPr>
          <w:p w14:paraId="599208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526389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F97082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113</w:t>
            </w:r>
          </w:p>
        </w:tc>
        <w:tc>
          <w:tcPr>
            <w:tcW w:w="1417" w:type="dxa"/>
            <w:noWrap/>
            <w:hideMark/>
          </w:tcPr>
          <w:p w14:paraId="70203D9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r>
      <w:tr w:rsidR="006716B4" w:rsidRPr="006716B4" w14:paraId="191FDFB5" w14:textId="77777777" w:rsidTr="001367E0">
        <w:tblPrEx>
          <w:tblCellMar>
            <w:left w:w="108" w:type="dxa"/>
            <w:right w:w="108" w:type="dxa"/>
          </w:tblCellMar>
        </w:tblPrEx>
        <w:trPr>
          <w:trHeight w:val="465"/>
        </w:trPr>
        <w:tc>
          <w:tcPr>
            <w:tcW w:w="737" w:type="dxa"/>
            <w:noWrap/>
            <w:hideMark/>
          </w:tcPr>
          <w:p w14:paraId="417AEF5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7810</w:t>
            </w:r>
          </w:p>
        </w:tc>
        <w:tc>
          <w:tcPr>
            <w:tcW w:w="1559" w:type="dxa"/>
            <w:noWrap/>
            <w:hideMark/>
          </w:tcPr>
          <w:p w14:paraId="243C63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Pendle Hill Public School</w:t>
            </w:r>
          </w:p>
        </w:tc>
        <w:tc>
          <w:tcPr>
            <w:tcW w:w="709" w:type="dxa"/>
            <w:noWrap/>
            <w:hideMark/>
          </w:tcPr>
          <w:p w14:paraId="3BC1F44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AC4116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EDD0B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109D24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Pendle Way</w:t>
            </w:r>
          </w:p>
        </w:tc>
        <w:tc>
          <w:tcPr>
            <w:tcW w:w="1134" w:type="dxa"/>
            <w:noWrap/>
            <w:hideMark/>
          </w:tcPr>
          <w:p w14:paraId="60D543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07C8E6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27.2</w:t>
            </w:r>
          </w:p>
        </w:tc>
        <w:tc>
          <w:tcPr>
            <w:tcW w:w="1134" w:type="dxa"/>
            <w:noWrap/>
            <w:hideMark/>
          </w:tcPr>
          <w:p w14:paraId="756F90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415FF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B0AC80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w:t>
            </w:r>
          </w:p>
        </w:tc>
        <w:tc>
          <w:tcPr>
            <w:tcW w:w="1417" w:type="dxa"/>
            <w:noWrap/>
            <w:hideMark/>
          </w:tcPr>
          <w:p w14:paraId="17A7BD8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0F285699" w14:textId="77777777" w:rsidTr="001367E0">
        <w:tblPrEx>
          <w:tblCellMar>
            <w:left w:w="108" w:type="dxa"/>
            <w:right w:w="108" w:type="dxa"/>
          </w:tblCellMar>
        </w:tblPrEx>
        <w:trPr>
          <w:trHeight w:val="465"/>
        </w:trPr>
        <w:tc>
          <w:tcPr>
            <w:tcW w:w="737" w:type="dxa"/>
            <w:noWrap/>
            <w:hideMark/>
          </w:tcPr>
          <w:p w14:paraId="76D5E48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10715</w:t>
            </w:r>
          </w:p>
        </w:tc>
        <w:tc>
          <w:tcPr>
            <w:tcW w:w="1559" w:type="dxa"/>
            <w:noWrap/>
            <w:hideMark/>
          </w:tcPr>
          <w:p w14:paraId="06AD6E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Penrith South Public School</w:t>
            </w:r>
          </w:p>
        </w:tc>
        <w:tc>
          <w:tcPr>
            <w:tcW w:w="709" w:type="dxa"/>
            <w:noWrap/>
            <w:hideMark/>
          </w:tcPr>
          <w:p w14:paraId="4671516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44C395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B410B3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958D8F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Jamison Rd</w:t>
            </w:r>
          </w:p>
        </w:tc>
        <w:tc>
          <w:tcPr>
            <w:tcW w:w="1134" w:type="dxa"/>
            <w:noWrap/>
            <w:hideMark/>
          </w:tcPr>
          <w:p w14:paraId="308818E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02F3C7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27.7</w:t>
            </w:r>
          </w:p>
        </w:tc>
        <w:tc>
          <w:tcPr>
            <w:tcW w:w="1134" w:type="dxa"/>
            <w:noWrap/>
            <w:hideMark/>
          </w:tcPr>
          <w:p w14:paraId="5F2F7B1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3B9133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276" w:type="dxa"/>
            <w:noWrap/>
            <w:hideMark/>
          </w:tcPr>
          <w:p w14:paraId="4C6957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w:t>
            </w:r>
          </w:p>
        </w:tc>
        <w:tc>
          <w:tcPr>
            <w:tcW w:w="1417" w:type="dxa"/>
            <w:noWrap/>
            <w:hideMark/>
          </w:tcPr>
          <w:p w14:paraId="005D1C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r>
      <w:tr w:rsidR="006716B4" w:rsidRPr="006716B4" w14:paraId="5582AE1E" w14:textId="77777777" w:rsidTr="001367E0">
        <w:tblPrEx>
          <w:tblCellMar>
            <w:left w:w="108" w:type="dxa"/>
            <w:right w:w="108" w:type="dxa"/>
          </w:tblCellMar>
        </w:tblPrEx>
        <w:trPr>
          <w:trHeight w:val="465"/>
        </w:trPr>
        <w:tc>
          <w:tcPr>
            <w:tcW w:w="737" w:type="dxa"/>
            <w:noWrap/>
            <w:hideMark/>
          </w:tcPr>
          <w:p w14:paraId="198EF40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10985</w:t>
            </w:r>
          </w:p>
        </w:tc>
        <w:tc>
          <w:tcPr>
            <w:tcW w:w="1559" w:type="dxa"/>
            <w:noWrap/>
            <w:hideMark/>
          </w:tcPr>
          <w:p w14:paraId="1C34FE4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Perthville Public School</w:t>
            </w:r>
          </w:p>
        </w:tc>
        <w:tc>
          <w:tcPr>
            <w:tcW w:w="709" w:type="dxa"/>
            <w:noWrap/>
            <w:hideMark/>
          </w:tcPr>
          <w:p w14:paraId="380BC33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64DD8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636CCD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005932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Rockley St</w:t>
            </w:r>
          </w:p>
        </w:tc>
        <w:tc>
          <w:tcPr>
            <w:tcW w:w="1134" w:type="dxa"/>
            <w:noWrap/>
            <w:hideMark/>
          </w:tcPr>
          <w:p w14:paraId="50EBDD5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039660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10.9</w:t>
            </w:r>
          </w:p>
        </w:tc>
        <w:tc>
          <w:tcPr>
            <w:tcW w:w="1134" w:type="dxa"/>
            <w:noWrap/>
            <w:hideMark/>
          </w:tcPr>
          <w:p w14:paraId="3B0362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0BF91BE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20.0</w:t>
            </w:r>
          </w:p>
        </w:tc>
        <w:tc>
          <w:tcPr>
            <w:tcW w:w="1276" w:type="dxa"/>
            <w:noWrap/>
            <w:hideMark/>
          </w:tcPr>
          <w:p w14:paraId="6EAFB21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c>
          <w:tcPr>
            <w:tcW w:w="1417" w:type="dxa"/>
            <w:noWrap/>
            <w:hideMark/>
          </w:tcPr>
          <w:p w14:paraId="655052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556C5B8F" w14:textId="77777777" w:rsidTr="001367E0">
        <w:tblPrEx>
          <w:tblCellMar>
            <w:left w:w="108" w:type="dxa"/>
            <w:right w:w="108" w:type="dxa"/>
          </w:tblCellMar>
        </w:tblPrEx>
        <w:trPr>
          <w:trHeight w:val="465"/>
        </w:trPr>
        <w:tc>
          <w:tcPr>
            <w:tcW w:w="737" w:type="dxa"/>
            <w:noWrap/>
            <w:hideMark/>
          </w:tcPr>
          <w:p w14:paraId="115E9B1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10230</w:t>
            </w:r>
          </w:p>
        </w:tc>
        <w:tc>
          <w:tcPr>
            <w:tcW w:w="1559" w:type="dxa"/>
            <w:noWrap/>
            <w:hideMark/>
          </w:tcPr>
          <w:p w14:paraId="757104F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Picton High School</w:t>
            </w:r>
          </w:p>
        </w:tc>
        <w:tc>
          <w:tcPr>
            <w:tcW w:w="709" w:type="dxa"/>
            <w:noWrap/>
            <w:hideMark/>
          </w:tcPr>
          <w:p w14:paraId="0BD9683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E805EC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DBFB1E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E18058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480 Argyle St</w:t>
            </w:r>
          </w:p>
        </w:tc>
        <w:tc>
          <w:tcPr>
            <w:tcW w:w="1134" w:type="dxa"/>
            <w:noWrap/>
            <w:hideMark/>
          </w:tcPr>
          <w:p w14:paraId="4A99623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958AA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36.8</w:t>
            </w:r>
          </w:p>
        </w:tc>
        <w:tc>
          <w:tcPr>
            <w:tcW w:w="1134" w:type="dxa"/>
            <w:noWrap/>
            <w:hideMark/>
          </w:tcPr>
          <w:p w14:paraId="59871DE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44.2</w:t>
            </w:r>
          </w:p>
        </w:tc>
        <w:tc>
          <w:tcPr>
            <w:tcW w:w="1134" w:type="dxa"/>
            <w:noWrap/>
            <w:hideMark/>
          </w:tcPr>
          <w:p w14:paraId="2F94096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4.7</w:t>
            </w:r>
          </w:p>
        </w:tc>
        <w:tc>
          <w:tcPr>
            <w:tcW w:w="1276" w:type="dxa"/>
            <w:noWrap/>
            <w:hideMark/>
          </w:tcPr>
          <w:p w14:paraId="5D399B5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332</w:t>
            </w:r>
          </w:p>
        </w:tc>
        <w:tc>
          <w:tcPr>
            <w:tcW w:w="1417" w:type="dxa"/>
            <w:noWrap/>
            <w:hideMark/>
          </w:tcPr>
          <w:p w14:paraId="060A550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w:t>
            </w:r>
          </w:p>
        </w:tc>
      </w:tr>
      <w:tr w:rsidR="006716B4" w:rsidRPr="006716B4" w14:paraId="4A4251AF" w14:textId="77777777" w:rsidTr="001367E0">
        <w:tblPrEx>
          <w:tblCellMar>
            <w:left w:w="108" w:type="dxa"/>
            <w:right w:w="108" w:type="dxa"/>
          </w:tblCellMar>
        </w:tblPrEx>
        <w:trPr>
          <w:trHeight w:val="465"/>
        </w:trPr>
        <w:tc>
          <w:tcPr>
            <w:tcW w:w="737" w:type="dxa"/>
            <w:noWrap/>
            <w:hideMark/>
          </w:tcPr>
          <w:p w14:paraId="3901666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17849</w:t>
            </w:r>
          </w:p>
        </w:tc>
        <w:tc>
          <w:tcPr>
            <w:tcW w:w="1559" w:type="dxa"/>
            <w:noWrap/>
            <w:hideMark/>
          </w:tcPr>
          <w:p w14:paraId="05C13A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Plumpton High School</w:t>
            </w:r>
          </w:p>
        </w:tc>
        <w:tc>
          <w:tcPr>
            <w:tcW w:w="709" w:type="dxa"/>
            <w:noWrap/>
            <w:hideMark/>
          </w:tcPr>
          <w:p w14:paraId="60E0DCB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D80E7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5466C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9B8028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Hyatts Rd</w:t>
            </w:r>
          </w:p>
        </w:tc>
        <w:tc>
          <w:tcPr>
            <w:tcW w:w="1134" w:type="dxa"/>
            <w:noWrap/>
            <w:hideMark/>
          </w:tcPr>
          <w:p w14:paraId="6346C21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C9121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46.9</w:t>
            </w:r>
          </w:p>
        </w:tc>
        <w:tc>
          <w:tcPr>
            <w:tcW w:w="1134" w:type="dxa"/>
            <w:noWrap/>
            <w:hideMark/>
          </w:tcPr>
          <w:p w14:paraId="56D17F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51.6</w:t>
            </w:r>
          </w:p>
        </w:tc>
        <w:tc>
          <w:tcPr>
            <w:tcW w:w="1134" w:type="dxa"/>
            <w:noWrap/>
            <w:hideMark/>
          </w:tcPr>
          <w:p w14:paraId="3E11C83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B39F2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350</w:t>
            </w:r>
          </w:p>
        </w:tc>
        <w:tc>
          <w:tcPr>
            <w:tcW w:w="1417" w:type="dxa"/>
            <w:noWrap/>
            <w:hideMark/>
          </w:tcPr>
          <w:p w14:paraId="092ACE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w:t>
            </w:r>
          </w:p>
        </w:tc>
      </w:tr>
      <w:tr w:rsidR="006716B4" w:rsidRPr="006716B4" w14:paraId="5CB2C460" w14:textId="77777777" w:rsidTr="001367E0">
        <w:tblPrEx>
          <w:tblCellMar>
            <w:left w:w="108" w:type="dxa"/>
            <w:right w:w="108" w:type="dxa"/>
          </w:tblCellMar>
        </w:tblPrEx>
        <w:trPr>
          <w:trHeight w:val="465"/>
        </w:trPr>
        <w:tc>
          <w:tcPr>
            <w:tcW w:w="737" w:type="dxa"/>
            <w:noWrap/>
            <w:hideMark/>
          </w:tcPr>
          <w:p w14:paraId="6D44805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6357</w:t>
            </w:r>
          </w:p>
        </w:tc>
        <w:tc>
          <w:tcPr>
            <w:tcW w:w="1559" w:type="dxa"/>
            <w:noWrap/>
            <w:hideMark/>
          </w:tcPr>
          <w:p w14:paraId="77FC544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Plumpton Public School</w:t>
            </w:r>
          </w:p>
        </w:tc>
        <w:tc>
          <w:tcPr>
            <w:tcW w:w="709" w:type="dxa"/>
            <w:noWrap/>
            <w:hideMark/>
          </w:tcPr>
          <w:p w14:paraId="263B384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8EB1D6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ED43D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F4D265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Bottles Rd</w:t>
            </w:r>
          </w:p>
        </w:tc>
        <w:tc>
          <w:tcPr>
            <w:tcW w:w="1134" w:type="dxa"/>
            <w:noWrap/>
            <w:hideMark/>
          </w:tcPr>
          <w:p w14:paraId="3DC41A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729B95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26.9</w:t>
            </w:r>
          </w:p>
        </w:tc>
        <w:tc>
          <w:tcPr>
            <w:tcW w:w="1134" w:type="dxa"/>
            <w:noWrap/>
            <w:hideMark/>
          </w:tcPr>
          <w:p w14:paraId="06B77E3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4872E9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B6AA5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71</w:t>
            </w:r>
          </w:p>
        </w:tc>
        <w:tc>
          <w:tcPr>
            <w:tcW w:w="1417" w:type="dxa"/>
            <w:noWrap/>
            <w:hideMark/>
          </w:tcPr>
          <w:p w14:paraId="4558048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52B29774" w14:textId="77777777" w:rsidTr="001367E0">
        <w:tblPrEx>
          <w:tblCellMar>
            <w:left w:w="108" w:type="dxa"/>
            <w:right w:w="108" w:type="dxa"/>
          </w:tblCellMar>
        </w:tblPrEx>
        <w:trPr>
          <w:trHeight w:val="465"/>
        </w:trPr>
        <w:tc>
          <w:tcPr>
            <w:tcW w:w="737" w:type="dxa"/>
            <w:noWrap/>
            <w:hideMark/>
          </w:tcPr>
          <w:p w14:paraId="512471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5332</w:t>
            </w:r>
          </w:p>
        </w:tc>
        <w:tc>
          <w:tcPr>
            <w:tcW w:w="1559" w:type="dxa"/>
            <w:noWrap/>
            <w:hideMark/>
          </w:tcPr>
          <w:p w14:paraId="7E134D8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Plunkett Street Public School</w:t>
            </w:r>
          </w:p>
        </w:tc>
        <w:tc>
          <w:tcPr>
            <w:tcW w:w="709" w:type="dxa"/>
            <w:noWrap/>
            <w:hideMark/>
          </w:tcPr>
          <w:p w14:paraId="4591390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F44F83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3F229F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C4000F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Forbes St</w:t>
            </w:r>
          </w:p>
        </w:tc>
        <w:tc>
          <w:tcPr>
            <w:tcW w:w="1134" w:type="dxa"/>
            <w:noWrap/>
            <w:hideMark/>
          </w:tcPr>
          <w:p w14:paraId="7E717AE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28446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077F8C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4340E44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B8261D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c>
          <w:tcPr>
            <w:tcW w:w="1417" w:type="dxa"/>
            <w:noWrap/>
            <w:hideMark/>
          </w:tcPr>
          <w:p w14:paraId="43EF69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6B747926" w14:textId="77777777" w:rsidTr="001367E0">
        <w:tblPrEx>
          <w:tblCellMar>
            <w:left w:w="108" w:type="dxa"/>
            <w:right w:w="108" w:type="dxa"/>
          </w:tblCellMar>
        </w:tblPrEx>
        <w:trPr>
          <w:trHeight w:val="465"/>
        </w:trPr>
        <w:tc>
          <w:tcPr>
            <w:tcW w:w="737" w:type="dxa"/>
            <w:noWrap/>
            <w:hideMark/>
          </w:tcPr>
          <w:p w14:paraId="28690F9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9641</w:t>
            </w:r>
          </w:p>
        </w:tc>
        <w:tc>
          <w:tcPr>
            <w:tcW w:w="1559" w:type="dxa"/>
            <w:noWrap/>
            <w:hideMark/>
          </w:tcPr>
          <w:p w14:paraId="6186D9A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Port Macquarie Public School</w:t>
            </w:r>
          </w:p>
        </w:tc>
        <w:tc>
          <w:tcPr>
            <w:tcW w:w="709" w:type="dxa"/>
            <w:noWrap/>
            <w:hideMark/>
          </w:tcPr>
          <w:p w14:paraId="0D58F3C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88CC26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3B0BC5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D94AFA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Grant St</w:t>
            </w:r>
          </w:p>
        </w:tc>
        <w:tc>
          <w:tcPr>
            <w:tcW w:w="1134" w:type="dxa"/>
            <w:noWrap/>
            <w:hideMark/>
          </w:tcPr>
          <w:p w14:paraId="5C22E77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216A5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30.4</w:t>
            </w:r>
          </w:p>
        </w:tc>
        <w:tc>
          <w:tcPr>
            <w:tcW w:w="1134" w:type="dxa"/>
            <w:noWrap/>
            <w:hideMark/>
          </w:tcPr>
          <w:p w14:paraId="79DC224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54.5</w:t>
            </w:r>
          </w:p>
        </w:tc>
        <w:tc>
          <w:tcPr>
            <w:tcW w:w="1134" w:type="dxa"/>
            <w:noWrap/>
            <w:hideMark/>
          </w:tcPr>
          <w:p w14:paraId="0D1C822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21.4</w:t>
            </w:r>
          </w:p>
        </w:tc>
        <w:tc>
          <w:tcPr>
            <w:tcW w:w="1276" w:type="dxa"/>
            <w:noWrap/>
            <w:hideMark/>
          </w:tcPr>
          <w:p w14:paraId="19BA8D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65</w:t>
            </w:r>
          </w:p>
        </w:tc>
        <w:tc>
          <w:tcPr>
            <w:tcW w:w="1417" w:type="dxa"/>
            <w:noWrap/>
            <w:hideMark/>
          </w:tcPr>
          <w:p w14:paraId="24C9C41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r>
      <w:tr w:rsidR="006716B4" w:rsidRPr="006716B4" w14:paraId="5739BE82" w14:textId="77777777" w:rsidTr="001367E0">
        <w:tblPrEx>
          <w:tblCellMar>
            <w:left w:w="108" w:type="dxa"/>
            <w:right w:w="108" w:type="dxa"/>
          </w:tblCellMar>
        </w:tblPrEx>
        <w:trPr>
          <w:trHeight w:val="465"/>
        </w:trPr>
        <w:tc>
          <w:tcPr>
            <w:tcW w:w="737" w:type="dxa"/>
            <w:noWrap/>
            <w:hideMark/>
          </w:tcPr>
          <w:p w14:paraId="6E589BF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8552</w:t>
            </w:r>
          </w:p>
        </w:tc>
        <w:tc>
          <w:tcPr>
            <w:tcW w:w="1559" w:type="dxa"/>
            <w:noWrap/>
            <w:hideMark/>
          </w:tcPr>
          <w:p w14:paraId="58653C6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Prairievale Public School</w:t>
            </w:r>
          </w:p>
        </w:tc>
        <w:tc>
          <w:tcPr>
            <w:tcW w:w="709" w:type="dxa"/>
            <w:noWrap/>
            <w:hideMark/>
          </w:tcPr>
          <w:p w14:paraId="3ECB599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A38E0B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31133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603EED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Prairievale &amp; Mimosa Rds</w:t>
            </w:r>
          </w:p>
        </w:tc>
        <w:tc>
          <w:tcPr>
            <w:tcW w:w="1134" w:type="dxa"/>
            <w:noWrap/>
            <w:hideMark/>
          </w:tcPr>
          <w:p w14:paraId="2FED781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42575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23.7</w:t>
            </w:r>
          </w:p>
        </w:tc>
        <w:tc>
          <w:tcPr>
            <w:tcW w:w="1134" w:type="dxa"/>
            <w:noWrap/>
            <w:hideMark/>
          </w:tcPr>
          <w:p w14:paraId="6C2448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470053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2977A8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w:t>
            </w:r>
          </w:p>
        </w:tc>
        <w:tc>
          <w:tcPr>
            <w:tcW w:w="1417" w:type="dxa"/>
            <w:noWrap/>
            <w:hideMark/>
          </w:tcPr>
          <w:p w14:paraId="384557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104F7B3D" w14:textId="77777777" w:rsidTr="001367E0">
        <w:tblPrEx>
          <w:tblCellMar>
            <w:left w:w="108" w:type="dxa"/>
            <w:right w:w="108" w:type="dxa"/>
          </w:tblCellMar>
        </w:tblPrEx>
        <w:trPr>
          <w:trHeight w:val="465"/>
        </w:trPr>
        <w:tc>
          <w:tcPr>
            <w:tcW w:w="737" w:type="dxa"/>
            <w:noWrap/>
            <w:hideMark/>
          </w:tcPr>
          <w:p w14:paraId="5D4E5D3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14946</w:t>
            </w:r>
          </w:p>
        </w:tc>
        <w:tc>
          <w:tcPr>
            <w:tcW w:w="1559" w:type="dxa"/>
            <w:noWrap/>
            <w:hideMark/>
          </w:tcPr>
          <w:p w14:paraId="225BC91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Prairiewood High School</w:t>
            </w:r>
          </w:p>
        </w:tc>
        <w:tc>
          <w:tcPr>
            <w:tcW w:w="709" w:type="dxa"/>
            <w:noWrap/>
            <w:hideMark/>
          </w:tcPr>
          <w:p w14:paraId="363E990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A8260D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6C8E4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3EA540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Prairievale Rd</w:t>
            </w:r>
          </w:p>
        </w:tc>
        <w:tc>
          <w:tcPr>
            <w:tcW w:w="1134" w:type="dxa"/>
            <w:noWrap/>
            <w:hideMark/>
          </w:tcPr>
          <w:p w14:paraId="3FA6816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1BE7B9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33.2</w:t>
            </w:r>
          </w:p>
        </w:tc>
        <w:tc>
          <w:tcPr>
            <w:tcW w:w="1134" w:type="dxa"/>
            <w:noWrap/>
            <w:hideMark/>
          </w:tcPr>
          <w:p w14:paraId="33976A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42.3</w:t>
            </w:r>
          </w:p>
        </w:tc>
        <w:tc>
          <w:tcPr>
            <w:tcW w:w="1134" w:type="dxa"/>
            <w:noWrap/>
            <w:hideMark/>
          </w:tcPr>
          <w:p w14:paraId="52D40D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C20DCF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218</w:t>
            </w:r>
          </w:p>
        </w:tc>
        <w:tc>
          <w:tcPr>
            <w:tcW w:w="1417" w:type="dxa"/>
            <w:noWrap/>
            <w:hideMark/>
          </w:tcPr>
          <w:p w14:paraId="03CAA6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0AC5FFD9" w14:textId="77777777" w:rsidTr="001367E0">
        <w:tblPrEx>
          <w:tblCellMar>
            <w:left w:w="108" w:type="dxa"/>
            <w:right w:w="108" w:type="dxa"/>
          </w:tblCellMar>
        </w:tblPrEx>
        <w:trPr>
          <w:trHeight w:val="465"/>
        </w:trPr>
        <w:tc>
          <w:tcPr>
            <w:tcW w:w="737" w:type="dxa"/>
            <w:noWrap/>
            <w:hideMark/>
          </w:tcPr>
          <w:p w14:paraId="543784D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8543</w:t>
            </w:r>
          </w:p>
        </w:tc>
        <w:tc>
          <w:tcPr>
            <w:tcW w:w="1559" w:type="dxa"/>
            <w:noWrap/>
            <w:hideMark/>
          </w:tcPr>
          <w:p w14:paraId="70EFEFF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Prestons Public School</w:t>
            </w:r>
          </w:p>
        </w:tc>
        <w:tc>
          <w:tcPr>
            <w:tcW w:w="709" w:type="dxa"/>
            <w:noWrap/>
            <w:hideMark/>
          </w:tcPr>
          <w:p w14:paraId="3FD6AC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9A3AF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7A37D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61D720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Kurrajong &amp; Box Rds</w:t>
            </w:r>
          </w:p>
        </w:tc>
        <w:tc>
          <w:tcPr>
            <w:tcW w:w="1134" w:type="dxa"/>
            <w:noWrap/>
            <w:hideMark/>
          </w:tcPr>
          <w:p w14:paraId="52ACEA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EB326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49EBB0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71E66F0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03D917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49</w:t>
            </w:r>
          </w:p>
        </w:tc>
        <w:tc>
          <w:tcPr>
            <w:tcW w:w="1417" w:type="dxa"/>
            <w:noWrap/>
            <w:hideMark/>
          </w:tcPr>
          <w:p w14:paraId="450278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3C746B04" w14:textId="77777777" w:rsidTr="001367E0">
        <w:tblPrEx>
          <w:tblCellMar>
            <w:left w:w="108" w:type="dxa"/>
            <w:right w:w="108" w:type="dxa"/>
          </w:tblCellMar>
        </w:tblPrEx>
        <w:trPr>
          <w:trHeight w:val="465"/>
        </w:trPr>
        <w:tc>
          <w:tcPr>
            <w:tcW w:w="737" w:type="dxa"/>
            <w:noWrap/>
            <w:hideMark/>
          </w:tcPr>
          <w:p w14:paraId="68F4D4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14696</w:t>
            </w:r>
          </w:p>
        </w:tc>
        <w:tc>
          <w:tcPr>
            <w:tcW w:w="1559" w:type="dxa"/>
            <w:noWrap/>
            <w:hideMark/>
          </w:tcPr>
          <w:p w14:paraId="137A43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Quakers Hill High School</w:t>
            </w:r>
          </w:p>
        </w:tc>
        <w:tc>
          <w:tcPr>
            <w:tcW w:w="709" w:type="dxa"/>
            <w:noWrap/>
            <w:hideMark/>
          </w:tcPr>
          <w:p w14:paraId="54875B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7CA28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1875FC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171EA1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McCulloch St</w:t>
            </w:r>
          </w:p>
        </w:tc>
        <w:tc>
          <w:tcPr>
            <w:tcW w:w="1134" w:type="dxa"/>
            <w:noWrap/>
            <w:hideMark/>
          </w:tcPr>
          <w:p w14:paraId="1A2F942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E52B3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32.5</w:t>
            </w:r>
          </w:p>
        </w:tc>
        <w:tc>
          <w:tcPr>
            <w:tcW w:w="1134" w:type="dxa"/>
            <w:noWrap/>
            <w:hideMark/>
          </w:tcPr>
          <w:p w14:paraId="35B42C8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50.9</w:t>
            </w:r>
          </w:p>
        </w:tc>
        <w:tc>
          <w:tcPr>
            <w:tcW w:w="1134" w:type="dxa"/>
            <w:noWrap/>
            <w:hideMark/>
          </w:tcPr>
          <w:p w14:paraId="5C1CA4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9.7</w:t>
            </w:r>
          </w:p>
        </w:tc>
        <w:tc>
          <w:tcPr>
            <w:tcW w:w="1276" w:type="dxa"/>
            <w:noWrap/>
            <w:hideMark/>
          </w:tcPr>
          <w:p w14:paraId="51E3DA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308</w:t>
            </w:r>
          </w:p>
        </w:tc>
        <w:tc>
          <w:tcPr>
            <w:tcW w:w="1417" w:type="dxa"/>
            <w:noWrap/>
            <w:hideMark/>
          </w:tcPr>
          <w:p w14:paraId="2D47F4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w:t>
            </w:r>
          </w:p>
        </w:tc>
      </w:tr>
      <w:tr w:rsidR="006716B4" w:rsidRPr="006716B4" w14:paraId="10ACE59B" w14:textId="77777777" w:rsidTr="001367E0">
        <w:tblPrEx>
          <w:tblCellMar>
            <w:left w:w="108" w:type="dxa"/>
            <w:right w:w="108" w:type="dxa"/>
          </w:tblCellMar>
        </w:tblPrEx>
        <w:trPr>
          <w:trHeight w:val="465"/>
        </w:trPr>
        <w:tc>
          <w:tcPr>
            <w:tcW w:w="737" w:type="dxa"/>
            <w:noWrap/>
            <w:hideMark/>
          </w:tcPr>
          <w:p w14:paraId="593A5D0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10407</w:t>
            </w:r>
          </w:p>
        </w:tc>
        <w:tc>
          <w:tcPr>
            <w:tcW w:w="1559" w:type="dxa"/>
            <w:noWrap/>
            <w:hideMark/>
          </w:tcPr>
          <w:p w14:paraId="2F0EE66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Queanbeyan High School</w:t>
            </w:r>
          </w:p>
        </w:tc>
        <w:tc>
          <w:tcPr>
            <w:tcW w:w="709" w:type="dxa"/>
            <w:noWrap/>
            <w:hideMark/>
          </w:tcPr>
          <w:p w14:paraId="69AAAF2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40D3C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1AC5F8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7E2980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Agnes Ave</w:t>
            </w:r>
          </w:p>
        </w:tc>
        <w:tc>
          <w:tcPr>
            <w:tcW w:w="1134" w:type="dxa"/>
            <w:noWrap/>
            <w:hideMark/>
          </w:tcPr>
          <w:p w14:paraId="0AF057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15FAA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39.8</w:t>
            </w:r>
          </w:p>
        </w:tc>
        <w:tc>
          <w:tcPr>
            <w:tcW w:w="1134" w:type="dxa"/>
            <w:noWrap/>
            <w:hideMark/>
          </w:tcPr>
          <w:p w14:paraId="0E1F2A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52.2</w:t>
            </w:r>
          </w:p>
        </w:tc>
        <w:tc>
          <w:tcPr>
            <w:tcW w:w="1134" w:type="dxa"/>
            <w:noWrap/>
            <w:hideMark/>
          </w:tcPr>
          <w:p w14:paraId="5CB5434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276" w:type="dxa"/>
            <w:noWrap/>
            <w:hideMark/>
          </w:tcPr>
          <w:p w14:paraId="30E2F4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135</w:t>
            </w:r>
          </w:p>
        </w:tc>
        <w:tc>
          <w:tcPr>
            <w:tcW w:w="1417" w:type="dxa"/>
            <w:noWrap/>
            <w:hideMark/>
          </w:tcPr>
          <w:p w14:paraId="0DC9C5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r>
      <w:tr w:rsidR="006716B4" w:rsidRPr="006716B4" w14:paraId="6DD2A7EF" w14:textId="77777777" w:rsidTr="001367E0">
        <w:tblPrEx>
          <w:tblCellMar>
            <w:left w:w="108" w:type="dxa"/>
            <w:right w:w="108" w:type="dxa"/>
          </w:tblCellMar>
        </w:tblPrEx>
        <w:trPr>
          <w:trHeight w:val="465"/>
        </w:trPr>
        <w:tc>
          <w:tcPr>
            <w:tcW w:w="737" w:type="dxa"/>
            <w:noWrap/>
            <w:hideMark/>
          </w:tcPr>
          <w:p w14:paraId="53F118F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10409</w:t>
            </w:r>
          </w:p>
        </w:tc>
        <w:tc>
          <w:tcPr>
            <w:tcW w:w="1559" w:type="dxa"/>
            <w:noWrap/>
            <w:hideMark/>
          </w:tcPr>
          <w:p w14:paraId="6356A0C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Queanbeyan South Public School</w:t>
            </w:r>
          </w:p>
        </w:tc>
        <w:tc>
          <w:tcPr>
            <w:tcW w:w="709" w:type="dxa"/>
            <w:noWrap/>
            <w:hideMark/>
          </w:tcPr>
          <w:p w14:paraId="0D62DA3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45A6DB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3C2FB10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CA6AE6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Cameron Rd</w:t>
            </w:r>
          </w:p>
        </w:tc>
        <w:tc>
          <w:tcPr>
            <w:tcW w:w="1134" w:type="dxa"/>
            <w:noWrap/>
            <w:hideMark/>
          </w:tcPr>
          <w:p w14:paraId="717CCDD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BF10AE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32.7</w:t>
            </w:r>
          </w:p>
        </w:tc>
        <w:tc>
          <w:tcPr>
            <w:tcW w:w="1134" w:type="dxa"/>
            <w:noWrap/>
            <w:hideMark/>
          </w:tcPr>
          <w:p w14:paraId="493BB4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60.5</w:t>
            </w:r>
          </w:p>
        </w:tc>
        <w:tc>
          <w:tcPr>
            <w:tcW w:w="1134" w:type="dxa"/>
            <w:noWrap/>
            <w:hideMark/>
          </w:tcPr>
          <w:p w14:paraId="128C67B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9.5</w:t>
            </w:r>
          </w:p>
        </w:tc>
        <w:tc>
          <w:tcPr>
            <w:tcW w:w="1276" w:type="dxa"/>
            <w:noWrap/>
            <w:hideMark/>
          </w:tcPr>
          <w:p w14:paraId="2F7497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68</w:t>
            </w:r>
          </w:p>
        </w:tc>
        <w:tc>
          <w:tcPr>
            <w:tcW w:w="1417" w:type="dxa"/>
            <w:noWrap/>
            <w:hideMark/>
          </w:tcPr>
          <w:p w14:paraId="26F05A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r>
      <w:tr w:rsidR="006716B4" w:rsidRPr="006716B4" w14:paraId="7241C16B" w14:textId="77777777" w:rsidTr="001367E0">
        <w:tblPrEx>
          <w:tblCellMar>
            <w:left w:w="108" w:type="dxa"/>
            <w:right w:w="108" w:type="dxa"/>
          </w:tblCellMar>
        </w:tblPrEx>
        <w:trPr>
          <w:trHeight w:val="465"/>
        </w:trPr>
        <w:tc>
          <w:tcPr>
            <w:tcW w:w="737" w:type="dxa"/>
            <w:noWrap/>
            <w:hideMark/>
          </w:tcPr>
          <w:p w14:paraId="458171E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10986</w:t>
            </w:r>
          </w:p>
        </w:tc>
        <w:tc>
          <w:tcPr>
            <w:tcW w:w="1559" w:type="dxa"/>
            <w:noWrap/>
            <w:hideMark/>
          </w:tcPr>
          <w:p w14:paraId="11FBDBA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Raglan Public School</w:t>
            </w:r>
          </w:p>
        </w:tc>
        <w:tc>
          <w:tcPr>
            <w:tcW w:w="709" w:type="dxa"/>
            <w:noWrap/>
            <w:hideMark/>
          </w:tcPr>
          <w:p w14:paraId="062742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B20D4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257FCE9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325A31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Nelson St</w:t>
            </w:r>
          </w:p>
        </w:tc>
        <w:tc>
          <w:tcPr>
            <w:tcW w:w="1134" w:type="dxa"/>
            <w:noWrap/>
            <w:hideMark/>
          </w:tcPr>
          <w:p w14:paraId="45EF801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101152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11.5</w:t>
            </w:r>
          </w:p>
        </w:tc>
        <w:tc>
          <w:tcPr>
            <w:tcW w:w="1134" w:type="dxa"/>
            <w:noWrap/>
            <w:hideMark/>
          </w:tcPr>
          <w:p w14:paraId="03917E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7FA037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08DDE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c>
          <w:tcPr>
            <w:tcW w:w="1417" w:type="dxa"/>
            <w:noWrap/>
            <w:hideMark/>
          </w:tcPr>
          <w:p w14:paraId="1DAC338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7F956E11" w14:textId="77777777" w:rsidTr="001367E0">
        <w:tblPrEx>
          <w:tblCellMar>
            <w:left w:w="108" w:type="dxa"/>
            <w:right w:w="108" w:type="dxa"/>
          </w:tblCellMar>
        </w:tblPrEx>
        <w:trPr>
          <w:trHeight w:val="465"/>
        </w:trPr>
        <w:tc>
          <w:tcPr>
            <w:tcW w:w="737" w:type="dxa"/>
            <w:noWrap/>
            <w:hideMark/>
          </w:tcPr>
          <w:p w14:paraId="5FA61DF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9203</w:t>
            </w:r>
          </w:p>
        </w:tc>
        <w:tc>
          <w:tcPr>
            <w:tcW w:w="1559" w:type="dxa"/>
            <w:noWrap/>
            <w:hideMark/>
          </w:tcPr>
          <w:p w14:paraId="02D9069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Raymond Terrace Public School</w:t>
            </w:r>
          </w:p>
        </w:tc>
        <w:tc>
          <w:tcPr>
            <w:tcW w:w="709" w:type="dxa"/>
            <w:noWrap/>
            <w:hideMark/>
          </w:tcPr>
          <w:p w14:paraId="5ADFAC7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1E865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5B9C94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0FC3E5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Adelaide St</w:t>
            </w:r>
          </w:p>
        </w:tc>
        <w:tc>
          <w:tcPr>
            <w:tcW w:w="1134" w:type="dxa"/>
            <w:noWrap/>
            <w:hideMark/>
          </w:tcPr>
          <w:p w14:paraId="07F15EC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1CD24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35.7</w:t>
            </w:r>
          </w:p>
        </w:tc>
        <w:tc>
          <w:tcPr>
            <w:tcW w:w="1134" w:type="dxa"/>
            <w:noWrap/>
            <w:hideMark/>
          </w:tcPr>
          <w:p w14:paraId="4604BF6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56.7</w:t>
            </w:r>
          </w:p>
        </w:tc>
        <w:tc>
          <w:tcPr>
            <w:tcW w:w="1134" w:type="dxa"/>
            <w:noWrap/>
            <w:hideMark/>
          </w:tcPr>
          <w:p w14:paraId="3F3012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6.3</w:t>
            </w:r>
          </w:p>
        </w:tc>
        <w:tc>
          <w:tcPr>
            <w:tcW w:w="1276" w:type="dxa"/>
            <w:noWrap/>
            <w:hideMark/>
          </w:tcPr>
          <w:p w14:paraId="3249A0D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65</w:t>
            </w:r>
          </w:p>
        </w:tc>
        <w:tc>
          <w:tcPr>
            <w:tcW w:w="1417" w:type="dxa"/>
            <w:noWrap/>
            <w:hideMark/>
          </w:tcPr>
          <w:p w14:paraId="4DACF73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r>
      <w:tr w:rsidR="006716B4" w:rsidRPr="006716B4" w14:paraId="30F1AAC2" w14:textId="77777777" w:rsidTr="001367E0">
        <w:tblPrEx>
          <w:tblCellMar>
            <w:left w:w="108" w:type="dxa"/>
            <w:right w:w="108" w:type="dxa"/>
          </w:tblCellMar>
        </w:tblPrEx>
        <w:trPr>
          <w:trHeight w:val="465"/>
        </w:trPr>
        <w:tc>
          <w:tcPr>
            <w:tcW w:w="737" w:type="dxa"/>
            <w:noWrap/>
            <w:hideMark/>
          </w:tcPr>
          <w:p w14:paraId="22AC880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8613</w:t>
            </w:r>
          </w:p>
        </w:tc>
        <w:tc>
          <w:tcPr>
            <w:tcW w:w="1559" w:type="dxa"/>
            <w:noWrap/>
            <w:hideMark/>
          </w:tcPr>
          <w:p w14:paraId="4FEA2B3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Revesby Public School</w:t>
            </w:r>
          </w:p>
        </w:tc>
        <w:tc>
          <w:tcPr>
            <w:tcW w:w="709" w:type="dxa"/>
            <w:noWrap/>
            <w:hideMark/>
          </w:tcPr>
          <w:p w14:paraId="65888DD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2B60EB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D5EDF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BB37E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Victoria St</w:t>
            </w:r>
          </w:p>
        </w:tc>
        <w:tc>
          <w:tcPr>
            <w:tcW w:w="1134" w:type="dxa"/>
            <w:noWrap/>
            <w:hideMark/>
          </w:tcPr>
          <w:p w14:paraId="5013DF4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56A77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22.8</w:t>
            </w:r>
          </w:p>
        </w:tc>
        <w:tc>
          <w:tcPr>
            <w:tcW w:w="1134" w:type="dxa"/>
            <w:noWrap/>
            <w:hideMark/>
          </w:tcPr>
          <w:p w14:paraId="007AEE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37.5</w:t>
            </w:r>
          </w:p>
        </w:tc>
        <w:tc>
          <w:tcPr>
            <w:tcW w:w="1134" w:type="dxa"/>
            <w:noWrap/>
            <w:hideMark/>
          </w:tcPr>
          <w:p w14:paraId="07137D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1C9EB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w:t>
            </w:r>
          </w:p>
        </w:tc>
        <w:tc>
          <w:tcPr>
            <w:tcW w:w="1417" w:type="dxa"/>
            <w:noWrap/>
            <w:hideMark/>
          </w:tcPr>
          <w:p w14:paraId="0A4C6C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0560855C" w14:textId="77777777" w:rsidTr="001367E0">
        <w:tblPrEx>
          <w:tblCellMar>
            <w:left w:w="108" w:type="dxa"/>
            <w:right w:w="108" w:type="dxa"/>
          </w:tblCellMar>
        </w:tblPrEx>
        <w:trPr>
          <w:trHeight w:val="465"/>
        </w:trPr>
        <w:tc>
          <w:tcPr>
            <w:tcW w:w="737" w:type="dxa"/>
            <w:noWrap/>
            <w:hideMark/>
          </w:tcPr>
          <w:p w14:paraId="4230B36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10730</w:t>
            </w:r>
          </w:p>
        </w:tc>
        <w:tc>
          <w:tcPr>
            <w:tcW w:w="1559" w:type="dxa"/>
            <w:noWrap/>
            <w:hideMark/>
          </w:tcPr>
          <w:p w14:paraId="615E325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Richmond High School</w:t>
            </w:r>
          </w:p>
        </w:tc>
        <w:tc>
          <w:tcPr>
            <w:tcW w:w="709" w:type="dxa"/>
            <w:noWrap/>
            <w:hideMark/>
          </w:tcPr>
          <w:p w14:paraId="75BF232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0B380C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161342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91B9E4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Lennox St</w:t>
            </w:r>
          </w:p>
        </w:tc>
        <w:tc>
          <w:tcPr>
            <w:tcW w:w="1134" w:type="dxa"/>
            <w:noWrap/>
            <w:hideMark/>
          </w:tcPr>
          <w:p w14:paraId="4393F44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E0EB2D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38.2</w:t>
            </w:r>
          </w:p>
        </w:tc>
        <w:tc>
          <w:tcPr>
            <w:tcW w:w="1134" w:type="dxa"/>
            <w:noWrap/>
            <w:hideMark/>
          </w:tcPr>
          <w:p w14:paraId="34EEB4C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53.8</w:t>
            </w:r>
          </w:p>
        </w:tc>
        <w:tc>
          <w:tcPr>
            <w:tcW w:w="1134" w:type="dxa"/>
            <w:noWrap/>
            <w:hideMark/>
          </w:tcPr>
          <w:p w14:paraId="449ACA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276" w:type="dxa"/>
            <w:noWrap/>
            <w:hideMark/>
          </w:tcPr>
          <w:p w14:paraId="016217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215</w:t>
            </w:r>
          </w:p>
        </w:tc>
        <w:tc>
          <w:tcPr>
            <w:tcW w:w="1417" w:type="dxa"/>
            <w:noWrap/>
            <w:hideMark/>
          </w:tcPr>
          <w:p w14:paraId="2B3AAF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w:t>
            </w:r>
          </w:p>
        </w:tc>
      </w:tr>
      <w:tr w:rsidR="006716B4" w:rsidRPr="006716B4" w14:paraId="0FCA5EDD" w14:textId="77777777" w:rsidTr="001367E0">
        <w:tblPrEx>
          <w:tblCellMar>
            <w:left w:w="108" w:type="dxa"/>
            <w:right w:w="108" w:type="dxa"/>
          </w:tblCellMar>
        </w:tblPrEx>
        <w:trPr>
          <w:trHeight w:val="465"/>
        </w:trPr>
        <w:tc>
          <w:tcPr>
            <w:tcW w:w="737" w:type="dxa"/>
            <w:noWrap/>
            <w:hideMark/>
          </w:tcPr>
          <w:p w14:paraId="62E8D82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6398</w:t>
            </w:r>
          </w:p>
        </w:tc>
        <w:tc>
          <w:tcPr>
            <w:tcW w:w="1559" w:type="dxa"/>
            <w:noWrap/>
            <w:hideMark/>
          </w:tcPr>
          <w:p w14:paraId="19B8209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Riverstone High School</w:t>
            </w:r>
          </w:p>
        </w:tc>
        <w:tc>
          <w:tcPr>
            <w:tcW w:w="709" w:type="dxa"/>
            <w:noWrap/>
            <w:hideMark/>
          </w:tcPr>
          <w:p w14:paraId="47C67A9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45924B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AE1FC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A984FC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McCulloch St</w:t>
            </w:r>
          </w:p>
        </w:tc>
        <w:tc>
          <w:tcPr>
            <w:tcW w:w="1134" w:type="dxa"/>
            <w:noWrap/>
            <w:hideMark/>
          </w:tcPr>
          <w:p w14:paraId="6038E47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1A1E0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44.2</w:t>
            </w:r>
          </w:p>
        </w:tc>
        <w:tc>
          <w:tcPr>
            <w:tcW w:w="1134" w:type="dxa"/>
            <w:noWrap/>
            <w:hideMark/>
          </w:tcPr>
          <w:p w14:paraId="3A3739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48.3</w:t>
            </w:r>
          </w:p>
        </w:tc>
        <w:tc>
          <w:tcPr>
            <w:tcW w:w="1134" w:type="dxa"/>
            <w:noWrap/>
            <w:hideMark/>
          </w:tcPr>
          <w:p w14:paraId="73A7CB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276" w:type="dxa"/>
            <w:noWrap/>
            <w:hideMark/>
          </w:tcPr>
          <w:p w14:paraId="073083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119</w:t>
            </w:r>
          </w:p>
        </w:tc>
        <w:tc>
          <w:tcPr>
            <w:tcW w:w="1417" w:type="dxa"/>
            <w:noWrap/>
            <w:hideMark/>
          </w:tcPr>
          <w:p w14:paraId="6B3FF5E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w:t>
            </w:r>
          </w:p>
        </w:tc>
      </w:tr>
      <w:tr w:rsidR="006716B4" w:rsidRPr="006716B4" w14:paraId="732D5CA5" w14:textId="77777777" w:rsidTr="001367E0">
        <w:tblPrEx>
          <w:tblCellMar>
            <w:left w:w="108" w:type="dxa"/>
            <w:right w:w="108" w:type="dxa"/>
          </w:tblCellMar>
        </w:tblPrEx>
        <w:trPr>
          <w:trHeight w:val="465"/>
        </w:trPr>
        <w:tc>
          <w:tcPr>
            <w:tcW w:w="737" w:type="dxa"/>
            <w:noWrap/>
            <w:hideMark/>
          </w:tcPr>
          <w:p w14:paraId="61A60EF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10786</w:t>
            </w:r>
          </w:p>
        </w:tc>
        <w:tc>
          <w:tcPr>
            <w:tcW w:w="1559" w:type="dxa"/>
            <w:noWrap/>
            <w:hideMark/>
          </w:tcPr>
          <w:p w14:paraId="3A99DD6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Riverstone Public School</w:t>
            </w:r>
          </w:p>
        </w:tc>
        <w:tc>
          <w:tcPr>
            <w:tcW w:w="709" w:type="dxa"/>
            <w:noWrap/>
            <w:hideMark/>
          </w:tcPr>
          <w:p w14:paraId="3BD0461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01D89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827D6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B548D8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Elizabeth St</w:t>
            </w:r>
          </w:p>
        </w:tc>
        <w:tc>
          <w:tcPr>
            <w:tcW w:w="1134" w:type="dxa"/>
            <w:noWrap/>
            <w:hideMark/>
          </w:tcPr>
          <w:p w14:paraId="35C65A2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57E139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27.9</w:t>
            </w:r>
          </w:p>
        </w:tc>
        <w:tc>
          <w:tcPr>
            <w:tcW w:w="1134" w:type="dxa"/>
            <w:noWrap/>
            <w:hideMark/>
          </w:tcPr>
          <w:p w14:paraId="20C1636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360EB2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CD9CAB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w:t>
            </w:r>
          </w:p>
        </w:tc>
        <w:tc>
          <w:tcPr>
            <w:tcW w:w="1417" w:type="dxa"/>
            <w:noWrap/>
            <w:hideMark/>
          </w:tcPr>
          <w:p w14:paraId="7A42E3E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7335B2A9" w14:textId="77777777" w:rsidTr="001367E0">
        <w:tblPrEx>
          <w:tblCellMar>
            <w:left w:w="108" w:type="dxa"/>
            <w:right w:w="108" w:type="dxa"/>
          </w:tblCellMar>
        </w:tblPrEx>
        <w:trPr>
          <w:trHeight w:val="465"/>
        </w:trPr>
        <w:tc>
          <w:tcPr>
            <w:tcW w:w="737" w:type="dxa"/>
            <w:noWrap/>
            <w:hideMark/>
          </w:tcPr>
          <w:p w14:paraId="2E48166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8609</w:t>
            </w:r>
          </w:p>
        </w:tc>
        <w:tc>
          <w:tcPr>
            <w:tcW w:w="1559" w:type="dxa"/>
            <w:noWrap/>
            <w:hideMark/>
          </w:tcPr>
          <w:p w14:paraId="1E90865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Riverwood Public School</w:t>
            </w:r>
          </w:p>
        </w:tc>
        <w:tc>
          <w:tcPr>
            <w:tcW w:w="709" w:type="dxa"/>
            <w:noWrap/>
            <w:hideMark/>
          </w:tcPr>
          <w:p w14:paraId="297ED3C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18E81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30FFA9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70E664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Union St</w:t>
            </w:r>
          </w:p>
        </w:tc>
        <w:tc>
          <w:tcPr>
            <w:tcW w:w="1134" w:type="dxa"/>
            <w:noWrap/>
            <w:hideMark/>
          </w:tcPr>
          <w:p w14:paraId="6E767F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3116BF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37.2</w:t>
            </w:r>
          </w:p>
        </w:tc>
        <w:tc>
          <w:tcPr>
            <w:tcW w:w="1134" w:type="dxa"/>
            <w:noWrap/>
            <w:hideMark/>
          </w:tcPr>
          <w:p w14:paraId="5E676E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37.5</w:t>
            </w:r>
          </w:p>
        </w:tc>
        <w:tc>
          <w:tcPr>
            <w:tcW w:w="1134" w:type="dxa"/>
            <w:noWrap/>
            <w:hideMark/>
          </w:tcPr>
          <w:p w14:paraId="410105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F458F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w:t>
            </w:r>
          </w:p>
        </w:tc>
        <w:tc>
          <w:tcPr>
            <w:tcW w:w="1417" w:type="dxa"/>
            <w:noWrap/>
            <w:hideMark/>
          </w:tcPr>
          <w:p w14:paraId="0AA4E6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483E7D68" w14:textId="77777777" w:rsidTr="001367E0">
        <w:tblPrEx>
          <w:tblCellMar>
            <w:left w:w="108" w:type="dxa"/>
            <w:right w:w="108" w:type="dxa"/>
          </w:tblCellMar>
        </w:tblPrEx>
        <w:trPr>
          <w:trHeight w:val="465"/>
        </w:trPr>
        <w:tc>
          <w:tcPr>
            <w:tcW w:w="737" w:type="dxa"/>
            <w:noWrap/>
            <w:hideMark/>
          </w:tcPr>
          <w:p w14:paraId="6E13E5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16171</w:t>
            </w:r>
          </w:p>
        </w:tc>
        <w:tc>
          <w:tcPr>
            <w:tcW w:w="1559" w:type="dxa"/>
            <w:noWrap/>
            <w:hideMark/>
          </w:tcPr>
          <w:p w14:paraId="0C65714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Robert Townson High School</w:t>
            </w:r>
          </w:p>
        </w:tc>
        <w:tc>
          <w:tcPr>
            <w:tcW w:w="709" w:type="dxa"/>
            <w:noWrap/>
            <w:hideMark/>
          </w:tcPr>
          <w:p w14:paraId="2AB67FB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64F472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1A6AA18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7C38E8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Thunderbolt Drive</w:t>
            </w:r>
          </w:p>
        </w:tc>
        <w:tc>
          <w:tcPr>
            <w:tcW w:w="1134" w:type="dxa"/>
            <w:noWrap/>
            <w:hideMark/>
          </w:tcPr>
          <w:p w14:paraId="743F029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05354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35.5</w:t>
            </w:r>
          </w:p>
        </w:tc>
        <w:tc>
          <w:tcPr>
            <w:tcW w:w="1134" w:type="dxa"/>
            <w:noWrap/>
            <w:hideMark/>
          </w:tcPr>
          <w:p w14:paraId="07D38BE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59AA7A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C2E38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231</w:t>
            </w:r>
          </w:p>
        </w:tc>
        <w:tc>
          <w:tcPr>
            <w:tcW w:w="1417" w:type="dxa"/>
            <w:noWrap/>
            <w:hideMark/>
          </w:tcPr>
          <w:p w14:paraId="1438205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r>
      <w:tr w:rsidR="006716B4" w:rsidRPr="006716B4" w14:paraId="2CCB6819" w14:textId="77777777" w:rsidTr="001367E0">
        <w:tblPrEx>
          <w:tblCellMar>
            <w:left w:w="108" w:type="dxa"/>
            <w:right w:w="108" w:type="dxa"/>
          </w:tblCellMar>
        </w:tblPrEx>
        <w:trPr>
          <w:trHeight w:val="465"/>
        </w:trPr>
        <w:tc>
          <w:tcPr>
            <w:tcW w:w="737" w:type="dxa"/>
            <w:noWrap/>
            <w:hideMark/>
          </w:tcPr>
          <w:p w14:paraId="205DCEA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9394</w:t>
            </w:r>
          </w:p>
        </w:tc>
        <w:tc>
          <w:tcPr>
            <w:tcW w:w="1559" w:type="dxa"/>
            <w:noWrap/>
            <w:hideMark/>
          </w:tcPr>
          <w:p w14:paraId="49CDCEA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Rocky River Public School</w:t>
            </w:r>
          </w:p>
        </w:tc>
        <w:tc>
          <w:tcPr>
            <w:tcW w:w="709" w:type="dxa"/>
            <w:noWrap/>
            <w:hideMark/>
          </w:tcPr>
          <w:p w14:paraId="777D014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1A603B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8EA3D8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D4661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Uralla-Bundarra Rd</w:t>
            </w:r>
          </w:p>
        </w:tc>
        <w:tc>
          <w:tcPr>
            <w:tcW w:w="1134" w:type="dxa"/>
            <w:noWrap/>
            <w:hideMark/>
          </w:tcPr>
          <w:p w14:paraId="5017F51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2237C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41.7</w:t>
            </w:r>
          </w:p>
        </w:tc>
        <w:tc>
          <w:tcPr>
            <w:tcW w:w="1134" w:type="dxa"/>
            <w:noWrap/>
            <w:hideMark/>
          </w:tcPr>
          <w:p w14:paraId="667A9C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08D989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C8F936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c>
          <w:tcPr>
            <w:tcW w:w="1417" w:type="dxa"/>
            <w:noWrap/>
            <w:hideMark/>
          </w:tcPr>
          <w:p w14:paraId="4B162D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57335733" w14:textId="77777777" w:rsidTr="001367E0">
        <w:tblPrEx>
          <w:tblCellMar>
            <w:left w:w="108" w:type="dxa"/>
            <w:right w:w="108" w:type="dxa"/>
          </w:tblCellMar>
        </w:tblPrEx>
        <w:trPr>
          <w:trHeight w:val="465"/>
        </w:trPr>
        <w:tc>
          <w:tcPr>
            <w:tcW w:w="737" w:type="dxa"/>
            <w:noWrap/>
            <w:hideMark/>
          </w:tcPr>
          <w:p w14:paraId="1265642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6358</w:t>
            </w:r>
          </w:p>
        </w:tc>
        <w:tc>
          <w:tcPr>
            <w:tcW w:w="1559" w:type="dxa"/>
            <w:noWrap/>
            <w:hideMark/>
          </w:tcPr>
          <w:p w14:paraId="56BFA9D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Rooty Hill High School</w:t>
            </w:r>
          </w:p>
        </w:tc>
        <w:tc>
          <w:tcPr>
            <w:tcW w:w="709" w:type="dxa"/>
            <w:noWrap/>
            <w:hideMark/>
          </w:tcPr>
          <w:p w14:paraId="11E3AB7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635F8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F9B90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DF93C7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North Pde</w:t>
            </w:r>
          </w:p>
        </w:tc>
        <w:tc>
          <w:tcPr>
            <w:tcW w:w="1134" w:type="dxa"/>
            <w:noWrap/>
            <w:hideMark/>
          </w:tcPr>
          <w:p w14:paraId="6D9185E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2CC007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37.3</w:t>
            </w:r>
          </w:p>
        </w:tc>
        <w:tc>
          <w:tcPr>
            <w:tcW w:w="1134" w:type="dxa"/>
            <w:noWrap/>
            <w:hideMark/>
          </w:tcPr>
          <w:p w14:paraId="673A723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52.3</w:t>
            </w:r>
          </w:p>
        </w:tc>
        <w:tc>
          <w:tcPr>
            <w:tcW w:w="1134" w:type="dxa"/>
            <w:noWrap/>
            <w:hideMark/>
          </w:tcPr>
          <w:p w14:paraId="483D003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73E83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305</w:t>
            </w:r>
          </w:p>
        </w:tc>
        <w:tc>
          <w:tcPr>
            <w:tcW w:w="1417" w:type="dxa"/>
            <w:noWrap/>
            <w:hideMark/>
          </w:tcPr>
          <w:p w14:paraId="6452CA9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r>
      <w:tr w:rsidR="006716B4" w:rsidRPr="006716B4" w14:paraId="40D8730D" w14:textId="77777777" w:rsidTr="001367E0">
        <w:tblPrEx>
          <w:tblCellMar>
            <w:left w:w="108" w:type="dxa"/>
            <w:right w:w="108" w:type="dxa"/>
          </w:tblCellMar>
        </w:tblPrEx>
        <w:trPr>
          <w:trHeight w:val="465"/>
        </w:trPr>
        <w:tc>
          <w:tcPr>
            <w:tcW w:w="737" w:type="dxa"/>
            <w:noWrap/>
            <w:hideMark/>
          </w:tcPr>
          <w:p w14:paraId="67A536E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10789</w:t>
            </w:r>
          </w:p>
        </w:tc>
        <w:tc>
          <w:tcPr>
            <w:tcW w:w="1559" w:type="dxa"/>
            <w:noWrap/>
            <w:hideMark/>
          </w:tcPr>
          <w:p w14:paraId="483789D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Rooty Hill Public School</w:t>
            </w:r>
          </w:p>
        </w:tc>
        <w:tc>
          <w:tcPr>
            <w:tcW w:w="709" w:type="dxa"/>
            <w:noWrap/>
            <w:hideMark/>
          </w:tcPr>
          <w:p w14:paraId="15B0D69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C259A5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99E4D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91C72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Rooty Hill Rd North</w:t>
            </w:r>
          </w:p>
        </w:tc>
        <w:tc>
          <w:tcPr>
            <w:tcW w:w="1134" w:type="dxa"/>
            <w:noWrap/>
            <w:hideMark/>
          </w:tcPr>
          <w:p w14:paraId="73549F4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06F67D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32.3</w:t>
            </w:r>
          </w:p>
        </w:tc>
        <w:tc>
          <w:tcPr>
            <w:tcW w:w="1134" w:type="dxa"/>
            <w:noWrap/>
            <w:hideMark/>
          </w:tcPr>
          <w:p w14:paraId="1CEEB4E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61.1</w:t>
            </w:r>
          </w:p>
        </w:tc>
        <w:tc>
          <w:tcPr>
            <w:tcW w:w="1134" w:type="dxa"/>
            <w:noWrap/>
            <w:hideMark/>
          </w:tcPr>
          <w:p w14:paraId="0C9E3AE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D45E8D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110</w:t>
            </w:r>
          </w:p>
        </w:tc>
        <w:tc>
          <w:tcPr>
            <w:tcW w:w="1417" w:type="dxa"/>
            <w:noWrap/>
            <w:hideMark/>
          </w:tcPr>
          <w:p w14:paraId="6E013E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47A4E8A5" w14:textId="77777777" w:rsidTr="001367E0">
        <w:tblPrEx>
          <w:tblCellMar>
            <w:left w:w="108" w:type="dxa"/>
            <w:right w:w="108" w:type="dxa"/>
          </w:tblCellMar>
        </w:tblPrEx>
        <w:trPr>
          <w:trHeight w:val="465"/>
        </w:trPr>
        <w:tc>
          <w:tcPr>
            <w:tcW w:w="737" w:type="dxa"/>
            <w:noWrap/>
            <w:hideMark/>
          </w:tcPr>
          <w:p w14:paraId="4AC288E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7794</w:t>
            </w:r>
          </w:p>
        </w:tc>
        <w:tc>
          <w:tcPr>
            <w:tcW w:w="1559" w:type="dxa"/>
            <w:noWrap/>
            <w:hideMark/>
          </w:tcPr>
          <w:p w14:paraId="240B9F5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Rosehill Public School</w:t>
            </w:r>
          </w:p>
        </w:tc>
        <w:tc>
          <w:tcPr>
            <w:tcW w:w="709" w:type="dxa"/>
            <w:noWrap/>
            <w:hideMark/>
          </w:tcPr>
          <w:p w14:paraId="6CECFC7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A9E209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F5640D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B03349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Prospect St</w:t>
            </w:r>
          </w:p>
        </w:tc>
        <w:tc>
          <w:tcPr>
            <w:tcW w:w="1134" w:type="dxa"/>
            <w:noWrap/>
            <w:hideMark/>
          </w:tcPr>
          <w:p w14:paraId="3505DB6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CBDCD2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21.8</w:t>
            </w:r>
          </w:p>
        </w:tc>
        <w:tc>
          <w:tcPr>
            <w:tcW w:w="1134" w:type="dxa"/>
            <w:noWrap/>
            <w:hideMark/>
          </w:tcPr>
          <w:p w14:paraId="58739A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660276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78822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w:t>
            </w:r>
          </w:p>
        </w:tc>
        <w:tc>
          <w:tcPr>
            <w:tcW w:w="1417" w:type="dxa"/>
            <w:noWrap/>
            <w:hideMark/>
          </w:tcPr>
          <w:p w14:paraId="0C8E3C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4AC4D302" w14:textId="77777777" w:rsidTr="001367E0">
        <w:tblPrEx>
          <w:tblCellMar>
            <w:left w:w="108" w:type="dxa"/>
            <w:right w:w="108" w:type="dxa"/>
          </w:tblCellMar>
        </w:tblPrEx>
        <w:trPr>
          <w:trHeight w:val="465"/>
        </w:trPr>
        <w:tc>
          <w:tcPr>
            <w:tcW w:w="737" w:type="dxa"/>
            <w:noWrap/>
            <w:hideMark/>
          </w:tcPr>
          <w:p w14:paraId="1C7DE00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16270</w:t>
            </w:r>
          </w:p>
        </w:tc>
        <w:tc>
          <w:tcPr>
            <w:tcW w:w="1559" w:type="dxa"/>
            <w:noWrap/>
            <w:hideMark/>
          </w:tcPr>
          <w:p w14:paraId="240931F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Rutherford High School</w:t>
            </w:r>
          </w:p>
        </w:tc>
        <w:tc>
          <w:tcPr>
            <w:tcW w:w="709" w:type="dxa"/>
            <w:noWrap/>
            <w:hideMark/>
          </w:tcPr>
          <w:p w14:paraId="0FCE58A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A2CA2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1D52290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3FC32D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Avery St</w:t>
            </w:r>
          </w:p>
        </w:tc>
        <w:tc>
          <w:tcPr>
            <w:tcW w:w="1134" w:type="dxa"/>
            <w:noWrap/>
            <w:hideMark/>
          </w:tcPr>
          <w:p w14:paraId="2D36C79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9936D6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41.3</w:t>
            </w:r>
          </w:p>
        </w:tc>
        <w:tc>
          <w:tcPr>
            <w:tcW w:w="1134" w:type="dxa"/>
            <w:noWrap/>
            <w:hideMark/>
          </w:tcPr>
          <w:p w14:paraId="17D9E7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61.4</w:t>
            </w:r>
          </w:p>
        </w:tc>
        <w:tc>
          <w:tcPr>
            <w:tcW w:w="1134" w:type="dxa"/>
            <w:noWrap/>
            <w:hideMark/>
          </w:tcPr>
          <w:p w14:paraId="1D99EC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6.5</w:t>
            </w:r>
          </w:p>
        </w:tc>
        <w:tc>
          <w:tcPr>
            <w:tcW w:w="1276" w:type="dxa"/>
            <w:noWrap/>
            <w:hideMark/>
          </w:tcPr>
          <w:p w14:paraId="351019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417" w:type="dxa"/>
            <w:noWrap/>
            <w:hideMark/>
          </w:tcPr>
          <w:p w14:paraId="45A44A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51</w:t>
            </w:r>
          </w:p>
        </w:tc>
      </w:tr>
      <w:tr w:rsidR="006716B4" w:rsidRPr="006716B4" w14:paraId="2186BA4F" w14:textId="77777777" w:rsidTr="001367E0">
        <w:tblPrEx>
          <w:tblCellMar>
            <w:left w:w="108" w:type="dxa"/>
            <w:right w:w="108" w:type="dxa"/>
          </w:tblCellMar>
        </w:tblPrEx>
        <w:trPr>
          <w:trHeight w:val="465"/>
        </w:trPr>
        <w:tc>
          <w:tcPr>
            <w:tcW w:w="737" w:type="dxa"/>
            <w:noWrap/>
            <w:hideMark/>
          </w:tcPr>
          <w:p w14:paraId="7BDFC0A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7746</w:t>
            </w:r>
          </w:p>
        </w:tc>
        <w:tc>
          <w:tcPr>
            <w:tcW w:w="1559" w:type="dxa"/>
            <w:noWrap/>
            <w:hideMark/>
          </w:tcPr>
          <w:p w14:paraId="51EF9B9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Rydalmere Public School</w:t>
            </w:r>
          </w:p>
        </w:tc>
        <w:tc>
          <w:tcPr>
            <w:tcW w:w="709" w:type="dxa"/>
            <w:noWrap/>
            <w:hideMark/>
          </w:tcPr>
          <w:p w14:paraId="7030DB8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D62A48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C4FC5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B5CCC5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Victoria Rd</w:t>
            </w:r>
          </w:p>
        </w:tc>
        <w:tc>
          <w:tcPr>
            <w:tcW w:w="1134" w:type="dxa"/>
            <w:noWrap/>
            <w:hideMark/>
          </w:tcPr>
          <w:p w14:paraId="4217D0D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6B39A8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28.8</w:t>
            </w:r>
          </w:p>
        </w:tc>
        <w:tc>
          <w:tcPr>
            <w:tcW w:w="1134" w:type="dxa"/>
            <w:noWrap/>
            <w:hideMark/>
          </w:tcPr>
          <w:p w14:paraId="533BFF6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3FC16AB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A27714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w:t>
            </w:r>
          </w:p>
        </w:tc>
        <w:tc>
          <w:tcPr>
            <w:tcW w:w="1417" w:type="dxa"/>
            <w:noWrap/>
            <w:hideMark/>
          </w:tcPr>
          <w:p w14:paraId="563099B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5D40867E" w14:textId="77777777" w:rsidTr="001367E0">
        <w:tblPrEx>
          <w:tblCellMar>
            <w:left w:w="108" w:type="dxa"/>
            <w:right w:w="108" w:type="dxa"/>
          </w:tblCellMar>
        </w:tblPrEx>
        <w:trPr>
          <w:trHeight w:val="465"/>
        </w:trPr>
        <w:tc>
          <w:tcPr>
            <w:tcW w:w="737" w:type="dxa"/>
            <w:noWrap/>
            <w:hideMark/>
          </w:tcPr>
          <w:p w14:paraId="48A6299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16272</w:t>
            </w:r>
          </w:p>
        </w:tc>
        <w:tc>
          <w:tcPr>
            <w:tcW w:w="1559" w:type="dxa"/>
            <w:noWrap/>
            <w:hideMark/>
          </w:tcPr>
          <w:p w14:paraId="299644D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Sackville Street Public School</w:t>
            </w:r>
          </w:p>
        </w:tc>
        <w:tc>
          <w:tcPr>
            <w:tcW w:w="709" w:type="dxa"/>
            <w:noWrap/>
            <w:hideMark/>
          </w:tcPr>
          <w:p w14:paraId="04DCEFA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AE204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BDE017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EEBDE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Sackville &amp; Bradley Sts</w:t>
            </w:r>
          </w:p>
        </w:tc>
        <w:tc>
          <w:tcPr>
            <w:tcW w:w="1134" w:type="dxa"/>
            <w:noWrap/>
            <w:hideMark/>
          </w:tcPr>
          <w:p w14:paraId="49D3B44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9B849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20.3</w:t>
            </w:r>
          </w:p>
        </w:tc>
        <w:tc>
          <w:tcPr>
            <w:tcW w:w="1134" w:type="dxa"/>
            <w:noWrap/>
            <w:hideMark/>
          </w:tcPr>
          <w:p w14:paraId="0DE222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35.7</w:t>
            </w:r>
          </w:p>
        </w:tc>
        <w:tc>
          <w:tcPr>
            <w:tcW w:w="1134" w:type="dxa"/>
            <w:noWrap/>
            <w:hideMark/>
          </w:tcPr>
          <w:p w14:paraId="3753C7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422CC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62</w:t>
            </w:r>
          </w:p>
        </w:tc>
        <w:tc>
          <w:tcPr>
            <w:tcW w:w="1417" w:type="dxa"/>
            <w:noWrap/>
            <w:hideMark/>
          </w:tcPr>
          <w:p w14:paraId="660808A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3141594A" w14:textId="77777777" w:rsidTr="001367E0">
        <w:tblPrEx>
          <w:tblCellMar>
            <w:left w:w="108" w:type="dxa"/>
            <w:right w:w="108" w:type="dxa"/>
          </w:tblCellMar>
        </w:tblPrEx>
        <w:trPr>
          <w:trHeight w:val="465"/>
        </w:trPr>
        <w:tc>
          <w:tcPr>
            <w:tcW w:w="737" w:type="dxa"/>
            <w:noWrap/>
            <w:hideMark/>
          </w:tcPr>
          <w:p w14:paraId="0F7486D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16109</w:t>
            </w:r>
          </w:p>
        </w:tc>
        <w:tc>
          <w:tcPr>
            <w:tcW w:w="1559" w:type="dxa"/>
            <w:noWrap/>
            <w:hideMark/>
          </w:tcPr>
          <w:p w14:paraId="04658B4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Sandon Public School</w:t>
            </w:r>
          </w:p>
        </w:tc>
        <w:tc>
          <w:tcPr>
            <w:tcW w:w="709" w:type="dxa"/>
            <w:noWrap/>
            <w:hideMark/>
          </w:tcPr>
          <w:p w14:paraId="469CB3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49F22C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6804CC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B30F4D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Erskine &amp; Niagara Sts</w:t>
            </w:r>
          </w:p>
        </w:tc>
        <w:tc>
          <w:tcPr>
            <w:tcW w:w="1134" w:type="dxa"/>
            <w:noWrap/>
            <w:hideMark/>
          </w:tcPr>
          <w:p w14:paraId="402EA4D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875BA4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35.4</w:t>
            </w:r>
          </w:p>
        </w:tc>
        <w:tc>
          <w:tcPr>
            <w:tcW w:w="1134" w:type="dxa"/>
            <w:noWrap/>
            <w:hideMark/>
          </w:tcPr>
          <w:p w14:paraId="3778BD5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2E039F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8.3</w:t>
            </w:r>
          </w:p>
        </w:tc>
        <w:tc>
          <w:tcPr>
            <w:tcW w:w="1276" w:type="dxa"/>
            <w:noWrap/>
            <w:hideMark/>
          </w:tcPr>
          <w:p w14:paraId="5C143B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46</w:t>
            </w:r>
          </w:p>
        </w:tc>
        <w:tc>
          <w:tcPr>
            <w:tcW w:w="1417" w:type="dxa"/>
            <w:noWrap/>
            <w:hideMark/>
          </w:tcPr>
          <w:p w14:paraId="0F404F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49A3976E" w14:textId="77777777" w:rsidTr="001367E0">
        <w:tblPrEx>
          <w:tblCellMar>
            <w:left w:w="108" w:type="dxa"/>
            <w:right w:w="108" w:type="dxa"/>
          </w:tblCellMar>
        </w:tblPrEx>
        <w:trPr>
          <w:trHeight w:val="465"/>
        </w:trPr>
        <w:tc>
          <w:tcPr>
            <w:tcW w:w="737" w:type="dxa"/>
            <w:noWrap/>
            <w:hideMark/>
          </w:tcPr>
          <w:p w14:paraId="330B37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6511</w:t>
            </w:r>
          </w:p>
        </w:tc>
        <w:tc>
          <w:tcPr>
            <w:tcW w:w="1559" w:type="dxa"/>
            <w:noWrap/>
            <w:hideMark/>
          </w:tcPr>
          <w:p w14:paraId="504E151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Sarah Redfern Public School</w:t>
            </w:r>
          </w:p>
        </w:tc>
        <w:tc>
          <w:tcPr>
            <w:tcW w:w="709" w:type="dxa"/>
            <w:noWrap/>
            <w:hideMark/>
          </w:tcPr>
          <w:p w14:paraId="5E8C377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43808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4B19C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CD866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Stafford St &amp; Guernsey Rd</w:t>
            </w:r>
          </w:p>
        </w:tc>
        <w:tc>
          <w:tcPr>
            <w:tcW w:w="1134" w:type="dxa"/>
            <w:noWrap/>
            <w:hideMark/>
          </w:tcPr>
          <w:p w14:paraId="34E1C93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4F044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34.2</w:t>
            </w:r>
          </w:p>
        </w:tc>
        <w:tc>
          <w:tcPr>
            <w:tcW w:w="1134" w:type="dxa"/>
            <w:noWrap/>
            <w:hideMark/>
          </w:tcPr>
          <w:p w14:paraId="2083AB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764B77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82CB2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w:t>
            </w:r>
          </w:p>
        </w:tc>
        <w:tc>
          <w:tcPr>
            <w:tcW w:w="1417" w:type="dxa"/>
            <w:noWrap/>
            <w:hideMark/>
          </w:tcPr>
          <w:p w14:paraId="75C961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70CC72BB" w14:textId="77777777" w:rsidTr="001367E0">
        <w:tblPrEx>
          <w:tblCellMar>
            <w:left w:w="108" w:type="dxa"/>
            <w:right w:w="108" w:type="dxa"/>
          </w:tblCellMar>
        </w:tblPrEx>
        <w:trPr>
          <w:trHeight w:val="465"/>
        </w:trPr>
        <w:tc>
          <w:tcPr>
            <w:tcW w:w="737" w:type="dxa"/>
            <w:noWrap/>
            <w:hideMark/>
          </w:tcPr>
          <w:p w14:paraId="23F53AF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9669</w:t>
            </w:r>
          </w:p>
        </w:tc>
        <w:tc>
          <w:tcPr>
            <w:tcW w:w="1559" w:type="dxa"/>
            <w:noWrap/>
            <w:hideMark/>
          </w:tcPr>
          <w:p w14:paraId="11E4E88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Sawtell Public School</w:t>
            </w:r>
          </w:p>
        </w:tc>
        <w:tc>
          <w:tcPr>
            <w:tcW w:w="709" w:type="dxa"/>
            <w:noWrap/>
            <w:hideMark/>
          </w:tcPr>
          <w:p w14:paraId="15BA77F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D98F32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5FB60B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5DA3A1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32-36 Eleventh Ave</w:t>
            </w:r>
          </w:p>
        </w:tc>
        <w:tc>
          <w:tcPr>
            <w:tcW w:w="1134" w:type="dxa"/>
            <w:noWrap/>
            <w:hideMark/>
          </w:tcPr>
          <w:p w14:paraId="7FF2714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2F04E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23.6</w:t>
            </w:r>
          </w:p>
        </w:tc>
        <w:tc>
          <w:tcPr>
            <w:tcW w:w="1134" w:type="dxa"/>
            <w:noWrap/>
            <w:hideMark/>
          </w:tcPr>
          <w:p w14:paraId="280A81D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3624816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1862E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w:t>
            </w:r>
          </w:p>
        </w:tc>
        <w:tc>
          <w:tcPr>
            <w:tcW w:w="1417" w:type="dxa"/>
            <w:noWrap/>
            <w:hideMark/>
          </w:tcPr>
          <w:p w14:paraId="03BC7B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192B88E9" w14:textId="77777777" w:rsidTr="001367E0">
        <w:tblPrEx>
          <w:tblCellMar>
            <w:left w:w="108" w:type="dxa"/>
            <w:right w:w="108" w:type="dxa"/>
          </w:tblCellMar>
        </w:tblPrEx>
        <w:trPr>
          <w:trHeight w:val="465"/>
        </w:trPr>
        <w:tc>
          <w:tcPr>
            <w:tcW w:w="737" w:type="dxa"/>
            <w:noWrap/>
            <w:hideMark/>
          </w:tcPr>
          <w:p w14:paraId="6E5A76A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16275</w:t>
            </w:r>
          </w:p>
        </w:tc>
        <w:tc>
          <w:tcPr>
            <w:tcW w:w="1559" w:type="dxa"/>
            <w:noWrap/>
            <w:hideMark/>
          </w:tcPr>
          <w:p w14:paraId="1F86D52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School of the Air - Broken Hill Campus</w:t>
            </w:r>
          </w:p>
        </w:tc>
        <w:tc>
          <w:tcPr>
            <w:tcW w:w="709" w:type="dxa"/>
            <w:noWrap/>
            <w:hideMark/>
          </w:tcPr>
          <w:p w14:paraId="12AB6BE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557E5C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8178B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A46867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Lane St</w:t>
            </w:r>
          </w:p>
        </w:tc>
        <w:tc>
          <w:tcPr>
            <w:tcW w:w="1134" w:type="dxa"/>
            <w:noWrap/>
            <w:hideMark/>
          </w:tcPr>
          <w:p w14:paraId="6EA1907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730347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11.3</w:t>
            </w:r>
          </w:p>
        </w:tc>
        <w:tc>
          <w:tcPr>
            <w:tcW w:w="1134" w:type="dxa"/>
            <w:noWrap/>
            <w:hideMark/>
          </w:tcPr>
          <w:p w14:paraId="1F5AAB0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745F080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CC4A7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c>
          <w:tcPr>
            <w:tcW w:w="1417" w:type="dxa"/>
            <w:noWrap/>
            <w:hideMark/>
          </w:tcPr>
          <w:p w14:paraId="1F5BA0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7B3E3883" w14:textId="77777777" w:rsidTr="001367E0">
        <w:tblPrEx>
          <w:tblCellMar>
            <w:left w:w="108" w:type="dxa"/>
            <w:right w:w="108" w:type="dxa"/>
          </w:tblCellMar>
        </w:tblPrEx>
        <w:trPr>
          <w:trHeight w:val="465"/>
        </w:trPr>
        <w:tc>
          <w:tcPr>
            <w:tcW w:w="737" w:type="dxa"/>
            <w:noWrap/>
            <w:hideMark/>
          </w:tcPr>
          <w:p w14:paraId="363008E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6401</w:t>
            </w:r>
          </w:p>
        </w:tc>
        <w:tc>
          <w:tcPr>
            <w:tcW w:w="1559" w:type="dxa"/>
            <w:noWrap/>
            <w:hideMark/>
          </w:tcPr>
          <w:p w14:paraId="6BD2002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Scone High School</w:t>
            </w:r>
          </w:p>
        </w:tc>
        <w:tc>
          <w:tcPr>
            <w:tcW w:w="709" w:type="dxa"/>
            <w:noWrap/>
            <w:hideMark/>
          </w:tcPr>
          <w:p w14:paraId="725C8C2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37A29B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609EE7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B2CEF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Gundy Rd</w:t>
            </w:r>
          </w:p>
        </w:tc>
        <w:tc>
          <w:tcPr>
            <w:tcW w:w="1134" w:type="dxa"/>
            <w:noWrap/>
            <w:hideMark/>
          </w:tcPr>
          <w:p w14:paraId="15DE00E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0D48D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31.0</w:t>
            </w:r>
          </w:p>
        </w:tc>
        <w:tc>
          <w:tcPr>
            <w:tcW w:w="1134" w:type="dxa"/>
            <w:noWrap/>
            <w:hideMark/>
          </w:tcPr>
          <w:p w14:paraId="753DD3C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36.4</w:t>
            </w:r>
          </w:p>
        </w:tc>
        <w:tc>
          <w:tcPr>
            <w:tcW w:w="1134" w:type="dxa"/>
            <w:noWrap/>
            <w:hideMark/>
          </w:tcPr>
          <w:p w14:paraId="5FF38A4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D0DE3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99</w:t>
            </w:r>
          </w:p>
        </w:tc>
        <w:tc>
          <w:tcPr>
            <w:tcW w:w="1417" w:type="dxa"/>
            <w:noWrap/>
            <w:hideMark/>
          </w:tcPr>
          <w:p w14:paraId="38DC6C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r>
      <w:tr w:rsidR="006716B4" w:rsidRPr="006716B4" w14:paraId="55400F81" w14:textId="77777777" w:rsidTr="001367E0">
        <w:tblPrEx>
          <w:tblCellMar>
            <w:left w:w="108" w:type="dxa"/>
            <w:right w:w="108" w:type="dxa"/>
          </w:tblCellMar>
        </w:tblPrEx>
        <w:trPr>
          <w:trHeight w:val="465"/>
        </w:trPr>
        <w:tc>
          <w:tcPr>
            <w:tcW w:w="737" w:type="dxa"/>
            <w:noWrap/>
            <w:hideMark/>
          </w:tcPr>
          <w:p w14:paraId="1D0AF62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6399</w:t>
            </w:r>
          </w:p>
        </w:tc>
        <w:tc>
          <w:tcPr>
            <w:tcW w:w="1559" w:type="dxa"/>
            <w:noWrap/>
            <w:hideMark/>
          </w:tcPr>
          <w:p w14:paraId="4890D8C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Seven Hills High School</w:t>
            </w:r>
          </w:p>
        </w:tc>
        <w:tc>
          <w:tcPr>
            <w:tcW w:w="709" w:type="dxa"/>
            <w:noWrap/>
            <w:hideMark/>
          </w:tcPr>
          <w:p w14:paraId="77D8479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F405A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2E1B1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47605B6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Johnson Ave</w:t>
            </w:r>
          </w:p>
        </w:tc>
        <w:tc>
          <w:tcPr>
            <w:tcW w:w="1134" w:type="dxa"/>
            <w:noWrap/>
            <w:hideMark/>
          </w:tcPr>
          <w:p w14:paraId="569EFF6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CB887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39.4</w:t>
            </w:r>
          </w:p>
        </w:tc>
        <w:tc>
          <w:tcPr>
            <w:tcW w:w="1134" w:type="dxa"/>
            <w:noWrap/>
            <w:hideMark/>
          </w:tcPr>
          <w:p w14:paraId="3E21005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68.8</w:t>
            </w:r>
          </w:p>
        </w:tc>
        <w:tc>
          <w:tcPr>
            <w:tcW w:w="1134" w:type="dxa"/>
            <w:noWrap/>
            <w:hideMark/>
          </w:tcPr>
          <w:p w14:paraId="1317F4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11.1</w:t>
            </w:r>
          </w:p>
        </w:tc>
        <w:tc>
          <w:tcPr>
            <w:tcW w:w="1276" w:type="dxa"/>
            <w:noWrap/>
            <w:hideMark/>
          </w:tcPr>
          <w:p w14:paraId="190826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149</w:t>
            </w:r>
          </w:p>
        </w:tc>
        <w:tc>
          <w:tcPr>
            <w:tcW w:w="1417" w:type="dxa"/>
            <w:noWrap/>
            <w:hideMark/>
          </w:tcPr>
          <w:p w14:paraId="68CB2B1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129C4876" w14:textId="77777777" w:rsidTr="001367E0">
        <w:tblPrEx>
          <w:tblCellMar>
            <w:left w:w="108" w:type="dxa"/>
            <w:right w:w="108" w:type="dxa"/>
          </w:tblCellMar>
        </w:tblPrEx>
        <w:trPr>
          <w:trHeight w:val="465"/>
        </w:trPr>
        <w:tc>
          <w:tcPr>
            <w:tcW w:w="737" w:type="dxa"/>
            <w:noWrap/>
            <w:hideMark/>
          </w:tcPr>
          <w:p w14:paraId="159FAA0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7824</w:t>
            </w:r>
          </w:p>
        </w:tc>
        <w:tc>
          <w:tcPr>
            <w:tcW w:w="1559" w:type="dxa"/>
            <w:noWrap/>
            <w:hideMark/>
          </w:tcPr>
          <w:p w14:paraId="294A59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Seven Hills West Public School</w:t>
            </w:r>
          </w:p>
        </w:tc>
        <w:tc>
          <w:tcPr>
            <w:tcW w:w="709" w:type="dxa"/>
            <w:noWrap/>
            <w:hideMark/>
          </w:tcPr>
          <w:p w14:paraId="2460511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E12CA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1F4209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D93DB4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Lucas Rd &amp; Sackville St</w:t>
            </w:r>
          </w:p>
        </w:tc>
        <w:tc>
          <w:tcPr>
            <w:tcW w:w="1134" w:type="dxa"/>
            <w:noWrap/>
            <w:hideMark/>
          </w:tcPr>
          <w:p w14:paraId="4C4F63F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CBAF7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45.9</w:t>
            </w:r>
          </w:p>
        </w:tc>
        <w:tc>
          <w:tcPr>
            <w:tcW w:w="1134" w:type="dxa"/>
            <w:noWrap/>
            <w:hideMark/>
          </w:tcPr>
          <w:p w14:paraId="4BBAFA3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F1CD2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66.7</w:t>
            </w:r>
          </w:p>
        </w:tc>
        <w:tc>
          <w:tcPr>
            <w:tcW w:w="1276" w:type="dxa"/>
            <w:noWrap/>
            <w:hideMark/>
          </w:tcPr>
          <w:p w14:paraId="6FBE11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73</w:t>
            </w:r>
          </w:p>
        </w:tc>
        <w:tc>
          <w:tcPr>
            <w:tcW w:w="1417" w:type="dxa"/>
            <w:noWrap/>
            <w:hideMark/>
          </w:tcPr>
          <w:p w14:paraId="69AC50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076E8CFE" w14:textId="77777777" w:rsidTr="001367E0">
        <w:tblPrEx>
          <w:tblCellMar>
            <w:left w:w="108" w:type="dxa"/>
            <w:right w:w="108" w:type="dxa"/>
          </w:tblCellMar>
        </w:tblPrEx>
        <w:trPr>
          <w:trHeight w:val="465"/>
        </w:trPr>
        <w:tc>
          <w:tcPr>
            <w:tcW w:w="737" w:type="dxa"/>
            <w:noWrap/>
            <w:hideMark/>
          </w:tcPr>
          <w:p w14:paraId="109492A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9322</w:t>
            </w:r>
          </w:p>
        </w:tc>
        <w:tc>
          <w:tcPr>
            <w:tcW w:w="1559" w:type="dxa"/>
            <w:noWrap/>
            <w:hideMark/>
          </w:tcPr>
          <w:p w14:paraId="2ECB354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Singleton High School</w:t>
            </w:r>
          </w:p>
        </w:tc>
        <w:tc>
          <w:tcPr>
            <w:tcW w:w="709" w:type="dxa"/>
            <w:noWrap/>
            <w:hideMark/>
          </w:tcPr>
          <w:p w14:paraId="44C80DD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9C775D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04000A8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09FAB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York St</w:t>
            </w:r>
          </w:p>
        </w:tc>
        <w:tc>
          <w:tcPr>
            <w:tcW w:w="1134" w:type="dxa"/>
            <w:noWrap/>
            <w:hideMark/>
          </w:tcPr>
          <w:p w14:paraId="58735BF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C9CA9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26.4</w:t>
            </w:r>
          </w:p>
        </w:tc>
        <w:tc>
          <w:tcPr>
            <w:tcW w:w="1134" w:type="dxa"/>
            <w:noWrap/>
            <w:hideMark/>
          </w:tcPr>
          <w:p w14:paraId="010FA9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53.2</w:t>
            </w:r>
          </w:p>
        </w:tc>
        <w:tc>
          <w:tcPr>
            <w:tcW w:w="1134" w:type="dxa"/>
            <w:noWrap/>
            <w:hideMark/>
          </w:tcPr>
          <w:p w14:paraId="50DFCA6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13.9</w:t>
            </w:r>
          </w:p>
        </w:tc>
        <w:tc>
          <w:tcPr>
            <w:tcW w:w="1276" w:type="dxa"/>
            <w:noWrap/>
            <w:hideMark/>
          </w:tcPr>
          <w:p w14:paraId="3465289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227</w:t>
            </w:r>
          </w:p>
        </w:tc>
        <w:tc>
          <w:tcPr>
            <w:tcW w:w="1417" w:type="dxa"/>
            <w:noWrap/>
            <w:hideMark/>
          </w:tcPr>
          <w:p w14:paraId="27D3E7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w:t>
            </w:r>
          </w:p>
        </w:tc>
      </w:tr>
      <w:tr w:rsidR="006716B4" w:rsidRPr="006716B4" w14:paraId="63881A55" w14:textId="77777777" w:rsidTr="001367E0">
        <w:tblPrEx>
          <w:tblCellMar>
            <w:left w:w="108" w:type="dxa"/>
            <w:right w:w="108" w:type="dxa"/>
          </w:tblCellMar>
        </w:tblPrEx>
        <w:trPr>
          <w:trHeight w:val="465"/>
        </w:trPr>
        <w:tc>
          <w:tcPr>
            <w:tcW w:w="737" w:type="dxa"/>
            <w:noWrap/>
            <w:hideMark/>
          </w:tcPr>
          <w:p w14:paraId="3723906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8155</w:t>
            </w:r>
          </w:p>
        </w:tc>
        <w:tc>
          <w:tcPr>
            <w:tcW w:w="1559" w:type="dxa"/>
            <w:noWrap/>
            <w:hideMark/>
          </w:tcPr>
          <w:p w14:paraId="6A6714E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Smithfield West Public School</w:t>
            </w:r>
          </w:p>
        </w:tc>
        <w:tc>
          <w:tcPr>
            <w:tcW w:w="709" w:type="dxa"/>
            <w:noWrap/>
            <w:hideMark/>
          </w:tcPr>
          <w:p w14:paraId="0F9AEF0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5D120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2E383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D4445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Wetherill St</w:t>
            </w:r>
          </w:p>
        </w:tc>
        <w:tc>
          <w:tcPr>
            <w:tcW w:w="1134" w:type="dxa"/>
            <w:noWrap/>
            <w:hideMark/>
          </w:tcPr>
          <w:p w14:paraId="6F3BC25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29B25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35.9</w:t>
            </w:r>
          </w:p>
        </w:tc>
        <w:tc>
          <w:tcPr>
            <w:tcW w:w="1134" w:type="dxa"/>
            <w:noWrap/>
            <w:hideMark/>
          </w:tcPr>
          <w:p w14:paraId="7507D0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134" w:type="dxa"/>
            <w:noWrap/>
            <w:hideMark/>
          </w:tcPr>
          <w:p w14:paraId="47C80A6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043124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w:t>
            </w:r>
          </w:p>
        </w:tc>
        <w:tc>
          <w:tcPr>
            <w:tcW w:w="1417" w:type="dxa"/>
            <w:noWrap/>
            <w:hideMark/>
          </w:tcPr>
          <w:p w14:paraId="08208B2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3D81D055" w14:textId="77777777" w:rsidTr="001367E0">
        <w:tblPrEx>
          <w:tblCellMar>
            <w:left w:w="108" w:type="dxa"/>
            <w:right w:w="108" w:type="dxa"/>
          </w:tblCellMar>
        </w:tblPrEx>
        <w:trPr>
          <w:trHeight w:val="465"/>
        </w:trPr>
        <w:tc>
          <w:tcPr>
            <w:tcW w:w="737" w:type="dxa"/>
            <w:noWrap/>
            <w:hideMark/>
          </w:tcPr>
          <w:p w14:paraId="776718A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6444</w:t>
            </w:r>
          </w:p>
        </w:tc>
        <w:tc>
          <w:tcPr>
            <w:tcW w:w="1559" w:type="dxa"/>
            <w:noWrap/>
            <w:hideMark/>
          </w:tcPr>
          <w:p w14:paraId="492A90F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South Grafton High School</w:t>
            </w:r>
          </w:p>
        </w:tc>
        <w:tc>
          <w:tcPr>
            <w:tcW w:w="709" w:type="dxa"/>
            <w:noWrap/>
            <w:hideMark/>
          </w:tcPr>
          <w:p w14:paraId="010858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829C2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50E106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7982E1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Tyson St</w:t>
            </w:r>
          </w:p>
        </w:tc>
        <w:tc>
          <w:tcPr>
            <w:tcW w:w="1134" w:type="dxa"/>
            <w:noWrap/>
            <w:hideMark/>
          </w:tcPr>
          <w:p w14:paraId="242CE6B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99B19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39.4</w:t>
            </w:r>
          </w:p>
        </w:tc>
        <w:tc>
          <w:tcPr>
            <w:tcW w:w="1134" w:type="dxa"/>
            <w:noWrap/>
            <w:hideMark/>
          </w:tcPr>
          <w:p w14:paraId="7E2662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64.8</w:t>
            </w:r>
          </w:p>
        </w:tc>
        <w:tc>
          <w:tcPr>
            <w:tcW w:w="1134" w:type="dxa"/>
            <w:noWrap/>
            <w:hideMark/>
          </w:tcPr>
          <w:p w14:paraId="21945C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15.4</w:t>
            </w:r>
          </w:p>
        </w:tc>
        <w:tc>
          <w:tcPr>
            <w:tcW w:w="1276" w:type="dxa"/>
            <w:noWrap/>
            <w:hideMark/>
          </w:tcPr>
          <w:p w14:paraId="53A0772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280</w:t>
            </w:r>
          </w:p>
        </w:tc>
        <w:tc>
          <w:tcPr>
            <w:tcW w:w="1417" w:type="dxa"/>
            <w:noWrap/>
            <w:hideMark/>
          </w:tcPr>
          <w:p w14:paraId="4E08AA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81</w:t>
            </w:r>
          </w:p>
        </w:tc>
      </w:tr>
      <w:tr w:rsidR="006716B4" w:rsidRPr="006716B4" w14:paraId="74A9C3D0" w14:textId="77777777" w:rsidTr="001367E0">
        <w:tblPrEx>
          <w:tblCellMar>
            <w:left w:w="108" w:type="dxa"/>
            <w:right w:w="108" w:type="dxa"/>
          </w:tblCellMar>
        </w:tblPrEx>
        <w:trPr>
          <w:trHeight w:val="465"/>
        </w:trPr>
        <w:tc>
          <w:tcPr>
            <w:tcW w:w="737" w:type="dxa"/>
            <w:noWrap/>
            <w:hideMark/>
          </w:tcPr>
          <w:p w14:paraId="382232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9719</w:t>
            </w:r>
          </w:p>
        </w:tc>
        <w:tc>
          <w:tcPr>
            <w:tcW w:w="1559" w:type="dxa"/>
            <w:noWrap/>
            <w:hideMark/>
          </w:tcPr>
          <w:p w14:paraId="1308BD7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South Grafton Public School</w:t>
            </w:r>
          </w:p>
        </w:tc>
        <w:tc>
          <w:tcPr>
            <w:tcW w:w="709" w:type="dxa"/>
            <w:noWrap/>
            <w:hideMark/>
          </w:tcPr>
          <w:p w14:paraId="515837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056CE3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5D3314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B95871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Vere St</w:t>
            </w:r>
          </w:p>
        </w:tc>
        <w:tc>
          <w:tcPr>
            <w:tcW w:w="1134" w:type="dxa"/>
            <w:noWrap/>
            <w:hideMark/>
          </w:tcPr>
          <w:p w14:paraId="026CA96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DAB3CF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29.1</w:t>
            </w:r>
          </w:p>
        </w:tc>
        <w:tc>
          <w:tcPr>
            <w:tcW w:w="1134" w:type="dxa"/>
            <w:noWrap/>
            <w:hideMark/>
          </w:tcPr>
          <w:p w14:paraId="4D4EAF3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39.7</w:t>
            </w:r>
          </w:p>
        </w:tc>
        <w:tc>
          <w:tcPr>
            <w:tcW w:w="1134" w:type="dxa"/>
            <w:noWrap/>
            <w:hideMark/>
          </w:tcPr>
          <w:p w14:paraId="5EA3C5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6.5</w:t>
            </w:r>
          </w:p>
        </w:tc>
        <w:tc>
          <w:tcPr>
            <w:tcW w:w="1276" w:type="dxa"/>
            <w:noWrap/>
            <w:hideMark/>
          </w:tcPr>
          <w:p w14:paraId="4BC9F89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93</w:t>
            </w:r>
          </w:p>
        </w:tc>
        <w:tc>
          <w:tcPr>
            <w:tcW w:w="1417" w:type="dxa"/>
            <w:noWrap/>
            <w:hideMark/>
          </w:tcPr>
          <w:p w14:paraId="1E5317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r>
      <w:tr w:rsidR="006716B4" w:rsidRPr="006716B4" w14:paraId="43809CCF" w14:textId="77777777" w:rsidTr="001367E0">
        <w:tblPrEx>
          <w:tblCellMar>
            <w:left w:w="108" w:type="dxa"/>
            <w:right w:w="108" w:type="dxa"/>
          </w:tblCellMar>
        </w:tblPrEx>
        <w:trPr>
          <w:trHeight w:val="465"/>
        </w:trPr>
        <w:tc>
          <w:tcPr>
            <w:tcW w:w="737" w:type="dxa"/>
            <w:noWrap/>
            <w:hideMark/>
          </w:tcPr>
          <w:p w14:paraId="2FCA096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9768</w:t>
            </w:r>
          </w:p>
        </w:tc>
        <w:tc>
          <w:tcPr>
            <w:tcW w:w="1559" w:type="dxa"/>
            <w:noWrap/>
            <w:hideMark/>
          </w:tcPr>
          <w:p w14:paraId="74D8BF5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Southern Cross School</w:t>
            </w:r>
          </w:p>
        </w:tc>
        <w:tc>
          <w:tcPr>
            <w:tcW w:w="709" w:type="dxa"/>
            <w:noWrap/>
            <w:hideMark/>
          </w:tcPr>
          <w:p w14:paraId="3A323D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45C4B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53C84C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462DB7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Chickiba Drive</w:t>
            </w:r>
          </w:p>
        </w:tc>
        <w:tc>
          <w:tcPr>
            <w:tcW w:w="1134" w:type="dxa"/>
            <w:noWrap/>
            <w:hideMark/>
          </w:tcPr>
          <w:p w14:paraId="62D75B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AD001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24.3</w:t>
            </w:r>
          </w:p>
        </w:tc>
        <w:tc>
          <w:tcPr>
            <w:tcW w:w="1134" w:type="dxa"/>
            <w:noWrap/>
            <w:hideMark/>
          </w:tcPr>
          <w:p w14:paraId="18DBC5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46.2</w:t>
            </w:r>
          </w:p>
        </w:tc>
        <w:tc>
          <w:tcPr>
            <w:tcW w:w="1134" w:type="dxa"/>
            <w:noWrap/>
            <w:hideMark/>
          </w:tcPr>
          <w:p w14:paraId="423C24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28.6</w:t>
            </w:r>
          </w:p>
        </w:tc>
        <w:tc>
          <w:tcPr>
            <w:tcW w:w="1276" w:type="dxa"/>
            <w:noWrap/>
            <w:hideMark/>
          </w:tcPr>
          <w:p w14:paraId="18586A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139</w:t>
            </w:r>
          </w:p>
        </w:tc>
        <w:tc>
          <w:tcPr>
            <w:tcW w:w="1417" w:type="dxa"/>
            <w:noWrap/>
            <w:hideMark/>
          </w:tcPr>
          <w:p w14:paraId="13050AE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w:t>
            </w:r>
          </w:p>
        </w:tc>
      </w:tr>
      <w:tr w:rsidR="006716B4" w:rsidRPr="006716B4" w14:paraId="085078F8" w14:textId="77777777" w:rsidTr="001367E0">
        <w:tblPrEx>
          <w:tblCellMar>
            <w:left w:w="108" w:type="dxa"/>
            <w:right w:w="108" w:type="dxa"/>
          </w:tblCellMar>
        </w:tblPrEx>
        <w:trPr>
          <w:trHeight w:val="465"/>
        </w:trPr>
        <w:tc>
          <w:tcPr>
            <w:tcW w:w="737" w:type="dxa"/>
            <w:noWrap/>
            <w:hideMark/>
          </w:tcPr>
          <w:p w14:paraId="380C76F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10216</w:t>
            </w:r>
          </w:p>
        </w:tc>
        <w:tc>
          <w:tcPr>
            <w:tcW w:w="1559" w:type="dxa"/>
            <w:noWrap/>
            <w:hideMark/>
          </w:tcPr>
          <w:p w14:paraId="513C72F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 Andrews Public School</w:t>
            </w:r>
          </w:p>
        </w:tc>
        <w:tc>
          <w:tcPr>
            <w:tcW w:w="709" w:type="dxa"/>
            <w:noWrap/>
            <w:hideMark/>
          </w:tcPr>
          <w:p w14:paraId="17133F0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865CC7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46160F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6D1FA5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Ballantrae Drive</w:t>
            </w:r>
          </w:p>
        </w:tc>
        <w:tc>
          <w:tcPr>
            <w:tcW w:w="1134" w:type="dxa"/>
            <w:noWrap/>
            <w:hideMark/>
          </w:tcPr>
          <w:p w14:paraId="307D92D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C76A3D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21.6</w:t>
            </w:r>
          </w:p>
        </w:tc>
        <w:tc>
          <w:tcPr>
            <w:tcW w:w="1134" w:type="dxa"/>
            <w:noWrap/>
            <w:hideMark/>
          </w:tcPr>
          <w:p w14:paraId="4E7813E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6FA0192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9.1</w:t>
            </w:r>
          </w:p>
        </w:tc>
        <w:tc>
          <w:tcPr>
            <w:tcW w:w="1276" w:type="dxa"/>
            <w:noWrap/>
            <w:hideMark/>
          </w:tcPr>
          <w:p w14:paraId="6BF1A2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90</w:t>
            </w:r>
          </w:p>
        </w:tc>
        <w:tc>
          <w:tcPr>
            <w:tcW w:w="1417" w:type="dxa"/>
            <w:noWrap/>
            <w:hideMark/>
          </w:tcPr>
          <w:p w14:paraId="2FEBE8D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0474779D" w14:textId="77777777" w:rsidTr="001367E0">
        <w:tblPrEx>
          <w:tblCellMar>
            <w:left w:w="108" w:type="dxa"/>
            <w:right w:w="108" w:type="dxa"/>
          </w:tblCellMar>
        </w:tblPrEx>
        <w:trPr>
          <w:trHeight w:val="465"/>
        </w:trPr>
        <w:tc>
          <w:tcPr>
            <w:tcW w:w="737" w:type="dxa"/>
            <w:noWrap/>
            <w:hideMark/>
          </w:tcPr>
          <w:p w14:paraId="123D750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10719</w:t>
            </w:r>
          </w:p>
        </w:tc>
        <w:tc>
          <w:tcPr>
            <w:tcW w:w="1559" w:type="dxa"/>
            <w:noWrap/>
            <w:hideMark/>
          </w:tcPr>
          <w:p w14:paraId="5AC0149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 Clair High School</w:t>
            </w:r>
          </w:p>
        </w:tc>
        <w:tc>
          <w:tcPr>
            <w:tcW w:w="709" w:type="dxa"/>
            <w:noWrap/>
            <w:hideMark/>
          </w:tcPr>
          <w:p w14:paraId="15E3C14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D7A66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BA925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30930D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Endeavour Ave</w:t>
            </w:r>
          </w:p>
        </w:tc>
        <w:tc>
          <w:tcPr>
            <w:tcW w:w="1134" w:type="dxa"/>
            <w:noWrap/>
            <w:hideMark/>
          </w:tcPr>
          <w:p w14:paraId="72A2E26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DD525E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37.2</w:t>
            </w:r>
          </w:p>
        </w:tc>
        <w:tc>
          <w:tcPr>
            <w:tcW w:w="1134" w:type="dxa"/>
            <w:noWrap/>
            <w:hideMark/>
          </w:tcPr>
          <w:p w14:paraId="251C9CB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64.7</w:t>
            </w:r>
          </w:p>
        </w:tc>
        <w:tc>
          <w:tcPr>
            <w:tcW w:w="1134" w:type="dxa"/>
            <w:noWrap/>
            <w:hideMark/>
          </w:tcPr>
          <w:p w14:paraId="55B5B5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10.5</w:t>
            </w:r>
          </w:p>
        </w:tc>
        <w:tc>
          <w:tcPr>
            <w:tcW w:w="1276" w:type="dxa"/>
            <w:noWrap/>
            <w:hideMark/>
          </w:tcPr>
          <w:p w14:paraId="3703F4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258</w:t>
            </w:r>
          </w:p>
        </w:tc>
        <w:tc>
          <w:tcPr>
            <w:tcW w:w="1417" w:type="dxa"/>
            <w:noWrap/>
            <w:hideMark/>
          </w:tcPr>
          <w:p w14:paraId="2DC5485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w:t>
            </w:r>
          </w:p>
        </w:tc>
      </w:tr>
      <w:tr w:rsidR="006716B4" w:rsidRPr="006716B4" w14:paraId="4464DB15" w14:textId="77777777" w:rsidTr="001367E0">
        <w:tblPrEx>
          <w:tblCellMar>
            <w:left w:w="108" w:type="dxa"/>
            <w:right w:w="108" w:type="dxa"/>
          </w:tblCellMar>
        </w:tblPrEx>
        <w:trPr>
          <w:trHeight w:val="465"/>
        </w:trPr>
        <w:tc>
          <w:tcPr>
            <w:tcW w:w="737" w:type="dxa"/>
            <w:noWrap/>
            <w:hideMark/>
          </w:tcPr>
          <w:p w14:paraId="031D854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15121</w:t>
            </w:r>
          </w:p>
        </w:tc>
        <w:tc>
          <w:tcPr>
            <w:tcW w:w="1559" w:type="dxa"/>
            <w:noWrap/>
            <w:hideMark/>
          </w:tcPr>
          <w:p w14:paraId="1E8D991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 Clair Public School</w:t>
            </w:r>
          </w:p>
        </w:tc>
        <w:tc>
          <w:tcPr>
            <w:tcW w:w="709" w:type="dxa"/>
            <w:noWrap/>
            <w:hideMark/>
          </w:tcPr>
          <w:p w14:paraId="393764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D21C0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2EC17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64BD21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Timesweep Drive</w:t>
            </w:r>
          </w:p>
        </w:tc>
        <w:tc>
          <w:tcPr>
            <w:tcW w:w="1134" w:type="dxa"/>
            <w:noWrap/>
            <w:hideMark/>
          </w:tcPr>
          <w:p w14:paraId="45C6C0B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4DC5E4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28.6</w:t>
            </w:r>
          </w:p>
        </w:tc>
        <w:tc>
          <w:tcPr>
            <w:tcW w:w="1134" w:type="dxa"/>
            <w:noWrap/>
            <w:hideMark/>
          </w:tcPr>
          <w:p w14:paraId="4519F1A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58.3</w:t>
            </w:r>
          </w:p>
        </w:tc>
        <w:tc>
          <w:tcPr>
            <w:tcW w:w="1134" w:type="dxa"/>
            <w:noWrap/>
            <w:hideMark/>
          </w:tcPr>
          <w:p w14:paraId="0F57A8E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0F7394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w:t>
            </w:r>
          </w:p>
        </w:tc>
        <w:tc>
          <w:tcPr>
            <w:tcW w:w="1417" w:type="dxa"/>
            <w:noWrap/>
            <w:hideMark/>
          </w:tcPr>
          <w:p w14:paraId="175C20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r>
      <w:tr w:rsidR="006716B4" w:rsidRPr="006716B4" w14:paraId="522D46DB" w14:textId="77777777" w:rsidTr="001367E0">
        <w:tblPrEx>
          <w:tblCellMar>
            <w:left w:w="108" w:type="dxa"/>
            <w:right w:w="108" w:type="dxa"/>
          </w:tblCellMar>
        </w:tblPrEx>
        <w:trPr>
          <w:trHeight w:val="465"/>
        </w:trPr>
        <w:tc>
          <w:tcPr>
            <w:tcW w:w="737" w:type="dxa"/>
            <w:noWrap/>
            <w:hideMark/>
          </w:tcPr>
          <w:p w14:paraId="6C357B9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14662</w:t>
            </w:r>
          </w:p>
        </w:tc>
        <w:tc>
          <w:tcPr>
            <w:tcW w:w="1559" w:type="dxa"/>
            <w:noWrap/>
            <w:hideMark/>
          </w:tcPr>
          <w:p w14:paraId="5AD303D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 Helens Park Public School</w:t>
            </w:r>
          </w:p>
        </w:tc>
        <w:tc>
          <w:tcPr>
            <w:tcW w:w="709" w:type="dxa"/>
            <w:noWrap/>
            <w:hideMark/>
          </w:tcPr>
          <w:p w14:paraId="6C47C4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84FD0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90BE5A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8771DA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Kellerman Drive</w:t>
            </w:r>
          </w:p>
        </w:tc>
        <w:tc>
          <w:tcPr>
            <w:tcW w:w="1134" w:type="dxa"/>
            <w:noWrap/>
            <w:hideMark/>
          </w:tcPr>
          <w:p w14:paraId="3CBA4B0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1DDACA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25.8</w:t>
            </w:r>
          </w:p>
        </w:tc>
        <w:tc>
          <w:tcPr>
            <w:tcW w:w="1134" w:type="dxa"/>
            <w:noWrap/>
            <w:hideMark/>
          </w:tcPr>
          <w:p w14:paraId="403468D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35A6DD7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20.0</w:t>
            </w:r>
          </w:p>
        </w:tc>
        <w:tc>
          <w:tcPr>
            <w:tcW w:w="1276" w:type="dxa"/>
            <w:noWrap/>
            <w:hideMark/>
          </w:tcPr>
          <w:p w14:paraId="5D8B048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w:t>
            </w:r>
          </w:p>
        </w:tc>
        <w:tc>
          <w:tcPr>
            <w:tcW w:w="1417" w:type="dxa"/>
            <w:noWrap/>
            <w:hideMark/>
          </w:tcPr>
          <w:p w14:paraId="3938C6B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5243616B" w14:textId="77777777" w:rsidTr="001367E0">
        <w:tblPrEx>
          <w:tblCellMar>
            <w:left w:w="108" w:type="dxa"/>
            <w:right w:w="108" w:type="dxa"/>
          </w:tblCellMar>
        </w:tblPrEx>
        <w:trPr>
          <w:trHeight w:val="465"/>
        </w:trPr>
        <w:tc>
          <w:tcPr>
            <w:tcW w:w="737" w:type="dxa"/>
            <w:noWrap/>
            <w:hideMark/>
          </w:tcPr>
          <w:p w14:paraId="2E04259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10773</w:t>
            </w:r>
          </w:p>
        </w:tc>
        <w:tc>
          <w:tcPr>
            <w:tcW w:w="1559" w:type="dxa"/>
            <w:noWrap/>
            <w:hideMark/>
          </w:tcPr>
          <w:p w14:paraId="7023BA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 Marys North Public School</w:t>
            </w:r>
          </w:p>
        </w:tc>
        <w:tc>
          <w:tcPr>
            <w:tcW w:w="709" w:type="dxa"/>
            <w:noWrap/>
            <w:hideMark/>
          </w:tcPr>
          <w:p w14:paraId="25BC382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0C27BA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00E361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C3EFA2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Willow Rd</w:t>
            </w:r>
          </w:p>
        </w:tc>
        <w:tc>
          <w:tcPr>
            <w:tcW w:w="1134" w:type="dxa"/>
            <w:noWrap/>
            <w:hideMark/>
          </w:tcPr>
          <w:p w14:paraId="5710BC6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817E4E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38.7</w:t>
            </w:r>
          </w:p>
        </w:tc>
        <w:tc>
          <w:tcPr>
            <w:tcW w:w="1134" w:type="dxa"/>
            <w:noWrap/>
            <w:hideMark/>
          </w:tcPr>
          <w:p w14:paraId="07B447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2A17C51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w:t>
            </w:r>
          </w:p>
        </w:tc>
        <w:tc>
          <w:tcPr>
            <w:tcW w:w="1276" w:type="dxa"/>
            <w:noWrap/>
            <w:hideMark/>
          </w:tcPr>
          <w:p w14:paraId="6CF038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86</w:t>
            </w:r>
          </w:p>
        </w:tc>
        <w:tc>
          <w:tcPr>
            <w:tcW w:w="1417" w:type="dxa"/>
            <w:noWrap/>
            <w:hideMark/>
          </w:tcPr>
          <w:p w14:paraId="56B754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w:t>
            </w:r>
          </w:p>
        </w:tc>
      </w:tr>
      <w:tr w:rsidR="006716B4" w:rsidRPr="006716B4" w14:paraId="11811F60" w14:textId="77777777" w:rsidTr="001367E0">
        <w:tblPrEx>
          <w:tblCellMar>
            <w:left w:w="108" w:type="dxa"/>
            <w:right w:w="108" w:type="dxa"/>
          </w:tblCellMar>
        </w:tblPrEx>
        <w:trPr>
          <w:trHeight w:val="465"/>
        </w:trPr>
        <w:tc>
          <w:tcPr>
            <w:tcW w:w="737" w:type="dxa"/>
            <w:noWrap/>
            <w:hideMark/>
          </w:tcPr>
          <w:p w14:paraId="7DFD2FF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10775</w:t>
            </w:r>
          </w:p>
        </w:tc>
        <w:tc>
          <w:tcPr>
            <w:tcW w:w="1559" w:type="dxa"/>
            <w:noWrap/>
            <w:hideMark/>
          </w:tcPr>
          <w:p w14:paraId="75261EB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 Marys South Public School</w:t>
            </w:r>
          </w:p>
        </w:tc>
        <w:tc>
          <w:tcPr>
            <w:tcW w:w="709" w:type="dxa"/>
            <w:noWrap/>
            <w:hideMark/>
          </w:tcPr>
          <w:p w14:paraId="5275931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399E61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21D45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7F1694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 Monfarville St</w:t>
            </w:r>
          </w:p>
        </w:tc>
        <w:tc>
          <w:tcPr>
            <w:tcW w:w="1134" w:type="dxa"/>
            <w:noWrap/>
            <w:hideMark/>
          </w:tcPr>
          <w:p w14:paraId="03610A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CCD9F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31.2</w:t>
            </w:r>
          </w:p>
        </w:tc>
        <w:tc>
          <w:tcPr>
            <w:tcW w:w="1134" w:type="dxa"/>
            <w:noWrap/>
            <w:hideMark/>
          </w:tcPr>
          <w:p w14:paraId="377D131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5451A0C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A9213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w:t>
            </w:r>
          </w:p>
        </w:tc>
        <w:tc>
          <w:tcPr>
            <w:tcW w:w="1417" w:type="dxa"/>
            <w:noWrap/>
            <w:hideMark/>
          </w:tcPr>
          <w:p w14:paraId="31046A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6B1E0B5A" w14:textId="77777777" w:rsidTr="001367E0">
        <w:tblPrEx>
          <w:tblCellMar>
            <w:left w:w="108" w:type="dxa"/>
            <w:right w:w="108" w:type="dxa"/>
          </w:tblCellMar>
        </w:tblPrEx>
        <w:trPr>
          <w:trHeight w:val="465"/>
        </w:trPr>
        <w:tc>
          <w:tcPr>
            <w:tcW w:w="737" w:type="dxa"/>
            <w:noWrap/>
            <w:hideMark/>
          </w:tcPr>
          <w:p w14:paraId="219D598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7781</w:t>
            </w:r>
          </w:p>
        </w:tc>
        <w:tc>
          <w:tcPr>
            <w:tcW w:w="1559" w:type="dxa"/>
            <w:noWrap/>
            <w:hideMark/>
          </w:tcPr>
          <w:p w14:paraId="2C7F631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Strathfield South High School</w:t>
            </w:r>
          </w:p>
        </w:tc>
        <w:tc>
          <w:tcPr>
            <w:tcW w:w="709" w:type="dxa"/>
            <w:noWrap/>
            <w:hideMark/>
          </w:tcPr>
          <w:p w14:paraId="2E09FA5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FD4EA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63F25E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F9E4B2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Hedges Ave</w:t>
            </w:r>
          </w:p>
        </w:tc>
        <w:tc>
          <w:tcPr>
            <w:tcW w:w="1134" w:type="dxa"/>
            <w:noWrap/>
            <w:hideMark/>
          </w:tcPr>
          <w:p w14:paraId="66B5625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78AA1A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49.5</w:t>
            </w:r>
          </w:p>
        </w:tc>
        <w:tc>
          <w:tcPr>
            <w:tcW w:w="1134" w:type="dxa"/>
            <w:noWrap/>
            <w:hideMark/>
          </w:tcPr>
          <w:p w14:paraId="7C67B19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134" w:type="dxa"/>
            <w:noWrap/>
            <w:hideMark/>
          </w:tcPr>
          <w:p w14:paraId="3115FE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3D410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219</w:t>
            </w:r>
          </w:p>
        </w:tc>
        <w:tc>
          <w:tcPr>
            <w:tcW w:w="1417" w:type="dxa"/>
            <w:noWrap/>
            <w:hideMark/>
          </w:tcPr>
          <w:p w14:paraId="6993ED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5D9D16B9" w14:textId="77777777" w:rsidTr="001367E0">
        <w:tblPrEx>
          <w:tblCellMar>
            <w:left w:w="108" w:type="dxa"/>
            <w:right w:w="108" w:type="dxa"/>
          </w:tblCellMar>
        </w:tblPrEx>
        <w:trPr>
          <w:trHeight w:val="465"/>
        </w:trPr>
        <w:tc>
          <w:tcPr>
            <w:tcW w:w="737" w:type="dxa"/>
            <w:noWrap/>
            <w:hideMark/>
          </w:tcPr>
          <w:p w14:paraId="7AA672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10250</w:t>
            </w:r>
          </w:p>
        </w:tc>
        <w:tc>
          <w:tcPr>
            <w:tcW w:w="1559" w:type="dxa"/>
            <w:noWrap/>
            <w:hideMark/>
          </w:tcPr>
          <w:p w14:paraId="5E95E79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Sutton Forest Public School</w:t>
            </w:r>
          </w:p>
        </w:tc>
        <w:tc>
          <w:tcPr>
            <w:tcW w:w="709" w:type="dxa"/>
            <w:noWrap/>
            <w:hideMark/>
          </w:tcPr>
          <w:p w14:paraId="37E3698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A54EED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175B4C7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490C74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Illawarra Hwy</w:t>
            </w:r>
          </w:p>
        </w:tc>
        <w:tc>
          <w:tcPr>
            <w:tcW w:w="1134" w:type="dxa"/>
            <w:noWrap/>
            <w:hideMark/>
          </w:tcPr>
          <w:p w14:paraId="613986B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6F1325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20.0</w:t>
            </w:r>
          </w:p>
        </w:tc>
        <w:tc>
          <w:tcPr>
            <w:tcW w:w="1134" w:type="dxa"/>
            <w:noWrap/>
            <w:hideMark/>
          </w:tcPr>
          <w:p w14:paraId="1E24AE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003F04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C98D4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c>
          <w:tcPr>
            <w:tcW w:w="1417" w:type="dxa"/>
            <w:noWrap/>
            <w:hideMark/>
          </w:tcPr>
          <w:p w14:paraId="5E0E173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0F9F8F9" w14:textId="77777777" w:rsidTr="001367E0">
        <w:tblPrEx>
          <w:tblCellMar>
            <w:left w:w="108" w:type="dxa"/>
            <w:right w:w="108" w:type="dxa"/>
          </w:tblCellMar>
        </w:tblPrEx>
        <w:trPr>
          <w:trHeight w:val="465"/>
        </w:trPr>
        <w:tc>
          <w:tcPr>
            <w:tcW w:w="737" w:type="dxa"/>
            <w:noWrap/>
            <w:hideMark/>
          </w:tcPr>
          <w:p w14:paraId="6E7D96E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6492</w:t>
            </w:r>
          </w:p>
        </w:tc>
        <w:tc>
          <w:tcPr>
            <w:tcW w:w="1559" w:type="dxa"/>
            <w:noWrap/>
            <w:hideMark/>
          </w:tcPr>
          <w:p w14:paraId="631280F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Swansea High School</w:t>
            </w:r>
          </w:p>
        </w:tc>
        <w:tc>
          <w:tcPr>
            <w:tcW w:w="709" w:type="dxa"/>
            <w:noWrap/>
            <w:hideMark/>
          </w:tcPr>
          <w:p w14:paraId="57E98EC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616E0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26B52C4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F706FD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Park Ave</w:t>
            </w:r>
          </w:p>
        </w:tc>
        <w:tc>
          <w:tcPr>
            <w:tcW w:w="1134" w:type="dxa"/>
            <w:noWrap/>
            <w:hideMark/>
          </w:tcPr>
          <w:p w14:paraId="677E7E7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AC6776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30.1</w:t>
            </w:r>
          </w:p>
        </w:tc>
        <w:tc>
          <w:tcPr>
            <w:tcW w:w="1134" w:type="dxa"/>
            <w:noWrap/>
            <w:hideMark/>
          </w:tcPr>
          <w:p w14:paraId="2ADF213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56.8</w:t>
            </w:r>
          </w:p>
        </w:tc>
        <w:tc>
          <w:tcPr>
            <w:tcW w:w="1134" w:type="dxa"/>
            <w:noWrap/>
            <w:hideMark/>
          </w:tcPr>
          <w:p w14:paraId="4D0994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39A2B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129</w:t>
            </w:r>
          </w:p>
        </w:tc>
        <w:tc>
          <w:tcPr>
            <w:tcW w:w="1417" w:type="dxa"/>
            <w:noWrap/>
            <w:hideMark/>
          </w:tcPr>
          <w:p w14:paraId="4C749E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w:t>
            </w:r>
          </w:p>
        </w:tc>
      </w:tr>
      <w:tr w:rsidR="006716B4" w:rsidRPr="006716B4" w14:paraId="625160E1" w14:textId="77777777" w:rsidTr="001367E0">
        <w:tblPrEx>
          <w:tblCellMar>
            <w:left w:w="108" w:type="dxa"/>
            <w:right w:w="108" w:type="dxa"/>
          </w:tblCellMar>
        </w:tblPrEx>
        <w:trPr>
          <w:trHeight w:val="465"/>
        </w:trPr>
        <w:tc>
          <w:tcPr>
            <w:tcW w:w="737" w:type="dxa"/>
            <w:noWrap/>
            <w:hideMark/>
          </w:tcPr>
          <w:p w14:paraId="00D1332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10233</w:t>
            </w:r>
          </w:p>
        </w:tc>
        <w:tc>
          <w:tcPr>
            <w:tcW w:w="1559" w:type="dxa"/>
            <w:noWrap/>
            <w:hideMark/>
          </w:tcPr>
          <w:p w14:paraId="74A489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Tahmoor Public School</w:t>
            </w:r>
          </w:p>
        </w:tc>
        <w:tc>
          <w:tcPr>
            <w:tcW w:w="709" w:type="dxa"/>
            <w:noWrap/>
            <w:hideMark/>
          </w:tcPr>
          <w:p w14:paraId="673828A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07BA99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325DE6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ED2A38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Bronzewing St</w:t>
            </w:r>
          </w:p>
        </w:tc>
        <w:tc>
          <w:tcPr>
            <w:tcW w:w="1134" w:type="dxa"/>
            <w:noWrap/>
            <w:hideMark/>
          </w:tcPr>
          <w:p w14:paraId="21D891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C5256A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38.2</w:t>
            </w:r>
          </w:p>
        </w:tc>
        <w:tc>
          <w:tcPr>
            <w:tcW w:w="1134" w:type="dxa"/>
            <w:noWrap/>
            <w:hideMark/>
          </w:tcPr>
          <w:p w14:paraId="4DD23F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15E4536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11.1</w:t>
            </w:r>
          </w:p>
        </w:tc>
        <w:tc>
          <w:tcPr>
            <w:tcW w:w="1276" w:type="dxa"/>
            <w:noWrap/>
            <w:hideMark/>
          </w:tcPr>
          <w:p w14:paraId="735FBE0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68</w:t>
            </w:r>
          </w:p>
        </w:tc>
        <w:tc>
          <w:tcPr>
            <w:tcW w:w="1417" w:type="dxa"/>
            <w:noWrap/>
            <w:hideMark/>
          </w:tcPr>
          <w:p w14:paraId="3B08F95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r>
      <w:tr w:rsidR="006716B4" w:rsidRPr="006716B4" w14:paraId="46602EA6" w14:textId="77777777" w:rsidTr="001367E0">
        <w:tblPrEx>
          <w:tblCellMar>
            <w:left w:w="108" w:type="dxa"/>
            <w:right w:w="108" w:type="dxa"/>
          </w:tblCellMar>
        </w:tblPrEx>
        <w:trPr>
          <w:trHeight w:val="465"/>
        </w:trPr>
        <w:tc>
          <w:tcPr>
            <w:tcW w:w="737" w:type="dxa"/>
            <w:noWrap/>
            <w:hideMark/>
          </w:tcPr>
          <w:p w14:paraId="66FE8A6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9353</w:t>
            </w:r>
          </w:p>
        </w:tc>
        <w:tc>
          <w:tcPr>
            <w:tcW w:w="1559" w:type="dxa"/>
            <w:noWrap/>
            <w:hideMark/>
          </w:tcPr>
          <w:p w14:paraId="4E0F81A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Tamworth High School</w:t>
            </w:r>
          </w:p>
        </w:tc>
        <w:tc>
          <w:tcPr>
            <w:tcW w:w="709" w:type="dxa"/>
            <w:noWrap/>
            <w:hideMark/>
          </w:tcPr>
          <w:p w14:paraId="43ECE7E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288C6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04380B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5244D0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Willis St</w:t>
            </w:r>
          </w:p>
        </w:tc>
        <w:tc>
          <w:tcPr>
            <w:tcW w:w="1134" w:type="dxa"/>
            <w:noWrap/>
            <w:hideMark/>
          </w:tcPr>
          <w:p w14:paraId="0CACD2D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D20C0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39.0</w:t>
            </w:r>
          </w:p>
        </w:tc>
        <w:tc>
          <w:tcPr>
            <w:tcW w:w="1134" w:type="dxa"/>
            <w:noWrap/>
            <w:hideMark/>
          </w:tcPr>
          <w:p w14:paraId="4C76319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62.8</w:t>
            </w:r>
          </w:p>
        </w:tc>
        <w:tc>
          <w:tcPr>
            <w:tcW w:w="1134" w:type="dxa"/>
            <w:noWrap/>
            <w:hideMark/>
          </w:tcPr>
          <w:p w14:paraId="6D590B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9.3</w:t>
            </w:r>
          </w:p>
        </w:tc>
        <w:tc>
          <w:tcPr>
            <w:tcW w:w="1276" w:type="dxa"/>
            <w:noWrap/>
            <w:hideMark/>
          </w:tcPr>
          <w:p w14:paraId="0C1371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189</w:t>
            </w:r>
          </w:p>
        </w:tc>
        <w:tc>
          <w:tcPr>
            <w:tcW w:w="1417" w:type="dxa"/>
            <w:noWrap/>
            <w:hideMark/>
          </w:tcPr>
          <w:p w14:paraId="60F8DD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81</w:t>
            </w:r>
          </w:p>
        </w:tc>
      </w:tr>
      <w:tr w:rsidR="006716B4" w:rsidRPr="006716B4" w14:paraId="5A6861DD" w14:textId="77777777" w:rsidTr="001367E0">
        <w:tblPrEx>
          <w:tblCellMar>
            <w:left w:w="108" w:type="dxa"/>
            <w:right w:w="108" w:type="dxa"/>
          </w:tblCellMar>
        </w:tblPrEx>
        <w:trPr>
          <w:trHeight w:val="465"/>
        </w:trPr>
        <w:tc>
          <w:tcPr>
            <w:tcW w:w="737" w:type="dxa"/>
            <w:noWrap/>
            <w:hideMark/>
          </w:tcPr>
          <w:p w14:paraId="72EA619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9355</w:t>
            </w:r>
          </w:p>
        </w:tc>
        <w:tc>
          <w:tcPr>
            <w:tcW w:w="1559" w:type="dxa"/>
            <w:noWrap/>
            <w:hideMark/>
          </w:tcPr>
          <w:p w14:paraId="24AF663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Tamworth South Public School</w:t>
            </w:r>
          </w:p>
        </w:tc>
        <w:tc>
          <w:tcPr>
            <w:tcW w:w="709" w:type="dxa"/>
            <w:noWrap/>
            <w:hideMark/>
          </w:tcPr>
          <w:p w14:paraId="77F0AC2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7088C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4E158A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B683F6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Petra Ave</w:t>
            </w:r>
          </w:p>
        </w:tc>
        <w:tc>
          <w:tcPr>
            <w:tcW w:w="1134" w:type="dxa"/>
            <w:noWrap/>
            <w:hideMark/>
          </w:tcPr>
          <w:p w14:paraId="59556DE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D65C05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22.8</w:t>
            </w:r>
          </w:p>
        </w:tc>
        <w:tc>
          <w:tcPr>
            <w:tcW w:w="1134" w:type="dxa"/>
            <w:noWrap/>
            <w:hideMark/>
          </w:tcPr>
          <w:p w14:paraId="03915EE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34.5</w:t>
            </w:r>
          </w:p>
        </w:tc>
        <w:tc>
          <w:tcPr>
            <w:tcW w:w="1134" w:type="dxa"/>
            <w:noWrap/>
            <w:hideMark/>
          </w:tcPr>
          <w:p w14:paraId="7AF31A8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9.1</w:t>
            </w:r>
          </w:p>
        </w:tc>
        <w:tc>
          <w:tcPr>
            <w:tcW w:w="1276" w:type="dxa"/>
            <w:noWrap/>
            <w:hideMark/>
          </w:tcPr>
          <w:p w14:paraId="5B4CF5D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68</w:t>
            </w:r>
          </w:p>
        </w:tc>
        <w:tc>
          <w:tcPr>
            <w:tcW w:w="1417" w:type="dxa"/>
            <w:noWrap/>
            <w:hideMark/>
          </w:tcPr>
          <w:p w14:paraId="327F58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w:t>
            </w:r>
          </w:p>
        </w:tc>
      </w:tr>
      <w:tr w:rsidR="006716B4" w:rsidRPr="006716B4" w14:paraId="02BA3069" w14:textId="77777777" w:rsidTr="001367E0">
        <w:tblPrEx>
          <w:tblCellMar>
            <w:left w:w="108" w:type="dxa"/>
            <w:right w:w="108" w:type="dxa"/>
          </w:tblCellMar>
        </w:tblPrEx>
        <w:trPr>
          <w:trHeight w:val="465"/>
        </w:trPr>
        <w:tc>
          <w:tcPr>
            <w:tcW w:w="737" w:type="dxa"/>
            <w:noWrap/>
            <w:hideMark/>
          </w:tcPr>
          <w:p w14:paraId="717F4F5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10266</w:t>
            </w:r>
          </w:p>
        </w:tc>
        <w:tc>
          <w:tcPr>
            <w:tcW w:w="1559" w:type="dxa"/>
            <w:noWrap/>
            <w:hideMark/>
          </w:tcPr>
          <w:p w14:paraId="3C13F1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Tarago Public School</w:t>
            </w:r>
          </w:p>
        </w:tc>
        <w:tc>
          <w:tcPr>
            <w:tcW w:w="709" w:type="dxa"/>
            <w:noWrap/>
            <w:hideMark/>
          </w:tcPr>
          <w:p w14:paraId="6412A8B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ADFEC3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3B7500F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2B31CE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Goulburn-Braidwood Rd</w:t>
            </w:r>
          </w:p>
        </w:tc>
        <w:tc>
          <w:tcPr>
            <w:tcW w:w="1134" w:type="dxa"/>
            <w:noWrap/>
            <w:hideMark/>
          </w:tcPr>
          <w:p w14:paraId="7C67EE6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A32D41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4B005A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67A7D3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C7125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c>
          <w:tcPr>
            <w:tcW w:w="1417" w:type="dxa"/>
            <w:noWrap/>
            <w:hideMark/>
          </w:tcPr>
          <w:p w14:paraId="0BA98E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0CC57FA" w14:textId="77777777" w:rsidTr="001367E0">
        <w:tblPrEx>
          <w:tblCellMar>
            <w:left w:w="108" w:type="dxa"/>
            <w:right w:w="108" w:type="dxa"/>
          </w:tblCellMar>
        </w:tblPrEx>
        <w:trPr>
          <w:trHeight w:val="465"/>
        </w:trPr>
        <w:tc>
          <w:tcPr>
            <w:tcW w:w="737" w:type="dxa"/>
            <w:noWrap/>
            <w:hideMark/>
          </w:tcPr>
          <w:p w14:paraId="3BDFD06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10000</w:t>
            </w:r>
          </w:p>
        </w:tc>
        <w:tc>
          <w:tcPr>
            <w:tcW w:w="1559" w:type="dxa"/>
            <w:noWrap/>
            <w:hideMark/>
          </w:tcPr>
          <w:p w14:paraId="144B22B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Tarrawanna Public School</w:t>
            </w:r>
          </w:p>
        </w:tc>
        <w:tc>
          <w:tcPr>
            <w:tcW w:w="709" w:type="dxa"/>
            <w:noWrap/>
            <w:hideMark/>
          </w:tcPr>
          <w:p w14:paraId="217EA2E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23CB0D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3D590D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C55DF7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Kendall St</w:t>
            </w:r>
          </w:p>
        </w:tc>
        <w:tc>
          <w:tcPr>
            <w:tcW w:w="1134" w:type="dxa"/>
            <w:noWrap/>
            <w:hideMark/>
          </w:tcPr>
          <w:p w14:paraId="2569F5B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D03B3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13.9</w:t>
            </w:r>
          </w:p>
        </w:tc>
        <w:tc>
          <w:tcPr>
            <w:tcW w:w="1134" w:type="dxa"/>
            <w:noWrap/>
            <w:hideMark/>
          </w:tcPr>
          <w:p w14:paraId="4203C5E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134" w:type="dxa"/>
            <w:noWrap/>
            <w:hideMark/>
          </w:tcPr>
          <w:p w14:paraId="25CB284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DD4CF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c>
          <w:tcPr>
            <w:tcW w:w="1417" w:type="dxa"/>
            <w:noWrap/>
            <w:hideMark/>
          </w:tcPr>
          <w:p w14:paraId="682D66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5AED5196" w14:textId="77777777" w:rsidTr="001367E0">
        <w:tblPrEx>
          <w:tblCellMar>
            <w:left w:w="108" w:type="dxa"/>
            <w:right w:w="108" w:type="dxa"/>
          </w:tblCellMar>
        </w:tblPrEx>
        <w:trPr>
          <w:trHeight w:val="465"/>
        </w:trPr>
        <w:tc>
          <w:tcPr>
            <w:tcW w:w="737" w:type="dxa"/>
            <w:noWrap/>
            <w:hideMark/>
          </w:tcPr>
          <w:p w14:paraId="2A57E5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9162</w:t>
            </w:r>
          </w:p>
        </w:tc>
        <w:tc>
          <w:tcPr>
            <w:tcW w:w="1559" w:type="dxa"/>
            <w:noWrap/>
            <w:hideMark/>
          </w:tcPr>
          <w:p w14:paraId="0909EEC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Telarah Public School</w:t>
            </w:r>
          </w:p>
        </w:tc>
        <w:tc>
          <w:tcPr>
            <w:tcW w:w="709" w:type="dxa"/>
            <w:noWrap/>
            <w:hideMark/>
          </w:tcPr>
          <w:p w14:paraId="5D1B04A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08DDD1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0D66DF0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E878B3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Raymond St</w:t>
            </w:r>
          </w:p>
        </w:tc>
        <w:tc>
          <w:tcPr>
            <w:tcW w:w="1134" w:type="dxa"/>
            <w:noWrap/>
            <w:hideMark/>
          </w:tcPr>
          <w:p w14:paraId="70F50EE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44A98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49.1</w:t>
            </w:r>
          </w:p>
        </w:tc>
        <w:tc>
          <w:tcPr>
            <w:tcW w:w="1134" w:type="dxa"/>
            <w:noWrap/>
            <w:hideMark/>
          </w:tcPr>
          <w:p w14:paraId="3CCF109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41.7</w:t>
            </w:r>
          </w:p>
        </w:tc>
        <w:tc>
          <w:tcPr>
            <w:tcW w:w="1134" w:type="dxa"/>
            <w:noWrap/>
            <w:hideMark/>
          </w:tcPr>
          <w:p w14:paraId="6EBB52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35CEC8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115</w:t>
            </w:r>
          </w:p>
        </w:tc>
        <w:tc>
          <w:tcPr>
            <w:tcW w:w="1417" w:type="dxa"/>
            <w:noWrap/>
            <w:hideMark/>
          </w:tcPr>
          <w:p w14:paraId="3EEB10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r>
      <w:tr w:rsidR="006716B4" w:rsidRPr="006716B4" w14:paraId="5112FCBA" w14:textId="77777777" w:rsidTr="001367E0">
        <w:tblPrEx>
          <w:tblCellMar>
            <w:left w:w="108" w:type="dxa"/>
            <w:right w:w="108" w:type="dxa"/>
          </w:tblCellMar>
        </w:tblPrEx>
        <w:trPr>
          <w:trHeight w:val="465"/>
        </w:trPr>
        <w:tc>
          <w:tcPr>
            <w:tcW w:w="737" w:type="dxa"/>
            <w:noWrap/>
            <w:hideMark/>
          </w:tcPr>
          <w:p w14:paraId="5D5FD32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10524</w:t>
            </w:r>
          </w:p>
        </w:tc>
        <w:tc>
          <w:tcPr>
            <w:tcW w:w="1559" w:type="dxa"/>
            <w:noWrap/>
            <w:hideMark/>
          </w:tcPr>
          <w:p w14:paraId="4034CC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Temora High School</w:t>
            </w:r>
          </w:p>
        </w:tc>
        <w:tc>
          <w:tcPr>
            <w:tcW w:w="709" w:type="dxa"/>
            <w:noWrap/>
            <w:hideMark/>
          </w:tcPr>
          <w:p w14:paraId="44A08B9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E17FA8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58F291E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CD4906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Anzac St</w:t>
            </w:r>
          </w:p>
        </w:tc>
        <w:tc>
          <w:tcPr>
            <w:tcW w:w="1134" w:type="dxa"/>
            <w:noWrap/>
            <w:hideMark/>
          </w:tcPr>
          <w:p w14:paraId="31B59E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F87082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16.5</w:t>
            </w:r>
          </w:p>
        </w:tc>
        <w:tc>
          <w:tcPr>
            <w:tcW w:w="1134" w:type="dxa"/>
            <w:noWrap/>
            <w:hideMark/>
          </w:tcPr>
          <w:p w14:paraId="1A5096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20AFB6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276" w:type="dxa"/>
            <w:noWrap/>
            <w:hideMark/>
          </w:tcPr>
          <w:p w14:paraId="0FEE555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w:t>
            </w:r>
          </w:p>
        </w:tc>
        <w:tc>
          <w:tcPr>
            <w:tcW w:w="1417" w:type="dxa"/>
            <w:noWrap/>
            <w:hideMark/>
          </w:tcPr>
          <w:p w14:paraId="454DB48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3AD9621A" w14:textId="77777777" w:rsidTr="001367E0">
        <w:tblPrEx>
          <w:tblCellMar>
            <w:left w:w="108" w:type="dxa"/>
            <w:right w:w="108" w:type="dxa"/>
          </w:tblCellMar>
        </w:tblPrEx>
        <w:trPr>
          <w:trHeight w:val="465"/>
        </w:trPr>
        <w:tc>
          <w:tcPr>
            <w:tcW w:w="737" w:type="dxa"/>
            <w:noWrap/>
            <w:hideMark/>
          </w:tcPr>
          <w:p w14:paraId="60763E1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7597</w:t>
            </w:r>
          </w:p>
        </w:tc>
        <w:tc>
          <w:tcPr>
            <w:tcW w:w="1559" w:type="dxa"/>
            <w:noWrap/>
            <w:hideMark/>
          </w:tcPr>
          <w:p w14:paraId="3337EB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Tempe Public School</w:t>
            </w:r>
          </w:p>
        </w:tc>
        <w:tc>
          <w:tcPr>
            <w:tcW w:w="709" w:type="dxa"/>
            <w:noWrap/>
            <w:hideMark/>
          </w:tcPr>
          <w:p w14:paraId="035208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D0AEA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6DDC64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50BCD6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Unwins Bridge Rd</w:t>
            </w:r>
          </w:p>
        </w:tc>
        <w:tc>
          <w:tcPr>
            <w:tcW w:w="1134" w:type="dxa"/>
            <w:noWrap/>
            <w:hideMark/>
          </w:tcPr>
          <w:p w14:paraId="50D308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B000FF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27.8</w:t>
            </w:r>
          </w:p>
        </w:tc>
        <w:tc>
          <w:tcPr>
            <w:tcW w:w="1134" w:type="dxa"/>
            <w:noWrap/>
            <w:hideMark/>
          </w:tcPr>
          <w:p w14:paraId="5C7239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251590A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75A97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w:t>
            </w:r>
          </w:p>
        </w:tc>
        <w:tc>
          <w:tcPr>
            <w:tcW w:w="1417" w:type="dxa"/>
            <w:noWrap/>
            <w:hideMark/>
          </w:tcPr>
          <w:p w14:paraId="7975E4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51BBE4F1" w14:textId="77777777" w:rsidTr="001367E0">
        <w:tblPrEx>
          <w:tblCellMar>
            <w:left w:w="108" w:type="dxa"/>
            <w:right w:w="108" w:type="dxa"/>
          </w:tblCellMar>
        </w:tblPrEx>
        <w:trPr>
          <w:trHeight w:val="465"/>
        </w:trPr>
        <w:tc>
          <w:tcPr>
            <w:tcW w:w="737" w:type="dxa"/>
            <w:noWrap/>
            <w:hideMark/>
          </w:tcPr>
          <w:p w14:paraId="4095504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8722</w:t>
            </w:r>
          </w:p>
        </w:tc>
        <w:tc>
          <w:tcPr>
            <w:tcW w:w="1559" w:type="dxa"/>
            <w:noWrap/>
            <w:hideMark/>
          </w:tcPr>
          <w:p w14:paraId="3B3626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Terrigal High School</w:t>
            </w:r>
          </w:p>
        </w:tc>
        <w:tc>
          <w:tcPr>
            <w:tcW w:w="709" w:type="dxa"/>
            <w:noWrap/>
            <w:hideMark/>
          </w:tcPr>
          <w:p w14:paraId="2777E95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E3E69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B699E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DDFDCD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Charles Kay Drive</w:t>
            </w:r>
          </w:p>
        </w:tc>
        <w:tc>
          <w:tcPr>
            <w:tcW w:w="1134" w:type="dxa"/>
            <w:noWrap/>
            <w:hideMark/>
          </w:tcPr>
          <w:p w14:paraId="3026FDD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62E4F89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18.0</w:t>
            </w:r>
          </w:p>
        </w:tc>
        <w:tc>
          <w:tcPr>
            <w:tcW w:w="1134" w:type="dxa"/>
            <w:noWrap/>
            <w:hideMark/>
          </w:tcPr>
          <w:p w14:paraId="0522CB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52.6</w:t>
            </w:r>
          </w:p>
        </w:tc>
        <w:tc>
          <w:tcPr>
            <w:tcW w:w="1134" w:type="dxa"/>
            <w:noWrap/>
            <w:hideMark/>
          </w:tcPr>
          <w:p w14:paraId="22E96C4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FEB7C0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138</w:t>
            </w:r>
          </w:p>
        </w:tc>
        <w:tc>
          <w:tcPr>
            <w:tcW w:w="1417" w:type="dxa"/>
            <w:noWrap/>
            <w:hideMark/>
          </w:tcPr>
          <w:p w14:paraId="380277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r>
      <w:tr w:rsidR="006716B4" w:rsidRPr="006716B4" w14:paraId="33B430E5" w14:textId="77777777" w:rsidTr="001367E0">
        <w:tblPrEx>
          <w:tblCellMar>
            <w:left w:w="108" w:type="dxa"/>
            <w:right w:w="108" w:type="dxa"/>
          </w:tblCellMar>
        </w:tblPrEx>
        <w:trPr>
          <w:trHeight w:val="465"/>
        </w:trPr>
        <w:tc>
          <w:tcPr>
            <w:tcW w:w="737" w:type="dxa"/>
            <w:noWrap/>
            <w:hideMark/>
          </w:tcPr>
          <w:p w14:paraId="304AE5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16286</w:t>
            </w:r>
          </w:p>
        </w:tc>
        <w:tc>
          <w:tcPr>
            <w:tcW w:w="1559" w:type="dxa"/>
            <w:noWrap/>
            <w:hideMark/>
          </w:tcPr>
          <w:p w14:paraId="444380A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The Grange Public School</w:t>
            </w:r>
          </w:p>
        </w:tc>
        <w:tc>
          <w:tcPr>
            <w:tcW w:w="709" w:type="dxa"/>
            <w:noWrap/>
            <w:hideMark/>
          </w:tcPr>
          <w:p w14:paraId="6CAAF2E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534CA1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53A26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2F635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Benham Rd</w:t>
            </w:r>
          </w:p>
        </w:tc>
        <w:tc>
          <w:tcPr>
            <w:tcW w:w="1134" w:type="dxa"/>
            <w:noWrap/>
            <w:hideMark/>
          </w:tcPr>
          <w:p w14:paraId="5A6CE3C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E6A235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38.5</w:t>
            </w:r>
          </w:p>
        </w:tc>
        <w:tc>
          <w:tcPr>
            <w:tcW w:w="1134" w:type="dxa"/>
            <w:noWrap/>
            <w:hideMark/>
          </w:tcPr>
          <w:p w14:paraId="68DA1A8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123915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25.0</w:t>
            </w:r>
          </w:p>
        </w:tc>
        <w:tc>
          <w:tcPr>
            <w:tcW w:w="1276" w:type="dxa"/>
            <w:noWrap/>
            <w:hideMark/>
          </w:tcPr>
          <w:p w14:paraId="3307E70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w:t>
            </w:r>
          </w:p>
        </w:tc>
        <w:tc>
          <w:tcPr>
            <w:tcW w:w="1417" w:type="dxa"/>
            <w:noWrap/>
            <w:hideMark/>
          </w:tcPr>
          <w:p w14:paraId="513685B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47A6C7B5" w14:textId="77777777" w:rsidTr="001367E0">
        <w:tblPrEx>
          <w:tblCellMar>
            <w:left w:w="108" w:type="dxa"/>
            <w:right w:w="108" w:type="dxa"/>
          </w:tblCellMar>
        </w:tblPrEx>
        <w:trPr>
          <w:trHeight w:val="465"/>
        </w:trPr>
        <w:tc>
          <w:tcPr>
            <w:tcW w:w="737" w:type="dxa"/>
            <w:noWrap/>
            <w:hideMark/>
          </w:tcPr>
          <w:p w14:paraId="22C4874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7818</w:t>
            </w:r>
          </w:p>
        </w:tc>
        <w:tc>
          <w:tcPr>
            <w:tcW w:w="1559" w:type="dxa"/>
            <w:noWrap/>
            <w:hideMark/>
          </w:tcPr>
          <w:p w14:paraId="688575B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The Hills Sports High School</w:t>
            </w:r>
          </w:p>
        </w:tc>
        <w:tc>
          <w:tcPr>
            <w:tcW w:w="709" w:type="dxa"/>
            <w:noWrap/>
            <w:hideMark/>
          </w:tcPr>
          <w:p w14:paraId="6301FB0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E07CD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C58FED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D345C1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Best Rd</w:t>
            </w:r>
          </w:p>
        </w:tc>
        <w:tc>
          <w:tcPr>
            <w:tcW w:w="1134" w:type="dxa"/>
            <w:noWrap/>
            <w:hideMark/>
          </w:tcPr>
          <w:p w14:paraId="4CBE834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3BE09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38.8</w:t>
            </w:r>
          </w:p>
        </w:tc>
        <w:tc>
          <w:tcPr>
            <w:tcW w:w="1134" w:type="dxa"/>
            <w:noWrap/>
            <w:hideMark/>
          </w:tcPr>
          <w:p w14:paraId="6C7A09D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32.0</w:t>
            </w:r>
          </w:p>
        </w:tc>
        <w:tc>
          <w:tcPr>
            <w:tcW w:w="1134" w:type="dxa"/>
            <w:noWrap/>
            <w:hideMark/>
          </w:tcPr>
          <w:p w14:paraId="20D7EA1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7.1</w:t>
            </w:r>
          </w:p>
        </w:tc>
        <w:tc>
          <w:tcPr>
            <w:tcW w:w="1276" w:type="dxa"/>
            <w:noWrap/>
            <w:hideMark/>
          </w:tcPr>
          <w:p w14:paraId="163BAF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277</w:t>
            </w:r>
          </w:p>
        </w:tc>
        <w:tc>
          <w:tcPr>
            <w:tcW w:w="1417" w:type="dxa"/>
            <w:noWrap/>
            <w:hideMark/>
          </w:tcPr>
          <w:p w14:paraId="0AC877C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r>
      <w:tr w:rsidR="006716B4" w:rsidRPr="006716B4" w14:paraId="01C574BA" w14:textId="77777777" w:rsidTr="001367E0">
        <w:tblPrEx>
          <w:tblCellMar>
            <w:left w:w="108" w:type="dxa"/>
            <w:right w:w="108" w:type="dxa"/>
          </w:tblCellMar>
        </w:tblPrEx>
        <w:trPr>
          <w:trHeight w:val="465"/>
        </w:trPr>
        <w:tc>
          <w:tcPr>
            <w:tcW w:w="737" w:type="dxa"/>
            <w:noWrap/>
            <w:hideMark/>
          </w:tcPr>
          <w:p w14:paraId="6448451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10508</w:t>
            </w:r>
          </w:p>
        </w:tc>
        <w:tc>
          <w:tcPr>
            <w:tcW w:w="1559" w:type="dxa"/>
            <w:noWrap/>
            <w:hideMark/>
          </w:tcPr>
          <w:p w14:paraId="43906BF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The Rock Central School</w:t>
            </w:r>
          </w:p>
        </w:tc>
        <w:tc>
          <w:tcPr>
            <w:tcW w:w="709" w:type="dxa"/>
            <w:noWrap/>
            <w:hideMark/>
          </w:tcPr>
          <w:p w14:paraId="168B857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18B83F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60535A5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78BEEA1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Ford St</w:t>
            </w:r>
          </w:p>
        </w:tc>
        <w:tc>
          <w:tcPr>
            <w:tcW w:w="1134" w:type="dxa"/>
            <w:noWrap/>
            <w:hideMark/>
          </w:tcPr>
          <w:p w14:paraId="4F2687A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42E3C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43.4</w:t>
            </w:r>
          </w:p>
        </w:tc>
        <w:tc>
          <w:tcPr>
            <w:tcW w:w="1134" w:type="dxa"/>
            <w:noWrap/>
            <w:hideMark/>
          </w:tcPr>
          <w:p w14:paraId="4CD899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60.0</w:t>
            </w:r>
          </w:p>
        </w:tc>
        <w:tc>
          <w:tcPr>
            <w:tcW w:w="1134" w:type="dxa"/>
            <w:noWrap/>
            <w:hideMark/>
          </w:tcPr>
          <w:p w14:paraId="2C8F032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16.7</w:t>
            </w:r>
          </w:p>
        </w:tc>
        <w:tc>
          <w:tcPr>
            <w:tcW w:w="1276" w:type="dxa"/>
            <w:noWrap/>
            <w:hideMark/>
          </w:tcPr>
          <w:p w14:paraId="05782BE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w:t>
            </w:r>
          </w:p>
        </w:tc>
        <w:tc>
          <w:tcPr>
            <w:tcW w:w="1417" w:type="dxa"/>
            <w:noWrap/>
            <w:hideMark/>
          </w:tcPr>
          <w:p w14:paraId="6E3852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7836FA14" w14:textId="77777777" w:rsidTr="001367E0">
        <w:tblPrEx>
          <w:tblCellMar>
            <w:left w:w="108" w:type="dxa"/>
            <w:right w:w="108" w:type="dxa"/>
          </w:tblCellMar>
        </w:tblPrEx>
        <w:trPr>
          <w:trHeight w:val="465"/>
        </w:trPr>
        <w:tc>
          <w:tcPr>
            <w:tcW w:w="737" w:type="dxa"/>
            <w:noWrap/>
            <w:hideMark/>
          </w:tcPr>
          <w:p w14:paraId="0F1BBF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10232</w:t>
            </w:r>
          </w:p>
        </w:tc>
        <w:tc>
          <w:tcPr>
            <w:tcW w:w="1559" w:type="dxa"/>
            <w:noWrap/>
            <w:hideMark/>
          </w:tcPr>
          <w:p w14:paraId="368C0A8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Thirlmere Public School</w:t>
            </w:r>
          </w:p>
        </w:tc>
        <w:tc>
          <w:tcPr>
            <w:tcW w:w="709" w:type="dxa"/>
            <w:noWrap/>
            <w:hideMark/>
          </w:tcPr>
          <w:p w14:paraId="357D8C0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C72BDD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48E9C9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BDAAEE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Oaks Rd</w:t>
            </w:r>
          </w:p>
        </w:tc>
        <w:tc>
          <w:tcPr>
            <w:tcW w:w="1134" w:type="dxa"/>
            <w:noWrap/>
            <w:hideMark/>
          </w:tcPr>
          <w:p w14:paraId="1F74000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030C90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24.5</w:t>
            </w:r>
          </w:p>
        </w:tc>
        <w:tc>
          <w:tcPr>
            <w:tcW w:w="1134" w:type="dxa"/>
            <w:noWrap/>
            <w:hideMark/>
          </w:tcPr>
          <w:p w14:paraId="2A9DFBB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35.7</w:t>
            </w:r>
          </w:p>
        </w:tc>
        <w:tc>
          <w:tcPr>
            <w:tcW w:w="1134" w:type="dxa"/>
            <w:noWrap/>
            <w:hideMark/>
          </w:tcPr>
          <w:p w14:paraId="09CFAA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EC0476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w:t>
            </w:r>
          </w:p>
        </w:tc>
        <w:tc>
          <w:tcPr>
            <w:tcW w:w="1417" w:type="dxa"/>
            <w:noWrap/>
            <w:hideMark/>
          </w:tcPr>
          <w:p w14:paraId="317F35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22C21C6F" w14:textId="77777777" w:rsidTr="001367E0">
        <w:tblPrEx>
          <w:tblCellMar>
            <w:left w:w="108" w:type="dxa"/>
            <w:right w:w="108" w:type="dxa"/>
          </w:tblCellMar>
        </w:tblPrEx>
        <w:trPr>
          <w:trHeight w:val="465"/>
        </w:trPr>
        <w:tc>
          <w:tcPr>
            <w:tcW w:w="737" w:type="dxa"/>
            <w:noWrap/>
            <w:hideMark/>
          </w:tcPr>
          <w:p w14:paraId="7024BB8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14975</w:t>
            </w:r>
          </w:p>
        </w:tc>
        <w:tc>
          <w:tcPr>
            <w:tcW w:w="1559" w:type="dxa"/>
            <w:noWrap/>
            <w:hideMark/>
          </w:tcPr>
          <w:p w14:paraId="4C3A802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Thomas Reddall High School</w:t>
            </w:r>
          </w:p>
        </w:tc>
        <w:tc>
          <w:tcPr>
            <w:tcW w:w="709" w:type="dxa"/>
            <w:noWrap/>
            <w:hideMark/>
          </w:tcPr>
          <w:p w14:paraId="7B536A3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A1E276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1DA847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717BDB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Cnr Woodhouse Drive &amp; Jaggers Place</w:t>
            </w:r>
          </w:p>
        </w:tc>
        <w:tc>
          <w:tcPr>
            <w:tcW w:w="1134" w:type="dxa"/>
            <w:noWrap/>
            <w:hideMark/>
          </w:tcPr>
          <w:p w14:paraId="24D5E71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D0ED3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54.9</w:t>
            </w:r>
          </w:p>
        </w:tc>
        <w:tc>
          <w:tcPr>
            <w:tcW w:w="1134" w:type="dxa"/>
            <w:noWrap/>
            <w:hideMark/>
          </w:tcPr>
          <w:p w14:paraId="7CDBF6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71.4</w:t>
            </w:r>
          </w:p>
        </w:tc>
        <w:tc>
          <w:tcPr>
            <w:tcW w:w="1134" w:type="dxa"/>
            <w:noWrap/>
            <w:hideMark/>
          </w:tcPr>
          <w:p w14:paraId="1D8F7E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7.7</w:t>
            </w:r>
          </w:p>
        </w:tc>
        <w:tc>
          <w:tcPr>
            <w:tcW w:w="1276" w:type="dxa"/>
            <w:noWrap/>
            <w:hideMark/>
          </w:tcPr>
          <w:p w14:paraId="24EE526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240</w:t>
            </w:r>
          </w:p>
        </w:tc>
        <w:tc>
          <w:tcPr>
            <w:tcW w:w="1417" w:type="dxa"/>
            <w:noWrap/>
            <w:hideMark/>
          </w:tcPr>
          <w:p w14:paraId="65DB225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w:t>
            </w:r>
          </w:p>
        </w:tc>
      </w:tr>
      <w:tr w:rsidR="006716B4" w:rsidRPr="006716B4" w14:paraId="456FA232" w14:textId="77777777" w:rsidTr="001367E0">
        <w:tblPrEx>
          <w:tblCellMar>
            <w:left w:w="108" w:type="dxa"/>
            <w:right w:w="108" w:type="dxa"/>
          </w:tblCellMar>
        </w:tblPrEx>
        <w:trPr>
          <w:trHeight w:val="465"/>
        </w:trPr>
        <w:tc>
          <w:tcPr>
            <w:tcW w:w="737" w:type="dxa"/>
            <w:noWrap/>
            <w:hideMark/>
          </w:tcPr>
          <w:p w14:paraId="0BC98F3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10445</w:t>
            </w:r>
          </w:p>
        </w:tc>
        <w:tc>
          <w:tcPr>
            <w:tcW w:w="1559" w:type="dxa"/>
            <w:noWrap/>
            <w:hideMark/>
          </w:tcPr>
          <w:p w14:paraId="4E87EFF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Thurgoona Public School</w:t>
            </w:r>
          </w:p>
        </w:tc>
        <w:tc>
          <w:tcPr>
            <w:tcW w:w="709" w:type="dxa"/>
            <w:noWrap/>
            <w:hideMark/>
          </w:tcPr>
          <w:p w14:paraId="500EDA4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4D800E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2.1.1</w:t>
            </w:r>
          </w:p>
        </w:tc>
        <w:tc>
          <w:tcPr>
            <w:tcW w:w="1134" w:type="dxa"/>
            <w:noWrap/>
            <w:hideMark/>
          </w:tcPr>
          <w:p w14:paraId="4DA7591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812740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Bottlebrush St</w:t>
            </w:r>
          </w:p>
        </w:tc>
        <w:tc>
          <w:tcPr>
            <w:tcW w:w="1134" w:type="dxa"/>
            <w:noWrap/>
            <w:hideMark/>
          </w:tcPr>
          <w:p w14:paraId="66FAA0E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37FBFF7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16.4</w:t>
            </w:r>
          </w:p>
        </w:tc>
        <w:tc>
          <w:tcPr>
            <w:tcW w:w="1134" w:type="dxa"/>
            <w:noWrap/>
            <w:hideMark/>
          </w:tcPr>
          <w:p w14:paraId="59840C2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134" w:type="dxa"/>
            <w:noWrap/>
            <w:hideMark/>
          </w:tcPr>
          <w:p w14:paraId="39D366D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E1E5B0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w:t>
            </w:r>
          </w:p>
        </w:tc>
        <w:tc>
          <w:tcPr>
            <w:tcW w:w="1417" w:type="dxa"/>
            <w:noWrap/>
            <w:hideMark/>
          </w:tcPr>
          <w:p w14:paraId="6D9698C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15464092" w14:textId="77777777" w:rsidTr="001367E0">
        <w:tblPrEx>
          <w:tblCellMar>
            <w:left w:w="108" w:type="dxa"/>
            <w:right w:w="108" w:type="dxa"/>
          </w:tblCellMar>
        </w:tblPrEx>
        <w:trPr>
          <w:trHeight w:val="465"/>
        </w:trPr>
        <w:tc>
          <w:tcPr>
            <w:tcW w:w="737" w:type="dxa"/>
            <w:noWrap/>
            <w:hideMark/>
          </w:tcPr>
          <w:p w14:paraId="66AE2FE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9556</w:t>
            </w:r>
          </w:p>
        </w:tc>
        <w:tc>
          <w:tcPr>
            <w:tcW w:w="1559" w:type="dxa"/>
            <w:noWrap/>
            <w:hideMark/>
          </w:tcPr>
          <w:p w14:paraId="4370A5A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Tinonee Public School</w:t>
            </w:r>
          </w:p>
        </w:tc>
        <w:tc>
          <w:tcPr>
            <w:tcW w:w="709" w:type="dxa"/>
            <w:noWrap/>
            <w:hideMark/>
          </w:tcPr>
          <w:p w14:paraId="538FF7B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51F37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9B1FA2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BD7AA8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Manchester St</w:t>
            </w:r>
          </w:p>
        </w:tc>
        <w:tc>
          <w:tcPr>
            <w:tcW w:w="1134" w:type="dxa"/>
            <w:noWrap/>
            <w:hideMark/>
          </w:tcPr>
          <w:p w14:paraId="0BB6B60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B71ACA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23.9</w:t>
            </w:r>
          </w:p>
        </w:tc>
        <w:tc>
          <w:tcPr>
            <w:tcW w:w="1134" w:type="dxa"/>
            <w:noWrap/>
            <w:hideMark/>
          </w:tcPr>
          <w:p w14:paraId="52F8EC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329DF9E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189E3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w:t>
            </w:r>
          </w:p>
        </w:tc>
        <w:tc>
          <w:tcPr>
            <w:tcW w:w="1417" w:type="dxa"/>
            <w:noWrap/>
            <w:hideMark/>
          </w:tcPr>
          <w:p w14:paraId="51FA95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460CDF35" w14:textId="77777777" w:rsidTr="001367E0">
        <w:tblPrEx>
          <w:tblCellMar>
            <w:left w:w="108" w:type="dxa"/>
            <w:right w:w="108" w:type="dxa"/>
          </w:tblCellMar>
        </w:tblPrEx>
        <w:trPr>
          <w:trHeight w:val="465"/>
        </w:trPr>
        <w:tc>
          <w:tcPr>
            <w:tcW w:w="737" w:type="dxa"/>
            <w:noWrap/>
            <w:hideMark/>
          </w:tcPr>
          <w:p w14:paraId="4327D83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9384</w:t>
            </w:r>
          </w:p>
        </w:tc>
        <w:tc>
          <w:tcPr>
            <w:tcW w:w="1559" w:type="dxa"/>
            <w:noWrap/>
            <w:hideMark/>
          </w:tcPr>
          <w:p w14:paraId="6A9D774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Tintinhull Public School</w:t>
            </w:r>
          </w:p>
        </w:tc>
        <w:tc>
          <w:tcPr>
            <w:tcW w:w="709" w:type="dxa"/>
            <w:noWrap/>
            <w:hideMark/>
          </w:tcPr>
          <w:p w14:paraId="35F6212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E62DC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71A323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A9771A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 Tintinhull Road</w:t>
            </w:r>
          </w:p>
        </w:tc>
        <w:tc>
          <w:tcPr>
            <w:tcW w:w="1134" w:type="dxa"/>
            <w:noWrap/>
            <w:hideMark/>
          </w:tcPr>
          <w:p w14:paraId="3EEED0C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ACC51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29.2</w:t>
            </w:r>
          </w:p>
        </w:tc>
        <w:tc>
          <w:tcPr>
            <w:tcW w:w="1134" w:type="dxa"/>
            <w:noWrap/>
            <w:hideMark/>
          </w:tcPr>
          <w:p w14:paraId="3B5931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67C9ECB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88A818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c>
          <w:tcPr>
            <w:tcW w:w="1417" w:type="dxa"/>
            <w:noWrap/>
            <w:hideMark/>
          </w:tcPr>
          <w:p w14:paraId="049793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28DD1E85" w14:textId="77777777" w:rsidTr="001367E0">
        <w:tblPrEx>
          <w:tblCellMar>
            <w:left w:w="108" w:type="dxa"/>
            <w:right w:w="108" w:type="dxa"/>
          </w:tblCellMar>
        </w:tblPrEx>
        <w:trPr>
          <w:trHeight w:val="465"/>
        </w:trPr>
        <w:tc>
          <w:tcPr>
            <w:tcW w:w="737" w:type="dxa"/>
            <w:noWrap/>
            <w:hideMark/>
          </w:tcPr>
          <w:p w14:paraId="76DBCA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17492</w:t>
            </w:r>
          </w:p>
        </w:tc>
        <w:tc>
          <w:tcPr>
            <w:tcW w:w="1559" w:type="dxa"/>
            <w:noWrap/>
            <w:hideMark/>
          </w:tcPr>
          <w:p w14:paraId="68FA065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Tomaree High School</w:t>
            </w:r>
          </w:p>
        </w:tc>
        <w:tc>
          <w:tcPr>
            <w:tcW w:w="709" w:type="dxa"/>
            <w:noWrap/>
            <w:hideMark/>
          </w:tcPr>
          <w:p w14:paraId="5AD20EB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78C98B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77CC855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C235B8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Salamander Way</w:t>
            </w:r>
          </w:p>
        </w:tc>
        <w:tc>
          <w:tcPr>
            <w:tcW w:w="1134" w:type="dxa"/>
            <w:noWrap/>
            <w:hideMark/>
          </w:tcPr>
          <w:p w14:paraId="737B217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5C06A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28.3</w:t>
            </w:r>
          </w:p>
        </w:tc>
        <w:tc>
          <w:tcPr>
            <w:tcW w:w="1134" w:type="dxa"/>
            <w:noWrap/>
            <w:hideMark/>
          </w:tcPr>
          <w:p w14:paraId="51D536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42.4</w:t>
            </w:r>
          </w:p>
        </w:tc>
        <w:tc>
          <w:tcPr>
            <w:tcW w:w="1134" w:type="dxa"/>
            <w:noWrap/>
            <w:hideMark/>
          </w:tcPr>
          <w:p w14:paraId="7BA2C24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w:t>
            </w:r>
          </w:p>
        </w:tc>
        <w:tc>
          <w:tcPr>
            <w:tcW w:w="1276" w:type="dxa"/>
            <w:noWrap/>
            <w:hideMark/>
          </w:tcPr>
          <w:p w14:paraId="2E04567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253</w:t>
            </w:r>
          </w:p>
        </w:tc>
        <w:tc>
          <w:tcPr>
            <w:tcW w:w="1417" w:type="dxa"/>
            <w:noWrap/>
            <w:hideMark/>
          </w:tcPr>
          <w:p w14:paraId="7776EF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w:t>
            </w:r>
          </w:p>
        </w:tc>
      </w:tr>
      <w:tr w:rsidR="006716B4" w:rsidRPr="006716B4" w14:paraId="17C8CF14" w14:textId="77777777" w:rsidTr="001367E0">
        <w:tblPrEx>
          <w:tblCellMar>
            <w:left w:w="108" w:type="dxa"/>
            <w:right w:w="108" w:type="dxa"/>
          </w:tblCellMar>
        </w:tblPrEx>
        <w:trPr>
          <w:trHeight w:val="465"/>
        </w:trPr>
        <w:tc>
          <w:tcPr>
            <w:tcW w:w="737" w:type="dxa"/>
            <w:noWrap/>
            <w:hideMark/>
          </w:tcPr>
          <w:p w14:paraId="45E8AC5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10174</w:t>
            </w:r>
          </w:p>
        </w:tc>
        <w:tc>
          <w:tcPr>
            <w:tcW w:w="1559" w:type="dxa"/>
            <w:noWrap/>
            <w:hideMark/>
          </w:tcPr>
          <w:p w14:paraId="0A2909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Tomerong Public School</w:t>
            </w:r>
          </w:p>
        </w:tc>
        <w:tc>
          <w:tcPr>
            <w:tcW w:w="709" w:type="dxa"/>
            <w:noWrap/>
            <w:hideMark/>
          </w:tcPr>
          <w:p w14:paraId="6356E4E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7985D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4B48647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3444A4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355 Hawkens Rd</w:t>
            </w:r>
          </w:p>
        </w:tc>
        <w:tc>
          <w:tcPr>
            <w:tcW w:w="1134" w:type="dxa"/>
            <w:noWrap/>
            <w:hideMark/>
          </w:tcPr>
          <w:p w14:paraId="5DE286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64C988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26.9</w:t>
            </w:r>
          </w:p>
        </w:tc>
        <w:tc>
          <w:tcPr>
            <w:tcW w:w="1134" w:type="dxa"/>
            <w:noWrap/>
            <w:hideMark/>
          </w:tcPr>
          <w:p w14:paraId="538480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1D3FF2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952591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w:t>
            </w:r>
          </w:p>
        </w:tc>
        <w:tc>
          <w:tcPr>
            <w:tcW w:w="1417" w:type="dxa"/>
            <w:noWrap/>
            <w:hideMark/>
          </w:tcPr>
          <w:p w14:paraId="2730D7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707232E1" w14:textId="77777777" w:rsidTr="001367E0">
        <w:tblPrEx>
          <w:tblCellMar>
            <w:left w:w="108" w:type="dxa"/>
            <w:right w:w="108" w:type="dxa"/>
          </w:tblCellMar>
        </w:tblPrEx>
        <w:trPr>
          <w:trHeight w:val="465"/>
        </w:trPr>
        <w:tc>
          <w:tcPr>
            <w:tcW w:w="737" w:type="dxa"/>
            <w:noWrap/>
            <w:hideMark/>
          </w:tcPr>
          <w:p w14:paraId="0DBCE9D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6514</w:t>
            </w:r>
          </w:p>
        </w:tc>
        <w:tc>
          <w:tcPr>
            <w:tcW w:w="1559" w:type="dxa"/>
            <w:noWrap/>
            <w:hideMark/>
          </w:tcPr>
          <w:p w14:paraId="2364949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Tooleybuc Central School</w:t>
            </w:r>
          </w:p>
        </w:tc>
        <w:tc>
          <w:tcPr>
            <w:tcW w:w="709" w:type="dxa"/>
            <w:noWrap/>
            <w:hideMark/>
          </w:tcPr>
          <w:p w14:paraId="64A4F50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75963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B4996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41108DC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Murray St</w:t>
            </w:r>
          </w:p>
        </w:tc>
        <w:tc>
          <w:tcPr>
            <w:tcW w:w="1134" w:type="dxa"/>
            <w:noWrap/>
            <w:hideMark/>
          </w:tcPr>
          <w:p w14:paraId="331B20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2B2CEC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29.4</w:t>
            </w:r>
          </w:p>
        </w:tc>
        <w:tc>
          <w:tcPr>
            <w:tcW w:w="1134" w:type="dxa"/>
            <w:noWrap/>
            <w:hideMark/>
          </w:tcPr>
          <w:p w14:paraId="10B2EF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3BA640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276" w:type="dxa"/>
            <w:noWrap/>
            <w:hideMark/>
          </w:tcPr>
          <w:p w14:paraId="7408FF1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w:t>
            </w:r>
          </w:p>
        </w:tc>
        <w:tc>
          <w:tcPr>
            <w:tcW w:w="1417" w:type="dxa"/>
            <w:noWrap/>
            <w:hideMark/>
          </w:tcPr>
          <w:p w14:paraId="182F7A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55FF95B9" w14:textId="77777777" w:rsidTr="001367E0">
        <w:tblPrEx>
          <w:tblCellMar>
            <w:left w:w="108" w:type="dxa"/>
            <w:right w:w="108" w:type="dxa"/>
          </w:tblCellMar>
        </w:tblPrEx>
        <w:trPr>
          <w:trHeight w:val="465"/>
        </w:trPr>
        <w:tc>
          <w:tcPr>
            <w:tcW w:w="737" w:type="dxa"/>
            <w:noWrap/>
            <w:hideMark/>
          </w:tcPr>
          <w:p w14:paraId="6816DA1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9670</w:t>
            </w:r>
          </w:p>
        </w:tc>
        <w:tc>
          <w:tcPr>
            <w:tcW w:w="1559" w:type="dxa"/>
            <w:noWrap/>
            <w:hideMark/>
          </w:tcPr>
          <w:p w14:paraId="4FB8D9C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Toormina High School</w:t>
            </w:r>
          </w:p>
        </w:tc>
        <w:tc>
          <w:tcPr>
            <w:tcW w:w="709" w:type="dxa"/>
            <w:noWrap/>
            <w:hideMark/>
          </w:tcPr>
          <w:p w14:paraId="0188719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A7A080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669265B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954B76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Armstrong Drive</w:t>
            </w:r>
          </w:p>
        </w:tc>
        <w:tc>
          <w:tcPr>
            <w:tcW w:w="1134" w:type="dxa"/>
            <w:noWrap/>
            <w:hideMark/>
          </w:tcPr>
          <w:p w14:paraId="620CE4C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3B171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33.2</w:t>
            </w:r>
          </w:p>
        </w:tc>
        <w:tc>
          <w:tcPr>
            <w:tcW w:w="1134" w:type="dxa"/>
            <w:noWrap/>
            <w:hideMark/>
          </w:tcPr>
          <w:p w14:paraId="695CE33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2B8698E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20.0</w:t>
            </w:r>
          </w:p>
        </w:tc>
        <w:tc>
          <w:tcPr>
            <w:tcW w:w="1276" w:type="dxa"/>
            <w:noWrap/>
            <w:hideMark/>
          </w:tcPr>
          <w:p w14:paraId="65A434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182</w:t>
            </w:r>
          </w:p>
        </w:tc>
        <w:tc>
          <w:tcPr>
            <w:tcW w:w="1417" w:type="dxa"/>
            <w:noWrap/>
            <w:hideMark/>
          </w:tcPr>
          <w:p w14:paraId="67878B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w:t>
            </w:r>
          </w:p>
        </w:tc>
      </w:tr>
      <w:tr w:rsidR="006716B4" w:rsidRPr="006716B4" w14:paraId="63C23320" w14:textId="77777777" w:rsidTr="001367E0">
        <w:tblPrEx>
          <w:tblCellMar>
            <w:left w:w="108" w:type="dxa"/>
            <w:right w:w="108" w:type="dxa"/>
          </w:tblCellMar>
        </w:tblPrEx>
        <w:trPr>
          <w:trHeight w:val="465"/>
        </w:trPr>
        <w:tc>
          <w:tcPr>
            <w:tcW w:w="737" w:type="dxa"/>
            <w:noWrap/>
            <w:hideMark/>
          </w:tcPr>
          <w:p w14:paraId="491FCD7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9665</w:t>
            </w:r>
          </w:p>
        </w:tc>
        <w:tc>
          <w:tcPr>
            <w:tcW w:w="1559" w:type="dxa"/>
            <w:noWrap/>
            <w:hideMark/>
          </w:tcPr>
          <w:p w14:paraId="6419763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Toormina Public School</w:t>
            </w:r>
          </w:p>
        </w:tc>
        <w:tc>
          <w:tcPr>
            <w:tcW w:w="709" w:type="dxa"/>
            <w:noWrap/>
            <w:hideMark/>
          </w:tcPr>
          <w:p w14:paraId="3FD7FF3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C6754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032452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3810D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Cavanba Rd</w:t>
            </w:r>
          </w:p>
        </w:tc>
        <w:tc>
          <w:tcPr>
            <w:tcW w:w="1134" w:type="dxa"/>
            <w:noWrap/>
            <w:hideMark/>
          </w:tcPr>
          <w:p w14:paraId="28EBD1C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9DBBA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23.4</w:t>
            </w:r>
          </w:p>
        </w:tc>
        <w:tc>
          <w:tcPr>
            <w:tcW w:w="1134" w:type="dxa"/>
            <w:noWrap/>
            <w:hideMark/>
          </w:tcPr>
          <w:p w14:paraId="7D87E5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43.8</w:t>
            </w:r>
          </w:p>
        </w:tc>
        <w:tc>
          <w:tcPr>
            <w:tcW w:w="1134" w:type="dxa"/>
            <w:noWrap/>
            <w:hideMark/>
          </w:tcPr>
          <w:p w14:paraId="6185203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B3173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46</w:t>
            </w:r>
          </w:p>
        </w:tc>
        <w:tc>
          <w:tcPr>
            <w:tcW w:w="1417" w:type="dxa"/>
            <w:noWrap/>
            <w:hideMark/>
          </w:tcPr>
          <w:p w14:paraId="4316FBA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w:t>
            </w:r>
          </w:p>
        </w:tc>
      </w:tr>
      <w:tr w:rsidR="006716B4" w:rsidRPr="006716B4" w14:paraId="5DBD0403" w14:textId="77777777" w:rsidTr="001367E0">
        <w:tblPrEx>
          <w:tblCellMar>
            <w:left w:w="108" w:type="dxa"/>
            <w:right w:w="108" w:type="dxa"/>
          </w:tblCellMar>
        </w:tblPrEx>
        <w:trPr>
          <w:trHeight w:val="465"/>
        </w:trPr>
        <w:tc>
          <w:tcPr>
            <w:tcW w:w="737" w:type="dxa"/>
            <w:noWrap/>
            <w:hideMark/>
          </w:tcPr>
          <w:p w14:paraId="2C30489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6347</w:t>
            </w:r>
          </w:p>
        </w:tc>
        <w:tc>
          <w:tcPr>
            <w:tcW w:w="1559" w:type="dxa"/>
            <w:noWrap/>
            <w:hideMark/>
          </w:tcPr>
          <w:p w14:paraId="535C92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Toronto High School</w:t>
            </w:r>
          </w:p>
        </w:tc>
        <w:tc>
          <w:tcPr>
            <w:tcW w:w="709" w:type="dxa"/>
            <w:noWrap/>
            <w:hideMark/>
          </w:tcPr>
          <w:p w14:paraId="21696E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4B98D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3D87F8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44A85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Field Ave</w:t>
            </w:r>
          </w:p>
        </w:tc>
        <w:tc>
          <w:tcPr>
            <w:tcW w:w="1134" w:type="dxa"/>
            <w:noWrap/>
            <w:hideMark/>
          </w:tcPr>
          <w:p w14:paraId="59E089C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612DA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25.8</w:t>
            </w:r>
          </w:p>
        </w:tc>
        <w:tc>
          <w:tcPr>
            <w:tcW w:w="1134" w:type="dxa"/>
            <w:noWrap/>
            <w:hideMark/>
          </w:tcPr>
          <w:p w14:paraId="6C4EC17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45.1</w:t>
            </w:r>
          </w:p>
        </w:tc>
        <w:tc>
          <w:tcPr>
            <w:tcW w:w="1134" w:type="dxa"/>
            <w:noWrap/>
            <w:hideMark/>
          </w:tcPr>
          <w:p w14:paraId="246039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1A79DE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151</w:t>
            </w:r>
          </w:p>
        </w:tc>
        <w:tc>
          <w:tcPr>
            <w:tcW w:w="1417" w:type="dxa"/>
            <w:noWrap/>
            <w:hideMark/>
          </w:tcPr>
          <w:p w14:paraId="504763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r>
      <w:tr w:rsidR="006716B4" w:rsidRPr="006716B4" w14:paraId="79A737CA" w14:textId="77777777" w:rsidTr="001367E0">
        <w:tblPrEx>
          <w:tblCellMar>
            <w:left w:w="108" w:type="dxa"/>
            <w:right w:w="108" w:type="dxa"/>
          </w:tblCellMar>
        </w:tblPrEx>
        <w:trPr>
          <w:trHeight w:val="465"/>
        </w:trPr>
        <w:tc>
          <w:tcPr>
            <w:tcW w:w="737" w:type="dxa"/>
            <w:noWrap/>
            <w:hideMark/>
          </w:tcPr>
          <w:p w14:paraId="374FDDA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14976</w:t>
            </w:r>
          </w:p>
        </w:tc>
        <w:tc>
          <w:tcPr>
            <w:tcW w:w="1559" w:type="dxa"/>
            <w:noWrap/>
            <w:hideMark/>
          </w:tcPr>
          <w:p w14:paraId="0DF62A9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Tuggerah Lakes Secondary College Berkeley Vale Campus</w:t>
            </w:r>
          </w:p>
        </w:tc>
        <w:tc>
          <w:tcPr>
            <w:tcW w:w="709" w:type="dxa"/>
            <w:noWrap/>
            <w:hideMark/>
          </w:tcPr>
          <w:p w14:paraId="37CD29D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4CBEDE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2E72C95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4A2728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The Entrance Rd</w:t>
            </w:r>
          </w:p>
        </w:tc>
        <w:tc>
          <w:tcPr>
            <w:tcW w:w="1134" w:type="dxa"/>
            <w:noWrap/>
            <w:hideMark/>
          </w:tcPr>
          <w:p w14:paraId="670FBA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178287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32.5</w:t>
            </w:r>
          </w:p>
        </w:tc>
        <w:tc>
          <w:tcPr>
            <w:tcW w:w="1134" w:type="dxa"/>
            <w:noWrap/>
            <w:hideMark/>
          </w:tcPr>
          <w:p w14:paraId="59B5B6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36.4</w:t>
            </w:r>
          </w:p>
        </w:tc>
        <w:tc>
          <w:tcPr>
            <w:tcW w:w="1134" w:type="dxa"/>
            <w:noWrap/>
            <w:hideMark/>
          </w:tcPr>
          <w:p w14:paraId="2B2DC2F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12.0</w:t>
            </w:r>
          </w:p>
        </w:tc>
        <w:tc>
          <w:tcPr>
            <w:tcW w:w="1276" w:type="dxa"/>
            <w:noWrap/>
            <w:hideMark/>
          </w:tcPr>
          <w:p w14:paraId="159D7F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249</w:t>
            </w:r>
          </w:p>
        </w:tc>
        <w:tc>
          <w:tcPr>
            <w:tcW w:w="1417" w:type="dxa"/>
            <w:noWrap/>
            <w:hideMark/>
          </w:tcPr>
          <w:p w14:paraId="563CE84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w:t>
            </w:r>
          </w:p>
        </w:tc>
      </w:tr>
      <w:tr w:rsidR="006716B4" w:rsidRPr="006716B4" w14:paraId="6FC889AA" w14:textId="77777777" w:rsidTr="001367E0">
        <w:tblPrEx>
          <w:tblCellMar>
            <w:left w:w="108" w:type="dxa"/>
            <w:right w:w="108" w:type="dxa"/>
          </w:tblCellMar>
        </w:tblPrEx>
        <w:trPr>
          <w:trHeight w:val="465"/>
        </w:trPr>
        <w:tc>
          <w:tcPr>
            <w:tcW w:w="737" w:type="dxa"/>
            <w:noWrap/>
            <w:hideMark/>
          </w:tcPr>
          <w:p w14:paraId="1F143E5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15387</w:t>
            </w:r>
          </w:p>
        </w:tc>
        <w:tc>
          <w:tcPr>
            <w:tcW w:w="1559" w:type="dxa"/>
            <w:noWrap/>
            <w:hideMark/>
          </w:tcPr>
          <w:p w14:paraId="66A8501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Tuggerah Lakes Secondary College Tumbi Umbi Campus</w:t>
            </w:r>
          </w:p>
        </w:tc>
        <w:tc>
          <w:tcPr>
            <w:tcW w:w="709" w:type="dxa"/>
            <w:noWrap/>
            <w:hideMark/>
          </w:tcPr>
          <w:p w14:paraId="621677C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2FEB25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00C764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922E80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Bellevue Rd</w:t>
            </w:r>
          </w:p>
        </w:tc>
        <w:tc>
          <w:tcPr>
            <w:tcW w:w="1134" w:type="dxa"/>
            <w:noWrap/>
            <w:hideMark/>
          </w:tcPr>
          <w:p w14:paraId="1B2CF5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6C6402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36.3</w:t>
            </w:r>
          </w:p>
        </w:tc>
        <w:tc>
          <w:tcPr>
            <w:tcW w:w="1134" w:type="dxa"/>
            <w:noWrap/>
            <w:hideMark/>
          </w:tcPr>
          <w:p w14:paraId="1E98B1C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57.8</w:t>
            </w:r>
          </w:p>
        </w:tc>
        <w:tc>
          <w:tcPr>
            <w:tcW w:w="1134" w:type="dxa"/>
            <w:noWrap/>
            <w:hideMark/>
          </w:tcPr>
          <w:p w14:paraId="62E7DD7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w:t>
            </w:r>
          </w:p>
        </w:tc>
        <w:tc>
          <w:tcPr>
            <w:tcW w:w="1276" w:type="dxa"/>
            <w:noWrap/>
            <w:hideMark/>
          </w:tcPr>
          <w:p w14:paraId="742788A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322</w:t>
            </w:r>
          </w:p>
        </w:tc>
        <w:tc>
          <w:tcPr>
            <w:tcW w:w="1417" w:type="dxa"/>
            <w:noWrap/>
            <w:hideMark/>
          </w:tcPr>
          <w:p w14:paraId="2BB23C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w:t>
            </w:r>
          </w:p>
        </w:tc>
      </w:tr>
      <w:tr w:rsidR="006716B4" w:rsidRPr="006716B4" w14:paraId="2C7606BF" w14:textId="77777777" w:rsidTr="001367E0">
        <w:tblPrEx>
          <w:tblCellMar>
            <w:left w:w="108" w:type="dxa"/>
            <w:right w:w="108" w:type="dxa"/>
          </w:tblCellMar>
        </w:tblPrEx>
        <w:trPr>
          <w:trHeight w:val="465"/>
        </w:trPr>
        <w:tc>
          <w:tcPr>
            <w:tcW w:w="737" w:type="dxa"/>
            <w:noWrap/>
            <w:hideMark/>
          </w:tcPr>
          <w:p w14:paraId="7B56264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6379</w:t>
            </w:r>
          </w:p>
        </w:tc>
        <w:tc>
          <w:tcPr>
            <w:tcW w:w="1559" w:type="dxa"/>
            <w:noWrap/>
            <w:hideMark/>
          </w:tcPr>
          <w:p w14:paraId="33087F9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Tumbarumba High School</w:t>
            </w:r>
          </w:p>
        </w:tc>
        <w:tc>
          <w:tcPr>
            <w:tcW w:w="709" w:type="dxa"/>
            <w:noWrap/>
            <w:hideMark/>
          </w:tcPr>
          <w:p w14:paraId="6813841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FBE739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586451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B853AB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101 Tooma Road</w:t>
            </w:r>
          </w:p>
        </w:tc>
        <w:tc>
          <w:tcPr>
            <w:tcW w:w="1134" w:type="dxa"/>
            <w:noWrap/>
            <w:hideMark/>
          </w:tcPr>
          <w:p w14:paraId="612AF2D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7B248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36.4</w:t>
            </w:r>
          </w:p>
        </w:tc>
        <w:tc>
          <w:tcPr>
            <w:tcW w:w="1134" w:type="dxa"/>
            <w:noWrap/>
            <w:hideMark/>
          </w:tcPr>
          <w:p w14:paraId="1D9F59C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0545074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436228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47</w:t>
            </w:r>
          </w:p>
        </w:tc>
        <w:tc>
          <w:tcPr>
            <w:tcW w:w="1417" w:type="dxa"/>
            <w:noWrap/>
            <w:hideMark/>
          </w:tcPr>
          <w:p w14:paraId="6BD6D9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230ABB43" w14:textId="77777777" w:rsidTr="001367E0">
        <w:tblPrEx>
          <w:tblCellMar>
            <w:left w:w="108" w:type="dxa"/>
            <w:right w:w="108" w:type="dxa"/>
          </w:tblCellMar>
        </w:tblPrEx>
        <w:trPr>
          <w:trHeight w:val="465"/>
        </w:trPr>
        <w:tc>
          <w:tcPr>
            <w:tcW w:w="737" w:type="dxa"/>
            <w:noWrap/>
            <w:hideMark/>
          </w:tcPr>
          <w:p w14:paraId="46ED91A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10507</w:t>
            </w:r>
          </w:p>
        </w:tc>
        <w:tc>
          <w:tcPr>
            <w:tcW w:w="1559" w:type="dxa"/>
            <w:noWrap/>
            <w:hideMark/>
          </w:tcPr>
          <w:p w14:paraId="22F952F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Tumbarumba Public School</w:t>
            </w:r>
          </w:p>
        </w:tc>
        <w:tc>
          <w:tcPr>
            <w:tcW w:w="709" w:type="dxa"/>
            <w:noWrap/>
            <w:hideMark/>
          </w:tcPr>
          <w:p w14:paraId="51F18AE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A6A95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25EFE0C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E8F18A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Murray St</w:t>
            </w:r>
          </w:p>
        </w:tc>
        <w:tc>
          <w:tcPr>
            <w:tcW w:w="1134" w:type="dxa"/>
            <w:noWrap/>
            <w:hideMark/>
          </w:tcPr>
          <w:p w14:paraId="52B1506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767416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4F4439F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0771CCF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3D11E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w:t>
            </w:r>
          </w:p>
        </w:tc>
        <w:tc>
          <w:tcPr>
            <w:tcW w:w="1417" w:type="dxa"/>
            <w:noWrap/>
            <w:hideMark/>
          </w:tcPr>
          <w:p w14:paraId="787B08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6DB00E32" w14:textId="77777777" w:rsidTr="001367E0">
        <w:tblPrEx>
          <w:tblCellMar>
            <w:left w:w="108" w:type="dxa"/>
            <w:right w:w="108" w:type="dxa"/>
          </w:tblCellMar>
        </w:tblPrEx>
        <w:trPr>
          <w:trHeight w:val="465"/>
        </w:trPr>
        <w:tc>
          <w:tcPr>
            <w:tcW w:w="737" w:type="dxa"/>
            <w:noWrap/>
            <w:hideMark/>
          </w:tcPr>
          <w:p w14:paraId="6DBEBE3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9930</w:t>
            </w:r>
          </w:p>
        </w:tc>
        <w:tc>
          <w:tcPr>
            <w:tcW w:w="1559" w:type="dxa"/>
            <w:noWrap/>
            <w:hideMark/>
          </w:tcPr>
          <w:p w14:paraId="4993819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Tumbulgum Public School</w:t>
            </w:r>
          </w:p>
        </w:tc>
        <w:tc>
          <w:tcPr>
            <w:tcW w:w="709" w:type="dxa"/>
            <w:noWrap/>
            <w:hideMark/>
          </w:tcPr>
          <w:p w14:paraId="3ADF809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B5592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0CEAA9F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18610C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Fawcett St</w:t>
            </w:r>
          </w:p>
        </w:tc>
        <w:tc>
          <w:tcPr>
            <w:tcW w:w="1134" w:type="dxa"/>
            <w:noWrap/>
            <w:hideMark/>
          </w:tcPr>
          <w:p w14:paraId="2F3EDC7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99D8FB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4C9F0C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0CC11D0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78338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c>
          <w:tcPr>
            <w:tcW w:w="1417" w:type="dxa"/>
            <w:noWrap/>
            <w:hideMark/>
          </w:tcPr>
          <w:p w14:paraId="302DF2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79EF38AF" w14:textId="77777777" w:rsidTr="001367E0">
        <w:tblPrEx>
          <w:tblCellMar>
            <w:left w:w="108" w:type="dxa"/>
            <w:right w:w="108" w:type="dxa"/>
          </w:tblCellMar>
        </w:tblPrEx>
        <w:trPr>
          <w:trHeight w:val="465"/>
        </w:trPr>
        <w:tc>
          <w:tcPr>
            <w:tcW w:w="737" w:type="dxa"/>
            <w:noWrap/>
            <w:hideMark/>
          </w:tcPr>
          <w:p w14:paraId="161D85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6419</w:t>
            </w:r>
          </w:p>
        </w:tc>
        <w:tc>
          <w:tcPr>
            <w:tcW w:w="1559" w:type="dxa"/>
            <w:noWrap/>
            <w:hideMark/>
          </w:tcPr>
          <w:p w14:paraId="058FE5D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Tumut High School</w:t>
            </w:r>
          </w:p>
        </w:tc>
        <w:tc>
          <w:tcPr>
            <w:tcW w:w="709" w:type="dxa"/>
            <w:noWrap/>
            <w:hideMark/>
          </w:tcPr>
          <w:p w14:paraId="7C704CA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B3998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6BA328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D4FAFC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Bogong Place</w:t>
            </w:r>
          </w:p>
        </w:tc>
        <w:tc>
          <w:tcPr>
            <w:tcW w:w="1134" w:type="dxa"/>
            <w:noWrap/>
            <w:hideMark/>
          </w:tcPr>
          <w:p w14:paraId="2517503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A6D2F9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29.5</w:t>
            </w:r>
          </w:p>
        </w:tc>
        <w:tc>
          <w:tcPr>
            <w:tcW w:w="1134" w:type="dxa"/>
            <w:noWrap/>
            <w:hideMark/>
          </w:tcPr>
          <w:p w14:paraId="19C8678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63.0</w:t>
            </w:r>
          </w:p>
        </w:tc>
        <w:tc>
          <w:tcPr>
            <w:tcW w:w="1134" w:type="dxa"/>
            <w:noWrap/>
            <w:hideMark/>
          </w:tcPr>
          <w:p w14:paraId="3837DF6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6.7</w:t>
            </w:r>
          </w:p>
        </w:tc>
        <w:tc>
          <w:tcPr>
            <w:tcW w:w="1276" w:type="dxa"/>
            <w:noWrap/>
            <w:hideMark/>
          </w:tcPr>
          <w:p w14:paraId="5281A7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115</w:t>
            </w:r>
          </w:p>
        </w:tc>
        <w:tc>
          <w:tcPr>
            <w:tcW w:w="1417" w:type="dxa"/>
            <w:noWrap/>
            <w:hideMark/>
          </w:tcPr>
          <w:p w14:paraId="530ECD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r>
      <w:tr w:rsidR="006716B4" w:rsidRPr="006716B4" w14:paraId="5AB514C6" w14:textId="77777777" w:rsidTr="001367E0">
        <w:tblPrEx>
          <w:tblCellMar>
            <w:left w:w="108" w:type="dxa"/>
            <w:right w:w="108" w:type="dxa"/>
          </w:tblCellMar>
        </w:tblPrEx>
        <w:trPr>
          <w:trHeight w:val="465"/>
        </w:trPr>
        <w:tc>
          <w:tcPr>
            <w:tcW w:w="737" w:type="dxa"/>
            <w:noWrap/>
            <w:hideMark/>
          </w:tcPr>
          <w:p w14:paraId="695E9BD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9922</w:t>
            </w:r>
          </w:p>
        </w:tc>
        <w:tc>
          <w:tcPr>
            <w:tcW w:w="1559" w:type="dxa"/>
            <w:noWrap/>
            <w:hideMark/>
          </w:tcPr>
          <w:p w14:paraId="6D8C7FB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Tweed Heads Public School</w:t>
            </w:r>
          </w:p>
        </w:tc>
        <w:tc>
          <w:tcPr>
            <w:tcW w:w="709" w:type="dxa"/>
            <w:noWrap/>
            <w:hideMark/>
          </w:tcPr>
          <w:p w14:paraId="420C3A5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A26F18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730D6E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560EB1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Stuart St</w:t>
            </w:r>
          </w:p>
        </w:tc>
        <w:tc>
          <w:tcPr>
            <w:tcW w:w="1134" w:type="dxa"/>
            <w:noWrap/>
            <w:hideMark/>
          </w:tcPr>
          <w:p w14:paraId="5226CC5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57AAF7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23.8</w:t>
            </w:r>
          </w:p>
        </w:tc>
        <w:tc>
          <w:tcPr>
            <w:tcW w:w="1134" w:type="dxa"/>
            <w:noWrap/>
            <w:hideMark/>
          </w:tcPr>
          <w:p w14:paraId="3EA9BA4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40.0</w:t>
            </w:r>
          </w:p>
        </w:tc>
        <w:tc>
          <w:tcPr>
            <w:tcW w:w="1134" w:type="dxa"/>
            <w:noWrap/>
            <w:hideMark/>
          </w:tcPr>
          <w:p w14:paraId="105CE88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752352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w:t>
            </w:r>
          </w:p>
        </w:tc>
        <w:tc>
          <w:tcPr>
            <w:tcW w:w="1417" w:type="dxa"/>
            <w:noWrap/>
            <w:hideMark/>
          </w:tcPr>
          <w:p w14:paraId="07CCE6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56F3595B" w14:textId="77777777" w:rsidTr="001367E0">
        <w:tblPrEx>
          <w:tblCellMar>
            <w:left w:w="108" w:type="dxa"/>
            <w:right w:w="108" w:type="dxa"/>
          </w:tblCellMar>
        </w:tblPrEx>
        <w:trPr>
          <w:trHeight w:val="465"/>
        </w:trPr>
        <w:tc>
          <w:tcPr>
            <w:tcW w:w="737" w:type="dxa"/>
            <w:noWrap/>
            <w:hideMark/>
          </w:tcPr>
          <w:p w14:paraId="6FEAC53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6475</w:t>
            </w:r>
          </w:p>
        </w:tc>
        <w:tc>
          <w:tcPr>
            <w:tcW w:w="1559" w:type="dxa"/>
            <w:noWrap/>
            <w:hideMark/>
          </w:tcPr>
          <w:p w14:paraId="1C9C042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Tweed River High School</w:t>
            </w:r>
          </w:p>
        </w:tc>
        <w:tc>
          <w:tcPr>
            <w:tcW w:w="709" w:type="dxa"/>
            <w:noWrap/>
            <w:hideMark/>
          </w:tcPr>
          <w:p w14:paraId="28572E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397D7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634463E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1B9CB4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 Heffron St</w:t>
            </w:r>
          </w:p>
        </w:tc>
        <w:tc>
          <w:tcPr>
            <w:tcW w:w="1134" w:type="dxa"/>
            <w:noWrap/>
            <w:hideMark/>
          </w:tcPr>
          <w:p w14:paraId="5FB8DA6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1A094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33.5</w:t>
            </w:r>
          </w:p>
        </w:tc>
        <w:tc>
          <w:tcPr>
            <w:tcW w:w="1134" w:type="dxa"/>
            <w:noWrap/>
            <w:hideMark/>
          </w:tcPr>
          <w:p w14:paraId="1860DF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61.5</w:t>
            </w:r>
          </w:p>
        </w:tc>
        <w:tc>
          <w:tcPr>
            <w:tcW w:w="1134" w:type="dxa"/>
            <w:noWrap/>
            <w:hideMark/>
          </w:tcPr>
          <w:p w14:paraId="5776C5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w:t>
            </w:r>
          </w:p>
        </w:tc>
        <w:tc>
          <w:tcPr>
            <w:tcW w:w="1276" w:type="dxa"/>
            <w:noWrap/>
            <w:hideMark/>
          </w:tcPr>
          <w:p w14:paraId="028EBC1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226</w:t>
            </w:r>
          </w:p>
        </w:tc>
        <w:tc>
          <w:tcPr>
            <w:tcW w:w="1417" w:type="dxa"/>
            <w:noWrap/>
            <w:hideMark/>
          </w:tcPr>
          <w:p w14:paraId="38D177F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w:t>
            </w:r>
          </w:p>
        </w:tc>
      </w:tr>
      <w:tr w:rsidR="006716B4" w:rsidRPr="006716B4" w14:paraId="7FE0F125" w14:textId="77777777" w:rsidTr="001367E0">
        <w:tblPrEx>
          <w:tblCellMar>
            <w:left w:w="108" w:type="dxa"/>
            <w:right w:w="108" w:type="dxa"/>
          </w:tblCellMar>
        </w:tblPrEx>
        <w:trPr>
          <w:trHeight w:val="465"/>
        </w:trPr>
        <w:tc>
          <w:tcPr>
            <w:tcW w:w="737" w:type="dxa"/>
            <w:noWrap/>
            <w:hideMark/>
          </w:tcPr>
          <w:p w14:paraId="50B7CBC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9395</w:t>
            </w:r>
          </w:p>
        </w:tc>
        <w:tc>
          <w:tcPr>
            <w:tcW w:w="1559" w:type="dxa"/>
            <w:noWrap/>
            <w:hideMark/>
          </w:tcPr>
          <w:p w14:paraId="361080D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Uralla Central School</w:t>
            </w:r>
          </w:p>
        </w:tc>
        <w:tc>
          <w:tcPr>
            <w:tcW w:w="709" w:type="dxa"/>
            <w:noWrap/>
            <w:hideMark/>
          </w:tcPr>
          <w:p w14:paraId="322B3D6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FE054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1C1539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7540C09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Park St</w:t>
            </w:r>
          </w:p>
        </w:tc>
        <w:tc>
          <w:tcPr>
            <w:tcW w:w="1134" w:type="dxa"/>
            <w:noWrap/>
            <w:hideMark/>
          </w:tcPr>
          <w:p w14:paraId="5029DB0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0C4FBA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34.6</w:t>
            </w:r>
          </w:p>
        </w:tc>
        <w:tc>
          <w:tcPr>
            <w:tcW w:w="1134" w:type="dxa"/>
            <w:noWrap/>
            <w:hideMark/>
          </w:tcPr>
          <w:p w14:paraId="4FF71A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29.4</w:t>
            </w:r>
          </w:p>
        </w:tc>
        <w:tc>
          <w:tcPr>
            <w:tcW w:w="1134" w:type="dxa"/>
            <w:noWrap/>
            <w:hideMark/>
          </w:tcPr>
          <w:p w14:paraId="55C14CE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5.3</w:t>
            </w:r>
          </w:p>
        </w:tc>
        <w:tc>
          <w:tcPr>
            <w:tcW w:w="1276" w:type="dxa"/>
            <w:noWrap/>
            <w:hideMark/>
          </w:tcPr>
          <w:p w14:paraId="73AF81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74</w:t>
            </w:r>
          </w:p>
        </w:tc>
        <w:tc>
          <w:tcPr>
            <w:tcW w:w="1417" w:type="dxa"/>
            <w:noWrap/>
            <w:hideMark/>
          </w:tcPr>
          <w:p w14:paraId="2F1626F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r>
      <w:tr w:rsidR="006716B4" w:rsidRPr="006716B4" w14:paraId="4706AFB7" w14:textId="77777777" w:rsidTr="001367E0">
        <w:tblPrEx>
          <w:tblCellMar>
            <w:left w:w="108" w:type="dxa"/>
            <w:right w:w="108" w:type="dxa"/>
          </w:tblCellMar>
        </w:tblPrEx>
        <w:trPr>
          <w:trHeight w:val="465"/>
        </w:trPr>
        <w:tc>
          <w:tcPr>
            <w:tcW w:w="737" w:type="dxa"/>
            <w:noWrap/>
            <w:hideMark/>
          </w:tcPr>
          <w:p w14:paraId="7390137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14663</w:t>
            </w:r>
          </w:p>
        </w:tc>
        <w:tc>
          <w:tcPr>
            <w:tcW w:w="1559" w:type="dxa"/>
            <w:noWrap/>
            <w:hideMark/>
          </w:tcPr>
          <w:p w14:paraId="7947EC8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Vincentia High School</w:t>
            </w:r>
          </w:p>
        </w:tc>
        <w:tc>
          <w:tcPr>
            <w:tcW w:w="709" w:type="dxa"/>
            <w:noWrap/>
            <w:hideMark/>
          </w:tcPr>
          <w:p w14:paraId="574A2D0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3AEE0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76F20DB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F04A3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The Wool Rd</w:t>
            </w:r>
          </w:p>
        </w:tc>
        <w:tc>
          <w:tcPr>
            <w:tcW w:w="1134" w:type="dxa"/>
            <w:noWrap/>
            <w:hideMark/>
          </w:tcPr>
          <w:p w14:paraId="2FF9DD5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FAD7C6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39.4</w:t>
            </w:r>
          </w:p>
        </w:tc>
        <w:tc>
          <w:tcPr>
            <w:tcW w:w="1134" w:type="dxa"/>
            <w:noWrap/>
            <w:hideMark/>
          </w:tcPr>
          <w:p w14:paraId="5D89F91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53.9</w:t>
            </w:r>
          </w:p>
        </w:tc>
        <w:tc>
          <w:tcPr>
            <w:tcW w:w="1134" w:type="dxa"/>
            <w:noWrap/>
            <w:hideMark/>
          </w:tcPr>
          <w:p w14:paraId="1125F5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4.3</w:t>
            </w:r>
          </w:p>
        </w:tc>
        <w:tc>
          <w:tcPr>
            <w:tcW w:w="1276" w:type="dxa"/>
            <w:noWrap/>
            <w:hideMark/>
          </w:tcPr>
          <w:p w14:paraId="785072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287</w:t>
            </w:r>
          </w:p>
        </w:tc>
        <w:tc>
          <w:tcPr>
            <w:tcW w:w="1417" w:type="dxa"/>
            <w:noWrap/>
            <w:hideMark/>
          </w:tcPr>
          <w:p w14:paraId="41391C7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48</w:t>
            </w:r>
          </w:p>
        </w:tc>
      </w:tr>
      <w:tr w:rsidR="006716B4" w:rsidRPr="006716B4" w14:paraId="6C71DF11" w14:textId="77777777" w:rsidTr="001367E0">
        <w:tblPrEx>
          <w:tblCellMar>
            <w:left w:w="108" w:type="dxa"/>
            <w:right w:w="108" w:type="dxa"/>
          </w:tblCellMar>
        </w:tblPrEx>
        <w:trPr>
          <w:trHeight w:val="465"/>
        </w:trPr>
        <w:tc>
          <w:tcPr>
            <w:tcW w:w="737" w:type="dxa"/>
            <w:noWrap/>
            <w:hideMark/>
          </w:tcPr>
          <w:p w14:paraId="668FE42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10787</w:t>
            </w:r>
          </w:p>
        </w:tc>
        <w:tc>
          <w:tcPr>
            <w:tcW w:w="1559" w:type="dxa"/>
            <w:noWrap/>
            <w:hideMark/>
          </w:tcPr>
          <w:p w14:paraId="3931BD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Vineyard Public School</w:t>
            </w:r>
          </w:p>
        </w:tc>
        <w:tc>
          <w:tcPr>
            <w:tcW w:w="709" w:type="dxa"/>
            <w:noWrap/>
            <w:hideMark/>
          </w:tcPr>
          <w:p w14:paraId="4447B26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D93F7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08EB52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DC8435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 Bandon Rd</w:t>
            </w:r>
          </w:p>
        </w:tc>
        <w:tc>
          <w:tcPr>
            <w:tcW w:w="1134" w:type="dxa"/>
            <w:noWrap/>
            <w:hideMark/>
          </w:tcPr>
          <w:p w14:paraId="06CCB7A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6AE4C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19.0</w:t>
            </w:r>
          </w:p>
        </w:tc>
        <w:tc>
          <w:tcPr>
            <w:tcW w:w="1134" w:type="dxa"/>
            <w:noWrap/>
            <w:hideMark/>
          </w:tcPr>
          <w:p w14:paraId="17BA75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6744A5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F99EC9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c>
          <w:tcPr>
            <w:tcW w:w="1417" w:type="dxa"/>
            <w:noWrap/>
            <w:hideMark/>
          </w:tcPr>
          <w:p w14:paraId="5F1610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79FF013A" w14:textId="77777777" w:rsidTr="001367E0">
        <w:tblPrEx>
          <w:tblCellMar>
            <w:left w:w="108" w:type="dxa"/>
            <w:right w:w="108" w:type="dxa"/>
          </w:tblCellMar>
        </w:tblPrEx>
        <w:trPr>
          <w:trHeight w:val="465"/>
        </w:trPr>
        <w:tc>
          <w:tcPr>
            <w:tcW w:w="737" w:type="dxa"/>
            <w:noWrap/>
            <w:hideMark/>
          </w:tcPr>
          <w:p w14:paraId="6787790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10547</w:t>
            </w:r>
          </w:p>
        </w:tc>
        <w:tc>
          <w:tcPr>
            <w:tcW w:w="1559" w:type="dxa"/>
            <w:noWrap/>
            <w:hideMark/>
          </w:tcPr>
          <w:p w14:paraId="533BB48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Wade High School</w:t>
            </w:r>
          </w:p>
        </w:tc>
        <w:tc>
          <w:tcPr>
            <w:tcW w:w="709" w:type="dxa"/>
            <w:noWrap/>
            <w:hideMark/>
          </w:tcPr>
          <w:p w14:paraId="3489597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43ADD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16200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7ABE30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1-39 Poole St</w:t>
            </w:r>
          </w:p>
        </w:tc>
        <w:tc>
          <w:tcPr>
            <w:tcW w:w="1134" w:type="dxa"/>
            <w:noWrap/>
            <w:hideMark/>
          </w:tcPr>
          <w:p w14:paraId="38326D9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1A3547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71EAF5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76.2</w:t>
            </w:r>
          </w:p>
        </w:tc>
        <w:tc>
          <w:tcPr>
            <w:tcW w:w="1134" w:type="dxa"/>
            <w:noWrap/>
            <w:hideMark/>
          </w:tcPr>
          <w:p w14:paraId="5DDCCF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w:t>
            </w:r>
          </w:p>
        </w:tc>
        <w:tc>
          <w:tcPr>
            <w:tcW w:w="1276" w:type="dxa"/>
            <w:noWrap/>
            <w:hideMark/>
          </w:tcPr>
          <w:p w14:paraId="7B0468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165</w:t>
            </w:r>
          </w:p>
        </w:tc>
        <w:tc>
          <w:tcPr>
            <w:tcW w:w="1417" w:type="dxa"/>
            <w:noWrap/>
            <w:hideMark/>
          </w:tcPr>
          <w:p w14:paraId="7332AC0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w:t>
            </w:r>
          </w:p>
        </w:tc>
      </w:tr>
      <w:tr w:rsidR="006716B4" w:rsidRPr="006716B4" w14:paraId="70914282" w14:textId="77777777" w:rsidTr="001367E0">
        <w:tblPrEx>
          <w:tblCellMar>
            <w:left w:w="108" w:type="dxa"/>
            <w:right w:w="108" w:type="dxa"/>
          </w:tblCellMar>
        </w:tblPrEx>
        <w:trPr>
          <w:trHeight w:val="465"/>
        </w:trPr>
        <w:tc>
          <w:tcPr>
            <w:tcW w:w="737" w:type="dxa"/>
            <w:noWrap/>
            <w:hideMark/>
          </w:tcPr>
          <w:p w14:paraId="46DF092D"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6439</w:t>
            </w:r>
          </w:p>
        </w:tc>
        <w:tc>
          <w:tcPr>
            <w:tcW w:w="1559" w:type="dxa"/>
            <w:noWrap/>
            <w:hideMark/>
          </w:tcPr>
          <w:p w14:paraId="756FEDF8"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Walcha Central School</w:t>
            </w:r>
          </w:p>
        </w:tc>
        <w:tc>
          <w:tcPr>
            <w:tcW w:w="709" w:type="dxa"/>
            <w:noWrap/>
            <w:hideMark/>
          </w:tcPr>
          <w:p w14:paraId="62092F23"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DEC</w:t>
            </w:r>
          </w:p>
        </w:tc>
        <w:tc>
          <w:tcPr>
            <w:tcW w:w="992" w:type="dxa"/>
            <w:noWrap/>
            <w:hideMark/>
          </w:tcPr>
          <w:p w14:paraId="15624F1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77803AF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0D62A58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154E North St</w:t>
            </w:r>
          </w:p>
        </w:tc>
        <w:tc>
          <w:tcPr>
            <w:tcW w:w="1134" w:type="dxa"/>
            <w:noWrap/>
            <w:hideMark/>
          </w:tcPr>
          <w:p w14:paraId="1C75859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391A46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38.7</w:t>
            </w:r>
          </w:p>
        </w:tc>
        <w:tc>
          <w:tcPr>
            <w:tcW w:w="1134" w:type="dxa"/>
            <w:noWrap/>
            <w:hideMark/>
          </w:tcPr>
          <w:p w14:paraId="655CDB0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53.3</w:t>
            </w:r>
          </w:p>
        </w:tc>
        <w:tc>
          <w:tcPr>
            <w:tcW w:w="1134" w:type="dxa"/>
            <w:noWrap/>
            <w:hideMark/>
          </w:tcPr>
          <w:p w14:paraId="364AC28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5.9</w:t>
            </w:r>
          </w:p>
        </w:tc>
        <w:tc>
          <w:tcPr>
            <w:tcW w:w="1276" w:type="dxa"/>
            <w:noWrap/>
            <w:hideMark/>
          </w:tcPr>
          <w:p w14:paraId="6D1596F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w:t>
            </w:r>
          </w:p>
        </w:tc>
        <w:tc>
          <w:tcPr>
            <w:tcW w:w="1417" w:type="dxa"/>
            <w:noWrap/>
            <w:hideMark/>
          </w:tcPr>
          <w:p w14:paraId="704DB7C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w:t>
            </w:r>
          </w:p>
        </w:tc>
      </w:tr>
      <w:tr w:rsidR="006716B4" w:rsidRPr="006716B4" w14:paraId="55A2A120" w14:textId="77777777" w:rsidTr="001367E0">
        <w:tblPrEx>
          <w:tblCellMar>
            <w:left w:w="108" w:type="dxa"/>
            <w:right w:w="108" w:type="dxa"/>
          </w:tblCellMar>
        </w:tblPrEx>
        <w:trPr>
          <w:trHeight w:val="465"/>
        </w:trPr>
        <w:tc>
          <w:tcPr>
            <w:tcW w:w="737" w:type="dxa"/>
            <w:noWrap/>
            <w:hideMark/>
          </w:tcPr>
          <w:p w14:paraId="0FB16BFE"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16643</w:t>
            </w:r>
          </w:p>
        </w:tc>
        <w:tc>
          <w:tcPr>
            <w:tcW w:w="1559" w:type="dxa"/>
            <w:noWrap/>
            <w:hideMark/>
          </w:tcPr>
          <w:p w14:paraId="24889F01"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Waldalba Community School</w:t>
            </w:r>
          </w:p>
        </w:tc>
        <w:tc>
          <w:tcPr>
            <w:tcW w:w="709" w:type="dxa"/>
            <w:noWrap/>
            <w:hideMark/>
          </w:tcPr>
          <w:p w14:paraId="2848B7E4" w14:textId="77777777" w:rsidR="006716B4" w:rsidRPr="00707DE9" w:rsidRDefault="006716B4" w:rsidP="006716B4">
            <w:pPr>
              <w:rPr>
                <w:rFonts w:eastAsia="Times New Roman" w:cs="Times New Roman"/>
                <w:sz w:val="18"/>
                <w:szCs w:val="18"/>
                <w:lang w:eastAsia="en-AU"/>
              </w:rPr>
            </w:pPr>
            <w:r w:rsidRPr="00707DE9">
              <w:rPr>
                <w:rFonts w:eastAsia="Times New Roman" w:cs="Times New Roman"/>
                <w:sz w:val="18"/>
                <w:szCs w:val="18"/>
                <w:lang w:eastAsia="en-AU"/>
              </w:rPr>
              <w:t>DEC</w:t>
            </w:r>
          </w:p>
        </w:tc>
        <w:tc>
          <w:tcPr>
            <w:tcW w:w="992" w:type="dxa"/>
            <w:noWrap/>
            <w:hideMark/>
          </w:tcPr>
          <w:p w14:paraId="08C36718" w14:textId="7E7E8F4F" w:rsidR="006716B4" w:rsidRPr="006716B4" w:rsidRDefault="00EA51A2" w:rsidP="006716B4">
            <w:pPr>
              <w:jc w:val="right"/>
              <w:rPr>
                <w:rFonts w:eastAsia="Times New Roman" w:cs="Times New Roman"/>
                <w:color w:val="000000"/>
                <w:sz w:val="18"/>
                <w:szCs w:val="18"/>
                <w:lang w:eastAsia="en-AU"/>
              </w:rPr>
            </w:pPr>
            <w:r>
              <w:rPr>
                <w:rFonts w:eastAsia="Times New Roman" w:cs="Times New Roman"/>
                <w:color w:val="000000"/>
                <w:sz w:val="18"/>
                <w:szCs w:val="18"/>
                <w:lang w:eastAsia="en-AU"/>
              </w:rPr>
              <w:t>1.1</w:t>
            </w:r>
          </w:p>
        </w:tc>
        <w:tc>
          <w:tcPr>
            <w:tcW w:w="1134" w:type="dxa"/>
            <w:noWrap/>
            <w:hideMark/>
          </w:tcPr>
          <w:p w14:paraId="4B56BF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59F25CFF" w14:textId="584CD883" w:rsidR="006716B4" w:rsidRPr="006716B4" w:rsidRDefault="00EA51A2" w:rsidP="006716B4">
            <w:pPr>
              <w:rPr>
                <w:rFonts w:eastAsia="Times New Roman" w:cs="Times New Roman"/>
                <w:color w:val="000000"/>
                <w:sz w:val="18"/>
                <w:szCs w:val="18"/>
                <w:lang w:eastAsia="en-AU"/>
              </w:rPr>
            </w:pPr>
            <w:r>
              <w:rPr>
                <w:rFonts w:eastAsia="Times New Roman" w:cs="Times New Roman"/>
                <w:color w:val="000000"/>
                <w:sz w:val="18"/>
                <w:szCs w:val="18"/>
                <w:lang w:eastAsia="en-AU"/>
              </w:rPr>
              <w:t>Van Strappen Rd</w:t>
            </w:r>
          </w:p>
        </w:tc>
        <w:tc>
          <w:tcPr>
            <w:tcW w:w="1134" w:type="dxa"/>
            <w:noWrap/>
            <w:hideMark/>
          </w:tcPr>
          <w:p w14:paraId="41E68F6F" w14:textId="77777777" w:rsidR="006716B4" w:rsidRPr="006716B4" w:rsidRDefault="006716B4" w:rsidP="006716B4">
            <w:pPr>
              <w:rPr>
                <w:rFonts w:eastAsia="Times New Roman" w:cs="Times New Roman"/>
                <w:color w:val="000000"/>
                <w:sz w:val="18"/>
                <w:szCs w:val="18"/>
                <w:lang w:eastAsia="en-AU"/>
              </w:rPr>
            </w:pPr>
          </w:p>
        </w:tc>
        <w:tc>
          <w:tcPr>
            <w:tcW w:w="1276" w:type="dxa"/>
            <w:noWrap/>
            <w:hideMark/>
          </w:tcPr>
          <w:p w14:paraId="45196546" w14:textId="1159882E" w:rsidR="006716B4" w:rsidRPr="006716B4" w:rsidRDefault="00F22701" w:rsidP="00F22701">
            <w:pPr>
              <w:jc w:val="right"/>
              <w:rPr>
                <w:rFonts w:eastAsia="Times New Roman" w:cs="Times New Roman"/>
                <w:color w:val="000000"/>
                <w:sz w:val="18"/>
                <w:szCs w:val="18"/>
                <w:lang w:eastAsia="en-AU"/>
              </w:rPr>
            </w:pPr>
            <w:r>
              <w:rPr>
                <w:rFonts w:eastAsia="Times New Roman" w:cs="Times New Roman"/>
                <w:color w:val="000000"/>
                <w:sz w:val="18"/>
                <w:szCs w:val="18"/>
                <w:lang w:eastAsia="en-AU"/>
              </w:rPr>
              <w:t>28.9</w:t>
            </w:r>
          </w:p>
        </w:tc>
        <w:tc>
          <w:tcPr>
            <w:tcW w:w="1134" w:type="dxa"/>
            <w:noWrap/>
            <w:hideMark/>
          </w:tcPr>
          <w:p w14:paraId="7A4F00FF" w14:textId="32CA08BB" w:rsidR="006716B4" w:rsidRPr="006716B4" w:rsidRDefault="00F22701" w:rsidP="00F22701">
            <w:pPr>
              <w:jc w:val="right"/>
              <w:rPr>
                <w:rFonts w:eastAsia="Times New Roman" w:cs="Times New Roman"/>
                <w:color w:val="000000"/>
                <w:sz w:val="18"/>
                <w:szCs w:val="18"/>
                <w:lang w:eastAsia="en-AU"/>
              </w:rPr>
            </w:pPr>
            <w:r>
              <w:rPr>
                <w:rFonts w:eastAsia="Times New Roman" w:cs="Times New Roman"/>
                <w:color w:val="000000"/>
                <w:sz w:val="18"/>
                <w:szCs w:val="18"/>
                <w:lang w:eastAsia="en-AU"/>
              </w:rPr>
              <w:t>45.6</w:t>
            </w:r>
          </w:p>
        </w:tc>
        <w:tc>
          <w:tcPr>
            <w:tcW w:w="1134" w:type="dxa"/>
            <w:noWrap/>
            <w:hideMark/>
          </w:tcPr>
          <w:p w14:paraId="43E63D48" w14:textId="0BBDB45F" w:rsidR="006716B4" w:rsidRPr="006716B4" w:rsidRDefault="00F22701" w:rsidP="00F22701">
            <w:pPr>
              <w:jc w:val="right"/>
              <w:rPr>
                <w:rFonts w:eastAsia="Times New Roman" w:cs="Times New Roman"/>
                <w:color w:val="000000"/>
                <w:sz w:val="18"/>
                <w:szCs w:val="18"/>
                <w:lang w:eastAsia="en-AU"/>
              </w:rPr>
            </w:pPr>
            <w:r>
              <w:rPr>
                <w:rFonts w:eastAsia="Times New Roman" w:cs="Times New Roman"/>
                <w:color w:val="000000"/>
                <w:sz w:val="18"/>
                <w:szCs w:val="18"/>
                <w:lang w:eastAsia="en-AU"/>
              </w:rPr>
              <w:t>8.1</w:t>
            </w:r>
          </w:p>
        </w:tc>
        <w:tc>
          <w:tcPr>
            <w:tcW w:w="1276" w:type="dxa"/>
            <w:noWrap/>
            <w:hideMark/>
          </w:tcPr>
          <w:p w14:paraId="72C9DCBA" w14:textId="07BD4A1A" w:rsidR="006716B4" w:rsidRPr="006716B4" w:rsidRDefault="00F22701" w:rsidP="00F22701">
            <w:pPr>
              <w:jc w:val="right"/>
              <w:rPr>
                <w:rFonts w:eastAsia="Times New Roman" w:cs="Times New Roman"/>
                <w:color w:val="000000"/>
                <w:sz w:val="18"/>
                <w:szCs w:val="18"/>
                <w:lang w:eastAsia="en-AU"/>
              </w:rPr>
            </w:pPr>
            <w:r>
              <w:rPr>
                <w:rFonts w:eastAsia="Times New Roman" w:cs="Times New Roman"/>
                <w:color w:val="000000"/>
                <w:sz w:val="18"/>
                <w:szCs w:val="18"/>
                <w:lang w:eastAsia="en-AU"/>
              </w:rPr>
              <w:t>255</w:t>
            </w:r>
          </w:p>
        </w:tc>
        <w:tc>
          <w:tcPr>
            <w:tcW w:w="1417" w:type="dxa"/>
            <w:noWrap/>
            <w:hideMark/>
          </w:tcPr>
          <w:p w14:paraId="4525C926" w14:textId="03D073A8" w:rsidR="006716B4" w:rsidRPr="006716B4" w:rsidRDefault="00F22701" w:rsidP="00F22701">
            <w:pPr>
              <w:jc w:val="right"/>
              <w:rPr>
                <w:rFonts w:eastAsia="Times New Roman" w:cs="Times New Roman"/>
                <w:color w:val="000000"/>
                <w:sz w:val="18"/>
                <w:szCs w:val="18"/>
                <w:lang w:eastAsia="en-AU"/>
              </w:rPr>
            </w:pPr>
            <w:r>
              <w:rPr>
                <w:rFonts w:eastAsia="Times New Roman" w:cs="Times New Roman"/>
                <w:color w:val="000000"/>
                <w:sz w:val="18"/>
                <w:szCs w:val="18"/>
                <w:lang w:eastAsia="en-AU"/>
              </w:rPr>
              <w:t>26</w:t>
            </w:r>
          </w:p>
        </w:tc>
      </w:tr>
      <w:tr w:rsidR="006716B4" w:rsidRPr="006716B4" w14:paraId="77CDB76B" w14:textId="77777777" w:rsidTr="001367E0">
        <w:tblPrEx>
          <w:tblCellMar>
            <w:left w:w="108" w:type="dxa"/>
            <w:right w:w="108" w:type="dxa"/>
          </w:tblCellMar>
        </w:tblPrEx>
        <w:trPr>
          <w:trHeight w:val="465"/>
        </w:trPr>
        <w:tc>
          <w:tcPr>
            <w:tcW w:w="737" w:type="dxa"/>
            <w:noWrap/>
            <w:hideMark/>
          </w:tcPr>
          <w:p w14:paraId="5B0C3F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10512</w:t>
            </w:r>
          </w:p>
        </w:tc>
        <w:tc>
          <w:tcPr>
            <w:tcW w:w="1559" w:type="dxa"/>
            <w:noWrap/>
            <w:hideMark/>
          </w:tcPr>
          <w:p w14:paraId="7FDFEF5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Walla Walla Public School</w:t>
            </w:r>
          </w:p>
        </w:tc>
        <w:tc>
          <w:tcPr>
            <w:tcW w:w="709" w:type="dxa"/>
            <w:noWrap/>
            <w:hideMark/>
          </w:tcPr>
          <w:p w14:paraId="4CEEE36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397DD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741C892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5C75A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Commercial St</w:t>
            </w:r>
          </w:p>
        </w:tc>
        <w:tc>
          <w:tcPr>
            <w:tcW w:w="1134" w:type="dxa"/>
            <w:noWrap/>
            <w:hideMark/>
          </w:tcPr>
          <w:p w14:paraId="4BE1911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7884F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29.2</w:t>
            </w:r>
          </w:p>
        </w:tc>
        <w:tc>
          <w:tcPr>
            <w:tcW w:w="1134" w:type="dxa"/>
            <w:noWrap/>
            <w:hideMark/>
          </w:tcPr>
          <w:p w14:paraId="33620FB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54020B1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D6F63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c>
          <w:tcPr>
            <w:tcW w:w="1417" w:type="dxa"/>
            <w:noWrap/>
            <w:hideMark/>
          </w:tcPr>
          <w:p w14:paraId="6543DEF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6AB8CDAF" w14:textId="77777777" w:rsidTr="001367E0">
        <w:tblPrEx>
          <w:tblCellMar>
            <w:left w:w="108" w:type="dxa"/>
            <w:right w:w="108" w:type="dxa"/>
          </w:tblCellMar>
        </w:tblPrEx>
        <w:trPr>
          <w:trHeight w:val="465"/>
        </w:trPr>
        <w:tc>
          <w:tcPr>
            <w:tcW w:w="737" w:type="dxa"/>
            <w:noWrap/>
            <w:hideMark/>
          </w:tcPr>
          <w:p w14:paraId="2A02703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15108</w:t>
            </w:r>
          </w:p>
        </w:tc>
        <w:tc>
          <w:tcPr>
            <w:tcW w:w="1559" w:type="dxa"/>
            <w:noWrap/>
            <w:hideMark/>
          </w:tcPr>
          <w:p w14:paraId="3A97E0D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Walters Road Public School</w:t>
            </w:r>
          </w:p>
        </w:tc>
        <w:tc>
          <w:tcPr>
            <w:tcW w:w="709" w:type="dxa"/>
            <w:noWrap/>
            <w:hideMark/>
          </w:tcPr>
          <w:p w14:paraId="6F99A9C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512A23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6E6D6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0BFCC5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158 Walters Rd</w:t>
            </w:r>
          </w:p>
        </w:tc>
        <w:tc>
          <w:tcPr>
            <w:tcW w:w="1134" w:type="dxa"/>
            <w:noWrap/>
            <w:hideMark/>
          </w:tcPr>
          <w:p w14:paraId="190EBE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5BF99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23.1</w:t>
            </w:r>
          </w:p>
        </w:tc>
        <w:tc>
          <w:tcPr>
            <w:tcW w:w="1134" w:type="dxa"/>
            <w:noWrap/>
            <w:hideMark/>
          </w:tcPr>
          <w:p w14:paraId="026E23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35.7</w:t>
            </w:r>
          </w:p>
        </w:tc>
        <w:tc>
          <w:tcPr>
            <w:tcW w:w="1134" w:type="dxa"/>
            <w:noWrap/>
            <w:hideMark/>
          </w:tcPr>
          <w:p w14:paraId="56558A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12.5</w:t>
            </w:r>
          </w:p>
        </w:tc>
        <w:tc>
          <w:tcPr>
            <w:tcW w:w="1276" w:type="dxa"/>
            <w:noWrap/>
            <w:hideMark/>
          </w:tcPr>
          <w:p w14:paraId="2AA5601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w:t>
            </w:r>
          </w:p>
        </w:tc>
        <w:tc>
          <w:tcPr>
            <w:tcW w:w="1417" w:type="dxa"/>
            <w:noWrap/>
            <w:hideMark/>
          </w:tcPr>
          <w:p w14:paraId="25633A1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254DEC3A" w14:textId="77777777" w:rsidTr="001367E0">
        <w:tblPrEx>
          <w:tblCellMar>
            <w:left w:w="108" w:type="dxa"/>
            <w:right w:w="108" w:type="dxa"/>
          </w:tblCellMar>
        </w:tblPrEx>
        <w:trPr>
          <w:trHeight w:val="465"/>
        </w:trPr>
        <w:tc>
          <w:tcPr>
            <w:tcW w:w="737" w:type="dxa"/>
            <w:noWrap/>
            <w:hideMark/>
          </w:tcPr>
          <w:p w14:paraId="4EB7B5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9505</w:t>
            </w:r>
          </w:p>
        </w:tc>
        <w:tc>
          <w:tcPr>
            <w:tcW w:w="1559" w:type="dxa"/>
            <w:noWrap/>
            <w:hideMark/>
          </w:tcPr>
          <w:p w14:paraId="78B6E96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Warialda Public School</w:t>
            </w:r>
          </w:p>
        </w:tc>
        <w:tc>
          <w:tcPr>
            <w:tcW w:w="709" w:type="dxa"/>
            <w:noWrap/>
            <w:hideMark/>
          </w:tcPr>
          <w:p w14:paraId="1C26504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4E3289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1998C61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4F3C0F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Hope St</w:t>
            </w:r>
          </w:p>
        </w:tc>
        <w:tc>
          <w:tcPr>
            <w:tcW w:w="1134" w:type="dxa"/>
            <w:noWrap/>
            <w:hideMark/>
          </w:tcPr>
          <w:p w14:paraId="663E731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04D1E50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21.3</w:t>
            </w:r>
          </w:p>
        </w:tc>
        <w:tc>
          <w:tcPr>
            <w:tcW w:w="1134" w:type="dxa"/>
            <w:noWrap/>
            <w:hideMark/>
          </w:tcPr>
          <w:p w14:paraId="034C868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29D0BC7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7DBAE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c>
          <w:tcPr>
            <w:tcW w:w="1417" w:type="dxa"/>
            <w:noWrap/>
            <w:hideMark/>
          </w:tcPr>
          <w:p w14:paraId="51C8F4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25FC0821" w14:textId="77777777" w:rsidTr="001367E0">
        <w:tblPrEx>
          <w:tblCellMar>
            <w:left w:w="108" w:type="dxa"/>
            <w:right w:w="108" w:type="dxa"/>
          </w:tblCellMar>
        </w:tblPrEx>
        <w:trPr>
          <w:trHeight w:val="465"/>
        </w:trPr>
        <w:tc>
          <w:tcPr>
            <w:tcW w:w="737" w:type="dxa"/>
            <w:noWrap/>
            <w:hideMark/>
          </w:tcPr>
          <w:p w14:paraId="396C256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6503</w:t>
            </w:r>
          </w:p>
        </w:tc>
        <w:tc>
          <w:tcPr>
            <w:tcW w:w="1559" w:type="dxa"/>
            <w:noWrap/>
            <w:hideMark/>
          </w:tcPr>
          <w:p w14:paraId="04E4442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Warilla High School</w:t>
            </w:r>
          </w:p>
        </w:tc>
        <w:tc>
          <w:tcPr>
            <w:tcW w:w="709" w:type="dxa"/>
            <w:noWrap/>
            <w:hideMark/>
          </w:tcPr>
          <w:p w14:paraId="441659B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87B9B8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2909E3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B7BE38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Keross Ave</w:t>
            </w:r>
          </w:p>
        </w:tc>
        <w:tc>
          <w:tcPr>
            <w:tcW w:w="1134" w:type="dxa"/>
            <w:noWrap/>
            <w:hideMark/>
          </w:tcPr>
          <w:p w14:paraId="5AD4BFF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2ED4F4E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34.3</w:t>
            </w:r>
          </w:p>
        </w:tc>
        <w:tc>
          <w:tcPr>
            <w:tcW w:w="1134" w:type="dxa"/>
            <w:noWrap/>
            <w:hideMark/>
          </w:tcPr>
          <w:p w14:paraId="3AC3B5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60.0</w:t>
            </w:r>
          </w:p>
        </w:tc>
        <w:tc>
          <w:tcPr>
            <w:tcW w:w="1134" w:type="dxa"/>
            <w:noWrap/>
            <w:hideMark/>
          </w:tcPr>
          <w:p w14:paraId="011043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9.4</w:t>
            </w:r>
          </w:p>
        </w:tc>
        <w:tc>
          <w:tcPr>
            <w:tcW w:w="1276" w:type="dxa"/>
            <w:noWrap/>
            <w:hideMark/>
          </w:tcPr>
          <w:p w14:paraId="680B21A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280</w:t>
            </w:r>
          </w:p>
        </w:tc>
        <w:tc>
          <w:tcPr>
            <w:tcW w:w="1417" w:type="dxa"/>
            <w:noWrap/>
            <w:hideMark/>
          </w:tcPr>
          <w:p w14:paraId="0E1711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w:t>
            </w:r>
          </w:p>
        </w:tc>
      </w:tr>
      <w:tr w:rsidR="006716B4" w:rsidRPr="006716B4" w14:paraId="2D77CFB0" w14:textId="77777777" w:rsidTr="001367E0">
        <w:tblPrEx>
          <w:tblCellMar>
            <w:left w:w="108" w:type="dxa"/>
            <w:right w:w="108" w:type="dxa"/>
          </w:tblCellMar>
        </w:tblPrEx>
        <w:trPr>
          <w:trHeight w:val="465"/>
        </w:trPr>
        <w:tc>
          <w:tcPr>
            <w:tcW w:w="737" w:type="dxa"/>
            <w:noWrap/>
            <w:hideMark/>
          </w:tcPr>
          <w:p w14:paraId="50D0A6B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10031</w:t>
            </w:r>
          </w:p>
        </w:tc>
        <w:tc>
          <w:tcPr>
            <w:tcW w:w="1559" w:type="dxa"/>
            <w:noWrap/>
            <w:hideMark/>
          </w:tcPr>
          <w:p w14:paraId="6F98945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Warilla Public School</w:t>
            </w:r>
          </w:p>
        </w:tc>
        <w:tc>
          <w:tcPr>
            <w:tcW w:w="709" w:type="dxa"/>
            <w:noWrap/>
            <w:hideMark/>
          </w:tcPr>
          <w:p w14:paraId="4B7EDF7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D4F8B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4F9E31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2D263A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Leawarra Ave</w:t>
            </w:r>
          </w:p>
        </w:tc>
        <w:tc>
          <w:tcPr>
            <w:tcW w:w="1134" w:type="dxa"/>
            <w:noWrap/>
            <w:hideMark/>
          </w:tcPr>
          <w:p w14:paraId="5C457C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0D624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27.7</w:t>
            </w:r>
          </w:p>
        </w:tc>
        <w:tc>
          <w:tcPr>
            <w:tcW w:w="1134" w:type="dxa"/>
            <w:noWrap/>
            <w:hideMark/>
          </w:tcPr>
          <w:p w14:paraId="6239BD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42.9</w:t>
            </w:r>
          </w:p>
        </w:tc>
        <w:tc>
          <w:tcPr>
            <w:tcW w:w="1134" w:type="dxa"/>
            <w:noWrap/>
            <w:hideMark/>
          </w:tcPr>
          <w:p w14:paraId="5C19B45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1294D0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w:t>
            </w:r>
          </w:p>
        </w:tc>
        <w:tc>
          <w:tcPr>
            <w:tcW w:w="1417" w:type="dxa"/>
            <w:noWrap/>
            <w:hideMark/>
          </w:tcPr>
          <w:p w14:paraId="087C8E9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68D92BDE" w14:textId="77777777" w:rsidTr="001367E0">
        <w:tblPrEx>
          <w:tblCellMar>
            <w:left w:w="108" w:type="dxa"/>
            <w:right w:w="108" w:type="dxa"/>
          </w:tblCellMar>
        </w:tblPrEx>
        <w:trPr>
          <w:trHeight w:val="465"/>
        </w:trPr>
        <w:tc>
          <w:tcPr>
            <w:tcW w:w="737" w:type="dxa"/>
            <w:noWrap/>
            <w:hideMark/>
          </w:tcPr>
          <w:p w14:paraId="686764A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8961</w:t>
            </w:r>
          </w:p>
        </w:tc>
        <w:tc>
          <w:tcPr>
            <w:tcW w:w="1559" w:type="dxa"/>
            <w:noWrap/>
            <w:hideMark/>
          </w:tcPr>
          <w:p w14:paraId="618E6DE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Warners Bay High School</w:t>
            </w:r>
          </w:p>
        </w:tc>
        <w:tc>
          <w:tcPr>
            <w:tcW w:w="709" w:type="dxa"/>
            <w:noWrap/>
            <w:hideMark/>
          </w:tcPr>
          <w:p w14:paraId="301C33E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500FD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520D524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641B935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 Myles Ave</w:t>
            </w:r>
          </w:p>
        </w:tc>
        <w:tc>
          <w:tcPr>
            <w:tcW w:w="1134" w:type="dxa"/>
            <w:noWrap/>
            <w:hideMark/>
          </w:tcPr>
          <w:p w14:paraId="10F0470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6CE08F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17.4</w:t>
            </w:r>
          </w:p>
        </w:tc>
        <w:tc>
          <w:tcPr>
            <w:tcW w:w="1134" w:type="dxa"/>
            <w:noWrap/>
            <w:hideMark/>
          </w:tcPr>
          <w:p w14:paraId="7DDC236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0147569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8D120B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162</w:t>
            </w:r>
          </w:p>
        </w:tc>
        <w:tc>
          <w:tcPr>
            <w:tcW w:w="1417" w:type="dxa"/>
            <w:noWrap/>
            <w:hideMark/>
          </w:tcPr>
          <w:p w14:paraId="79E1DC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6716B4" w:rsidRPr="006716B4" w14:paraId="122692E7" w14:textId="77777777" w:rsidTr="001367E0">
        <w:tblPrEx>
          <w:tblCellMar>
            <w:left w:w="108" w:type="dxa"/>
            <w:right w:w="108" w:type="dxa"/>
          </w:tblCellMar>
        </w:tblPrEx>
        <w:trPr>
          <w:trHeight w:val="465"/>
        </w:trPr>
        <w:tc>
          <w:tcPr>
            <w:tcW w:w="737" w:type="dxa"/>
            <w:noWrap/>
            <w:hideMark/>
          </w:tcPr>
          <w:p w14:paraId="6E74C7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8581</w:t>
            </w:r>
          </w:p>
        </w:tc>
        <w:tc>
          <w:tcPr>
            <w:tcW w:w="1559" w:type="dxa"/>
            <w:noWrap/>
            <w:hideMark/>
          </w:tcPr>
          <w:p w14:paraId="1128A3F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Wattawa Heights Public School</w:t>
            </w:r>
          </w:p>
        </w:tc>
        <w:tc>
          <w:tcPr>
            <w:tcW w:w="709" w:type="dxa"/>
            <w:noWrap/>
            <w:hideMark/>
          </w:tcPr>
          <w:p w14:paraId="5F2785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A4173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BF614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A79C4A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The Avenue</w:t>
            </w:r>
          </w:p>
        </w:tc>
        <w:tc>
          <w:tcPr>
            <w:tcW w:w="1134" w:type="dxa"/>
            <w:noWrap/>
            <w:hideMark/>
          </w:tcPr>
          <w:p w14:paraId="2C792F1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00FDCF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3B9CF3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0F3A4F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AFBA7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w:t>
            </w:r>
          </w:p>
        </w:tc>
        <w:tc>
          <w:tcPr>
            <w:tcW w:w="1417" w:type="dxa"/>
            <w:noWrap/>
            <w:hideMark/>
          </w:tcPr>
          <w:p w14:paraId="3348FD3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5E9828D2" w14:textId="77777777" w:rsidTr="001367E0">
        <w:tblPrEx>
          <w:tblCellMar>
            <w:left w:w="108" w:type="dxa"/>
            <w:right w:w="108" w:type="dxa"/>
          </w:tblCellMar>
        </w:tblPrEx>
        <w:trPr>
          <w:trHeight w:val="465"/>
        </w:trPr>
        <w:tc>
          <w:tcPr>
            <w:tcW w:w="737" w:type="dxa"/>
            <w:noWrap/>
            <w:hideMark/>
          </w:tcPr>
          <w:p w14:paraId="6CDE67A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6365</w:t>
            </w:r>
          </w:p>
        </w:tc>
        <w:tc>
          <w:tcPr>
            <w:tcW w:w="1559" w:type="dxa"/>
            <w:noWrap/>
            <w:hideMark/>
          </w:tcPr>
          <w:p w14:paraId="2B3C6E2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Wauchope High School</w:t>
            </w:r>
          </w:p>
        </w:tc>
        <w:tc>
          <w:tcPr>
            <w:tcW w:w="709" w:type="dxa"/>
            <w:noWrap/>
            <w:hideMark/>
          </w:tcPr>
          <w:p w14:paraId="485AB63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B0E4DD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4ECC87A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77D9A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Nelson St</w:t>
            </w:r>
          </w:p>
        </w:tc>
        <w:tc>
          <w:tcPr>
            <w:tcW w:w="1134" w:type="dxa"/>
            <w:noWrap/>
            <w:hideMark/>
          </w:tcPr>
          <w:p w14:paraId="48901E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BEC9F1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31.6</w:t>
            </w:r>
          </w:p>
        </w:tc>
        <w:tc>
          <w:tcPr>
            <w:tcW w:w="1134" w:type="dxa"/>
            <w:noWrap/>
            <w:hideMark/>
          </w:tcPr>
          <w:p w14:paraId="1F9FADC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57.9</w:t>
            </w:r>
          </w:p>
        </w:tc>
        <w:tc>
          <w:tcPr>
            <w:tcW w:w="1134" w:type="dxa"/>
            <w:noWrap/>
            <w:hideMark/>
          </w:tcPr>
          <w:p w14:paraId="4BDAEA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13.6</w:t>
            </w:r>
          </w:p>
        </w:tc>
        <w:tc>
          <w:tcPr>
            <w:tcW w:w="1276" w:type="dxa"/>
            <w:noWrap/>
            <w:hideMark/>
          </w:tcPr>
          <w:p w14:paraId="2874AB4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130</w:t>
            </w:r>
          </w:p>
        </w:tc>
        <w:tc>
          <w:tcPr>
            <w:tcW w:w="1417" w:type="dxa"/>
            <w:noWrap/>
            <w:hideMark/>
          </w:tcPr>
          <w:p w14:paraId="1EDB4F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w:t>
            </w:r>
          </w:p>
        </w:tc>
      </w:tr>
      <w:tr w:rsidR="006716B4" w:rsidRPr="006716B4" w14:paraId="1D033A02" w14:textId="77777777" w:rsidTr="001367E0">
        <w:tblPrEx>
          <w:tblCellMar>
            <w:left w:w="108" w:type="dxa"/>
            <w:right w:w="108" w:type="dxa"/>
          </w:tblCellMar>
        </w:tblPrEx>
        <w:trPr>
          <w:trHeight w:val="465"/>
        </w:trPr>
        <w:tc>
          <w:tcPr>
            <w:tcW w:w="737" w:type="dxa"/>
            <w:noWrap/>
            <w:hideMark/>
          </w:tcPr>
          <w:p w14:paraId="0E62FBE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10776</w:t>
            </w:r>
          </w:p>
        </w:tc>
        <w:tc>
          <w:tcPr>
            <w:tcW w:w="1559" w:type="dxa"/>
            <w:noWrap/>
            <w:hideMark/>
          </w:tcPr>
          <w:p w14:paraId="06675B5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Werrington County Public School</w:t>
            </w:r>
          </w:p>
        </w:tc>
        <w:tc>
          <w:tcPr>
            <w:tcW w:w="709" w:type="dxa"/>
            <w:noWrap/>
            <w:hideMark/>
          </w:tcPr>
          <w:p w14:paraId="4627BA7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D2991B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EC716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6A6005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John Batman Ave</w:t>
            </w:r>
          </w:p>
        </w:tc>
        <w:tc>
          <w:tcPr>
            <w:tcW w:w="1134" w:type="dxa"/>
            <w:noWrap/>
            <w:hideMark/>
          </w:tcPr>
          <w:p w14:paraId="5968AB2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F79E5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30.7</w:t>
            </w:r>
          </w:p>
        </w:tc>
        <w:tc>
          <w:tcPr>
            <w:tcW w:w="1134" w:type="dxa"/>
            <w:noWrap/>
            <w:hideMark/>
          </w:tcPr>
          <w:p w14:paraId="2263A20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37.5</w:t>
            </w:r>
          </w:p>
        </w:tc>
        <w:tc>
          <w:tcPr>
            <w:tcW w:w="1134" w:type="dxa"/>
            <w:noWrap/>
            <w:hideMark/>
          </w:tcPr>
          <w:p w14:paraId="634AA9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249E32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w:t>
            </w:r>
          </w:p>
        </w:tc>
        <w:tc>
          <w:tcPr>
            <w:tcW w:w="1417" w:type="dxa"/>
            <w:noWrap/>
            <w:hideMark/>
          </w:tcPr>
          <w:p w14:paraId="279BBF3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47FCF74B" w14:textId="77777777" w:rsidTr="001367E0">
        <w:tblPrEx>
          <w:tblCellMar>
            <w:left w:w="108" w:type="dxa"/>
            <w:right w:w="108" w:type="dxa"/>
          </w:tblCellMar>
        </w:tblPrEx>
        <w:trPr>
          <w:trHeight w:val="465"/>
        </w:trPr>
        <w:tc>
          <w:tcPr>
            <w:tcW w:w="737" w:type="dxa"/>
            <w:noWrap/>
            <w:hideMark/>
          </w:tcPr>
          <w:p w14:paraId="1FD52BD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10777</w:t>
            </w:r>
          </w:p>
        </w:tc>
        <w:tc>
          <w:tcPr>
            <w:tcW w:w="1559" w:type="dxa"/>
            <w:noWrap/>
            <w:hideMark/>
          </w:tcPr>
          <w:p w14:paraId="4FFF3A5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Werrington Public School</w:t>
            </w:r>
          </w:p>
        </w:tc>
        <w:tc>
          <w:tcPr>
            <w:tcW w:w="709" w:type="dxa"/>
            <w:noWrap/>
            <w:hideMark/>
          </w:tcPr>
          <w:p w14:paraId="0D6DB25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45E5B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2FACF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AF1612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Heavey St</w:t>
            </w:r>
          </w:p>
        </w:tc>
        <w:tc>
          <w:tcPr>
            <w:tcW w:w="1134" w:type="dxa"/>
            <w:noWrap/>
            <w:hideMark/>
          </w:tcPr>
          <w:p w14:paraId="3928C42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BF9BB5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28.9</w:t>
            </w:r>
          </w:p>
        </w:tc>
        <w:tc>
          <w:tcPr>
            <w:tcW w:w="1134" w:type="dxa"/>
            <w:noWrap/>
            <w:hideMark/>
          </w:tcPr>
          <w:p w14:paraId="669615F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26D642B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276" w:type="dxa"/>
            <w:noWrap/>
            <w:hideMark/>
          </w:tcPr>
          <w:p w14:paraId="04CAE62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w:t>
            </w:r>
          </w:p>
        </w:tc>
        <w:tc>
          <w:tcPr>
            <w:tcW w:w="1417" w:type="dxa"/>
            <w:noWrap/>
            <w:hideMark/>
          </w:tcPr>
          <w:p w14:paraId="76EB9D4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1C2ABC81" w14:textId="77777777" w:rsidTr="001367E0">
        <w:tblPrEx>
          <w:tblCellMar>
            <w:left w:w="108" w:type="dxa"/>
            <w:right w:w="108" w:type="dxa"/>
          </w:tblCellMar>
        </w:tblPrEx>
        <w:trPr>
          <w:trHeight w:val="465"/>
        </w:trPr>
        <w:tc>
          <w:tcPr>
            <w:tcW w:w="737" w:type="dxa"/>
            <w:noWrap/>
            <w:hideMark/>
          </w:tcPr>
          <w:p w14:paraId="4EA7DDE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6442</w:t>
            </w:r>
          </w:p>
        </w:tc>
        <w:tc>
          <w:tcPr>
            <w:tcW w:w="1559" w:type="dxa"/>
            <w:noWrap/>
            <w:hideMark/>
          </w:tcPr>
          <w:p w14:paraId="18F9933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West Wallsend High School</w:t>
            </w:r>
          </w:p>
        </w:tc>
        <w:tc>
          <w:tcPr>
            <w:tcW w:w="709" w:type="dxa"/>
            <w:noWrap/>
            <w:hideMark/>
          </w:tcPr>
          <w:p w14:paraId="399218D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4D1061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51E298F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7D12E69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 Appletree Rd</w:t>
            </w:r>
          </w:p>
        </w:tc>
        <w:tc>
          <w:tcPr>
            <w:tcW w:w="1134" w:type="dxa"/>
            <w:noWrap/>
            <w:hideMark/>
          </w:tcPr>
          <w:p w14:paraId="592504C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C35ED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39.9</w:t>
            </w:r>
          </w:p>
        </w:tc>
        <w:tc>
          <w:tcPr>
            <w:tcW w:w="1134" w:type="dxa"/>
            <w:noWrap/>
            <w:hideMark/>
          </w:tcPr>
          <w:p w14:paraId="3BD7283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87.0</w:t>
            </w:r>
          </w:p>
        </w:tc>
        <w:tc>
          <w:tcPr>
            <w:tcW w:w="1134" w:type="dxa"/>
            <w:noWrap/>
            <w:hideMark/>
          </w:tcPr>
          <w:p w14:paraId="482D966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14.3</w:t>
            </w:r>
          </w:p>
        </w:tc>
        <w:tc>
          <w:tcPr>
            <w:tcW w:w="1276" w:type="dxa"/>
            <w:noWrap/>
            <w:hideMark/>
          </w:tcPr>
          <w:p w14:paraId="17F097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158</w:t>
            </w:r>
          </w:p>
        </w:tc>
        <w:tc>
          <w:tcPr>
            <w:tcW w:w="1417" w:type="dxa"/>
            <w:noWrap/>
            <w:hideMark/>
          </w:tcPr>
          <w:p w14:paraId="03DEFA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20</w:t>
            </w:r>
          </w:p>
        </w:tc>
      </w:tr>
      <w:tr w:rsidR="006716B4" w:rsidRPr="006716B4" w14:paraId="25D4B370" w14:textId="77777777" w:rsidTr="001367E0">
        <w:tblPrEx>
          <w:tblCellMar>
            <w:left w:w="108" w:type="dxa"/>
            <w:right w:w="108" w:type="dxa"/>
          </w:tblCellMar>
        </w:tblPrEx>
        <w:trPr>
          <w:trHeight w:val="465"/>
        </w:trPr>
        <w:tc>
          <w:tcPr>
            <w:tcW w:w="737" w:type="dxa"/>
            <w:noWrap/>
            <w:hideMark/>
          </w:tcPr>
          <w:p w14:paraId="2E8E72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9017</w:t>
            </w:r>
          </w:p>
        </w:tc>
        <w:tc>
          <w:tcPr>
            <w:tcW w:w="1559" w:type="dxa"/>
            <w:noWrap/>
            <w:hideMark/>
          </w:tcPr>
          <w:p w14:paraId="29BE6BC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West Wallsend Public School</w:t>
            </w:r>
          </w:p>
        </w:tc>
        <w:tc>
          <w:tcPr>
            <w:tcW w:w="709" w:type="dxa"/>
            <w:noWrap/>
            <w:hideMark/>
          </w:tcPr>
          <w:p w14:paraId="093AA0A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9328A0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12E4FF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62DF24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Brown St</w:t>
            </w:r>
          </w:p>
        </w:tc>
        <w:tc>
          <w:tcPr>
            <w:tcW w:w="1134" w:type="dxa"/>
            <w:noWrap/>
            <w:hideMark/>
          </w:tcPr>
          <w:p w14:paraId="5BB5B23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482C90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31.9</w:t>
            </w:r>
          </w:p>
        </w:tc>
        <w:tc>
          <w:tcPr>
            <w:tcW w:w="1134" w:type="dxa"/>
            <w:noWrap/>
            <w:hideMark/>
          </w:tcPr>
          <w:p w14:paraId="08665A8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45.8</w:t>
            </w:r>
          </w:p>
        </w:tc>
        <w:tc>
          <w:tcPr>
            <w:tcW w:w="1134" w:type="dxa"/>
            <w:noWrap/>
            <w:hideMark/>
          </w:tcPr>
          <w:p w14:paraId="59AC7A4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8DB282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46</w:t>
            </w:r>
          </w:p>
        </w:tc>
        <w:tc>
          <w:tcPr>
            <w:tcW w:w="1417" w:type="dxa"/>
            <w:noWrap/>
            <w:hideMark/>
          </w:tcPr>
          <w:p w14:paraId="1AA0CC9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7D294C83" w14:textId="77777777" w:rsidTr="001367E0">
        <w:tblPrEx>
          <w:tblCellMar>
            <w:left w:w="108" w:type="dxa"/>
            <w:right w:w="108" w:type="dxa"/>
          </w:tblCellMar>
        </w:tblPrEx>
        <w:trPr>
          <w:trHeight w:val="465"/>
        </w:trPr>
        <w:tc>
          <w:tcPr>
            <w:tcW w:w="737" w:type="dxa"/>
            <w:noWrap/>
            <w:hideMark/>
          </w:tcPr>
          <w:p w14:paraId="6BF4A49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10537</w:t>
            </w:r>
          </w:p>
        </w:tc>
        <w:tc>
          <w:tcPr>
            <w:tcW w:w="1559" w:type="dxa"/>
            <w:noWrap/>
            <w:hideMark/>
          </w:tcPr>
          <w:p w14:paraId="235ABA4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West Wyalong High School</w:t>
            </w:r>
          </w:p>
        </w:tc>
        <w:tc>
          <w:tcPr>
            <w:tcW w:w="709" w:type="dxa"/>
            <w:noWrap/>
            <w:hideMark/>
          </w:tcPr>
          <w:p w14:paraId="6AA8061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AFE55D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1A3080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1C0CB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30 Dumaresq St</w:t>
            </w:r>
          </w:p>
        </w:tc>
        <w:tc>
          <w:tcPr>
            <w:tcW w:w="1134" w:type="dxa"/>
            <w:noWrap/>
            <w:hideMark/>
          </w:tcPr>
          <w:p w14:paraId="6C3EBC3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DC829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30.7</w:t>
            </w:r>
          </w:p>
        </w:tc>
        <w:tc>
          <w:tcPr>
            <w:tcW w:w="1134" w:type="dxa"/>
            <w:noWrap/>
            <w:hideMark/>
          </w:tcPr>
          <w:p w14:paraId="42EF0B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679F8C3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ED305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w:t>
            </w:r>
          </w:p>
        </w:tc>
        <w:tc>
          <w:tcPr>
            <w:tcW w:w="1417" w:type="dxa"/>
            <w:noWrap/>
            <w:hideMark/>
          </w:tcPr>
          <w:p w14:paraId="309271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7BF13C58" w14:textId="77777777" w:rsidTr="001367E0">
        <w:tblPrEx>
          <w:tblCellMar>
            <w:left w:w="108" w:type="dxa"/>
            <w:right w:w="108" w:type="dxa"/>
          </w:tblCellMar>
        </w:tblPrEx>
        <w:trPr>
          <w:trHeight w:val="465"/>
        </w:trPr>
        <w:tc>
          <w:tcPr>
            <w:tcW w:w="737" w:type="dxa"/>
            <w:noWrap/>
            <w:hideMark/>
          </w:tcPr>
          <w:p w14:paraId="34693F5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10538</w:t>
            </w:r>
          </w:p>
        </w:tc>
        <w:tc>
          <w:tcPr>
            <w:tcW w:w="1559" w:type="dxa"/>
            <w:noWrap/>
            <w:hideMark/>
          </w:tcPr>
          <w:p w14:paraId="44B0C3B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West Wyalong Public School</w:t>
            </w:r>
          </w:p>
        </w:tc>
        <w:tc>
          <w:tcPr>
            <w:tcW w:w="709" w:type="dxa"/>
            <w:noWrap/>
            <w:hideMark/>
          </w:tcPr>
          <w:p w14:paraId="4C509FF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C159CD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742E19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2788BA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Park St</w:t>
            </w:r>
          </w:p>
        </w:tc>
        <w:tc>
          <w:tcPr>
            <w:tcW w:w="1134" w:type="dxa"/>
            <w:noWrap/>
            <w:hideMark/>
          </w:tcPr>
          <w:p w14:paraId="4379C46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316FF35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17.9</w:t>
            </w:r>
          </w:p>
        </w:tc>
        <w:tc>
          <w:tcPr>
            <w:tcW w:w="1134" w:type="dxa"/>
            <w:noWrap/>
            <w:hideMark/>
          </w:tcPr>
          <w:p w14:paraId="2ED62CB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697F1E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CD478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w:t>
            </w:r>
          </w:p>
        </w:tc>
        <w:tc>
          <w:tcPr>
            <w:tcW w:w="1417" w:type="dxa"/>
            <w:noWrap/>
            <w:hideMark/>
          </w:tcPr>
          <w:p w14:paraId="0E23514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38B6B248" w14:textId="77777777" w:rsidTr="001367E0">
        <w:tblPrEx>
          <w:tblCellMar>
            <w:left w:w="108" w:type="dxa"/>
            <w:right w:w="108" w:type="dxa"/>
          </w:tblCellMar>
        </w:tblPrEx>
        <w:trPr>
          <w:trHeight w:val="465"/>
        </w:trPr>
        <w:tc>
          <w:tcPr>
            <w:tcW w:w="737" w:type="dxa"/>
            <w:noWrap/>
            <w:hideMark/>
          </w:tcPr>
          <w:p w14:paraId="70A5075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15117</w:t>
            </w:r>
          </w:p>
        </w:tc>
        <w:tc>
          <w:tcPr>
            <w:tcW w:w="1559" w:type="dxa"/>
            <w:noWrap/>
            <w:hideMark/>
          </w:tcPr>
          <w:p w14:paraId="0617426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Westport High School</w:t>
            </w:r>
          </w:p>
        </w:tc>
        <w:tc>
          <w:tcPr>
            <w:tcW w:w="709" w:type="dxa"/>
            <w:noWrap/>
            <w:hideMark/>
          </w:tcPr>
          <w:p w14:paraId="455AA93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21A16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2.1.2</w:t>
            </w:r>
          </w:p>
        </w:tc>
        <w:tc>
          <w:tcPr>
            <w:tcW w:w="1134" w:type="dxa"/>
            <w:noWrap/>
            <w:hideMark/>
          </w:tcPr>
          <w:p w14:paraId="7DDFA67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802FB0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Findlay Ave</w:t>
            </w:r>
          </w:p>
        </w:tc>
        <w:tc>
          <w:tcPr>
            <w:tcW w:w="1134" w:type="dxa"/>
            <w:noWrap/>
            <w:hideMark/>
          </w:tcPr>
          <w:p w14:paraId="756416E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BD0597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32.1</w:t>
            </w:r>
          </w:p>
        </w:tc>
        <w:tc>
          <w:tcPr>
            <w:tcW w:w="1134" w:type="dxa"/>
            <w:noWrap/>
            <w:hideMark/>
          </w:tcPr>
          <w:p w14:paraId="2304FC2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114945E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37.9</w:t>
            </w:r>
          </w:p>
        </w:tc>
        <w:tc>
          <w:tcPr>
            <w:tcW w:w="1276" w:type="dxa"/>
            <w:noWrap/>
            <w:hideMark/>
          </w:tcPr>
          <w:p w14:paraId="430C309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102</w:t>
            </w:r>
          </w:p>
        </w:tc>
        <w:tc>
          <w:tcPr>
            <w:tcW w:w="1417" w:type="dxa"/>
            <w:noWrap/>
            <w:hideMark/>
          </w:tcPr>
          <w:p w14:paraId="45B12A7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w:t>
            </w:r>
          </w:p>
        </w:tc>
      </w:tr>
      <w:tr w:rsidR="006716B4" w:rsidRPr="006716B4" w14:paraId="159A34E8" w14:textId="77777777" w:rsidTr="001367E0">
        <w:tblPrEx>
          <w:tblCellMar>
            <w:left w:w="108" w:type="dxa"/>
            <w:right w:w="108" w:type="dxa"/>
          </w:tblCellMar>
        </w:tblPrEx>
        <w:trPr>
          <w:trHeight w:val="465"/>
        </w:trPr>
        <w:tc>
          <w:tcPr>
            <w:tcW w:w="737" w:type="dxa"/>
            <w:noWrap/>
            <w:hideMark/>
          </w:tcPr>
          <w:p w14:paraId="53E23D9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9093</w:t>
            </w:r>
          </w:p>
        </w:tc>
        <w:tc>
          <w:tcPr>
            <w:tcW w:w="1559" w:type="dxa"/>
            <w:noWrap/>
            <w:hideMark/>
          </w:tcPr>
          <w:p w14:paraId="29617DA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Whitebridge High School</w:t>
            </w:r>
          </w:p>
        </w:tc>
        <w:tc>
          <w:tcPr>
            <w:tcW w:w="709" w:type="dxa"/>
            <w:noWrap/>
            <w:hideMark/>
          </w:tcPr>
          <w:p w14:paraId="1C1D770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16C5D2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1.2</w:t>
            </w:r>
          </w:p>
        </w:tc>
        <w:tc>
          <w:tcPr>
            <w:tcW w:w="1134" w:type="dxa"/>
            <w:noWrap/>
            <w:hideMark/>
          </w:tcPr>
          <w:p w14:paraId="253F571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09FC319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Lonus Ave</w:t>
            </w:r>
          </w:p>
        </w:tc>
        <w:tc>
          <w:tcPr>
            <w:tcW w:w="1134" w:type="dxa"/>
            <w:noWrap/>
            <w:hideMark/>
          </w:tcPr>
          <w:p w14:paraId="2B06745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31A9562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16.1</w:t>
            </w:r>
          </w:p>
        </w:tc>
        <w:tc>
          <w:tcPr>
            <w:tcW w:w="1134" w:type="dxa"/>
            <w:noWrap/>
            <w:hideMark/>
          </w:tcPr>
          <w:p w14:paraId="485B641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44.8</w:t>
            </w:r>
          </w:p>
        </w:tc>
        <w:tc>
          <w:tcPr>
            <w:tcW w:w="1134" w:type="dxa"/>
            <w:noWrap/>
            <w:hideMark/>
          </w:tcPr>
          <w:p w14:paraId="751AE61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11.8</w:t>
            </w:r>
          </w:p>
        </w:tc>
        <w:tc>
          <w:tcPr>
            <w:tcW w:w="1276" w:type="dxa"/>
            <w:noWrap/>
            <w:hideMark/>
          </w:tcPr>
          <w:p w14:paraId="23F9311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112</w:t>
            </w:r>
          </w:p>
        </w:tc>
        <w:tc>
          <w:tcPr>
            <w:tcW w:w="1417" w:type="dxa"/>
            <w:noWrap/>
            <w:hideMark/>
          </w:tcPr>
          <w:p w14:paraId="29DCC5B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w:t>
            </w:r>
          </w:p>
        </w:tc>
      </w:tr>
      <w:tr w:rsidR="006716B4" w:rsidRPr="006716B4" w14:paraId="4A672852" w14:textId="77777777" w:rsidTr="001367E0">
        <w:tblPrEx>
          <w:tblCellMar>
            <w:left w:w="108" w:type="dxa"/>
            <w:right w:w="108" w:type="dxa"/>
          </w:tblCellMar>
        </w:tblPrEx>
        <w:trPr>
          <w:trHeight w:val="465"/>
        </w:trPr>
        <w:tc>
          <w:tcPr>
            <w:tcW w:w="737" w:type="dxa"/>
            <w:noWrap/>
            <w:hideMark/>
          </w:tcPr>
          <w:p w14:paraId="57EC74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14985</w:t>
            </w:r>
          </w:p>
        </w:tc>
        <w:tc>
          <w:tcPr>
            <w:tcW w:w="1559" w:type="dxa"/>
            <w:noWrap/>
            <w:hideMark/>
          </w:tcPr>
          <w:p w14:paraId="254EC7B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William Dean Public School</w:t>
            </w:r>
          </w:p>
        </w:tc>
        <w:tc>
          <w:tcPr>
            <w:tcW w:w="709" w:type="dxa"/>
            <w:noWrap/>
            <w:hideMark/>
          </w:tcPr>
          <w:p w14:paraId="5A4FCD7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289DA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D90F21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CA330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Yarramundi Drive</w:t>
            </w:r>
          </w:p>
        </w:tc>
        <w:tc>
          <w:tcPr>
            <w:tcW w:w="1134" w:type="dxa"/>
            <w:noWrap/>
            <w:hideMark/>
          </w:tcPr>
          <w:p w14:paraId="1B7BD2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837888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25.8</w:t>
            </w:r>
          </w:p>
        </w:tc>
        <w:tc>
          <w:tcPr>
            <w:tcW w:w="1134" w:type="dxa"/>
            <w:noWrap/>
            <w:hideMark/>
          </w:tcPr>
          <w:p w14:paraId="057EA56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33.3</w:t>
            </w:r>
          </w:p>
        </w:tc>
        <w:tc>
          <w:tcPr>
            <w:tcW w:w="1134" w:type="dxa"/>
            <w:noWrap/>
            <w:hideMark/>
          </w:tcPr>
          <w:p w14:paraId="669B1C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78F35A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39</w:t>
            </w:r>
          </w:p>
        </w:tc>
        <w:tc>
          <w:tcPr>
            <w:tcW w:w="1417" w:type="dxa"/>
            <w:noWrap/>
            <w:hideMark/>
          </w:tcPr>
          <w:p w14:paraId="7C0AEE5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521F6098" w14:textId="77777777" w:rsidTr="001367E0">
        <w:tblPrEx>
          <w:tblCellMar>
            <w:left w:w="108" w:type="dxa"/>
            <w:right w:w="108" w:type="dxa"/>
          </w:tblCellMar>
        </w:tblPrEx>
        <w:trPr>
          <w:trHeight w:val="465"/>
        </w:trPr>
        <w:tc>
          <w:tcPr>
            <w:tcW w:w="737" w:type="dxa"/>
            <w:noWrap/>
            <w:hideMark/>
          </w:tcPr>
          <w:p w14:paraId="7282B70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10753</w:t>
            </w:r>
          </w:p>
        </w:tc>
        <w:tc>
          <w:tcPr>
            <w:tcW w:w="1559" w:type="dxa"/>
            <w:noWrap/>
            <w:hideMark/>
          </w:tcPr>
          <w:p w14:paraId="1BB3FD8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Windsor High School</w:t>
            </w:r>
          </w:p>
        </w:tc>
        <w:tc>
          <w:tcPr>
            <w:tcW w:w="709" w:type="dxa"/>
            <w:noWrap/>
            <w:hideMark/>
          </w:tcPr>
          <w:p w14:paraId="63110AA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FD2FC9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C30143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5B84CED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Mulgrave &amp; Windsor Rds</w:t>
            </w:r>
          </w:p>
        </w:tc>
        <w:tc>
          <w:tcPr>
            <w:tcW w:w="1134" w:type="dxa"/>
            <w:noWrap/>
            <w:hideMark/>
          </w:tcPr>
          <w:p w14:paraId="10FFB27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C6D9C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40.0</w:t>
            </w:r>
          </w:p>
        </w:tc>
        <w:tc>
          <w:tcPr>
            <w:tcW w:w="1134" w:type="dxa"/>
            <w:noWrap/>
            <w:hideMark/>
          </w:tcPr>
          <w:p w14:paraId="5429FDF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65.1</w:t>
            </w:r>
          </w:p>
        </w:tc>
        <w:tc>
          <w:tcPr>
            <w:tcW w:w="1134" w:type="dxa"/>
            <w:noWrap/>
            <w:hideMark/>
          </w:tcPr>
          <w:p w14:paraId="6A00228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w:t>
            </w:r>
          </w:p>
        </w:tc>
        <w:tc>
          <w:tcPr>
            <w:tcW w:w="1276" w:type="dxa"/>
            <w:noWrap/>
            <w:hideMark/>
          </w:tcPr>
          <w:p w14:paraId="223A5BC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132</w:t>
            </w:r>
          </w:p>
        </w:tc>
        <w:tc>
          <w:tcPr>
            <w:tcW w:w="1417" w:type="dxa"/>
            <w:noWrap/>
            <w:hideMark/>
          </w:tcPr>
          <w:p w14:paraId="33E0CC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w:t>
            </w:r>
          </w:p>
        </w:tc>
      </w:tr>
      <w:tr w:rsidR="006716B4" w:rsidRPr="006716B4" w14:paraId="25E959CE" w14:textId="77777777" w:rsidTr="001367E0">
        <w:tblPrEx>
          <w:tblCellMar>
            <w:left w:w="108" w:type="dxa"/>
            <w:right w:w="108" w:type="dxa"/>
          </w:tblCellMar>
        </w:tblPrEx>
        <w:trPr>
          <w:trHeight w:val="465"/>
        </w:trPr>
        <w:tc>
          <w:tcPr>
            <w:tcW w:w="737" w:type="dxa"/>
            <w:noWrap/>
            <w:hideMark/>
          </w:tcPr>
          <w:p w14:paraId="18C9972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9543</w:t>
            </w:r>
          </w:p>
        </w:tc>
        <w:tc>
          <w:tcPr>
            <w:tcW w:w="1559" w:type="dxa"/>
            <w:noWrap/>
            <w:hideMark/>
          </w:tcPr>
          <w:p w14:paraId="08B8E7F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Wingham High School</w:t>
            </w:r>
          </w:p>
        </w:tc>
        <w:tc>
          <w:tcPr>
            <w:tcW w:w="709" w:type="dxa"/>
            <w:noWrap/>
            <w:hideMark/>
          </w:tcPr>
          <w:p w14:paraId="38A7FA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F3DE4B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47BE2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FB88D4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 Rowley St</w:t>
            </w:r>
          </w:p>
        </w:tc>
        <w:tc>
          <w:tcPr>
            <w:tcW w:w="1134" w:type="dxa"/>
            <w:noWrap/>
            <w:hideMark/>
          </w:tcPr>
          <w:p w14:paraId="2611404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EDBA8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36.6</w:t>
            </w:r>
          </w:p>
        </w:tc>
        <w:tc>
          <w:tcPr>
            <w:tcW w:w="1134" w:type="dxa"/>
            <w:noWrap/>
            <w:hideMark/>
          </w:tcPr>
          <w:p w14:paraId="4BED65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6D50E13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23.1</w:t>
            </w:r>
          </w:p>
        </w:tc>
        <w:tc>
          <w:tcPr>
            <w:tcW w:w="1276" w:type="dxa"/>
            <w:noWrap/>
            <w:hideMark/>
          </w:tcPr>
          <w:p w14:paraId="52DE07C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179</w:t>
            </w:r>
          </w:p>
        </w:tc>
        <w:tc>
          <w:tcPr>
            <w:tcW w:w="1417" w:type="dxa"/>
            <w:noWrap/>
            <w:hideMark/>
          </w:tcPr>
          <w:p w14:paraId="2ADE1C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w:t>
            </w:r>
          </w:p>
        </w:tc>
      </w:tr>
      <w:tr w:rsidR="006716B4" w:rsidRPr="006716B4" w14:paraId="18A0624F" w14:textId="77777777" w:rsidTr="001367E0">
        <w:tblPrEx>
          <w:tblCellMar>
            <w:left w:w="108" w:type="dxa"/>
            <w:right w:w="108" w:type="dxa"/>
          </w:tblCellMar>
        </w:tblPrEx>
        <w:trPr>
          <w:trHeight w:val="465"/>
        </w:trPr>
        <w:tc>
          <w:tcPr>
            <w:tcW w:w="737" w:type="dxa"/>
            <w:noWrap/>
            <w:hideMark/>
          </w:tcPr>
          <w:p w14:paraId="042702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10271</w:t>
            </w:r>
          </w:p>
        </w:tc>
        <w:tc>
          <w:tcPr>
            <w:tcW w:w="1559" w:type="dxa"/>
            <w:noWrap/>
            <w:hideMark/>
          </w:tcPr>
          <w:p w14:paraId="67954AE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Wollondilly Public School</w:t>
            </w:r>
          </w:p>
        </w:tc>
        <w:tc>
          <w:tcPr>
            <w:tcW w:w="709" w:type="dxa"/>
            <w:noWrap/>
            <w:hideMark/>
          </w:tcPr>
          <w:p w14:paraId="6567F71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07FA9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1C98E29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3039763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Newton &amp; Hoskins Sts</w:t>
            </w:r>
          </w:p>
        </w:tc>
        <w:tc>
          <w:tcPr>
            <w:tcW w:w="1134" w:type="dxa"/>
            <w:noWrap/>
            <w:hideMark/>
          </w:tcPr>
          <w:p w14:paraId="277856F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EAD5D2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19.6</w:t>
            </w:r>
          </w:p>
        </w:tc>
        <w:tc>
          <w:tcPr>
            <w:tcW w:w="1134" w:type="dxa"/>
            <w:noWrap/>
            <w:hideMark/>
          </w:tcPr>
          <w:p w14:paraId="6BDAB08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66.7</w:t>
            </w:r>
          </w:p>
        </w:tc>
        <w:tc>
          <w:tcPr>
            <w:tcW w:w="1134" w:type="dxa"/>
            <w:noWrap/>
            <w:hideMark/>
          </w:tcPr>
          <w:p w14:paraId="3FB3EAD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444F6D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w:t>
            </w:r>
          </w:p>
        </w:tc>
        <w:tc>
          <w:tcPr>
            <w:tcW w:w="1417" w:type="dxa"/>
            <w:noWrap/>
            <w:hideMark/>
          </w:tcPr>
          <w:p w14:paraId="14BFAE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w:t>
            </w:r>
          </w:p>
        </w:tc>
      </w:tr>
      <w:tr w:rsidR="006716B4" w:rsidRPr="006716B4" w14:paraId="48233E30" w14:textId="77777777" w:rsidTr="001367E0">
        <w:tblPrEx>
          <w:tblCellMar>
            <w:left w:w="108" w:type="dxa"/>
            <w:right w:w="108" w:type="dxa"/>
          </w:tblCellMar>
        </w:tblPrEx>
        <w:trPr>
          <w:trHeight w:val="465"/>
        </w:trPr>
        <w:tc>
          <w:tcPr>
            <w:tcW w:w="737" w:type="dxa"/>
            <w:noWrap/>
            <w:hideMark/>
          </w:tcPr>
          <w:p w14:paraId="5BE820A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14692</w:t>
            </w:r>
          </w:p>
        </w:tc>
        <w:tc>
          <w:tcPr>
            <w:tcW w:w="1559" w:type="dxa"/>
            <w:noWrap/>
            <w:hideMark/>
          </w:tcPr>
          <w:p w14:paraId="73398A1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Wollumbin High School</w:t>
            </w:r>
          </w:p>
        </w:tc>
        <w:tc>
          <w:tcPr>
            <w:tcW w:w="709" w:type="dxa"/>
            <w:noWrap/>
            <w:hideMark/>
          </w:tcPr>
          <w:p w14:paraId="0173BC5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00D5E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C00681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6A6418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North Arm Rd</w:t>
            </w:r>
          </w:p>
        </w:tc>
        <w:tc>
          <w:tcPr>
            <w:tcW w:w="1134" w:type="dxa"/>
            <w:noWrap/>
            <w:hideMark/>
          </w:tcPr>
          <w:p w14:paraId="532CA59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2D991F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28.9</w:t>
            </w:r>
          </w:p>
        </w:tc>
        <w:tc>
          <w:tcPr>
            <w:tcW w:w="1134" w:type="dxa"/>
            <w:noWrap/>
            <w:hideMark/>
          </w:tcPr>
          <w:p w14:paraId="1FC23B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7967E3D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19C5D9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88</w:t>
            </w:r>
          </w:p>
        </w:tc>
        <w:tc>
          <w:tcPr>
            <w:tcW w:w="1417" w:type="dxa"/>
            <w:noWrap/>
            <w:hideMark/>
          </w:tcPr>
          <w:p w14:paraId="06BE287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62AFE9BA" w14:textId="77777777" w:rsidTr="001367E0">
        <w:tblPrEx>
          <w:tblCellMar>
            <w:left w:w="108" w:type="dxa"/>
            <w:right w:w="108" w:type="dxa"/>
          </w:tblCellMar>
        </w:tblPrEx>
        <w:trPr>
          <w:trHeight w:val="465"/>
        </w:trPr>
        <w:tc>
          <w:tcPr>
            <w:tcW w:w="737" w:type="dxa"/>
            <w:noWrap/>
            <w:hideMark/>
          </w:tcPr>
          <w:p w14:paraId="0B1592E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6446</w:t>
            </w:r>
          </w:p>
        </w:tc>
        <w:tc>
          <w:tcPr>
            <w:tcW w:w="1559" w:type="dxa"/>
            <w:noWrap/>
            <w:hideMark/>
          </w:tcPr>
          <w:p w14:paraId="55B25F9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Woodenbong Central School</w:t>
            </w:r>
          </w:p>
        </w:tc>
        <w:tc>
          <w:tcPr>
            <w:tcW w:w="709" w:type="dxa"/>
            <w:noWrap/>
            <w:hideMark/>
          </w:tcPr>
          <w:p w14:paraId="370B223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412C6E7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6095FCC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3,5,7</w:t>
            </w:r>
          </w:p>
        </w:tc>
        <w:tc>
          <w:tcPr>
            <w:tcW w:w="1843" w:type="dxa"/>
            <w:noWrap/>
            <w:hideMark/>
          </w:tcPr>
          <w:p w14:paraId="750F57A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Unumgar St</w:t>
            </w:r>
          </w:p>
        </w:tc>
        <w:tc>
          <w:tcPr>
            <w:tcW w:w="1134" w:type="dxa"/>
            <w:noWrap/>
            <w:hideMark/>
          </w:tcPr>
          <w:p w14:paraId="68A36B9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062DD9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47.7</w:t>
            </w:r>
          </w:p>
        </w:tc>
        <w:tc>
          <w:tcPr>
            <w:tcW w:w="1134" w:type="dxa"/>
            <w:noWrap/>
            <w:hideMark/>
          </w:tcPr>
          <w:p w14:paraId="4BDCA98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87.1</w:t>
            </w:r>
          </w:p>
        </w:tc>
        <w:tc>
          <w:tcPr>
            <w:tcW w:w="1134" w:type="dxa"/>
            <w:noWrap/>
            <w:hideMark/>
          </w:tcPr>
          <w:p w14:paraId="6B5F68B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5.6</w:t>
            </w:r>
          </w:p>
        </w:tc>
        <w:tc>
          <w:tcPr>
            <w:tcW w:w="1276" w:type="dxa"/>
            <w:noWrap/>
            <w:hideMark/>
          </w:tcPr>
          <w:p w14:paraId="46403C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61</w:t>
            </w:r>
          </w:p>
        </w:tc>
        <w:tc>
          <w:tcPr>
            <w:tcW w:w="1417" w:type="dxa"/>
            <w:noWrap/>
            <w:hideMark/>
          </w:tcPr>
          <w:p w14:paraId="2955FBF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27</w:t>
            </w:r>
          </w:p>
        </w:tc>
      </w:tr>
      <w:tr w:rsidR="006716B4" w:rsidRPr="006716B4" w14:paraId="3F71B760" w14:textId="77777777" w:rsidTr="001367E0">
        <w:tblPrEx>
          <w:tblCellMar>
            <w:left w:w="108" w:type="dxa"/>
            <w:right w:w="108" w:type="dxa"/>
          </w:tblCellMar>
        </w:tblPrEx>
        <w:trPr>
          <w:trHeight w:val="465"/>
        </w:trPr>
        <w:tc>
          <w:tcPr>
            <w:tcW w:w="737" w:type="dxa"/>
            <w:noWrap/>
            <w:hideMark/>
          </w:tcPr>
          <w:p w14:paraId="11A66AD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9682</w:t>
            </w:r>
          </w:p>
        </w:tc>
        <w:tc>
          <w:tcPr>
            <w:tcW w:w="1559" w:type="dxa"/>
            <w:noWrap/>
            <w:hideMark/>
          </w:tcPr>
          <w:p w14:paraId="385DDE5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Woolgoolga High School</w:t>
            </w:r>
          </w:p>
        </w:tc>
        <w:tc>
          <w:tcPr>
            <w:tcW w:w="709" w:type="dxa"/>
            <w:noWrap/>
            <w:hideMark/>
          </w:tcPr>
          <w:p w14:paraId="0427DC2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8361D5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1F0F48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863DAA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Centenary Drive</w:t>
            </w:r>
          </w:p>
        </w:tc>
        <w:tc>
          <w:tcPr>
            <w:tcW w:w="1134" w:type="dxa"/>
            <w:noWrap/>
            <w:hideMark/>
          </w:tcPr>
          <w:p w14:paraId="19C92A2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562744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35.7</w:t>
            </w:r>
          </w:p>
        </w:tc>
        <w:tc>
          <w:tcPr>
            <w:tcW w:w="1134" w:type="dxa"/>
            <w:noWrap/>
            <w:hideMark/>
          </w:tcPr>
          <w:p w14:paraId="3D12BEE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52.6</w:t>
            </w:r>
          </w:p>
        </w:tc>
        <w:tc>
          <w:tcPr>
            <w:tcW w:w="1134" w:type="dxa"/>
            <w:noWrap/>
            <w:hideMark/>
          </w:tcPr>
          <w:p w14:paraId="13325CD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w:t>
            </w:r>
          </w:p>
        </w:tc>
        <w:tc>
          <w:tcPr>
            <w:tcW w:w="1276" w:type="dxa"/>
            <w:noWrap/>
            <w:hideMark/>
          </w:tcPr>
          <w:p w14:paraId="0E2165E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237</w:t>
            </w:r>
          </w:p>
        </w:tc>
        <w:tc>
          <w:tcPr>
            <w:tcW w:w="1417" w:type="dxa"/>
            <w:noWrap/>
            <w:hideMark/>
          </w:tcPr>
          <w:p w14:paraId="324FEE3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w:t>
            </w:r>
          </w:p>
        </w:tc>
      </w:tr>
      <w:tr w:rsidR="006716B4" w:rsidRPr="006716B4" w14:paraId="1DD85C15" w14:textId="77777777" w:rsidTr="001367E0">
        <w:tblPrEx>
          <w:tblCellMar>
            <w:left w:w="108" w:type="dxa"/>
            <w:right w:w="108" w:type="dxa"/>
          </w:tblCellMar>
        </w:tblPrEx>
        <w:trPr>
          <w:trHeight w:val="465"/>
        </w:trPr>
        <w:tc>
          <w:tcPr>
            <w:tcW w:w="737" w:type="dxa"/>
            <w:noWrap/>
            <w:hideMark/>
          </w:tcPr>
          <w:p w14:paraId="0894B51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9681</w:t>
            </w:r>
          </w:p>
        </w:tc>
        <w:tc>
          <w:tcPr>
            <w:tcW w:w="1559" w:type="dxa"/>
            <w:noWrap/>
            <w:hideMark/>
          </w:tcPr>
          <w:p w14:paraId="4BF41DA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Woolgoolga Public School</w:t>
            </w:r>
          </w:p>
        </w:tc>
        <w:tc>
          <w:tcPr>
            <w:tcW w:w="709" w:type="dxa"/>
            <w:noWrap/>
            <w:hideMark/>
          </w:tcPr>
          <w:p w14:paraId="6F236C6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3D01D31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0A0B7A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55E279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Scarborough St</w:t>
            </w:r>
          </w:p>
        </w:tc>
        <w:tc>
          <w:tcPr>
            <w:tcW w:w="1134" w:type="dxa"/>
            <w:noWrap/>
            <w:hideMark/>
          </w:tcPr>
          <w:p w14:paraId="3820CD9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D7C646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24.0</w:t>
            </w:r>
          </w:p>
        </w:tc>
        <w:tc>
          <w:tcPr>
            <w:tcW w:w="1134" w:type="dxa"/>
            <w:noWrap/>
            <w:hideMark/>
          </w:tcPr>
          <w:p w14:paraId="082402D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42.3</w:t>
            </w:r>
          </w:p>
        </w:tc>
        <w:tc>
          <w:tcPr>
            <w:tcW w:w="1134" w:type="dxa"/>
            <w:noWrap/>
            <w:hideMark/>
          </w:tcPr>
          <w:p w14:paraId="688D6930"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7.1</w:t>
            </w:r>
          </w:p>
        </w:tc>
        <w:tc>
          <w:tcPr>
            <w:tcW w:w="1276" w:type="dxa"/>
            <w:noWrap/>
            <w:hideMark/>
          </w:tcPr>
          <w:p w14:paraId="14093F0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54</w:t>
            </w:r>
          </w:p>
        </w:tc>
        <w:tc>
          <w:tcPr>
            <w:tcW w:w="1417" w:type="dxa"/>
            <w:noWrap/>
            <w:hideMark/>
          </w:tcPr>
          <w:p w14:paraId="41C42BF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r>
      <w:tr w:rsidR="006716B4" w:rsidRPr="006716B4" w14:paraId="4CFAA48F" w14:textId="77777777" w:rsidTr="001367E0">
        <w:tblPrEx>
          <w:tblCellMar>
            <w:left w:w="108" w:type="dxa"/>
            <w:right w:w="108" w:type="dxa"/>
          </w:tblCellMar>
        </w:tblPrEx>
        <w:trPr>
          <w:trHeight w:val="465"/>
        </w:trPr>
        <w:tc>
          <w:tcPr>
            <w:tcW w:w="737" w:type="dxa"/>
            <w:noWrap/>
            <w:hideMark/>
          </w:tcPr>
          <w:p w14:paraId="10515CE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9359</w:t>
            </w:r>
          </w:p>
        </w:tc>
        <w:tc>
          <w:tcPr>
            <w:tcW w:w="1559" w:type="dxa"/>
            <w:noWrap/>
            <w:hideMark/>
          </w:tcPr>
          <w:p w14:paraId="1C67055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Woolomin Public School</w:t>
            </w:r>
          </w:p>
        </w:tc>
        <w:tc>
          <w:tcPr>
            <w:tcW w:w="709" w:type="dxa"/>
            <w:noWrap/>
            <w:hideMark/>
          </w:tcPr>
          <w:p w14:paraId="3745474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7CD4D9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1A271E1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9B9DF5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Tamworth-Nundle Rd</w:t>
            </w:r>
          </w:p>
        </w:tc>
        <w:tc>
          <w:tcPr>
            <w:tcW w:w="1134" w:type="dxa"/>
            <w:noWrap/>
            <w:hideMark/>
          </w:tcPr>
          <w:p w14:paraId="1AB948D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12D650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44.4</w:t>
            </w:r>
          </w:p>
        </w:tc>
        <w:tc>
          <w:tcPr>
            <w:tcW w:w="1134" w:type="dxa"/>
            <w:noWrap/>
            <w:hideMark/>
          </w:tcPr>
          <w:p w14:paraId="558AC65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47E6F16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01C816C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c>
          <w:tcPr>
            <w:tcW w:w="1417" w:type="dxa"/>
            <w:noWrap/>
            <w:hideMark/>
          </w:tcPr>
          <w:p w14:paraId="741E64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76840551" w14:textId="77777777" w:rsidTr="001367E0">
        <w:tblPrEx>
          <w:tblCellMar>
            <w:left w:w="108" w:type="dxa"/>
            <w:right w:w="108" w:type="dxa"/>
          </w:tblCellMar>
        </w:tblPrEx>
        <w:trPr>
          <w:trHeight w:val="465"/>
        </w:trPr>
        <w:tc>
          <w:tcPr>
            <w:tcW w:w="737" w:type="dxa"/>
            <w:noWrap/>
            <w:hideMark/>
          </w:tcPr>
          <w:p w14:paraId="4687D06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10536</w:t>
            </w:r>
          </w:p>
        </w:tc>
        <w:tc>
          <w:tcPr>
            <w:tcW w:w="1559" w:type="dxa"/>
            <w:noWrap/>
            <w:hideMark/>
          </w:tcPr>
          <w:p w14:paraId="6352B9B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Wyalong Public School</w:t>
            </w:r>
          </w:p>
        </w:tc>
        <w:tc>
          <w:tcPr>
            <w:tcW w:w="709" w:type="dxa"/>
            <w:noWrap/>
            <w:hideMark/>
          </w:tcPr>
          <w:p w14:paraId="77AB611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04B8B7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3D6D248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1F1F0D3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George Bland Ave</w:t>
            </w:r>
          </w:p>
        </w:tc>
        <w:tc>
          <w:tcPr>
            <w:tcW w:w="1134" w:type="dxa"/>
            <w:noWrap/>
            <w:hideMark/>
          </w:tcPr>
          <w:p w14:paraId="054B878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D99DEA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40.6</w:t>
            </w:r>
          </w:p>
        </w:tc>
        <w:tc>
          <w:tcPr>
            <w:tcW w:w="1134" w:type="dxa"/>
            <w:noWrap/>
            <w:hideMark/>
          </w:tcPr>
          <w:p w14:paraId="52FFFD3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75.0</w:t>
            </w:r>
          </w:p>
        </w:tc>
        <w:tc>
          <w:tcPr>
            <w:tcW w:w="1134" w:type="dxa"/>
            <w:noWrap/>
            <w:hideMark/>
          </w:tcPr>
          <w:p w14:paraId="41A12E0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5F7055C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13</w:t>
            </w:r>
          </w:p>
        </w:tc>
        <w:tc>
          <w:tcPr>
            <w:tcW w:w="1417" w:type="dxa"/>
            <w:noWrap/>
            <w:hideMark/>
          </w:tcPr>
          <w:p w14:paraId="7396AD5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w:t>
            </w:r>
          </w:p>
        </w:tc>
      </w:tr>
      <w:tr w:rsidR="006716B4" w:rsidRPr="006716B4" w14:paraId="339CB5D4" w14:textId="77777777" w:rsidTr="001367E0">
        <w:tblPrEx>
          <w:tblCellMar>
            <w:left w:w="108" w:type="dxa"/>
            <w:right w:w="108" w:type="dxa"/>
          </w:tblCellMar>
        </w:tblPrEx>
        <w:trPr>
          <w:trHeight w:val="465"/>
        </w:trPr>
        <w:tc>
          <w:tcPr>
            <w:tcW w:w="737" w:type="dxa"/>
            <w:noWrap/>
            <w:hideMark/>
          </w:tcPr>
          <w:p w14:paraId="41CCEF3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6373</w:t>
            </w:r>
          </w:p>
        </w:tc>
        <w:tc>
          <w:tcPr>
            <w:tcW w:w="1559" w:type="dxa"/>
            <w:noWrap/>
            <w:hideMark/>
          </w:tcPr>
          <w:p w14:paraId="6E029F8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Wyong High School</w:t>
            </w:r>
          </w:p>
        </w:tc>
        <w:tc>
          <w:tcPr>
            <w:tcW w:w="709" w:type="dxa"/>
            <w:noWrap/>
            <w:hideMark/>
          </w:tcPr>
          <w:p w14:paraId="75AF940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6BCEA6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71C48AD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1C0F901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Alison Rd</w:t>
            </w:r>
          </w:p>
        </w:tc>
        <w:tc>
          <w:tcPr>
            <w:tcW w:w="1134" w:type="dxa"/>
            <w:noWrap/>
            <w:hideMark/>
          </w:tcPr>
          <w:p w14:paraId="1C183D9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68FFA54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35.8</w:t>
            </w:r>
          </w:p>
        </w:tc>
        <w:tc>
          <w:tcPr>
            <w:tcW w:w="1134" w:type="dxa"/>
            <w:noWrap/>
            <w:hideMark/>
          </w:tcPr>
          <w:p w14:paraId="3274129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57.5</w:t>
            </w:r>
          </w:p>
        </w:tc>
        <w:tc>
          <w:tcPr>
            <w:tcW w:w="1134" w:type="dxa"/>
            <w:noWrap/>
            <w:hideMark/>
          </w:tcPr>
          <w:p w14:paraId="29FB2D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18.5</w:t>
            </w:r>
          </w:p>
        </w:tc>
        <w:tc>
          <w:tcPr>
            <w:tcW w:w="1276" w:type="dxa"/>
            <w:noWrap/>
            <w:hideMark/>
          </w:tcPr>
          <w:p w14:paraId="2407125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182</w:t>
            </w:r>
          </w:p>
        </w:tc>
        <w:tc>
          <w:tcPr>
            <w:tcW w:w="1417" w:type="dxa"/>
            <w:noWrap/>
            <w:hideMark/>
          </w:tcPr>
          <w:p w14:paraId="3E573B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w:t>
            </w:r>
          </w:p>
        </w:tc>
      </w:tr>
      <w:tr w:rsidR="006716B4" w:rsidRPr="006716B4" w14:paraId="280B8207" w14:textId="77777777" w:rsidTr="001367E0">
        <w:tblPrEx>
          <w:tblCellMar>
            <w:left w:w="108" w:type="dxa"/>
            <w:right w:w="108" w:type="dxa"/>
          </w:tblCellMar>
        </w:tblPrEx>
        <w:trPr>
          <w:trHeight w:val="465"/>
        </w:trPr>
        <w:tc>
          <w:tcPr>
            <w:tcW w:w="737" w:type="dxa"/>
            <w:noWrap/>
            <w:hideMark/>
          </w:tcPr>
          <w:p w14:paraId="1DF867E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8573</w:t>
            </w:r>
          </w:p>
        </w:tc>
        <w:tc>
          <w:tcPr>
            <w:tcW w:w="1559" w:type="dxa"/>
            <w:noWrap/>
            <w:hideMark/>
          </w:tcPr>
          <w:p w14:paraId="5DB5B864"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Yagoona Public School</w:t>
            </w:r>
          </w:p>
        </w:tc>
        <w:tc>
          <w:tcPr>
            <w:tcW w:w="709" w:type="dxa"/>
            <w:noWrap/>
            <w:hideMark/>
          </w:tcPr>
          <w:p w14:paraId="1F6FC12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1D50B89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3CC5B1F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07497DB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425 Hume Hwy</w:t>
            </w:r>
          </w:p>
        </w:tc>
        <w:tc>
          <w:tcPr>
            <w:tcW w:w="1134" w:type="dxa"/>
            <w:noWrap/>
            <w:hideMark/>
          </w:tcPr>
          <w:p w14:paraId="2969A52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4F1E62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38.0</w:t>
            </w:r>
          </w:p>
        </w:tc>
        <w:tc>
          <w:tcPr>
            <w:tcW w:w="1134" w:type="dxa"/>
            <w:noWrap/>
            <w:hideMark/>
          </w:tcPr>
          <w:p w14:paraId="5F16E18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0BD6A17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43FDB05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95</w:t>
            </w:r>
          </w:p>
        </w:tc>
        <w:tc>
          <w:tcPr>
            <w:tcW w:w="1417" w:type="dxa"/>
            <w:noWrap/>
            <w:hideMark/>
          </w:tcPr>
          <w:p w14:paraId="7661FBF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62790261" w14:textId="77777777" w:rsidTr="001367E0">
        <w:tblPrEx>
          <w:tblCellMar>
            <w:left w:w="108" w:type="dxa"/>
            <w:right w:w="108" w:type="dxa"/>
          </w:tblCellMar>
        </w:tblPrEx>
        <w:trPr>
          <w:trHeight w:val="465"/>
        </w:trPr>
        <w:tc>
          <w:tcPr>
            <w:tcW w:w="737" w:type="dxa"/>
            <w:noWrap/>
            <w:hideMark/>
          </w:tcPr>
          <w:p w14:paraId="5C881DD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10554</w:t>
            </w:r>
          </w:p>
        </w:tc>
        <w:tc>
          <w:tcPr>
            <w:tcW w:w="1559" w:type="dxa"/>
            <w:noWrap/>
            <w:hideMark/>
          </w:tcPr>
          <w:p w14:paraId="6CED65A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Yanco Agricultural High School</w:t>
            </w:r>
          </w:p>
        </w:tc>
        <w:tc>
          <w:tcPr>
            <w:tcW w:w="709" w:type="dxa"/>
            <w:noWrap/>
            <w:hideMark/>
          </w:tcPr>
          <w:p w14:paraId="6A62438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6C5C6B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7C64720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34776ECE"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259 Euroley Rd</w:t>
            </w:r>
          </w:p>
        </w:tc>
        <w:tc>
          <w:tcPr>
            <w:tcW w:w="1134" w:type="dxa"/>
            <w:noWrap/>
            <w:hideMark/>
          </w:tcPr>
          <w:p w14:paraId="64E29CD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DN</w:t>
            </w:r>
          </w:p>
        </w:tc>
        <w:tc>
          <w:tcPr>
            <w:tcW w:w="1276" w:type="dxa"/>
            <w:noWrap/>
            <w:hideMark/>
          </w:tcPr>
          <w:p w14:paraId="64A7D3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6.4</w:t>
            </w:r>
          </w:p>
        </w:tc>
        <w:tc>
          <w:tcPr>
            <w:tcW w:w="1134" w:type="dxa"/>
            <w:noWrap/>
            <w:hideMark/>
          </w:tcPr>
          <w:p w14:paraId="1561F9B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w:t>
            </w:r>
          </w:p>
        </w:tc>
        <w:tc>
          <w:tcPr>
            <w:tcW w:w="1134" w:type="dxa"/>
            <w:noWrap/>
            <w:hideMark/>
          </w:tcPr>
          <w:p w14:paraId="6AB63CB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C444B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14</w:t>
            </w:r>
          </w:p>
        </w:tc>
        <w:tc>
          <w:tcPr>
            <w:tcW w:w="1417" w:type="dxa"/>
            <w:noWrap/>
            <w:hideMark/>
          </w:tcPr>
          <w:p w14:paraId="1302836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w:t>
            </w:r>
          </w:p>
        </w:tc>
      </w:tr>
      <w:tr w:rsidR="006716B4" w:rsidRPr="006716B4" w14:paraId="0848CFC6" w14:textId="77777777" w:rsidTr="001367E0">
        <w:tblPrEx>
          <w:tblCellMar>
            <w:left w:w="108" w:type="dxa"/>
            <w:right w:w="108" w:type="dxa"/>
          </w:tblCellMar>
        </w:tblPrEx>
        <w:trPr>
          <w:trHeight w:val="465"/>
        </w:trPr>
        <w:tc>
          <w:tcPr>
            <w:tcW w:w="737" w:type="dxa"/>
            <w:noWrap/>
            <w:hideMark/>
          </w:tcPr>
          <w:p w14:paraId="575D20E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10555</w:t>
            </w:r>
          </w:p>
        </w:tc>
        <w:tc>
          <w:tcPr>
            <w:tcW w:w="1559" w:type="dxa"/>
            <w:noWrap/>
            <w:hideMark/>
          </w:tcPr>
          <w:p w14:paraId="2AC3F35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Yanco Public School</w:t>
            </w:r>
          </w:p>
        </w:tc>
        <w:tc>
          <w:tcPr>
            <w:tcW w:w="709" w:type="dxa"/>
            <w:noWrap/>
            <w:hideMark/>
          </w:tcPr>
          <w:p w14:paraId="3A5B3E0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9666755"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4896FFD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63E1E4BF"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Main Ave</w:t>
            </w:r>
          </w:p>
        </w:tc>
        <w:tc>
          <w:tcPr>
            <w:tcW w:w="1134" w:type="dxa"/>
            <w:noWrap/>
            <w:hideMark/>
          </w:tcPr>
          <w:p w14:paraId="6C11671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72AC2F1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5298B5C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83.3</w:t>
            </w:r>
          </w:p>
        </w:tc>
        <w:tc>
          <w:tcPr>
            <w:tcW w:w="1134" w:type="dxa"/>
            <w:noWrap/>
            <w:hideMark/>
          </w:tcPr>
          <w:p w14:paraId="478203A2"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1D239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8</w:t>
            </w:r>
          </w:p>
        </w:tc>
        <w:tc>
          <w:tcPr>
            <w:tcW w:w="1417" w:type="dxa"/>
            <w:noWrap/>
            <w:hideMark/>
          </w:tcPr>
          <w:p w14:paraId="58E5F08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w:t>
            </w:r>
          </w:p>
        </w:tc>
      </w:tr>
      <w:tr w:rsidR="006716B4" w:rsidRPr="006716B4" w14:paraId="5EF034FA" w14:textId="77777777" w:rsidTr="001367E0">
        <w:tblPrEx>
          <w:tblCellMar>
            <w:left w:w="108" w:type="dxa"/>
            <w:right w:w="108" w:type="dxa"/>
          </w:tblCellMar>
        </w:tblPrEx>
        <w:trPr>
          <w:trHeight w:val="465"/>
        </w:trPr>
        <w:tc>
          <w:tcPr>
            <w:tcW w:w="737" w:type="dxa"/>
            <w:noWrap/>
            <w:hideMark/>
          </w:tcPr>
          <w:p w14:paraId="6C578DE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10235</w:t>
            </w:r>
          </w:p>
        </w:tc>
        <w:tc>
          <w:tcPr>
            <w:tcW w:w="1559" w:type="dxa"/>
            <w:noWrap/>
            <w:hideMark/>
          </w:tcPr>
          <w:p w14:paraId="75EBF93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Yanderra Public School</w:t>
            </w:r>
          </w:p>
        </w:tc>
        <w:tc>
          <w:tcPr>
            <w:tcW w:w="709" w:type="dxa"/>
            <w:noWrap/>
            <w:hideMark/>
          </w:tcPr>
          <w:p w14:paraId="78C4771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4198B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030B136A"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AF47AA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16 Yanderra Rd</w:t>
            </w:r>
          </w:p>
        </w:tc>
        <w:tc>
          <w:tcPr>
            <w:tcW w:w="1134" w:type="dxa"/>
            <w:noWrap/>
            <w:hideMark/>
          </w:tcPr>
          <w:p w14:paraId="7012853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118DFF2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30.0</w:t>
            </w:r>
          </w:p>
        </w:tc>
        <w:tc>
          <w:tcPr>
            <w:tcW w:w="1134" w:type="dxa"/>
            <w:noWrap/>
            <w:hideMark/>
          </w:tcPr>
          <w:p w14:paraId="0F814E9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100.0</w:t>
            </w:r>
          </w:p>
        </w:tc>
        <w:tc>
          <w:tcPr>
            <w:tcW w:w="1134" w:type="dxa"/>
            <w:noWrap/>
            <w:hideMark/>
          </w:tcPr>
          <w:p w14:paraId="6EB1844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2B2D385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w:t>
            </w:r>
          </w:p>
        </w:tc>
        <w:tc>
          <w:tcPr>
            <w:tcW w:w="1417" w:type="dxa"/>
            <w:noWrap/>
            <w:hideMark/>
          </w:tcPr>
          <w:p w14:paraId="00D74EA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56A9CE27" w14:textId="77777777" w:rsidTr="001367E0">
        <w:tblPrEx>
          <w:tblCellMar>
            <w:left w:w="108" w:type="dxa"/>
            <w:right w:w="108" w:type="dxa"/>
          </w:tblCellMar>
        </w:tblPrEx>
        <w:trPr>
          <w:trHeight w:val="465"/>
        </w:trPr>
        <w:tc>
          <w:tcPr>
            <w:tcW w:w="737" w:type="dxa"/>
            <w:noWrap/>
            <w:hideMark/>
          </w:tcPr>
          <w:p w14:paraId="402D476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7750</w:t>
            </w:r>
          </w:p>
        </w:tc>
        <w:tc>
          <w:tcPr>
            <w:tcW w:w="1559" w:type="dxa"/>
            <w:noWrap/>
            <w:hideMark/>
          </w:tcPr>
          <w:p w14:paraId="2418B43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Yates Avenue Public School</w:t>
            </w:r>
          </w:p>
        </w:tc>
        <w:tc>
          <w:tcPr>
            <w:tcW w:w="709" w:type="dxa"/>
            <w:noWrap/>
            <w:hideMark/>
          </w:tcPr>
          <w:p w14:paraId="62C5DF7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5C19E6D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68BA8CF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57BDDF8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Yates Ave</w:t>
            </w:r>
          </w:p>
        </w:tc>
        <w:tc>
          <w:tcPr>
            <w:tcW w:w="1134" w:type="dxa"/>
            <w:noWrap/>
            <w:hideMark/>
          </w:tcPr>
          <w:p w14:paraId="2A35200D"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531B5C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25.4</w:t>
            </w:r>
          </w:p>
        </w:tc>
        <w:tc>
          <w:tcPr>
            <w:tcW w:w="1134" w:type="dxa"/>
            <w:noWrap/>
            <w:hideMark/>
          </w:tcPr>
          <w:p w14:paraId="5BBF3D6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134" w:type="dxa"/>
            <w:noWrap/>
            <w:hideMark/>
          </w:tcPr>
          <w:p w14:paraId="52A3691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62046F6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33</w:t>
            </w:r>
          </w:p>
        </w:tc>
        <w:tc>
          <w:tcPr>
            <w:tcW w:w="1417" w:type="dxa"/>
            <w:noWrap/>
            <w:hideMark/>
          </w:tcPr>
          <w:p w14:paraId="5F33860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w:t>
            </w:r>
          </w:p>
        </w:tc>
      </w:tr>
      <w:tr w:rsidR="006716B4" w:rsidRPr="006716B4" w14:paraId="354F11E1" w14:textId="77777777" w:rsidTr="001367E0">
        <w:tblPrEx>
          <w:tblCellMar>
            <w:left w:w="108" w:type="dxa"/>
            <w:right w:w="108" w:type="dxa"/>
          </w:tblCellMar>
        </w:tblPrEx>
        <w:trPr>
          <w:trHeight w:val="465"/>
        </w:trPr>
        <w:tc>
          <w:tcPr>
            <w:tcW w:w="737" w:type="dxa"/>
            <w:noWrap/>
            <w:hideMark/>
          </w:tcPr>
          <w:p w14:paraId="4B568190"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10548</w:t>
            </w:r>
          </w:p>
        </w:tc>
        <w:tc>
          <w:tcPr>
            <w:tcW w:w="1559" w:type="dxa"/>
            <w:noWrap/>
            <w:hideMark/>
          </w:tcPr>
          <w:p w14:paraId="50B55185"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Yoogali Public School</w:t>
            </w:r>
          </w:p>
        </w:tc>
        <w:tc>
          <w:tcPr>
            <w:tcW w:w="709" w:type="dxa"/>
            <w:noWrap/>
            <w:hideMark/>
          </w:tcPr>
          <w:p w14:paraId="57053DD9"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7F22823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2.2.2</w:t>
            </w:r>
          </w:p>
        </w:tc>
        <w:tc>
          <w:tcPr>
            <w:tcW w:w="1134" w:type="dxa"/>
            <w:noWrap/>
            <w:hideMark/>
          </w:tcPr>
          <w:p w14:paraId="69E9CC9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495ADCFA"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 East St</w:t>
            </w:r>
          </w:p>
        </w:tc>
        <w:tc>
          <w:tcPr>
            <w:tcW w:w="1134" w:type="dxa"/>
            <w:noWrap/>
            <w:hideMark/>
          </w:tcPr>
          <w:p w14:paraId="3DDC4307"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4604461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36.0</w:t>
            </w:r>
          </w:p>
        </w:tc>
        <w:tc>
          <w:tcPr>
            <w:tcW w:w="1134" w:type="dxa"/>
            <w:noWrap/>
            <w:hideMark/>
          </w:tcPr>
          <w:p w14:paraId="2D011B4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50.0</w:t>
            </w:r>
          </w:p>
        </w:tc>
        <w:tc>
          <w:tcPr>
            <w:tcW w:w="1134" w:type="dxa"/>
            <w:noWrap/>
            <w:hideMark/>
          </w:tcPr>
          <w:p w14:paraId="1E80142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3291560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9</w:t>
            </w:r>
          </w:p>
        </w:tc>
        <w:tc>
          <w:tcPr>
            <w:tcW w:w="1417" w:type="dxa"/>
            <w:noWrap/>
            <w:hideMark/>
          </w:tcPr>
          <w:p w14:paraId="0C9E7083"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w:t>
            </w:r>
          </w:p>
        </w:tc>
      </w:tr>
      <w:tr w:rsidR="006716B4" w:rsidRPr="006716B4" w14:paraId="15EBEF67" w14:textId="77777777" w:rsidTr="001367E0">
        <w:tblPrEx>
          <w:tblCellMar>
            <w:left w:w="108" w:type="dxa"/>
            <w:right w:w="108" w:type="dxa"/>
          </w:tblCellMar>
        </w:tblPrEx>
        <w:trPr>
          <w:trHeight w:val="465"/>
        </w:trPr>
        <w:tc>
          <w:tcPr>
            <w:tcW w:w="737" w:type="dxa"/>
            <w:noWrap/>
            <w:hideMark/>
          </w:tcPr>
          <w:p w14:paraId="356DB8BC"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10722</w:t>
            </w:r>
          </w:p>
        </w:tc>
        <w:tc>
          <w:tcPr>
            <w:tcW w:w="1559" w:type="dxa"/>
            <w:noWrap/>
            <w:hideMark/>
          </w:tcPr>
          <w:p w14:paraId="4D54CF8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York Public School</w:t>
            </w:r>
          </w:p>
        </w:tc>
        <w:tc>
          <w:tcPr>
            <w:tcW w:w="709" w:type="dxa"/>
            <w:noWrap/>
            <w:hideMark/>
          </w:tcPr>
          <w:p w14:paraId="49AA2F9B"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0F124AD"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1.1</w:t>
            </w:r>
          </w:p>
        </w:tc>
        <w:tc>
          <w:tcPr>
            <w:tcW w:w="1134" w:type="dxa"/>
            <w:noWrap/>
            <w:hideMark/>
          </w:tcPr>
          <w:p w14:paraId="5E18D2BE"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3,5</w:t>
            </w:r>
          </w:p>
        </w:tc>
        <w:tc>
          <w:tcPr>
            <w:tcW w:w="1843" w:type="dxa"/>
            <w:noWrap/>
            <w:hideMark/>
          </w:tcPr>
          <w:p w14:paraId="7959B151"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Evan St</w:t>
            </w:r>
          </w:p>
        </w:tc>
        <w:tc>
          <w:tcPr>
            <w:tcW w:w="1134" w:type="dxa"/>
            <w:noWrap/>
            <w:hideMark/>
          </w:tcPr>
          <w:p w14:paraId="00F458A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8F9CB9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24.2</w:t>
            </w:r>
          </w:p>
        </w:tc>
        <w:tc>
          <w:tcPr>
            <w:tcW w:w="1134" w:type="dxa"/>
            <w:noWrap/>
            <w:hideMark/>
          </w:tcPr>
          <w:p w14:paraId="62055B2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38.9</w:t>
            </w:r>
          </w:p>
        </w:tc>
        <w:tc>
          <w:tcPr>
            <w:tcW w:w="1134" w:type="dxa"/>
            <w:noWrap/>
            <w:hideMark/>
          </w:tcPr>
          <w:p w14:paraId="02866B3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9CBEF79"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57</w:t>
            </w:r>
          </w:p>
        </w:tc>
        <w:tc>
          <w:tcPr>
            <w:tcW w:w="1417" w:type="dxa"/>
            <w:noWrap/>
            <w:hideMark/>
          </w:tcPr>
          <w:p w14:paraId="1FAEF4A4"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7</w:t>
            </w:r>
          </w:p>
        </w:tc>
      </w:tr>
      <w:tr w:rsidR="006716B4" w:rsidRPr="006716B4" w14:paraId="19CE344B" w14:textId="77777777" w:rsidTr="001367E0">
        <w:tblPrEx>
          <w:tblCellMar>
            <w:left w:w="108" w:type="dxa"/>
            <w:right w:w="108" w:type="dxa"/>
          </w:tblCellMar>
        </w:tblPrEx>
        <w:trPr>
          <w:trHeight w:val="465"/>
        </w:trPr>
        <w:tc>
          <w:tcPr>
            <w:tcW w:w="737" w:type="dxa"/>
            <w:noWrap/>
            <w:hideMark/>
          </w:tcPr>
          <w:p w14:paraId="174C0242"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10298</w:t>
            </w:r>
          </w:p>
        </w:tc>
        <w:tc>
          <w:tcPr>
            <w:tcW w:w="1559" w:type="dxa"/>
            <w:noWrap/>
            <w:hideMark/>
          </w:tcPr>
          <w:p w14:paraId="59FF6E86"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Young High School</w:t>
            </w:r>
          </w:p>
        </w:tc>
        <w:tc>
          <w:tcPr>
            <w:tcW w:w="709" w:type="dxa"/>
            <w:noWrap/>
            <w:hideMark/>
          </w:tcPr>
          <w:p w14:paraId="373FEEA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DEC</w:t>
            </w:r>
          </w:p>
        </w:tc>
        <w:tc>
          <w:tcPr>
            <w:tcW w:w="992" w:type="dxa"/>
            <w:noWrap/>
            <w:hideMark/>
          </w:tcPr>
          <w:p w14:paraId="2AB2A288"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2.2.1</w:t>
            </w:r>
          </w:p>
        </w:tc>
        <w:tc>
          <w:tcPr>
            <w:tcW w:w="1134" w:type="dxa"/>
            <w:noWrap/>
            <w:hideMark/>
          </w:tcPr>
          <w:p w14:paraId="2212018B"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Yr 7</w:t>
            </w:r>
          </w:p>
        </w:tc>
        <w:tc>
          <w:tcPr>
            <w:tcW w:w="1843" w:type="dxa"/>
            <w:noWrap/>
            <w:hideMark/>
          </w:tcPr>
          <w:p w14:paraId="27D1E593"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Campbell St</w:t>
            </w:r>
          </w:p>
        </w:tc>
        <w:tc>
          <w:tcPr>
            <w:tcW w:w="1134" w:type="dxa"/>
            <w:noWrap/>
            <w:hideMark/>
          </w:tcPr>
          <w:p w14:paraId="3A60F518" w14:textId="77777777" w:rsidR="006716B4" w:rsidRPr="006716B4" w:rsidRDefault="006716B4" w:rsidP="006716B4">
            <w:pPr>
              <w:rPr>
                <w:rFonts w:eastAsia="Times New Roman" w:cs="Times New Roman"/>
                <w:color w:val="000000"/>
                <w:sz w:val="18"/>
                <w:szCs w:val="18"/>
                <w:lang w:eastAsia="en-AU"/>
              </w:rPr>
            </w:pPr>
            <w:r w:rsidRPr="006716B4">
              <w:rPr>
                <w:rFonts w:eastAsia="Times New Roman" w:cs="Times New Roman"/>
                <w:color w:val="000000"/>
                <w:sz w:val="18"/>
                <w:szCs w:val="18"/>
                <w:lang w:eastAsia="en-AU"/>
              </w:rPr>
              <w:t>SP</w:t>
            </w:r>
          </w:p>
        </w:tc>
        <w:tc>
          <w:tcPr>
            <w:tcW w:w="1276" w:type="dxa"/>
            <w:noWrap/>
            <w:hideMark/>
          </w:tcPr>
          <w:p w14:paraId="34A77881"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37.8</w:t>
            </w:r>
          </w:p>
        </w:tc>
        <w:tc>
          <w:tcPr>
            <w:tcW w:w="1134" w:type="dxa"/>
            <w:noWrap/>
            <w:hideMark/>
          </w:tcPr>
          <w:p w14:paraId="17C6BE17"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23.1</w:t>
            </w:r>
          </w:p>
        </w:tc>
        <w:tc>
          <w:tcPr>
            <w:tcW w:w="1134" w:type="dxa"/>
            <w:noWrap/>
            <w:hideMark/>
          </w:tcPr>
          <w:p w14:paraId="3E7727EF"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0.0</w:t>
            </w:r>
          </w:p>
        </w:tc>
        <w:tc>
          <w:tcPr>
            <w:tcW w:w="1276" w:type="dxa"/>
            <w:noWrap/>
            <w:hideMark/>
          </w:tcPr>
          <w:p w14:paraId="7C43E2C6"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152</w:t>
            </w:r>
          </w:p>
        </w:tc>
        <w:tc>
          <w:tcPr>
            <w:tcW w:w="1417" w:type="dxa"/>
            <w:noWrap/>
            <w:hideMark/>
          </w:tcPr>
          <w:p w14:paraId="535FB5CC" w14:textId="77777777" w:rsidR="006716B4" w:rsidRPr="006716B4" w:rsidRDefault="006716B4" w:rsidP="006716B4">
            <w:pPr>
              <w:jc w:val="right"/>
              <w:rPr>
                <w:rFonts w:eastAsia="Times New Roman" w:cs="Times New Roman"/>
                <w:color w:val="000000"/>
                <w:sz w:val="18"/>
                <w:szCs w:val="18"/>
                <w:lang w:eastAsia="en-AU"/>
              </w:rPr>
            </w:pPr>
            <w:r w:rsidRPr="006716B4">
              <w:rPr>
                <w:rFonts w:eastAsia="Times New Roman" w:cs="Times New Roman"/>
                <w:color w:val="000000"/>
                <w:sz w:val="18"/>
                <w:szCs w:val="18"/>
                <w:lang w:eastAsia="en-AU"/>
              </w:rPr>
              <w:t>6</w:t>
            </w:r>
          </w:p>
        </w:tc>
      </w:tr>
      <w:tr w:rsidR="00107BB9" w:rsidRPr="00107BB9" w14:paraId="6F99522E" w14:textId="77777777" w:rsidTr="001367E0">
        <w:tblPrEx>
          <w:tblCellMar>
            <w:left w:w="108" w:type="dxa"/>
            <w:right w:w="108" w:type="dxa"/>
          </w:tblCellMar>
        </w:tblPrEx>
        <w:trPr>
          <w:trHeight w:val="465"/>
        </w:trPr>
        <w:tc>
          <w:tcPr>
            <w:tcW w:w="737" w:type="dxa"/>
            <w:noWrap/>
            <w:hideMark/>
          </w:tcPr>
          <w:p w14:paraId="4E8D80F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1306</w:t>
            </w:r>
          </w:p>
        </w:tc>
        <w:tc>
          <w:tcPr>
            <w:tcW w:w="1559" w:type="dxa"/>
            <w:noWrap/>
            <w:hideMark/>
          </w:tcPr>
          <w:p w14:paraId="259A926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All Hallows Primary School</w:t>
            </w:r>
          </w:p>
        </w:tc>
        <w:tc>
          <w:tcPr>
            <w:tcW w:w="709" w:type="dxa"/>
            <w:noWrap/>
            <w:hideMark/>
          </w:tcPr>
          <w:p w14:paraId="35F026A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906CFD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55F834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C3B37E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Halley St</w:t>
            </w:r>
          </w:p>
        </w:tc>
        <w:tc>
          <w:tcPr>
            <w:tcW w:w="1134" w:type="dxa"/>
            <w:noWrap/>
            <w:hideMark/>
          </w:tcPr>
          <w:p w14:paraId="36DC199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4CEA81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6.7</w:t>
            </w:r>
          </w:p>
        </w:tc>
        <w:tc>
          <w:tcPr>
            <w:tcW w:w="1134" w:type="dxa"/>
            <w:noWrap/>
            <w:hideMark/>
          </w:tcPr>
          <w:p w14:paraId="7714872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992A1F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95D3C4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w:t>
            </w:r>
          </w:p>
        </w:tc>
        <w:tc>
          <w:tcPr>
            <w:tcW w:w="1417" w:type="dxa"/>
            <w:noWrap/>
            <w:hideMark/>
          </w:tcPr>
          <w:p w14:paraId="48DD5F2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7758903" w14:textId="77777777" w:rsidTr="001367E0">
        <w:tblPrEx>
          <w:tblCellMar>
            <w:left w:w="108" w:type="dxa"/>
            <w:right w:w="108" w:type="dxa"/>
          </w:tblCellMar>
        </w:tblPrEx>
        <w:trPr>
          <w:trHeight w:val="465"/>
        </w:trPr>
        <w:tc>
          <w:tcPr>
            <w:tcW w:w="737" w:type="dxa"/>
            <w:noWrap/>
            <w:hideMark/>
          </w:tcPr>
          <w:p w14:paraId="67F2B32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1305</w:t>
            </w:r>
          </w:p>
        </w:tc>
        <w:tc>
          <w:tcPr>
            <w:tcW w:w="1559" w:type="dxa"/>
            <w:noWrap/>
            <w:hideMark/>
          </w:tcPr>
          <w:p w14:paraId="64D0F14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All Hallow's Primary School</w:t>
            </w:r>
          </w:p>
        </w:tc>
        <w:tc>
          <w:tcPr>
            <w:tcW w:w="709" w:type="dxa"/>
            <w:noWrap/>
            <w:hideMark/>
          </w:tcPr>
          <w:p w14:paraId="3EC6385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56D51B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5DE535C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D4CA14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Bayly Street</w:t>
            </w:r>
          </w:p>
        </w:tc>
        <w:tc>
          <w:tcPr>
            <w:tcW w:w="1134" w:type="dxa"/>
            <w:noWrap/>
            <w:hideMark/>
          </w:tcPr>
          <w:p w14:paraId="3FD505E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6A503D3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26.6</w:t>
            </w:r>
          </w:p>
        </w:tc>
        <w:tc>
          <w:tcPr>
            <w:tcW w:w="1134" w:type="dxa"/>
            <w:noWrap/>
            <w:hideMark/>
          </w:tcPr>
          <w:p w14:paraId="2349601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0F7340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693F82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w:t>
            </w:r>
          </w:p>
        </w:tc>
        <w:tc>
          <w:tcPr>
            <w:tcW w:w="1417" w:type="dxa"/>
            <w:noWrap/>
            <w:hideMark/>
          </w:tcPr>
          <w:p w14:paraId="65A4344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AC98A68" w14:textId="77777777" w:rsidTr="001367E0">
        <w:tblPrEx>
          <w:tblCellMar>
            <w:left w:w="108" w:type="dxa"/>
            <w:right w:w="108" w:type="dxa"/>
          </w:tblCellMar>
        </w:tblPrEx>
        <w:trPr>
          <w:trHeight w:val="465"/>
        </w:trPr>
        <w:tc>
          <w:tcPr>
            <w:tcW w:w="737" w:type="dxa"/>
            <w:noWrap/>
            <w:hideMark/>
          </w:tcPr>
          <w:p w14:paraId="23162B6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1522</w:t>
            </w:r>
          </w:p>
        </w:tc>
        <w:tc>
          <w:tcPr>
            <w:tcW w:w="1559" w:type="dxa"/>
            <w:noWrap/>
            <w:hideMark/>
          </w:tcPr>
          <w:p w14:paraId="248BFD2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All Saints Catholic Boys' College</w:t>
            </w:r>
          </w:p>
        </w:tc>
        <w:tc>
          <w:tcPr>
            <w:tcW w:w="709" w:type="dxa"/>
            <w:noWrap/>
            <w:hideMark/>
          </w:tcPr>
          <w:p w14:paraId="297BF99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4220A3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8EDBD7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538A328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43 Bigge Street</w:t>
            </w:r>
          </w:p>
        </w:tc>
        <w:tc>
          <w:tcPr>
            <w:tcW w:w="1134" w:type="dxa"/>
            <w:noWrap/>
            <w:hideMark/>
          </w:tcPr>
          <w:p w14:paraId="77C15D0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5019C1C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20.8</w:t>
            </w:r>
          </w:p>
        </w:tc>
        <w:tc>
          <w:tcPr>
            <w:tcW w:w="1134" w:type="dxa"/>
            <w:noWrap/>
            <w:hideMark/>
          </w:tcPr>
          <w:p w14:paraId="072C0E5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56.3</w:t>
            </w:r>
          </w:p>
        </w:tc>
        <w:tc>
          <w:tcPr>
            <w:tcW w:w="1134" w:type="dxa"/>
            <w:noWrap/>
            <w:hideMark/>
          </w:tcPr>
          <w:p w14:paraId="402FF78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B37C58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111</w:t>
            </w:r>
          </w:p>
        </w:tc>
        <w:tc>
          <w:tcPr>
            <w:tcW w:w="1417" w:type="dxa"/>
            <w:noWrap/>
            <w:hideMark/>
          </w:tcPr>
          <w:p w14:paraId="75A2349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w:t>
            </w:r>
          </w:p>
        </w:tc>
      </w:tr>
      <w:tr w:rsidR="00107BB9" w:rsidRPr="00107BB9" w14:paraId="0FF0EC07" w14:textId="77777777" w:rsidTr="001367E0">
        <w:tblPrEx>
          <w:tblCellMar>
            <w:left w:w="108" w:type="dxa"/>
            <w:right w:w="108" w:type="dxa"/>
          </w:tblCellMar>
        </w:tblPrEx>
        <w:trPr>
          <w:trHeight w:val="465"/>
        </w:trPr>
        <w:tc>
          <w:tcPr>
            <w:tcW w:w="737" w:type="dxa"/>
            <w:noWrap/>
            <w:hideMark/>
          </w:tcPr>
          <w:p w14:paraId="50CF9F1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1831</w:t>
            </w:r>
          </w:p>
        </w:tc>
        <w:tc>
          <w:tcPr>
            <w:tcW w:w="1559" w:type="dxa"/>
            <w:noWrap/>
            <w:hideMark/>
          </w:tcPr>
          <w:p w14:paraId="4817BB3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All Saints Catholic Girls' College</w:t>
            </w:r>
          </w:p>
        </w:tc>
        <w:tc>
          <w:tcPr>
            <w:tcW w:w="709" w:type="dxa"/>
            <w:noWrap/>
            <w:hideMark/>
          </w:tcPr>
          <w:p w14:paraId="517699E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DFB1A1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3524E92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64106BB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53 Bigge Street</w:t>
            </w:r>
          </w:p>
        </w:tc>
        <w:tc>
          <w:tcPr>
            <w:tcW w:w="1134" w:type="dxa"/>
            <w:noWrap/>
            <w:hideMark/>
          </w:tcPr>
          <w:p w14:paraId="6501CF7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18186C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19.0</w:t>
            </w:r>
          </w:p>
        </w:tc>
        <w:tc>
          <w:tcPr>
            <w:tcW w:w="1134" w:type="dxa"/>
            <w:noWrap/>
            <w:hideMark/>
          </w:tcPr>
          <w:p w14:paraId="311BC1F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10EC82B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C5E53A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106</w:t>
            </w:r>
          </w:p>
        </w:tc>
        <w:tc>
          <w:tcPr>
            <w:tcW w:w="1417" w:type="dxa"/>
            <w:noWrap/>
            <w:hideMark/>
          </w:tcPr>
          <w:p w14:paraId="29BB427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w:t>
            </w:r>
          </w:p>
        </w:tc>
      </w:tr>
      <w:tr w:rsidR="00107BB9" w:rsidRPr="00107BB9" w14:paraId="4AC5F1B2" w14:textId="77777777" w:rsidTr="001367E0">
        <w:tblPrEx>
          <w:tblCellMar>
            <w:left w:w="108" w:type="dxa"/>
            <w:right w:w="108" w:type="dxa"/>
          </w:tblCellMar>
        </w:tblPrEx>
        <w:trPr>
          <w:trHeight w:val="465"/>
        </w:trPr>
        <w:tc>
          <w:tcPr>
            <w:tcW w:w="737" w:type="dxa"/>
            <w:noWrap/>
            <w:hideMark/>
          </w:tcPr>
          <w:p w14:paraId="289B8F8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1839</w:t>
            </w:r>
          </w:p>
        </w:tc>
        <w:tc>
          <w:tcPr>
            <w:tcW w:w="1559" w:type="dxa"/>
            <w:noWrap/>
            <w:hideMark/>
          </w:tcPr>
          <w:p w14:paraId="72DCFBD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All Saints Catholic Primary School</w:t>
            </w:r>
          </w:p>
        </w:tc>
        <w:tc>
          <w:tcPr>
            <w:tcW w:w="709" w:type="dxa"/>
            <w:noWrap/>
            <w:hideMark/>
          </w:tcPr>
          <w:p w14:paraId="22B7296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7BB047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CA82D9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AE9CF3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George Street</w:t>
            </w:r>
          </w:p>
        </w:tc>
        <w:tc>
          <w:tcPr>
            <w:tcW w:w="1134" w:type="dxa"/>
            <w:noWrap/>
            <w:hideMark/>
          </w:tcPr>
          <w:p w14:paraId="66BEAD1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C035C3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14.8</w:t>
            </w:r>
          </w:p>
        </w:tc>
        <w:tc>
          <w:tcPr>
            <w:tcW w:w="1134" w:type="dxa"/>
            <w:noWrap/>
            <w:hideMark/>
          </w:tcPr>
          <w:p w14:paraId="67F4A1E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62.5</w:t>
            </w:r>
          </w:p>
        </w:tc>
        <w:tc>
          <w:tcPr>
            <w:tcW w:w="1134" w:type="dxa"/>
            <w:noWrap/>
            <w:hideMark/>
          </w:tcPr>
          <w:p w14:paraId="2EF446E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C4FFA6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53</w:t>
            </w:r>
          </w:p>
        </w:tc>
        <w:tc>
          <w:tcPr>
            <w:tcW w:w="1417" w:type="dxa"/>
            <w:noWrap/>
            <w:hideMark/>
          </w:tcPr>
          <w:p w14:paraId="53464B5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w:t>
            </w:r>
          </w:p>
        </w:tc>
      </w:tr>
      <w:tr w:rsidR="00107BB9" w:rsidRPr="00107BB9" w14:paraId="3697E8AC" w14:textId="77777777" w:rsidTr="001367E0">
        <w:tblPrEx>
          <w:tblCellMar>
            <w:left w:w="108" w:type="dxa"/>
            <w:right w:w="108" w:type="dxa"/>
          </w:tblCellMar>
        </w:tblPrEx>
        <w:trPr>
          <w:trHeight w:val="465"/>
        </w:trPr>
        <w:tc>
          <w:tcPr>
            <w:tcW w:w="737" w:type="dxa"/>
            <w:noWrap/>
            <w:hideMark/>
          </w:tcPr>
          <w:p w14:paraId="26D61B5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5271</w:t>
            </w:r>
          </w:p>
        </w:tc>
        <w:tc>
          <w:tcPr>
            <w:tcW w:w="1559" w:type="dxa"/>
            <w:noWrap/>
            <w:hideMark/>
          </w:tcPr>
          <w:p w14:paraId="7EE4DFF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Casimir Catholic College</w:t>
            </w:r>
          </w:p>
        </w:tc>
        <w:tc>
          <w:tcPr>
            <w:tcW w:w="709" w:type="dxa"/>
            <w:noWrap/>
            <w:hideMark/>
          </w:tcPr>
          <w:p w14:paraId="2D7088A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1384A6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78B77C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3C7E309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200 Livingstone Road</w:t>
            </w:r>
          </w:p>
        </w:tc>
        <w:tc>
          <w:tcPr>
            <w:tcW w:w="1134" w:type="dxa"/>
            <w:noWrap/>
            <w:hideMark/>
          </w:tcPr>
          <w:p w14:paraId="501B902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4C7562C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22.7</w:t>
            </w:r>
          </w:p>
        </w:tc>
        <w:tc>
          <w:tcPr>
            <w:tcW w:w="1134" w:type="dxa"/>
            <w:noWrap/>
            <w:hideMark/>
          </w:tcPr>
          <w:p w14:paraId="4E5B8B3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20.0</w:t>
            </w:r>
          </w:p>
        </w:tc>
        <w:tc>
          <w:tcPr>
            <w:tcW w:w="1134" w:type="dxa"/>
            <w:noWrap/>
            <w:hideMark/>
          </w:tcPr>
          <w:p w14:paraId="28F8A0C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53D16C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114</w:t>
            </w:r>
          </w:p>
        </w:tc>
        <w:tc>
          <w:tcPr>
            <w:tcW w:w="1417" w:type="dxa"/>
            <w:noWrap/>
            <w:hideMark/>
          </w:tcPr>
          <w:p w14:paraId="739F053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66625E1C" w14:textId="77777777" w:rsidTr="001367E0">
        <w:tblPrEx>
          <w:tblCellMar>
            <w:left w:w="108" w:type="dxa"/>
            <w:right w:w="108" w:type="dxa"/>
          </w:tblCellMar>
        </w:tblPrEx>
        <w:trPr>
          <w:trHeight w:val="465"/>
        </w:trPr>
        <w:tc>
          <w:tcPr>
            <w:tcW w:w="737" w:type="dxa"/>
            <w:noWrap/>
            <w:hideMark/>
          </w:tcPr>
          <w:p w14:paraId="7CC5D24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1354</w:t>
            </w:r>
          </w:p>
        </w:tc>
        <w:tc>
          <w:tcPr>
            <w:tcW w:w="1559" w:type="dxa"/>
            <w:noWrap/>
            <w:hideMark/>
          </w:tcPr>
          <w:p w14:paraId="4C216FD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Christ the King Primary School</w:t>
            </w:r>
          </w:p>
        </w:tc>
        <w:tc>
          <w:tcPr>
            <w:tcW w:w="709" w:type="dxa"/>
            <w:noWrap/>
            <w:hideMark/>
          </w:tcPr>
          <w:p w14:paraId="39CCA13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A50819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D8908F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D2A276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Cantrell Street</w:t>
            </w:r>
          </w:p>
        </w:tc>
        <w:tc>
          <w:tcPr>
            <w:tcW w:w="1134" w:type="dxa"/>
            <w:noWrap/>
            <w:hideMark/>
          </w:tcPr>
          <w:p w14:paraId="25375AE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57A68B9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6.7</w:t>
            </w:r>
          </w:p>
        </w:tc>
        <w:tc>
          <w:tcPr>
            <w:tcW w:w="1134" w:type="dxa"/>
            <w:noWrap/>
            <w:hideMark/>
          </w:tcPr>
          <w:p w14:paraId="2B45BA2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2D03610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5AD405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w:t>
            </w:r>
          </w:p>
        </w:tc>
        <w:tc>
          <w:tcPr>
            <w:tcW w:w="1417" w:type="dxa"/>
            <w:noWrap/>
            <w:hideMark/>
          </w:tcPr>
          <w:p w14:paraId="128A802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330EE9D1" w14:textId="77777777" w:rsidTr="001367E0">
        <w:tblPrEx>
          <w:tblCellMar>
            <w:left w:w="108" w:type="dxa"/>
            <w:right w:w="108" w:type="dxa"/>
          </w:tblCellMar>
        </w:tblPrEx>
        <w:trPr>
          <w:trHeight w:val="465"/>
        </w:trPr>
        <w:tc>
          <w:tcPr>
            <w:tcW w:w="737" w:type="dxa"/>
            <w:noWrap/>
            <w:hideMark/>
          </w:tcPr>
          <w:p w14:paraId="66C1362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1360</w:t>
            </w:r>
          </w:p>
        </w:tc>
        <w:tc>
          <w:tcPr>
            <w:tcW w:w="1559" w:type="dxa"/>
            <w:noWrap/>
            <w:hideMark/>
          </w:tcPr>
          <w:p w14:paraId="1D4687A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Corpus Christi Primary School</w:t>
            </w:r>
          </w:p>
        </w:tc>
        <w:tc>
          <w:tcPr>
            <w:tcW w:w="709" w:type="dxa"/>
            <w:noWrap/>
            <w:hideMark/>
          </w:tcPr>
          <w:p w14:paraId="35CEC83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8E3C8C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134" w:type="dxa"/>
            <w:noWrap/>
            <w:hideMark/>
          </w:tcPr>
          <w:p w14:paraId="359B9D7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DF3D5A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Platt Street</w:t>
            </w:r>
          </w:p>
        </w:tc>
        <w:tc>
          <w:tcPr>
            <w:tcW w:w="1134" w:type="dxa"/>
            <w:noWrap/>
            <w:hideMark/>
          </w:tcPr>
          <w:p w14:paraId="7E57A30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03165B6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15.0</w:t>
            </w:r>
          </w:p>
        </w:tc>
        <w:tc>
          <w:tcPr>
            <w:tcW w:w="1134" w:type="dxa"/>
            <w:noWrap/>
            <w:hideMark/>
          </w:tcPr>
          <w:p w14:paraId="0BBE1F4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17C2562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570474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w:t>
            </w:r>
          </w:p>
        </w:tc>
        <w:tc>
          <w:tcPr>
            <w:tcW w:w="1417" w:type="dxa"/>
            <w:noWrap/>
            <w:hideMark/>
          </w:tcPr>
          <w:p w14:paraId="0F6BBBC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w:t>
            </w:r>
          </w:p>
        </w:tc>
      </w:tr>
      <w:tr w:rsidR="00107BB9" w:rsidRPr="00107BB9" w14:paraId="41C5C0E3" w14:textId="77777777" w:rsidTr="001367E0">
        <w:tblPrEx>
          <w:tblCellMar>
            <w:left w:w="108" w:type="dxa"/>
            <w:right w:w="108" w:type="dxa"/>
          </w:tblCellMar>
        </w:tblPrEx>
        <w:trPr>
          <w:trHeight w:val="465"/>
        </w:trPr>
        <w:tc>
          <w:tcPr>
            <w:tcW w:w="737" w:type="dxa"/>
            <w:noWrap/>
            <w:hideMark/>
          </w:tcPr>
          <w:p w14:paraId="5E2CBB1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1365</w:t>
            </w:r>
          </w:p>
        </w:tc>
        <w:tc>
          <w:tcPr>
            <w:tcW w:w="1559" w:type="dxa"/>
            <w:noWrap/>
            <w:hideMark/>
          </w:tcPr>
          <w:p w14:paraId="7511965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De La Salle College- Ashfield</w:t>
            </w:r>
          </w:p>
        </w:tc>
        <w:tc>
          <w:tcPr>
            <w:tcW w:w="709" w:type="dxa"/>
            <w:noWrap/>
            <w:hideMark/>
          </w:tcPr>
          <w:p w14:paraId="3EC06B7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6E72CA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DA9425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0162A92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24 Bland St</w:t>
            </w:r>
          </w:p>
        </w:tc>
        <w:tc>
          <w:tcPr>
            <w:tcW w:w="1134" w:type="dxa"/>
            <w:noWrap/>
            <w:hideMark/>
          </w:tcPr>
          <w:p w14:paraId="40FFCA5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002DDB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31.7</w:t>
            </w:r>
          </w:p>
        </w:tc>
        <w:tc>
          <w:tcPr>
            <w:tcW w:w="1134" w:type="dxa"/>
            <w:noWrap/>
            <w:hideMark/>
          </w:tcPr>
          <w:p w14:paraId="78FFFCC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F908B6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7418C1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92</w:t>
            </w:r>
          </w:p>
        </w:tc>
        <w:tc>
          <w:tcPr>
            <w:tcW w:w="1417" w:type="dxa"/>
            <w:noWrap/>
            <w:hideMark/>
          </w:tcPr>
          <w:p w14:paraId="68A94B9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10AD9FEF" w14:textId="77777777" w:rsidTr="001367E0">
        <w:tblPrEx>
          <w:tblCellMar>
            <w:left w:w="108" w:type="dxa"/>
            <w:right w:w="108" w:type="dxa"/>
          </w:tblCellMar>
        </w:tblPrEx>
        <w:trPr>
          <w:trHeight w:val="465"/>
        </w:trPr>
        <w:tc>
          <w:tcPr>
            <w:tcW w:w="737" w:type="dxa"/>
            <w:noWrap/>
            <w:hideMark/>
          </w:tcPr>
          <w:p w14:paraId="5A85A6E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1367</w:t>
            </w:r>
          </w:p>
        </w:tc>
        <w:tc>
          <w:tcPr>
            <w:tcW w:w="1559" w:type="dxa"/>
            <w:noWrap/>
            <w:hideMark/>
          </w:tcPr>
          <w:p w14:paraId="5461792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De La Salle College- Caringbah</w:t>
            </w:r>
          </w:p>
        </w:tc>
        <w:tc>
          <w:tcPr>
            <w:tcW w:w="709" w:type="dxa"/>
            <w:noWrap/>
            <w:hideMark/>
          </w:tcPr>
          <w:p w14:paraId="3A70FF8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C084A7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51CADD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3844D97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389 Port Hacking Road</w:t>
            </w:r>
          </w:p>
        </w:tc>
        <w:tc>
          <w:tcPr>
            <w:tcW w:w="1134" w:type="dxa"/>
            <w:noWrap/>
            <w:hideMark/>
          </w:tcPr>
          <w:p w14:paraId="44572FA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5FCAE9F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14.3</w:t>
            </w:r>
          </w:p>
        </w:tc>
        <w:tc>
          <w:tcPr>
            <w:tcW w:w="1134" w:type="dxa"/>
            <w:noWrap/>
            <w:hideMark/>
          </w:tcPr>
          <w:p w14:paraId="067E5E3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38F1CB6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F163E8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72</w:t>
            </w:r>
          </w:p>
        </w:tc>
        <w:tc>
          <w:tcPr>
            <w:tcW w:w="1417" w:type="dxa"/>
            <w:noWrap/>
            <w:hideMark/>
          </w:tcPr>
          <w:p w14:paraId="0369E61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r>
      <w:tr w:rsidR="00107BB9" w:rsidRPr="00107BB9" w14:paraId="09657652" w14:textId="77777777" w:rsidTr="001367E0">
        <w:tblPrEx>
          <w:tblCellMar>
            <w:left w:w="108" w:type="dxa"/>
            <w:right w:w="108" w:type="dxa"/>
          </w:tblCellMar>
        </w:tblPrEx>
        <w:trPr>
          <w:trHeight w:val="465"/>
        </w:trPr>
        <w:tc>
          <w:tcPr>
            <w:tcW w:w="737" w:type="dxa"/>
            <w:noWrap/>
            <w:hideMark/>
          </w:tcPr>
          <w:p w14:paraId="6FDD4C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1521</w:t>
            </w:r>
          </w:p>
        </w:tc>
        <w:tc>
          <w:tcPr>
            <w:tcW w:w="1559" w:type="dxa"/>
            <w:noWrap/>
            <w:hideMark/>
          </w:tcPr>
          <w:p w14:paraId="17CE5D9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Delany College</w:t>
            </w:r>
          </w:p>
        </w:tc>
        <w:tc>
          <w:tcPr>
            <w:tcW w:w="709" w:type="dxa"/>
            <w:noWrap/>
            <w:hideMark/>
          </w:tcPr>
          <w:p w14:paraId="62E955A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2C88B64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3C6636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3CDFCEB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Grimwood Street</w:t>
            </w:r>
          </w:p>
        </w:tc>
        <w:tc>
          <w:tcPr>
            <w:tcW w:w="1134" w:type="dxa"/>
            <w:noWrap/>
            <w:hideMark/>
          </w:tcPr>
          <w:p w14:paraId="710B199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51E1125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44.1</w:t>
            </w:r>
          </w:p>
        </w:tc>
        <w:tc>
          <w:tcPr>
            <w:tcW w:w="1134" w:type="dxa"/>
            <w:noWrap/>
            <w:hideMark/>
          </w:tcPr>
          <w:p w14:paraId="428969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2CA8C68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1D5F6D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123</w:t>
            </w:r>
          </w:p>
        </w:tc>
        <w:tc>
          <w:tcPr>
            <w:tcW w:w="1417" w:type="dxa"/>
            <w:noWrap/>
            <w:hideMark/>
          </w:tcPr>
          <w:p w14:paraId="686BC4B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685122C4" w14:textId="77777777" w:rsidTr="001367E0">
        <w:tblPrEx>
          <w:tblCellMar>
            <w:left w:w="108" w:type="dxa"/>
            <w:right w:w="108" w:type="dxa"/>
          </w:tblCellMar>
        </w:tblPrEx>
        <w:trPr>
          <w:trHeight w:val="465"/>
        </w:trPr>
        <w:tc>
          <w:tcPr>
            <w:tcW w:w="737" w:type="dxa"/>
            <w:noWrap/>
            <w:hideMark/>
          </w:tcPr>
          <w:p w14:paraId="1478EE3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15429</w:t>
            </w:r>
          </w:p>
        </w:tc>
        <w:tc>
          <w:tcPr>
            <w:tcW w:w="1559" w:type="dxa"/>
            <w:noWrap/>
            <w:hideMark/>
          </w:tcPr>
          <w:p w14:paraId="7E57D0A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Good Samaritan Catholic College</w:t>
            </w:r>
          </w:p>
        </w:tc>
        <w:tc>
          <w:tcPr>
            <w:tcW w:w="709" w:type="dxa"/>
            <w:noWrap/>
            <w:hideMark/>
          </w:tcPr>
          <w:p w14:paraId="09EC8F9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34DE73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EAC859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6B8D024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401 Hoxton Park Road</w:t>
            </w:r>
          </w:p>
        </w:tc>
        <w:tc>
          <w:tcPr>
            <w:tcW w:w="1134" w:type="dxa"/>
            <w:noWrap/>
            <w:hideMark/>
          </w:tcPr>
          <w:p w14:paraId="1B9D990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0804EB7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20.7</w:t>
            </w:r>
          </w:p>
        </w:tc>
        <w:tc>
          <w:tcPr>
            <w:tcW w:w="1134" w:type="dxa"/>
            <w:noWrap/>
            <w:hideMark/>
          </w:tcPr>
          <w:p w14:paraId="3FCA6EC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7.1</w:t>
            </w:r>
          </w:p>
        </w:tc>
        <w:tc>
          <w:tcPr>
            <w:tcW w:w="1134" w:type="dxa"/>
            <w:noWrap/>
            <w:hideMark/>
          </w:tcPr>
          <w:p w14:paraId="5409934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E62E3D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146</w:t>
            </w:r>
          </w:p>
        </w:tc>
        <w:tc>
          <w:tcPr>
            <w:tcW w:w="1417" w:type="dxa"/>
            <w:noWrap/>
            <w:hideMark/>
          </w:tcPr>
          <w:p w14:paraId="02CC07B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1F111070" w14:textId="77777777" w:rsidTr="001367E0">
        <w:tblPrEx>
          <w:tblCellMar>
            <w:left w:w="108" w:type="dxa"/>
            <w:right w:w="108" w:type="dxa"/>
          </w:tblCellMar>
        </w:tblPrEx>
        <w:trPr>
          <w:trHeight w:val="465"/>
        </w:trPr>
        <w:tc>
          <w:tcPr>
            <w:tcW w:w="737" w:type="dxa"/>
            <w:noWrap/>
            <w:hideMark/>
          </w:tcPr>
          <w:p w14:paraId="0BAF9BE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2344</w:t>
            </w:r>
          </w:p>
        </w:tc>
        <w:tc>
          <w:tcPr>
            <w:tcW w:w="1559" w:type="dxa"/>
            <w:noWrap/>
            <w:hideMark/>
          </w:tcPr>
          <w:p w14:paraId="6AFC266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Good Shepherd Primary School</w:t>
            </w:r>
          </w:p>
        </w:tc>
        <w:tc>
          <w:tcPr>
            <w:tcW w:w="709" w:type="dxa"/>
            <w:noWrap/>
            <w:hideMark/>
          </w:tcPr>
          <w:p w14:paraId="665A66E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52AA72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05C3B7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D62476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134 Hyatts Road</w:t>
            </w:r>
          </w:p>
        </w:tc>
        <w:tc>
          <w:tcPr>
            <w:tcW w:w="1134" w:type="dxa"/>
            <w:noWrap/>
            <w:hideMark/>
          </w:tcPr>
          <w:p w14:paraId="2E5B22D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7953C6A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22.6</w:t>
            </w:r>
          </w:p>
        </w:tc>
        <w:tc>
          <w:tcPr>
            <w:tcW w:w="1134" w:type="dxa"/>
            <w:noWrap/>
            <w:hideMark/>
          </w:tcPr>
          <w:p w14:paraId="1DF8D1E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25.0</w:t>
            </w:r>
          </w:p>
        </w:tc>
        <w:tc>
          <w:tcPr>
            <w:tcW w:w="1134" w:type="dxa"/>
            <w:noWrap/>
            <w:hideMark/>
          </w:tcPr>
          <w:p w14:paraId="6D987D1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E03480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88</w:t>
            </w:r>
          </w:p>
        </w:tc>
        <w:tc>
          <w:tcPr>
            <w:tcW w:w="1417" w:type="dxa"/>
            <w:noWrap/>
            <w:hideMark/>
          </w:tcPr>
          <w:p w14:paraId="2EEEED4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0A7E7DA1" w14:textId="77777777" w:rsidTr="001367E0">
        <w:tblPrEx>
          <w:tblCellMar>
            <w:left w:w="108" w:type="dxa"/>
            <w:right w:w="108" w:type="dxa"/>
          </w:tblCellMar>
        </w:tblPrEx>
        <w:trPr>
          <w:trHeight w:val="465"/>
        </w:trPr>
        <w:tc>
          <w:tcPr>
            <w:tcW w:w="737" w:type="dxa"/>
            <w:noWrap/>
            <w:hideMark/>
          </w:tcPr>
          <w:p w14:paraId="6CB05E2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13415</w:t>
            </w:r>
          </w:p>
        </w:tc>
        <w:tc>
          <w:tcPr>
            <w:tcW w:w="1559" w:type="dxa"/>
            <w:noWrap/>
            <w:hideMark/>
          </w:tcPr>
          <w:p w14:paraId="451899E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Holy Cross Catholic School</w:t>
            </w:r>
          </w:p>
        </w:tc>
        <w:tc>
          <w:tcPr>
            <w:tcW w:w="709" w:type="dxa"/>
            <w:noWrap/>
            <w:hideMark/>
          </w:tcPr>
          <w:p w14:paraId="5BD4A19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748B91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BF14B8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2EC096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37 Kincumber Street</w:t>
            </w:r>
          </w:p>
        </w:tc>
        <w:tc>
          <w:tcPr>
            <w:tcW w:w="1134" w:type="dxa"/>
            <w:noWrap/>
            <w:hideMark/>
          </w:tcPr>
          <w:p w14:paraId="7432BD6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5999806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12.0</w:t>
            </w:r>
          </w:p>
        </w:tc>
        <w:tc>
          <w:tcPr>
            <w:tcW w:w="1134" w:type="dxa"/>
            <w:noWrap/>
            <w:hideMark/>
          </w:tcPr>
          <w:p w14:paraId="70DF8A5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25.0</w:t>
            </w:r>
          </w:p>
        </w:tc>
        <w:tc>
          <w:tcPr>
            <w:tcW w:w="1134" w:type="dxa"/>
            <w:noWrap/>
            <w:hideMark/>
          </w:tcPr>
          <w:p w14:paraId="4ACA274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851D78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26</w:t>
            </w:r>
          </w:p>
        </w:tc>
        <w:tc>
          <w:tcPr>
            <w:tcW w:w="1417" w:type="dxa"/>
            <w:noWrap/>
            <w:hideMark/>
          </w:tcPr>
          <w:p w14:paraId="06C68F9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296DD4A7" w14:textId="77777777" w:rsidTr="001367E0">
        <w:tblPrEx>
          <w:tblCellMar>
            <w:left w:w="108" w:type="dxa"/>
            <w:right w:w="108" w:type="dxa"/>
          </w:tblCellMar>
        </w:tblPrEx>
        <w:trPr>
          <w:trHeight w:val="465"/>
        </w:trPr>
        <w:tc>
          <w:tcPr>
            <w:tcW w:w="737" w:type="dxa"/>
            <w:noWrap/>
            <w:hideMark/>
          </w:tcPr>
          <w:p w14:paraId="31A635B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1394</w:t>
            </w:r>
          </w:p>
        </w:tc>
        <w:tc>
          <w:tcPr>
            <w:tcW w:w="1559" w:type="dxa"/>
            <w:noWrap/>
            <w:hideMark/>
          </w:tcPr>
          <w:p w14:paraId="5066CDF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Holy Family Primary School</w:t>
            </w:r>
          </w:p>
        </w:tc>
        <w:tc>
          <w:tcPr>
            <w:tcW w:w="709" w:type="dxa"/>
            <w:noWrap/>
            <w:hideMark/>
          </w:tcPr>
          <w:p w14:paraId="12F7A66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1B800C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B01DA8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12A6FC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199 The Trongate</w:t>
            </w:r>
          </w:p>
        </w:tc>
        <w:tc>
          <w:tcPr>
            <w:tcW w:w="1134" w:type="dxa"/>
            <w:noWrap/>
            <w:hideMark/>
          </w:tcPr>
          <w:p w14:paraId="740DDD6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52F2E12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4AB3717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114270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D2A717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42</w:t>
            </w:r>
          </w:p>
        </w:tc>
        <w:tc>
          <w:tcPr>
            <w:tcW w:w="1417" w:type="dxa"/>
            <w:noWrap/>
            <w:hideMark/>
          </w:tcPr>
          <w:p w14:paraId="404EC87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04915E32" w14:textId="77777777" w:rsidTr="001367E0">
        <w:tblPrEx>
          <w:tblCellMar>
            <w:left w:w="108" w:type="dxa"/>
            <w:right w:w="108" w:type="dxa"/>
          </w:tblCellMar>
        </w:tblPrEx>
        <w:trPr>
          <w:trHeight w:val="465"/>
        </w:trPr>
        <w:tc>
          <w:tcPr>
            <w:tcW w:w="737" w:type="dxa"/>
            <w:noWrap/>
            <w:hideMark/>
          </w:tcPr>
          <w:p w14:paraId="7583C67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5904</w:t>
            </w:r>
          </w:p>
        </w:tc>
        <w:tc>
          <w:tcPr>
            <w:tcW w:w="1559" w:type="dxa"/>
            <w:noWrap/>
            <w:hideMark/>
          </w:tcPr>
          <w:p w14:paraId="5B6174C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Holy Family Primary School</w:t>
            </w:r>
          </w:p>
        </w:tc>
        <w:tc>
          <w:tcPr>
            <w:tcW w:w="709" w:type="dxa"/>
            <w:noWrap/>
            <w:hideMark/>
          </w:tcPr>
          <w:p w14:paraId="44C912D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0E580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2F8739C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1BF7C2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1D Anzac Road</w:t>
            </w:r>
          </w:p>
        </w:tc>
        <w:tc>
          <w:tcPr>
            <w:tcW w:w="1134" w:type="dxa"/>
            <w:noWrap/>
            <w:hideMark/>
          </w:tcPr>
          <w:p w14:paraId="5A0AB23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6764D8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w:t>
            </w:r>
          </w:p>
        </w:tc>
        <w:tc>
          <w:tcPr>
            <w:tcW w:w="1134" w:type="dxa"/>
            <w:noWrap/>
            <w:hideMark/>
          </w:tcPr>
          <w:p w14:paraId="22DA459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2AAD51C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628276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w:t>
            </w:r>
          </w:p>
        </w:tc>
        <w:tc>
          <w:tcPr>
            <w:tcW w:w="1417" w:type="dxa"/>
            <w:noWrap/>
            <w:hideMark/>
          </w:tcPr>
          <w:p w14:paraId="5D7C4C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2B85500" w14:textId="77777777" w:rsidTr="001367E0">
        <w:tblPrEx>
          <w:tblCellMar>
            <w:left w:w="108" w:type="dxa"/>
            <w:right w:w="108" w:type="dxa"/>
          </w:tblCellMar>
        </w:tblPrEx>
        <w:trPr>
          <w:trHeight w:val="465"/>
        </w:trPr>
        <w:tc>
          <w:tcPr>
            <w:tcW w:w="737" w:type="dxa"/>
            <w:noWrap/>
            <w:hideMark/>
          </w:tcPr>
          <w:p w14:paraId="57D754A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13420</w:t>
            </w:r>
          </w:p>
        </w:tc>
        <w:tc>
          <w:tcPr>
            <w:tcW w:w="1559" w:type="dxa"/>
            <w:noWrap/>
            <w:hideMark/>
          </w:tcPr>
          <w:p w14:paraId="7AD7056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Holy Family Primary School</w:t>
            </w:r>
          </w:p>
        </w:tc>
        <w:tc>
          <w:tcPr>
            <w:tcW w:w="709" w:type="dxa"/>
            <w:noWrap/>
            <w:hideMark/>
          </w:tcPr>
          <w:p w14:paraId="25F7E50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21989C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8C710B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7D87D7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Lot 32 Willowdene Ave</w:t>
            </w:r>
          </w:p>
        </w:tc>
        <w:tc>
          <w:tcPr>
            <w:tcW w:w="1134" w:type="dxa"/>
            <w:noWrap/>
            <w:hideMark/>
          </w:tcPr>
          <w:p w14:paraId="3752214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64D3CC4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16.2</w:t>
            </w:r>
          </w:p>
        </w:tc>
        <w:tc>
          <w:tcPr>
            <w:tcW w:w="1134" w:type="dxa"/>
            <w:noWrap/>
            <w:hideMark/>
          </w:tcPr>
          <w:p w14:paraId="2C519D8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52164CE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C90ADC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24</w:t>
            </w:r>
          </w:p>
        </w:tc>
        <w:tc>
          <w:tcPr>
            <w:tcW w:w="1417" w:type="dxa"/>
            <w:noWrap/>
            <w:hideMark/>
          </w:tcPr>
          <w:p w14:paraId="15679B2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6A3D227F" w14:textId="77777777" w:rsidTr="001367E0">
        <w:tblPrEx>
          <w:tblCellMar>
            <w:left w:w="108" w:type="dxa"/>
            <w:right w:w="108" w:type="dxa"/>
          </w:tblCellMar>
        </w:tblPrEx>
        <w:trPr>
          <w:trHeight w:val="465"/>
        </w:trPr>
        <w:tc>
          <w:tcPr>
            <w:tcW w:w="737" w:type="dxa"/>
            <w:noWrap/>
            <w:hideMark/>
          </w:tcPr>
          <w:p w14:paraId="34A1CA6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17385</w:t>
            </w:r>
          </w:p>
        </w:tc>
        <w:tc>
          <w:tcPr>
            <w:tcW w:w="1559" w:type="dxa"/>
            <w:noWrap/>
            <w:hideMark/>
          </w:tcPr>
          <w:p w14:paraId="3DDF80E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Holy Family Primary School</w:t>
            </w:r>
          </w:p>
        </w:tc>
        <w:tc>
          <w:tcPr>
            <w:tcW w:w="709" w:type="dxa"/>
            <w:noWrap/>
            <w:hideMark/>
          </w:tcPr>
          <w:p w14:paraId="426003F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88403F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B9955F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4842EA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11 Emert Parade</w:t>
            </w:r>
          </w:p>
        </w:tc>
        <w:tc>
          <w:tcPr>
            <w:tcW w:w="1134" w:type="dxa"/>
            <w:noWrap/>
            <w:hideMark/>
          </w:tcPr>
          <w:p w14:paraId="1DFEF75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5962A3C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29.6</w:t>
            </w:r>
          </w:p>
        </w:tc>
        <w:tc>
          <w:tcPr>
            <w:tcW w:w="1134" w:type="dxa"/>
            <w:noWrap/>
            <w:hideMark/>
          </w:tcPr>
          <w:p w14:paraId="38331DA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33.3</w:t>
            </w:r>
          </w:p>
        </w:tc>
        <w:tc>
          <w:tcPr>
            <w:tcW w:w="1134" w:type="dxa"/>
            <w:noWrap/>
            <w:hideMark/>
          </w:tcPr>
          <w:p w14:paraId="1C06821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10.0</w:t>
            </w:r>
          </w:p>
        </w:tc>
        <w:tc>
          <w:tcPr>
            <w:tcW w:w="1276" w:type="dxa"/>
            <w:noWrap/>
            <w:hideMark/>
          </w:tcPr>
          <w:p w14:paraId="40BA6D9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53</w:t>
            </w:r>
          </w:p>
        </w:tc>
        <w:tc>
          <w:tcPr>
            <w:tcW w:w="1417" w:type="dxa"/>
            <w:noWrap/>
            <w:hideMark/>
          </w:tcPr>
          <w:p w14:paraId="4B0A6E7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r>
      <w:tr w:rsidR="00107BB9" w:rsidRPr="00107BB9" w14:paraId="0A40A074" w14:textId="77777777" w:rsidTr="001367E0">
        <w:tblPrEx>
          <w:tblCellMar>
            <w:left w:w="108" w:type="dxa"/>
            <w:right w:w="108" w:type="dxa"/>
          </w:tblCellMar>
        </w:tblPrEx>
        <w:trPr>
          <w:trHeight w:val="465"/>
        </w:trPr>
        <w:tc>
          <w:tcPr>
            <w:tcW w:w="737" w:type="dxa"/>
            <w:noWrap/>
            <w:hideMark/>
          </w:tcPr>
          <w:p w14:paraId="46615CB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1398</w:t>
            </w:r>
          </w:p>
        </w:tc>
        <w:tc>
          <w:tcPr>
            <w:tcW w:w="1559" w:type="dxa"/>
            <w:noWrap/>
            <w:hideMark/>
          </w:tcPr>
          <w:p w14:paraId="202EDEF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Holy Innocents' Primary School</w:t>
            </w:r>
          </w:p>
        </w:tc>
        <w:tc>
          <w:tcPr>
            <w:tcW w:w="709" w:type="dxa"/>
            <w:noWrap/>
            <w:hideMark/>
          </w:tcPr>
          <w:p w14:paraId="412CF86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541A01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1A7800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1E8499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86 -98  Queen Street</w:t>
            </w:r>
          </w:p>
        </w:tc>
        <w:tc>
          <w:tcPr>
            <w:tcW w:w="1134" w:type="dxa"/>
            <w:noWrap/>
            <w:hideMark/>
          </w:tcPr>
          <w:p w14:paraId="075B073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4A314E2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w:t>
            </w:r>
          </w:p>
        </w:tc>
        <w:tc>
          <w:tcPr>
            <w:tcW w:w="1134" w:type="dxa"/>
            <w:noWrap/>
            <w:hideMark/>
          </w:tcPr>
          <w:p w14:paraId="60911C3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9F369B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A2AF96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w:t>
            </w:r>
          </w:p>
        </w:tc>
        <w:tc>
          <w:tcPr>
            <w:tcW w:w="1417" w:type="dxa"/>
            <w:noWrap/>
            <w:hideMark/>
          </w:tcPr>
          <w:p w14:paraId="6DAFBF0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E1D98CB" w14:textId="77777777" w:rsidTr="001367E0">
        <w:tblPrEx>
          <w:tblCellMar>
            <w:left w:w="108" w:type="dxa"/>
            <w:right w:w="108" w:type="dxa"/>
          </w:tblCellMar>
        </w:tblPrEx>
        <w:trPr>
          <w:trHeight w:val="465"/>
        </w:trPr>
        <w:tc>
          <w:tcPr>
            <w:tcW w:w="737" w:type="dxa"/>
            <w:noWrap/>
            <w:hideMark/>
          </w:tcPr>
          <w:p w14:paraId="6C58301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16701</w:t>
            </w:r>
          </w:p>
        </w:tc>
        <w:tc>
          <w:tcPr>
            <w:tcW w:w="1559" w:type="dxa"/>
            <w:noWrap/>
            <w:hideMark/>
          </w:tcPr>
          <w:p w14:paraId="0E3909A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Holy Saviour School</w:t>
            </w:r>
          </w:p>
        </w:tc>
        <w:tc>
          <w:tcPr>
            <w:tcW w:w="709" w:type="dxa"/>
            <w:noWrap/>
            <w:hideMark/>
          </w:tcPr>
          <w:p w14:paraId="3D33B00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2F488A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A2C656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43A493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80 Waterloo Road</w:t>
            </w:r>
          </w:p>
        </w:tc>
        <w:tc>
          <w:tcPr>
            <w:tcW w:w="1134" w:type="dxa"/>
            <w:noWrap/>
            <w:hideMark/>
          </w:tcPr>
          <w:p w14:paraId="1B17302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LSES2009</w:t>
            </w:r>
          </w:p>
        </w:tc>
        <w:tc>
          <w:tcPr>
            <w:tcW w:w="1276" w:type="dxa"/>
            <w:noWrap/>
            <w:hideMark/>
          </w:tcPr>
          <w:p w14:paraId="639FF17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7.4</w:t>
            </w:r>
          </w:p>
        </w:tc>
        <w:tc>
          <w:tcPr>
            <w:tcW w:w="1134" w:type="dxa"/>
            <w:noWrap/>
            <w:hideMark/>
          </w:tcPr>
          <w:p w14:paraId="09FFF24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AFF15B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6EFF71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w:t>
            </w:r>
          </w:p>
        </w:tc>
        <w:tc>
          <w:tcPr>
            <w:tcW w:w="1417" w:type="dxa"/>
            <w:noWrap/>
            <w:hideMark/>
          </w:tcPr>
          <w:p w14:paraId="1EE7651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6EF0671" w14:textId="77777777" w:rsidTr="001367E0">
        <w:tblPrEx>
          <w:tblCellMar>
            <w:left w:w="108" w:type="dxa"/>
            <w:right w:w="108" w:type="dxa"/>
          </w:tblCellMar>
        </w:tblPrEx>
        <w:trPr>
          <w:trHeight w:val="465"/>
        </w:trPr>
        <w:tc>
          <w:tcPr>
            <w:tcW w:w="737" w:type="dxa"/>
            <w:noWrap/>
            <w:hideMark/>
          </w:tcPr>
          <w:p w14:paraId="407B662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1717</w:t>
            </w:r>
          </w:p>
        </w:tc>
        <w:tc>
          <w:tcPr>
            <w:tcW w:w="1559" w:type="dxa"/>
            <w:noWrap/>
            <w:hideMark/>
          </w:tcPr>
          <w:p w14:paraId="5909FDA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Holy Spirit Infants Abermain School</w:t>
            </w:r>
          </w:p>
        </w:tc>
        <w:tc>
          <w:tcPr>
            <w:tcW w:w="709" w:type="dxa"/>
            <w:noWrap/>
            <w:hideMark/>
          </w:tcPr>
          <w:p w14:paraId="6F546DD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507D01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134" w:type="dxa"/>
            <w:noWrap/>
            <w:hideMark/>
          </w:tcPr>
          <w:p w14:paraId="67C5DDB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No NAPLAN  Infants</w:t>
            </w:r>
          </w:p>
        </w:tc>
        <w:tc>
          <w:tcPr>
            <w:tcW w:w="1843" w:type="dxa"/>
            <w:noWrap/>
            <w:hideMark/>
          </w:tcPr>
          <w:p w14:paraId="2CD8730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Church Street</w:t>
            </w:r>
          </w:p>
        </w:tc>
        <w:tc>
          <w:tcPr>
            <w:tcW w:w="1134" w:type="dxa"/>
            <w:noWrap/>
            <w:hideMark/>
          </w:tcPr>
          <w:p w14:paraId="06C1A57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4DF4A7F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DDD306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996F90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FDC1C9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417" w:type="dxa"/>
            <w:noWrap/>
            <w:hideMark/>
          </w:tcPr>
          <w:p w14:paraId="1A41BCA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r>
      <w:tr w:rsidR="00107BB9" w:rsidRPr="00107BB9" w14:paraId="585FDB8F" w14:textId="77777777" w:rsidTr="001367E0">
        <w:tblPrEx>
          <w:tblCellMar>
            <w:left w:w="108" w:type="dxa"/>
            <w:right w:w="108" w:type="dxa"/>
          </w:tblCellMar>
        </w:tblPrEx>
        <w:trPr>
          <w:trHeight w:val="465"/>
        </w:trPr>
        <w:tc>
          <w:tcPr>
            <w:tcW w:w="737" w:type="dxa"/>
            <w:noWrap/>
            <w:hideMark/>
          </w:tcPr>
          <w:p w14:paraId="7AD70A9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1770</w:t>
            </w:r>
          </w:p>
        </w:tc>
        <w:tc>
          <w:tcPr>
            <w:tcW w:w="1559" w:type="dxa"/>
            <w:noWrap/>
            <w:hideMark/>
          </w:tcPr>
          <w:p w14:paraId="26BE587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Holy Spirit Primary School</w:t>
            </w:r>
          </w:p>
        </w:tc>
        <w:tc>
          <w:tcPr>
            <w:tcW w:w="709" w:type="dxa"/>
            <w:noWrap/>
            <w:hideMark/>
          </w:tcPr>
          <w:p w14:paraId="6F55833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E97734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134" w:type="dxa"/>
            <w:noWrap/>
            <w:hideMark/>
          </w:tcPr>
          <w:p w14:paraId="532D46C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B0102A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Barton Street</w:t>
            </w:r>
          </w:p>
        </w:tc>
        <w:tc>
          <w:tcPr>
            <w:tcW w:w="1134" w:type="dxa"/>
            <w:noWrap/>
            <w:hideMark/>
          </w:tcPr>
          <w:p w14:paraId="40D0A48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1F43B3C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10.9</w:t>
            </w:r>
          </w:p>
        </w:tc>
        <w:tc>
          <w:tcPr>
            <w:tcW w:w="1134" w:type="dxa"/>
            <w:noWrap/>
            <w:hideMark/>
          </w:tcPr>
          <w:p w14:paraId="03553EC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856FFF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CA650C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417" w:type="dxa"/>
            <w:noWrap/>
            <w:hideMark/>
          </w:tcPr>
          <w:p w14:paraId="53755C3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2BC470C" w14:textId="77777777" w:rsidTr="001367E0">
        <w:tblPrEx>
          <w:tblCellMar>
            <w:left w:w="108" w:type="dxa"/>
            <w:right w:w="108" w:type="dxa"/>
          </w:tblCellMar>
        </w:tblPrEx>
        <w:trPr>
          <w:trHeight w:val="465"/>
        </w:trPr>
        <w:tc>
          <w:tcPr>
            <w:tcW w:w="737" w:type="dxa"/>
            <w:noWrap/>
            <w:hideMark/>
          </w:tcPr>
          <w:p w14:paraId="7076E98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17386</w:t>
            </w:r>
          </w:p>
        </w:tc>
        <w:tc>
          <w:tcPr>
            <w:tcW w:w="1559" w:type="dxa"/>
            <w:noWrap/>
            <w:hideMark/>
          </w:tcPr>
          <w:p w14:paraId="1CE974B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Holy Spirit Primary School</w:t>
            </w:r>
          </w:p>
        </w:tc>
        <w:tc>
          <w:tcPr>
            <w:tcW w:w="709" w:type="dxa"/>
            <w:noWrap/>
            <w:hideMark/>
          </w:tcPr>
          <w:p w14:paraId="432FBC2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951903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91741D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C467CA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Cowpasture Road</w:t>
            </w:r>
          </w:p>
        </w:tc>
        <w:tc>
          <w:tcPr>
            <w:tcW w:w="1134" w:type="dxa"/>
            <w:noWrap/>
            <w:hideMark/>
          </w:tcPr>
          <w:p w14:paraId="7727C89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4C4700C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10.1</w:t>
            </w:r>
          </w:p>
        </w:tc>
        <w:tc>
          <w:tcPr>
            <w:tcW w:w="1134" w:type="dxa"/>
            <w:noWrap/>
            <w:hideMark/>
          </w:tcPr>
          <w:p w14:paraId="5AF4B2E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880D42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1580D3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32</w:t>
            </w:r>
          </w:p>
        </w:tc>
        <w:tc>
          <w:tcPr>
            <w:tcW w:w="1417" w:type="dxa"/>
            <w:noWrap/>
            <w:hideMark/>
          </w:tcPr>
          <w:p w14:paraId="2A0025F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0555E467" w14:textId="77777777" w:rsidTr="001367E0">
        <w:tblPrEx>
          <w:tblCellMar>
            <w:left w:w="108" w:type="dxa"/>
            <w:right w:w="108" w:type="dxa"/>
          </w:tblCellMar>
        </w:tblPrEx>
        <w:trPr>
          <w:trHeight w:val="465"/>
        </w:trPr>
        <w:tc>
          <w:tcPr>
            <w:tcW w:w="737" w:type="dxa"/>
            <w:noWrap/>
            <w:hideMark/>
          </w:tcPr>
          <w:p w14:paraId="6BFE7B0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1403</w:t>
            </w:r>
          </w:p>
        </w:tc>
        <w:tc>
          <w:tcPr>
            <w:tcW w:w="1559" w:type="dxa"/>
            <w:noWrap/>
            <w:hideMark/>
          </w:tcPr>
          <w:p w14:paraId="1CC3823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Holy Trinity School</w:t>
            </w:r>
          </w:p>
        </w:tc>
        <w:tc>
          <w:tcPr>
            <w:tcW w:w="709" w:type="dxa"/>
            <w:noWrap/>
            <w:hideMark/>
          </w:tcPr>
          <w:p w14:paraId="1367E97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474B13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5BBF077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 7</w:t>
            </w:r>
          </w:p>
        </w:tc>
        <w:tc>
          <w:tcPr>
            <w:tcW w:w="1843" w:type="dxa"/>
            <w:noWrap/>
            <w:hideMark/>
          </w:tcPr>
          <w:p w14:paraId="4A8DFF1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Moore Street</w:t>
            </w:r>
          </w:p>
        </w:tc>
        <w:tc>
          <w:tcPr>
            <w:tcW w:w="1134" w:type="dxa"/>
            <w:noWrap/>
            <w:hideMark/>
          </w:tcPr>
          <w:p w14:paraId="44805BF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0B55E70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14.2</w:t>
            </w:r>
          </w:p>
        </w:tc>
        <w:tc>
          <w:tcPr>
            <w:tcW w:w="1134" w:type="dxa"/>
            <w:noWrap/>
            <w:hideMark/>
          </w:tcPr>
          <w:p w14:paraId="798DDE5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60.0</w:t>
            </w:r>
          </w:p>
        </w:tc>
        <w:tc>
          <w:tcPr>
            <w:tcW w:w="1134" w:type="dxa"/>
            <w:noWrap/>
            <w:hideMark/>
          </w:tcPr>
          <w:p w14:paraId="5298DDF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D89404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54</w:t>
            </w:r>
          </w:p>
        </w:tc>
        <w:tc>
          <w:tcPr>
            <w:tcW w:w="1417" w:type="dxa"/>
            <w:noWrap/>
            <w:hideMark/>
          </w:tcPr>
          <w:p w14:paraId="25749A7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r>
      <w:tr w:rsidR="00107BB9" w:rsidRPr="00107BB9" w14:paraId="5C45EC2D" w14:textId="77777777" w:rsidTr="001367E0">
        <w:tblPrEx>
          <w:tblCellMar>
            <w:left w:w="108" w:type="dxa"/>
            <w:right w:w="108" w:type="dxa"/>
          </w:tblCellMar>
        </w:tblPrEx>
        <w:trPr>
          <w:trHeight w:val="465"/>
        </w:trPr>
        <w:tc>
          <w:tcPr>
            <w:tcW w:w="737" w:type="dxa"/>
            <w:noWrap/>
            <w:hideMark/>
          </w:tcPr>
          <w:p w14:paraId="4B2806D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1407</w:t>
            </w:r>
          </w:p>
        </w:tc>
        <w:tc>
          <w:tcPr>
            <w:tcW w:w="1559" w:type="dxa"/>
            <w:noWrap/>
            <w:hideMark/>
          </w:tcPr>
          <w:p w14:paraId="599BC55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Immaculate Heart of Mary Primary School</w:t>
            </w:r>
          </w:p>
        </w:tc>
        <w:tc>
          <w:tcPr>
            <w:tcW w:w="709" w:type="dxa"/>
            <w:noWrap/>
            <w:hideMark/>
          </w:tcPr>
          <w:p w14:paraId="47ED926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015B14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5B3E344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C675E1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10 Kerrinea Street</w:t>
            </w:r>
          </w:p>
        </w:tc>
        <w:tc>
          <w:tcPr>
            <w:tcW w:w="1134" w:type="dxa"/>
            <w:noWrap/>
            <w:hideMark/>
          </w:tcPr>
          <w:p w14:paraId="2491232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6EFE224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10.7</w:t>
            </w:r>
          </w:p>
        </w:tc>
        <w:tc>
          <w:tcPr>
            <w:tcW w:w="1134" w:type="dxa"/>
            <w:noWrap/>
            <w:hideMark/>
          </w:tcPr>
          <w:p w14:paraId="2675BD7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DF300A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E6D193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w:t>
            </w:r>
          </w:p>
        </w:tc>
        <w:tc>
          <w:tcPr>
            <w:tcW w:w="1417" w:type="dxa"/>
            <w:noWrap/>
            <w:hideMark/>
          </w:tcPr>
          <w:p w14:paraId="7A6DAAF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3446AA83" w14:textId="77777777" w:rsidTr="001367E0">
        <w:tblPrEx>
          <w:tblCellMar>
            <w:left w:w="108" w:type="dxa"/>
            <w:right w:w="108" w:type="dxa"/>
          </w:tblCellMar>
        </w:tblPrEx>
        <w:trPr>
          <w:trHeight w:val="465"/>
        </w:trPr>
        <w:tc>
          <w:tcPr>
            <w:tcW w:w="737" w:type="dxa"/>
            <w:noWrap/>
            <w:hideMark/>
          </w:tcPr>
          <w:p w14:paraId="018257A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13344</w:t>
            </w:r>
          </w:p>
        </w:tc>
        <w:tc>
          <w:tcPr>
            <w:tcW w:w="1559" w:type="dxa"/>
            <w:noWrap/>
            <w:hideMark/>
          </w:tcPr>
          <w:p w14:paraId="0068C12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John the Baptist Primary School</w:t>
            </w:r>
          </w:p>
        </w:tc>
        <w:tc>
          <w:tcPr>
            <w:tcW w:w="709" w:type="dxa"/>
            <w:noWrap/>
            <w:hideMark/>
          </w:tcPr>
          <w:p w14:paraId="4DC71D8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AC4D55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C3A34E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00BDC1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Mount St</w:t>
            </w:r>
          </w:p>
        </w:tc>
        <w:tc>
          <w:tcPr>
            <w:tcW w:w="1134" w:type="dxa"/>
            <w:noWrap/>
            <w:hideMark/>
          </w:tcPr>
          <w:p w14:paraId="6206CF8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A53FC8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12.8</w:t>
            </w:r>
          </w:p>
        </w:tc>
        <w:tc>
          <w:tcPr>
            <w:tcW w:w="1134" w:type="dxa"/>
            <w:noWrap/>
            <w:hideMark/>
          </w:tcPr>
          <w:p w14:paraId="430ACA8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100.0</w:t>
            </w:r>
          </w:p>
        </w:tc>
        <w:tc>
          <w:tcPr>
            <w:tcW w:w="1134" w:type="dxa"/>
            <w:noWrap/>
            <w:hideMark/>
          </w:tcPr>
          <w:p w14:paraId="1007E1C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96D4F2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61</w:t>
            </w:r>
          </w:p>
        </w:tc>
        <w:tc>
          <w:tcPr>
            <w:tcW w:w="1417" w:type="dxa"/>
            <w:noWrap/>
            <w:hideMark/>
          </w:tcPr>
          <w:p w14:paraId="11819BE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09670F6B" w14:textId="77777777" w:rsidTr="001367E0">
        <w:tblPrEx>
          <w:tblCellMar>
            <w:left w:w="108" w:type="dxa"/>
            <w:right w:w="108" w:type="dxa"/>
          </w:tblCellMar>
        </w:tblPrEx>
        <w:trPr>
          <w:trHeight w:val="465"/>
        </w:trPr>
        <w:tc>
          <w:tcPr>
            <w:tcW w:w="737" w:type="dxa"/>
            <w:noWrap/>
            <w:hideMark/>
          </w:tcPr>
          <w:p w14:paraId="160822E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1366</w:t>
            </w:r>
          </w:p>
        </w:tc>
        <w:tc>
          <w:tcPr>
            <w:tcW w:w="1559" w:type="dxa"/>
            <w:noWrap/>
            <w:hideMark/>
          </w:tcPr>
          <w:p w14:paraId="512FE46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La Salle Catholic College</w:t>
            </w:r>
          </w:p>
        </w:tc>
        <w:tc>
          <w:tcPr>
            <w:tcW w:w="709" w:type="dxa"/>
            <w:noWrap/>
            <w:hideMark/>
          </w:tcPr>
          <w:p w14:paraId="355A90F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E7776F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81BE6E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6175170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544 Chapel Rd</w:t>
            </w:r>
          </w:p>
        </w:tc>
        <w:tc>
          <w:tcPr>
            <w:tcW w:w="1134" w:type="dxa"/>
            <w:noWrap/>
            <w:hideMark/>
          </w:tcPr>
          <w:p w14:paraId="6401914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2B2E546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28.6</w:t>
            </w:r>
          </w:p>
        </w:tc>
        <w:tc>
          <w:tcPr>
            <w:tcW w:w="1134" w:type="dxa"/>
            <w:noWrap/>
            <w:hideMark/>
          </w:tcPr>
          <w:p w14:paraId="2B692C4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75.0</w:t>
            </w:r>
          </w:p>
        </w:tc>
        <w:tc>
          <w:tcPr>
            <w:tcW w:w="1134" w:type="dxa"/>
            <w:noWrap/>
            <w:hideMark/>
          </w:tcPr>
          <w:p w14:paraId="7CD40AA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DA9ED0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95</w:t>
            </w:r>
          </w:p>
        </w:tc>
        <w:tc>
          <w:tcPr>
            <w:tcW w:w="1417" w:type="dxa"/>
            <w:noWrap/>
            <w:hideMark/>
          </w:tcPr>
          <w:p w14:paraId="2AF80F1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r>
      <w:tr w:rsidR="00107BB9" w:rsidRPr="00107BB9" w14:paraId="27FEA911" w14:textId="77777777" w:rsidTr="001367E0">
        <w:tblPrEx>
          <w:tblCellMar>
            <w:left w:w="108" w:type="dxa"/>
            <w:right w:w="108" w:type="dxa"/>
          </w:tblCellMar>
        </w:tblPrEx>
        <w:trPr>
          <w:trHeight w:val="465"/>
        </w:trPr>
        <w:tc>
          <w:tcPr>
            <w:tcW w:w="737" w:type="dxa"/>
            <w:noWrap/>
            <w:hideMark/>
          </w:tcPr>
          <w:p w14:paraId="51C7223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17280</w:t>
            </w:r>
          </w:p>
        </w:tc>
        <w:tc>
          <w:tcPr>
            <w:tcW w:w="1559" w:type="dxa"/>
            <w:noWrap/>
            <w:hideMark/>
          </w:tcPr>
          <w:p w14:paraId="5F7931A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Lumen Christi Catholic College</w:t>
            </w:r>
          </w:p>
        </w:tc>
        <w:tc>
          <w:tcPr>
            <w:tcW w:w="709" w:type="dxa"/>
            <w:noWrap/>
            <w:hideMark/>
          </w:tcPr>
          <w:p w14:paraId="47720BE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D3EDCD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6FAB8BC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231E69C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388 Pambula Beach Road</w:t>
            </w:r>
          </w:p>
        </w:tc>
        <w:tc>
          <w:tcPr>
            <w:tcW w:w="1134" w:type="dxa"/>
            <w:noWrap/>
            <w:hideMark/>
          </w:tcPr>
          <w:p w14:paraId="60CC9CF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24AF310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11.9</w:t>
            </w:r>
          </w:p>
        </w:tc>
        <w:tc>
          <w:tcPr>
            <w:tcW w:w="1134" w:type="dxa"/>
            <w:noWrap/>
            <w:hideMark/>
          </w:tcPr>
          <w:p w14:paraId="6FF8F6A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41.7</w:t>
            </w:r>
          </w:p>
        </w:tc>
        <w:tc>
          <w:tcPr>
            <w:tcW w:w="1134" w:type="dxa"/>
            <w:noWrap/>
            <w:hideMark/>
          </w:tcPr>
          <w:p w14:paraId="3D1BD42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12.5</w:t>
            </w:r>
          </w:p>
        </w:tc>
        <w:tc>
          <w:tcPr>
            <w:tcW w:w="1276" w:type="dxa"/>
            <w:noWrap/>
            <w:hideMark/>
          </w:tcPr>
          <w:p w14:paraId="6FA630A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44</w:t>
            </w:r>
          </w:p>
        </w:tc>
        <w:tc>
          <w:tcPr>
            <w:tcW w:w="1417" w:type="dxa"/>
            <w:noWrap/>
            <w:hideMark/>
          </w:tcPr>
          <w:p w14:paraId="55A4A29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w:t>
            </w:r>
          </w:p>
        </w:tc>
      </w:tr>
      <w:tr w:rsidR="00107BB9" w:rsidRPr="00107BB9" w14:paraId="1C6C5432" w14:textId="77777777" w:rsidTr="001367E0">
        <w:tblPrEx>
          <w:tblCellMar>
            <w:left w:w="108" w:type="dxa"/>
            <w:right w:w="108" w:type="dxa"/>
          </w:tblCellMar>
        </w:tblPrEx>
        <w:trPr>
          <w:trHeight w:val="465"/>
        </w:trPr>
        <w:tc>
          <w:tcPr>
            <w:tcW w:w="737" w:type="dxa"/>
            <w:noWrap/>
            <w:hideMark/>
          </w:tcPr>
          <w:p w14:paraId="6FA8B0B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17384</w:t>
            </w:r>
          </w:p>
        </w:tc>
        <w:tc>
          <w:tcPr>
            <w:tcW w:w="1559" w:type="dxa"/>
            <w:noWrap/>
            <w:hideMark/>
          </w:tcPr>
          <w:p w14:paraId="3590378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MacKillop Catholic College</w:t>
            </w:r>
          </w:p>
        </w:tc>
        <w:tc>
          <w:tcPr>
            <w:tcW w:w="709" w:type="dxa"/>
            <w:noWrap/>
            <w:hideMark/>
          </w:tcPr>
          <w:p w14:paraId="78AEB77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1C13B6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D0FC85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 7</w:t>
            </w:r>
          </w:p>
        </w:tc>
        <w:tc>
          <w:tcPr>
            <w:tcW w:w="1843" w:type="dxa"/>
            <w:noWrap/>
            <w:hideMark/>
          </w:tcPr>
          <w:p w14:paraId="71856BB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91 Sparks Road</w:t>
            </w:r>
          </w:p>
        </w:tc>
        <w:tc>
          <w:tcPr>
            <w:tcW w:w="1134" w:type="dxa"/>
            <w:noWrap/>
            <w:hideMark/>
          </w:tcPr>
          <w:p w14:paraId="26837CC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D573BB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16.3</w:t>
            </w:r>
          </w:p>
        </w:tc>
        <w:tc>
          <w:tcPr>
            <w:tcW w:w="1134" w:type="dxa"/>
            <w:noWrap/>
            <w:hideMark/>
          </w:tcPr>
          <w:p w14:paraId="369A5EE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27.3</w:t>
            </w:r>
          </w:p>
        </w:tc>
        <w:tc>
          <w:tcPr>
            <w:tcW w:w="1134" w:type="dxa"/>
            <w:noWrap/>
            <w:hideMark/>
          </w:tcPr>
          <w:p w14:paraId="5B38919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435885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161</w:t>
            </w:r>
          </w:p>
        </w:tc>
        <w:tc>
          <w:tcPr>
            <w:tcW w:w="1417" w:type="dxa"/>
            <w:noWrap/>
            <w:hideMark/>
          </w:tcPr>
          <w:p w14:paraId="34BB9C6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r>
      <w:tr w:rsidR="00107BB9" w:rsidRPr="00107BB9" w14:paraId="16D6EE44" w14:textId="77777777" w:rsidTr="001367E0">
        <w:tblPrEx>
          <w:tblCellMar>
            <w:left w:w="108" w:type="dxa"/>
            <w:right w:w="108" w:type="dxa"/>
          </w:tblCellMar>
        </w:tblPrEx>
        <w:trPr>
          <w:trHeight w:val="465"/>
        </w:trPr>
        <w:tc>
          <w:tcPr>
            <w:tcW w:w="737" w:type="dxa"/>
            <w:noWrap/>
            <w:hideMark/>
          </w:tcPr>
          <w:p w14:paraId="02E6B2CC" w14:textId="77777777" w:rsidR="00107BB9" w:rsidRPr="00107BB9" w:rsidRDefault="00107BB9" w:rsidP="00107BB9">
            <w:pPr>
              <w:jc w:val="right"/>
              <w:rPr>
                <w:rFonts w:eastAsia="Times New Roman" w:cs="Times New Roman"/>
                <w:sz w:val="18"/>
                <w:szCs w:val="18"/>
                <w:lang w:eastAsia="en-AU"/>
              </w:rPr>
            </w:pPr>
            <w:r w:rsidRPr="00107BB9">
              <w:rPr>
                <w:rFonts w:eastAsia="Times New Roman" w:cs="Times New Roman"/>
                <w:sz w:val="18"/>
                <w:szCs w:val="18"/>
                <w:lang w:eastAsia="en-AU"/>
              </w:rPr>
              <w:t>2367</w:t>
            </w:r>
          </w:p>
        </w:tc>
        <w:tc>
          <w:tcPr>
            <w:tcW w:w="1559" w:type="dxa"/>
            <w:noWrap/>
            <w:hideMark/>
          </w:tcPr>
          <w:p w14:paraId="6765EB2A" w14:textId="77777777" w:rsidR="00107BB9" w:rsidRPr="00107BB9" w:rsidRDefault="00107BB9" w:rsidP="00107BB9">
            <w:pPr>
              <w:rPr>
                <w:rFonts w:eastAsia="Times New Roman" w:cs="Times New Roman"/>
                <w:sz w:val="18"/>
                <w:szCs w:val="18"/>
                <w:lang w:eastAsia="en-AU"/>
              </w:rPr>
            </w:pPr>
            <w:r w:rsidRPr="00107BB9">
              <w:rPr>
                <w:rFonts w:eastAsia="Times New Roman" w:cs="Times New Roman"/>
                <w:sz w:val="18"/>
                <w:szCs w:val="18"/>
                <w:lang w:eastAsia="en-AU"/>
              </w:rPr>
              <w:t>Mary Help Of Christians Primary School</w:t>
            </w:r>
          </w:p>
        </w:tc>
        <w:tc>
          <w:tcPr>
            <w:tcW w:w="709" w:type="dxa"/>
            <w:noWrap/>
            <w:hideMark/>
          </w:tcPr>
          <w:p w14:paraId="4BFB86CC" w14:textId="77777777" w:rsidR="00107BB9" w:rsidRPr="00107BB9" w:rsidRDefault="00107BB9" w:rsidP="00107BB9">
            <w:pPr>
              <w:rPr>
                <w:rFonts w:eastAsia="Times New Roman" w:cs="Times New Roman"/>
                <w:sz w:val="18"/>
                <w:szCs w:val="18"/>
                <w:lang w:eastAsia="en-AU"/>
              </w:rPr>
            </w:pPr>
            <w:r w:rsidRPr="00107BB9">
              <w:rPr>
                <w:rFonts w:eastAsia="Times New Roman" w:cs="Times New Roman"/>
                <w:sz w:val="18"/>
                <w:szCs w:val="18"/>
                <w:lang w:eastAsia="en-AU"/>
              </w:rPr>
              <w:t>CEC</w:t>
            </w:r>
          </w:p>
        </w:tc>
        <w:tc>
          <w:tcPr>
            <w:tcW w:w="992" w:type="dxa"/>
            <w:noWrap/>
            <w:hideMark/>
          </w:tcPr>
          <w:p w14:paraId="0B6F171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2.1.2</w:t>
            </w:r>
          </w:p>
        </w:tc>
        <w:tc>
          <w:tcPr>
            <w:tcW w:w="1134" w:type="dxa"/>
            <w:noWrap/>
            <w:hideMark/>
          </w:tcPr>
          <w:p w14:paraId="3FD615D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3119BD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Eungella Street</w:t>
            </w:r>
          </w:p>
        </w:tc>
        <w:tc>
          <w:tcPr>
            <w:tcW w:w="1134" w:type="dxa"/>
            <w:noWrap/>
            <w:hideMark/>
          </w:tcPr>
          <w:p w14:paraId="2593ADA5" w14:textId="77777777" w:rsidR="00107BB9" w:rsidRPr="00107BB9" w:rsidRDefault="00107BB9" w:rsidP="00107BB9">
            <w:pPr>
              <w:rPr>
                <w:rFonts w:eastAsia="Times New Roman" w:cs="Times New Roman"/>
                <w:sz w:val="18"/>
                <w:szCs w:val="18"/>
                <w:lang w:eastAsia="en-AU"/>
              </w:rPr>
            </w:pPr>
            <w:r w:rsidRPr="00107BB9">
              <w:rPr>
                <w:rFonts w:eastAsia="Times New Roman" w:cs="Times New Roman"/>
                <w:sz w:val="18"/>
                <w:szCs w:val="18"/>
                <w:lang w:eastAsia="en-AU"/>
              </w:rPr>
              <w:t>DN</w:t>
            </w:r>
          </w:p>
        </w:tc>
        <w:tc>
          <w:tcPr>
            <w:tcW w:w="1276" w:type="dxa"/>
            <w:noWrap/>
            <w:hideMark/>
          </w:tcPr>
          <w:p w14:paraId="2D794B10" w14:textId="77777777" w:rsidR="00107BB9" w:rsidRPr="00107BB9" w:rsidRDefault="00107BB9" w:rsidP="00107BB9">
            <w:pPr>
              <w:jc w:val="right"/>
              <w:rPr>
                <w:rFonts w:eastAsia="Times New Roman" w:cs="Times New Roman"/>
                <w:sz w:val="18"/>
                <w:szCs w:val="18"/>
                <w:lang w:eastAsia="en-AU"/>
              </w:rPr>
            </w:pPr>
            <w:r w:rsidRPr="00107BB9">
              <w:rPr>
                <w:rFonts w:eastAsia="Times New Roman" w:cs="Times New Roman"/>
                <w:sz w:val="18"/>
                <w:szCs w:val="18"/>
                <w:lang w:eastAsia="en-AU"/>
              </w:rPr>
              <w:t>10.8</w:t>
            </w:r>
          </w:p>
        </w:tc>
        <w:tc>
          <w:tcPr>
            <w:tcW w:w="1134" w:type="dxa"/>
            <w:noWrap/>
            <w:hideMark/>
          </w:tcPr>
          <w:p w14:paraId="21418087" w14:textId="77777777" w:rsidR="00107BB9" w:rsidRPr="00107BB9" w:rsidRDefault="00107BB9" w:rsidP="00107BB9">
            <w:pPr>
              <w:jc w:val="right"/>
              <w:rPr>
                <w:rFonts w:eastAsia="Times New Roman" w:cs="Times New Roman"/>
                <w:sz w:val="18"/>
                <w:szCs w:val="18"/>
                <w:lang w:eastAsia="en-AU"/>
              </w:rPr>
            </w:pPr>
            <w:r w:rsidRPr="00107BB9">
              <w:rPr>
                <w:rFonts w:eastAsia="Times New Roman" w:cs="Times New Roman"/>
                <w:sz w:val="18"/>
                <w:szCs w:val="18"/>
                <w:lang w:eastAsia="en-AU"/>
              </w:rPr>
              <w:t>0.0</w:t>
            </w:r>
          </w:p>
        </w:tc>
        <w:tc>
          <w:tcPr>
            <w:tcW w:w="1134" w:type="dxa"/>
            <w:noWrap/>
            <w:hideMark/>
          </w:tcPr>
          <w:p w14:paraId="68EC7B1B" w14:textId="77777777" w:rsidR="00107BB9" w:rsidRPr="00107BB9" w:rsidRDefault="00107BB9" w:rsidP="00107BB9">
            <w:pPr>
              <w:jc w:val="right"/>
              <w:rPr>
                <w:rFonts w:eastAsia="Times New Roman" w:cs="Times New Roman"/>
                <w:sz w:val="18"/>
                <w:szCs w:val="18"/>
                <w:lang w:eastAsia="en-AU"/>
              </w:rPr>
            </w:pPr>
            <w:r w:rsidRPr="00107BB9">
              <w:rPr>
                <w:rFonts w:eastAsia="Times New Roman" w:cs="Times New Roman"/>
                <w:sz w:val="18"/>
                <w:szCs w:val="18"/>
                <w:lang w:eastAsia="en-AU"/>
              </w:rPr>
              <w:t>0.0</w:t>
            </w:r>
          </w:p>
        </w:tc>
        <w:tc>
          <w:tcPr>
            <w:tcW w:w="1276" w:type="dxa"/>
            <w:noWrap/>
            <w:hideMark/>
          </w:tcPr>
          <w:p w14:paraId="533BA043" w14:textId="77777777" w:rsidR="00107BB9" w:rsidRPr="00107BB9" w:rsidRDefault="00107BB9" w:rsidP="00107BB9">
            <w:pPr>
              <w:jc w:val="right"/>
              <w:rPr>
                <w:rFonts w:eastAsia="Times New Roman" w:cs="Times New Roman"/>
                <w:sz w:val="18"/>
                <w:szCs w:val="18"/>
                <w:lang w:eastAsia="en-AU"/>
              </w:rPr>
            </w:pPr>
            <w:r w:rsidRPr="00107BB9">
              <w:rPr>
                <w:rFonts w:eastAsia="Times New Roman" w:cs="Times New Roman"/>
                <w:sz w:val="18"/>
                <w:szCs w:val="18"/>
                <w:lang w:eastAsia="en-AU"/>
              </w:rPr>
              <w:t>20</w:t>
            </w:r>
          </w:p>
        </w:tc>
        <w:tc>
          <w:tcPr>
            <w:tcW w:w="1417" w:type="dxa"/>
            <w:noWrap/>
            <w:hideMark/>
          </w:tcPr>
          <w:p w14:paraId="318001EF" w14:textId="77777777" w:rsidR="00107BB9" w:rsidRPr="00107BB9" w:rsidRDefault="00107BB9" w:rsidP="00107BB9">
            <w:pPr>
              <w:jc w:val="right"/>
              <w:rPr>
                <w:rFonts w:eastAsia="Times New Roman" w:cs="Times New Roman"/>
                <w:sz w:val="18"/>
                <w:szCs w:val="18"/>
                <w:lang w:eastAsia="en-AU"/>
              </w:rPr>
            </w:pPr>
            <w:r w:rsidRPr="00107BB9">
              <w:rPr>
                <w:rFonts w:eastAsia="Times New Roman" w:cs="Times New Roman"/>
                <w:sz w:val="18"/>
                <w:szCs w:val="18"/>
                <w:lang w:eastAsia="en-AU"/>
              </w:rPr>
              <w:t>0</w:t>
            </w:r>
          </w:p>
        </w:tc>
      </w:tr>
      <w:tr w:rsidR="00107BB9" w:rsidRPr="00107BB9" w14:paraId="7E1E6B04" w14:textId="77777777" w:rsidTr="001367E0">
        <w:tblPrEx>
          <w:tblCellMar>
            <w:left w:w="108" w:type="dxa"/>
            <w:right w:w="108" w:type="dxa"/>
          </w:tblCellMar>
        </w:tblPrEx>
        <w:trPr>
          <w:trHeight w:val="465"/>
        </w:trPr>
        <w:tc>
          <w:tcPr>
            <w:tcW w:w="737" w:type="dxa"/>
            <w:noWrap/>
            <w:hideMark/>
          </w:tcPr>
          <w:p w14:paraId="4E7F624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5352</w:t>
            </w:r>
          </w:p>
        </w:tc>
        <w:tc>
          <w:tcPr>
            <w:tcW w:w="1559" w:type="dxa"/>
            <w:noWrap/>
            <w:hideMark/>
          </w:tcPr>
          <w:p w14:paraId="07E9DA6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Mary Immaculate Primary School</w:t>
            </w:r>
          </w:p>
        </w:tc>
        <w:tc>
          <w:tcPr>
            <w:tcW w:w="709" w:type="dxa"/>
            <w:noWrap/>
            <w:hideMark/>
          </w:tcPr>
          <w:p w14:paraId="316CFD2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D39C46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C304C1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3E4737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110 Mimosa Road</w:t>
            </w:r>
          </w:p>
        </w:tc>
        <w:tc>
          <w:tcPr>
            <w:tcW w:w="1134" w:type="dxa"/>
            <w:noWrap/>
            <w:hideMark/>
          </w:tcPr>
          <w:p w14:paraId="3E2F476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6D3B8E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4.7</w:t>
            </w:r>
          </w:p>
        </w:tc>
        <w:tc>
          <w:tcPr>
            <w:tcW w:w="1134" w:type="dxa"/>
            <w:noWrap/>
            <w:hideMark/>
          </w:tcPr>
          <w:p w14:paraId="73683D8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10CF07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8727E5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w:t>
            </w:r>
          </w:p>
        </w:tc>
        <w:tc>
          <w:tcPr>
            <w:tcW w:w="1417" w:type="dxa"/>
            <w:noWrap/>
            <w:hideMark/>
          </w:tcPr>
          <w:p w14:paraId="0B66B44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67033CA" w14:textId="77777777" w:rsidTr="001367E0">
        <w:tblPrEx>
          <w:tblCellMar>
            <w:left w:w="108" w:type="dxa"/>
            <w:right w:w="108" w:type="dxa"/>
          </w:tblCellMar>
        </w:tblPrEx>
        <w:trPr>
          <w:trHeight w:val="465"/>
        </w:trPr>
        <w:tc>
          <w:tcPr>
            <w:tcW w:w="737" w:type="dxa"/>
            <w:noWrap/>
            <w:hideMark/>
          </w:tcPr>
          <w:p w14:paraId="6FFC823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13839</w:t>
            </w:r>
          </w:p>
        </w:tc>
        <w:tc>
          <w:tcPr>
            <w:tcW w:w="1559" w:type="dxa"/>
            <w:noWrap/>
            <w:hideMark/>
          </w:tcPr>
          <w:p w14:paraId="451D863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McAuley Catholic Central School</w:t>
            </w:r>
          </w:p>
        </w:tc>
        <w:tc>
          <w:tcPr>
            <w:tcW w:w="709" w:type="dxa"/>
            <w:noWrap/>
            <w:hideMark/>
          </w:tcPr>
          <w:p w14:paraId="18B322B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2B483A9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0CFCD12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 7</w:t>
            </w:r>
          </w:p>
        </w:tc>
        <w:tc>
          <w:tcPr>
            <w:tcW w:w="1843" w:type="dxa"/>
            <w:noWrap/>
            <w:hideMark/>
          </w:tcPr>
          <w:p w14:paraId="59F1A42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Capper Street</w:t>
            </w:r>
          </w:p>
        </w:tc>
        <w:tc>
          <w:tcPr>
            <w:tcW w:w="1134" w:type="dxa"/>
            <w:noWrap/>
            <w:hideMark/>
          </w:tcPr>
          <w:p w14:paraId="26327EB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7A33646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13.4</w:t>
            </w:r>
          </w:p>
        </w:tc>
        <w:tc>
          <w:tcPr>
            <w:tcW w:w="1134" w:type="dxa"/>
            <w:noWrap/>
            <w:hideMark/>
          </w:tcPr>
          <w:p w14:paraId="209FB94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w:t>
            </w:r>
          </w:p>
        </w:tc>
        <w:tc>
          <w:tcPr>
            <w:tcW w:w="1134" w:type="dxa"/>
            <w:noWrap/>
            <w:hideMark/>
          </w:tcPr>
          <w:p w14:paraId="2A93CE5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36052A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27</w:t>
            </w:r>
          </w:p>
        </w:tc>
        <w:tc>
          <w:tcPr>
            <w:tcW w:w="1417" w:type="dxa"/>
            <w:noWrap/>
            <w:hideMark/>
          </w:tcPr>
          <w:p w14:paraId="2150739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5E7B2AB9" w14:textId="77777777" w:rsidTr="001367E0">
        <w:tblPrEx>
          <w:tblCellMar>
            <w:left w:w="108" w:type="dxa"/>
            <w:right w:w="108" w:type="dxa"/>
          </w:tblCellMar>
        </w:tblPrEx>
        <w:trPr>
          <w:trHeight w:val="465"/>
        </w:trPr>
        <w:tc>
          <w:tcPr>
            <w:tcW w:w="737" w:type="dxa"/>
            <w:noWrap/>
            <w:hideMark/>
          </w:tcPr>
          <w:p w14:paraId="397F997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13653</w:t>
            </w:r>
          </w:p>
        </w:tc>
        <w:tc>
          <w:tcPr>
            <w:tcW w:w="1559" w:type="dxa"/>
            <w:noWrap/>
            <w:hideMark/>
          </w:tcPr>
          <w:p w14:paraId="6F30005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McAuley Catholic College</w:t>
            </w:r>
          </w:p>
        </w:tc>
        <w:tc>
          <w:tcPr>
            <w:tcW w:w="709" w:type="dxa"/>
            <w:noWrap/>
            <w:hideMark/>
          </w:tcPr>
          <w:p w14:paraId="1F8AD33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2BD5C05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423FCD6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24B6AF9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Pacific Highway</w:t>
            </w:r>
          </w:p>
        </w:tc>
        <w:tc>
          <w:tcPr>
            <w:tcW w:w="1134" w:type="dxa"/>
            <w:noWrap/>
            <w:hideMark/>
          </w:tcPr>
          <w:p w14:paraId="0F7A49C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616C698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23.7</w:t>
            </w:r>
          </w:p>
        </w:tc>
        <w:tc>
          <w:tcPr>
            <w:tcW w:w="1134" w:type="dxa"/>
            <w:noWrap/>
            <w:hideMark/>
          </w:tcPr>
          <w:p w14:paraId="17190F8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75.0</w:t>
            </w:r>
          </w:p>
        </w:tc>
        <w:tc>
          <w:tcPr>
            <w:tcW w:w="1134" w:type="dxa"/>
            <w:noWrap/>
            <w:hideMark/>
          </w:tcPr>
          <w:p w14:paraId="37764DD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11.1</w:t>
            </w:r>
          </w:p>
        </w:tc>
        <w:tc>
          <w:tcPr>
            <w:tcW w:w="1276" w:type="dxa"/>
            <w:noWrap/>
            <w:hideMark/>
          </w:tcPr>
          <w:p w14:paraId="5095251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94</w:t>
            </w:r>
          </w:p>
        </w:tc>
        <w:tc>
          <w:tcPr>
            <w:tcW w:w="1417" w:type="dxa"/>
            <w:noWrap/>
            <w:hideMark/>
          </w:tcPr>
          <w:p w14:paraId="04BCEA7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r>
      <w:tr w:rsidR="00107BB9" w:rsidRPr="00107BB9" w14:paraId="3B19E138" w14:textId="77777777" w:rsidTr="001367E0">
        <w:tblPrEx>
          <w:tblCellMar>
            <w:left w:w="108" w:type="dxa"/>
            <w:right w:w="108" w:type="dxa"/>
          </w:tblCellMar>
        </w:tblPrEx>
        <w:trPr>
          <w:trHeight w:val="465"/>
        </w:trPr>
        <w:tc>
          <w:tcPr>
            <w:tcW w:w="737" w:type="dxa"/>
            <w:noWrap/>
            <w:hideMark/>
          </w:tcPr>
          <w:p w14:paraId="3622D91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5540</w:t>
            </w:r>
          </w:p>
        </w:tc>
        <w:tc>
          <w:tcPr>
            <w:tcW w:w="1559" w:type="dxa"/>
            <w:noWrap/>
            <w:hideMark/>
          </w:tcPr>
          <w:p w14:paraId="71EF380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McCarthy Catholic College</w:t>
            </w:r>
          </w:p>
        </w:tc>
        <w:tc>
          <w:tcPr>
            <w:tcW w:w="709" w:type="dxa"/>
            <w:noWrap/>
            <w:hideMark/>
          </w:tcPr>
          <w:p w14:paraId="0146056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649AFD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3EC5F4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1E10937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75 Mackellar Street</w:t>
            </w:r>
          </w:p>
        </w:tc>
        <w:tc>
          <w:tcPr>
            <w:tcW w:w="1134" w:type="dxa"/>
            <w:noWrap/>
            <w:hideMark/>
          </w:tcPr>
          <w:p w14:paraId="7CF71B0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2ED55FC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22.3</w:t>
            </w:r>
          </w:p>
        </w:tc>
        <w:tc>
          <w:tcPr>
            <w:tcW w:w="1134" w:type="dxa"/>
            <w:noWrap/>
            <w:hideMark/>
          </w:tcPr>
          <w:p w14:paraId="4AC7DC4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30.0</w:t>
            </w:r>
          </w:p>
        </w:tc>
        <w:tc>
          <w:tcPr>
            <w:tcW w:w="1134" w:type="dxa"/>
            <w:noWrap/>
            <w:hideMark/>
          </w:tcPr>
          <w:p w14:paraId="7059CC0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FF62D7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116</w:t>
            </w:r>
          </w:p>
        </w:tc>
        <w:tc>
          <w:tcPr>
            <w:tcW w:w="1417" w:type="dxa"/>
            <w:noWrap/>
            <w:hideMark/>
          </w:tcPr>
          <w:p w14:paraId="623C371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r>
      <w:tr w:rsidR="00107BB9" w:rsidRPr="00107BB9" w14:paraId="60260BDA" w14:textId="77777777" w:rsidTr="001367E0">
        <w:tblPrEx>
          <w:tblCellMar>
            <w:left w:w="108" w:type="dxa"/>
            <w:right w:w="108" w:type="dxa"/>
          </w:tblCellMar>
        </w:tblPrEx>
        <w:trPr>
          <w:trHeight w:val="465"/>
        </w:trPr>
        <w:tc>
          <w:tcPr>
            <w:tcW w:w="737" w:type="dxa"/>
            <w:noWrap/>
            <w:hideMark/>
          </w:tcPr>
          <w:p w14:paraId="6AE1EAD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17022</w:t>
            </w:r>
          </w:p>
        </w:tc>
        <w:tc>
          <w:tcPr>
            <w:tcW w:w="1559" w:type="dxa"/>
            <w:noWrap/>
            <w:hideMark/>
          </w:tcPr>
          <w:p w14:paraId="77FB67F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McCarthy Catholic College</w:t>
            </w:r>
          </w:p>
        </w:tc>
        <w:tc>
          <w:tcPr>
            <w:tcW w:w="709" w:type="dxa"/>
            <w:noWrap/>
            <w:hideMark/>
          </w:tcPr>
          <w:p w14:paraId="02CF4B9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5948F6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2.1.2</w:t>
            </w:r>
          </w:p>
        </w:tc>
        <w:tc>
          <w:tcPr>
            <w:tcW w:w="1134" w:type="dxa"/>
            <w:noWrap/>
            <w:hideMark/>
          </w:tcPr>
          <w:p w14:paraId="0F4DC28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352B8AC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Tribe Street</w:t>
            </w:r>
          </w:p>
        </w:tc>
        <w:tc>
          <w:tcPr>
            <w:tcW w:w="1134" w:type="dxa"/>
            <w:noWrap/>
            <w:hideMark/>
          </w:tcPr>
          <w:p w14:paraId="6278E6A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5335DBD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18.1</w:t>
            </w:r>
          </w:p>
        </w:tc>
        <w:tc>
          <w:tcPr>
            <w:tcW w:w="1134" w:type="dxa"/>
            <w:noWrap/>
            <w:hideMark/>
          </w:tcPr>
          <w:p w14:paraId="543F263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40.5</w:t>
            </w:r>
          </w:p>
        </w:tc>
        <w:tc>
          <w:tcPr>
            <w:tcW w:w="1134" w:type="dxa"/>
            <w:noWrap/>
            <w:hideMark/>
          </w:tcPr>
          <w:p w14:paraId="15A9C96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DA10BF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115</w:t>
            </w:r>
          </w:p>
        </w:tc>
        <w:tc>
          <w:tcPr>
            <w:tcW w:w="1417" w:type="dxa"/>
            <w:noWrap/>
            <w:hideMark/>
          </w:tcPr>
          <w:p w14:paraId="1655443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w:t>
            </w:r>
          </w:p>
        </w:tc>
      </w:tr>
      <w:tr w:rsidR="00107BB9" w:rsidRPr="00107BB9" w14:paraId="3A84C887" w14:textId="77777777" w:rsidTr="001367E0">
        <w:tblPrEx>
          <w:tblCellMar>
            <w:left w:w="108" w:type="dxa"/>
            <w:right w:w="108" w:type="dxa"/>
          </w:tblCellMar>
        </w:tblPrEx>
        <w:trPr>
          <w:trHeight w:val="465"/>
        </w:trPr>
        <w:tc>
          <w:tcPr>
            <w:tcW w:w="737" w:type="dxa"/>
            <w:noWrap/>
            <w:hideMark/>
          </w:tcPr>
          <w:p w14:paraId="2EA1944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1461</w:t>
            </w:r>
          </w:p>
        </w:tc>
        <w:tc>
          <w:tcPr>
            <w:tcW w:w="1559" w:type="dxa"/>
            <w:noWrap/>
            <w:hideMark/>
          </w:tcPr>
          <w:p w14:paraId="07C2E2E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Mt St John's Primary School</w:t>
            </w:r>
          </w:p>
        </w:tc>
        <w:tc>
          <w:tcPr>
            <w:tcW w:w="709" w:type="dxa"/>
            <w:noWrap/>
            <w:hideMark/>
          </w:tcPr>
          <w:p w14:paraId="5A869F3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996D3C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2A47481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BA6840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Karabin Street</w:t>
            </w:r>
          </w:p>
        </w:tc>
        <w:tc>
          <w:tcPr>
            <w:tcW w:w="1134" w:type="dxa"/>
            <w:noWrap/>
            <w:hideMark/>
          </w:tcPr>
          <w:p w14:paraId="0E241EA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AB85D7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15.9</w:t>
            </w:r>
          </w:p>
        </w:tc>
        <w:tc>
          <w:tcPr>
            <w:tcW w:w="1134" w:type="dxa"/>
            <w:noWrap/>
            <w:hideMark/>
          </w:tcPr>
          <w:p w14:paraId="2DE6303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2D4783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C156FD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w:t>
            </w:r>
          </w:p>
        </w:tc>
        <w:tc>
          <w:tcPr>
            <w:tcW w:w="1417" w:type="dxa"/>
            <w:noWrap/>
            <w:hideMark/>
          </w:tcPr>
          <w:p w14:paraId="3D71318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3FBBBA0" w14:textId="77777777" w:rsidTr="001367E0">
        <w:tblPrEx>
          <w:tblCellMar>
            <w:left w:w="108" w:type="dxa"/>
            <w:right w:w="108" w:type="dxa"/>
          </w:tblCellMar>
        </w:tblPrEx>
        <w:trPr>
          <w:trHeight w:val="465"/>
        </w:trPr>
        <w:tc>
          <w:tcPr>
            <w:tcW w:w="737" w:type="dxa"/>
            <w:noWrap/>
            <w:hideMark/>
          </w:tcPr>
          <w:p w14:paraId="130DB26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1984</w:t>
            </w:r>
          </w:p>
        </w:tc>
        <w:tc>
          <w:tcPr>
            <w:tcW w:w="1559" w:type="dxa"/>
            <w:noWrap/>
            <w:hideMark/>
          </w:tcPr>
          <w:p w14:paraId="0F818DE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O'Connor Catholic College</w:t>
            </w:r>
          </w:p>
        </w:tc>
        <w:tc>
          <w:tcPr>
            <w:tcW w:w="709" w:type="dxa"/>
            <w:noWrap/>
            <w:hideMark/>
          </w:tcPr>
          <w:p w14:paraId="782CCBA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98C9FA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52D4A98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4379335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35 Kirwood Street</w:t>
            </w:r>
          </w:p>
        </w:tc>
        <w:tc>
          <w:tcPr>
            <w:tcW w:w="1134" w:type="dxa"/>
            <w:noWrap/>
            <w:hideMark/>
          </w:tcPr>
          <w:p w14:paraId="1BB304B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DC7D8B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22.9</w:t>
            </w:r>
          </w:p>
        </w:tc>
        <w:tc>
          <w:tcPr>
            <w:tcW w:w="1134" w:type="dxa"/>
            <w:noWrap/>
            <w:hideMark/>
          </w:tcPr>
          <w:p w14:paraId="36D192D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45.8</w:t>
            </w:r>
          </w:p>
        </w:tc>
        <w:tc>
          <w:tcPr>
            <w:tcW w:w="1134" w:type="dxa"/>
            <w:noWrap/>
            <w:hideMark/>
          </w:tcPr>
          <w:p w14:paraId="20FBEC7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BAB9CA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69</w:t>
            </w:r>
          </w:p>
        </w:tc>
        <w:tc>
          <w:tcPr>
            <w:tcW w:w="1417" w:type="dxa"/>
            <w:noWrap/>
            <w:hideMark/>
          </w:tcPr>
          <w:p w14:paraId="01A64D9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r>
      <w:tr w:rsidR="00107BB9" w:rsidRPr="00107BB9" w14:paraId="6F20B9B0" w14:textId="77777777" w:rsidTr="001367E0">
        <w:tblPrEx>
          <w:tblCellMar>
            <w:left w:w="108" w:type="dxa"/>
            <w:right w:w="108" w:type="dxa"/>
          </w:tblCellMar>
        </w:tblPrEx>
        <w:trPr>
          <w:trHeight w:val="465"/>
        </w:trPr>
        <w:tc>
          <w:tcPr>
            <w:tcW w:w="737" w:type="dxa"/>
            <w:noWrap/>
            <w:hideMark/>
          </w:tcPr>
          <w:p w14:paraId="4B59C92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6844</w:t>
            </w:r>
          </w:p>
        </w:tc>
        <w:tc>
          <w:tcPr>
            <w:tcW w:w="1559" w:type="dxa"/>
            <w:noWrap/>
            <w:hideMark/>
          </w:tcPr>
          <w:p w14:paraId="4E87F02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Our Lady Help Of Christians Parish Primary School</w:t>
            </w:r>
          </w:p>
        </w:tc>
        <w:tc>
          <w:tcPr>
            <w:tcW w:w="709" w:type="dxa"/>
            <w:noWrap/>
            <w:hideMark/>
          </w:tcPr>
          <w:p w14:paraId="50141CF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2EA74C8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32F9E0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4CD405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Lot 2 Demetrius Rd</w:t>
            </w:r>
          </w:p>
        </w:tc>
        <w:tc>
          <w:tcPr>
            <w:tcW w:w="1134" w:type="dxa"/>
            <w:noWrap/>
            <w:hideMark/>
          </w:tcPr>
          <w:p w14:paraId="412B0BD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2B734CE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17.9</w:t>
            </w:r>
          </w:p>
        </w:tc>
        <w:tc>
          <w:tcPr>
            <w:tcW w:w="1134" w:type="dxa"/>
            <w:noWrap/>
            <w:hideMark/>
          </w:tcPr>
          <w:p w14:paraId="015AA43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D5AD1D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02FC76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35</w:t>
            </w:r>
          </w:p>
        </w:tc>
        <w:tc>
          <w:tcPr>
            <w:tcW w:w="1417" w:type="dxa"/>
            <w:noWrap/>
            <w:hideMark/>
          </w:tcPr>
          <w:p w14:paraId="740140D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36CBCF2A" w14:textId="77777777" w:rsidTr="001367E0">
        <w:tblPrEx>
          <w:tblCellMar>
            <w:left w:w="108" w:type="dxa"/>
            <w:right w:w="108" w:type="dxa"/>
          </w:tblCellMar>
        </w:tblPrEx>
        <w:trPr>
          <w:trHeight w:val="465"/>
        </w:trPr>
        <w:tc>
          <w:tcPr>
            <w:tcW w:w="737" w:type="dxa"/>
            <w:noWrap/>
            <w:hideMark/>
          </w:tcPr>
          <w:p w14:paraId="5580897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1480</w:t>
            </w:r>
          </w:p>
        </w:tc>
        <w:tc>
          <w:tcPr>
            <w:tcW w:w="1559" w:type="dxa"/>
            <w:noWrap/>
            <w:hideMark/>
          </w:tcPr>
          <w:p w14:paraId="3F25EC0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Our Lady of Dolours Catholic School</w:t>
            </w:r>
          </w:p>
        </w:tc>
        <w:tc>
          <w:tcPr>
            <w:tcW w:w="709" w:type="dxa"/>
            <w:noWrap/>
            <w:hideMark/>
          </w:tcPr>
          <w:p w14:paraId="2CDB931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EA5CF8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3A189FB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DB4894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94a Archer Street</w:t>
            </w:r>
          </w:p>
        </w:tc>
        <w:tc>
          <w:tcPr>
            <w:tcW w:w="1134" w:type="dxa"/>
            <w:noWrap/>
            <w:hideMark/>
          </w:tcPr>
          <w:p w14:paraId="7204039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F09E58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7.2</w:t>
            </w:r>
          </w:p>
        </w:tc>
        <w:tc>
          <w:tcPr>
            <w:tcW w:w="1134" w:type="dxa"/>
            <w:noWrap/>
            <w:hideMark/>
          </w:tcPr>
          <w:p w14:paraId="59B6949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4C6FB2C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4299C0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w:t>
            </w:r>
          </w:p>
        </w:tc>
        <w:tc>
          <w:tcPr>
            <w:tcW w:w="1417" w:type="dxa"/>
            <w:noWrap/>
            <w:hideMark/>
          </w:tcPr>
          <w:p w14:paraId="7B52E94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7732F11" w14:textId="77777777" w:rsidTr="001367E0">
        <w:tblPrEx>
          <w:tblCellMar>
            <w:left w:w="108" w:type="dxa"/>
            <w:right w:w="108" w:type="dxa"/>
          </w:tblCellMar>
        </w:tblPrEx>
        <w:trPr>
          <w:trHeight w:val="465"/>
        </w:trPr>
        <w:tc>
          <w:tcPr>
            <w:tcW w:w="737" w:type="dxa"/>
            <w:noWrap/>
            <w:hideMark/>
          </w:tcPr>
          <w:p w14:paraId="43D742A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1482</w:t>
            </w:r>
          </w:p>
        </w:tc>
        <w:tc>
          <w:tcPr>
            <w:tcW w:w="1559" w:type="dxa"/>
            <w:noWrap/>
            <w:hideMark/>
          </w:tcPr>
          <w:p w14:paraId="34256DB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Our Lady of Fatima Primary School</w:t>
            </w:r>
          </w:p>
        </w:tc>
        <w:tc>
          <w:tcPr>
            <w:tcW w:w="709" w:type="dxa"/>
            <w:noWrap/>
            <w:hideMark/>
          </w:tcPr>
          <w:p w14:paraId="1AEFE0C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F8EE21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2784AE9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82A20F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389 Port Hacking Road</w:t>
            </w:r>
          </w:p>
        </w:tc>
        <w:tc>
          <w:tcPr>
            <w:tcW w:w="1134" w:type="dxa"/>
            <w:noWrap/>
            <w:hideMark/>
          </w:tcPr>
          <w:p w14:paraId="7340266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7F0D585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7.6</w:t>
            </w:r>
          </w:p>
        </w:tc>
        <w:tc>
          <w:tcPr>
            <w:tcW w:w="1134" w:type="dxa"/>
            <w:noWrap/>
            <w:hideMark/>
          </w:tcPr>
          <w:p w14:paraId="3E02DA3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0E7B783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1C0450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29</w:t>
            </w:r>
          </w:p>
        </w:tc>
        <w:tc>
          <w:tcPr>
            <w:tcW w:w="1417" w:type="dxa"/>
            <w:noWrap/>
            <w:hideMark/>
          </w:tcPr>
          <w:p w14:paraId="3823FB7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56FEB46E" w14:textId="77777777" w:rsidTr="001367E0">
        <w:tblPrEx>
          <w:tblCellMar>
            <w:left w:w="108" w:type="dxa"/>
            <w:right w:w="108" w:type="dxa"/>
          </w:tblCellMar>
        </w:tblPrEx>
        <w:trPr>
          <w:trHeight w:val="465"/>
        </w:trPr>
        <w:tc>
          <w:tcPr>
            <w:tcW w:w="737" w:type="dxa"/>
            <w:noWrap/>
            <w:hideMark/>
          </w:tcPr>
          <w:p w14:paraId="78E17E6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1485</w:t>
            </w:r>
          </w:p>
        </w:tc>
        <w:tc>
          <w:tcPr>
            <w:tcW w:w="1559" w:type="dxa"/>
            <w:noWrap/>
            <w:hideMark/>
          </w:tcPr>
          <w:p w14:paraId="7DBB56C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Our Lady of Lebanon College</w:t>
            </w:r>
          </w:p>
        </w:tc>
        <w:tc>
          <w:tcPr>
            <w:tcW w:w="709" w:type="dxa"/>
            <w:noWrap/>
            <w:hideMark/>
          </w:tcPr>
          <w:p w14:paraId="16FE4D2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4E2475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7D8296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 7</w:t>
            </w:r>
          </w:p>
        </w:tc>
        <w:tc>
          <w:tcPr>
            <w:tcW w:w="1843" w:type="dxa"/>
            <w:noWrap/>
            <w:hideMark/>
          </w:tcPr>
          <w:p w14:paraId="6AB928D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23-25 Alice Street</w:t>
            </w:r>
          </w:p>
        </w:tc>
        <w:tc>
          <w:tcPr>
            <w:tcW w:w="1134" w:type="dxa"/>
            <w:noWrap/>
            <w:hideMark/>
          </w:tcPr>
          <w:p w14:paraId="5C6174F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21D0D09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25.1</w:t>
            </w:r>
          </w:p>
        </w:tc>
        <w:tc>
          <w:tcPr>
            <w:tcW w:w="1134" w:type="dxa"/>
            <w:noWrap/>
            <w:hideMark/>
          </w:tcPr>
          <w:p w14:paraId="62DE244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F230E0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EDD6ED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180</w:t>
            </w:r>
          </w:p>
        </w:tc>
        <w:tc>
          <w:tcPr>
            <w:tcW w:w="1417" w:type="dxa"/>
            <w:noWrap/>
            <w:hideMark/>
          </w:tcPr>
          <w:p w14:paraId="0FF2219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A74EF9D" w14:textId="77777777" w:rsidTr="001367E0">
        <w:tblPrEx>
          <w:tblCellMar>
            <w:left w:w="108" w:type="dxa"/>
            <w:right w:w="108" w:type="dxa"/>
          </w:tblCellMar>
        </w:tblPrEx>
        <w:trPr>
          <w:trHeight w:val="465"/>
        </w:trPr>
        <w:tc>
          <w:tcPr>
            <w:tcW w:w="737" w:type="dxa"/>
            <w:noWrap/>
            <w:hideMark/>
          </w:tcPr>
          <w:p w14:paraId="045CCA5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1456</w:t>
            </w:r>
          </w:p>
        </w:tc>
        <w:tc>
          <w:tcPr>
            <w:tcW w:w="1559" w:type="dxa"/>
            <w:noWrap/>
            <w:hideMark/>
          </w:tcPr>
          <w:p w14:paraId="76CC028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Our Lady of Mt Carmel Primary School</w:t>
            </w:r>
          </w:p>
        </w:tc>
        <w:tc>
          <w:tcPr>
            <w:tcW w:w="709" w:type="dxa"/>
            <w:noWrap/>
            <w:hideMark/>
          </w:tcPr>
          <w:p w14:paraId="0B8B31A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5FD416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FC3669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644461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4 Kellick Street</w:t>
            </w:r>
          </w:p>
        </w:tc>
        <w:tc>
          <w:tcPr>
            <w:tcW w:w="1134" w:type="dxa"/>
            <w:noWrap/>
            <w:hideMark/>
          </w:tcPr>
          <w:p w14:paraId="14429F6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5AE9F63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33.3</w:t>
            </w:r>
          </w:p>
        </w:tc>
        <w:tc>
          <w:tcPr>
            <w:tcW w:w="1134" w:type="dxa"/>
            <w:noWrap/>
            <w:hideMark/>
          </w:tcPr>
          <w:p w14:paraId="5C97F7A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4D054AD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F14ED4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24</w:t>
            </w:r>
          </w:p>
        </w:tc>
        <w:tc>
          <w:tcPr>
            <w:tcW w:w="1417" w:type="dxa"/>
            <w:noWrap/>
            <w:hideMark/>
          </w:tcPr>
          <w:p w14:paraId="40DF881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w:t>
            </w:r>
          </w:p>
        </w:tc>
      </w:tr>
      <w:tr w:rsidR="00107BB9" w:rsidRPr="00107BB9" w14:paraId="48985C5D" w14:textId="77777777" w:rsidTr="001367E0">
        <w:tblPrEx>
          <w:tblCellMar>
            <w:left w:w="108" w:type="dxa"/>
            <w:right w:w="108" w:type="dxa"/>
          </w:tblCellMar>
        </w:tblPrEx>
        <w:trPr>
          <w:trHeight w:val="465"/>
        </w:trPr>
        <w:tc>
          <w:tcPr>
            <w:tcW w:w="737" w:type="dxa"/>
            <w:noWrap/>
            <w:hideMark/>
          </w:tcPr>
          <w:p w14:paraId="53192D4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1509</w:t>
            </w:r>
          </w:p>
        </w:tc>
        <w:tc>
          <w:tcPr>
            <w:tcW w:w="1559" w:type="dxa"/>
            <w:noWrap/>
            <w:hideMark/>
          </w:tcPr>
          <w:p w14:paraId="07EAF56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Our Lady of the Rosary Catholic School</w:t>
            </w:r>
          </w:p>
        </w:tc>
        <w:tc>
          <w:tcPr>
            <w:tcW w:w="709" w:type="dxa"/>
            <w:noWrap/>
            <w:hideMark/>
          </w:tcPr>
          <w:p w14:paraId="5BD6415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596AD2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07CC01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CE27B9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Shelly Beach Road</w:t>
            </w:r>
          </w:p>
        </w:tc>
        <w:tc>
          <w:tcPr>
            <w:tcW w:w="1134" w:type="dxa"/>
            <w:noWrap/>
            <w:hideMark/>
          </w:tcPr>
          <w:p w14:paraId="67AD0B8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74A01D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7.8</w:t>
            </w:r>
          </w:p>
        </w:tc>
        <w:tc>
          <w:tcPr>
            <w:tcW w:w="1134" w:type="dxa"/>
            <w:noWrap/>
            <w:hideMark/>
          </w:tcPr>
          <w:p w14:paraId="3D9A661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10.0</w:t>
            </w:r>
          </w:p>
        </w:tc>
        <w:tc>
          <w:tcPr>
            <w:tcW w:w="1134" w:type="dxa"/>
            <w:noWrap/>
            <w:hideMark/>
          </w:tcPr>
          <w:p w14:paraId="674B5F4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193790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w:t>
            </w:r>
          </w:p>
        </w:tc>
        <w:tc>
          <w:tcPr>
            <w:tcW w:w="1417" w:type="dxa"/>
            <w:noWrap/>
            <w:hideMark/>
          </w:tcPr>
          <w:p w14:paraId="219768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300F5301" w14:textId="77777777" w:rsidTr="001367E0">
        <w:tblPrEx>
          <w:tblCellMar>
            <w:left w:w="108" w:type="dxa"/>
            <w:right w:w="108" w:type="dxa"/>
          </w:tblCellMar>
        </w:tblPrEx>
        <w:trPr>
          <w:trHeight w:val="465"/>
        </w:trPr>
        <w:tc>
          <w:tcPr>
            <w:tcW w:w="737" w:type="dxa"/>
            <w:noWrap/>
            <w:hideMark/>
          </w:tcPr>
          <w:p w14:paraId="181C449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2348</w:t>
            </w:r>
          </w:p>
        </w:tc>
        <w:tc>
          <w:tcPr>
            <w:tcW w:w="1559" w:type="dxa"/>
            <w:noWrap/>
            <w:hideMark/>
          </w:tcPr>
          <w:p w14:paraId="0F80F2E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Our Lady of the Rosary Catholic School</w:t>
            </w:r>
          </w:p>
        </w:tc>
        <w:tc>
          <w:tcPr>
            <w:tcW w:w="709" w:type="dxa"/>
            <w:noWrap/>
            <w:hideMark/>
          </w:tcPr>
          <w:p w14:paraId="60F481A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F1DF04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5A97B81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97F5F6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92 Glennie Street</w:t>
            </w:r>
          </w:p>
        </w:tc>
        <w:tc>
          <w:tcPr>
            <w:tcW w:w="1134" w:type="dxa"/>
            <w:noWrap/>
            <w:hideMark/>
          </w:tcPr>
          <w:p w14:paraId="767C63C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D0C0C2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11.0</w:t>
            </w:r>
          </w:p>
        </w:tc>
        <w:tc>
          <w:tcPr>
            <w:tcW w:w="1134" w:type="dxa"/>
            <w:noWrap/>
            <w:hideMark/>
          </w:tcPr>
          <w:p w14:paraId="723B059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D5342E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E39B2B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w:t>
            </w:r>
          </w:p>
        </w:tc>
        <w:tc>
          <w:tcPr>
            <w:tcW w:w="1417" w:type="dxa"/>
            <w:noWrap/>
            <w:hideMark/>
          </w:tcPr>
          <w:p w14:paraId="6688FAE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1A2FABC" w14:textId="77777777" w:rsidTr="001367E0">
        <w:tblPrEx>
          <w:tblCellMar>
            <w:left w:w="108" w:type="dxa"/>
            <w:right w:w="108" w:type="dxa"/>
          </w:tblCellMar>
        </w:tblPrEx>
        <w:trPr>
          <w:trHeight w:val="465"/>
        </w:trPr>
        <w:tc>
          <w:tcPr>
            <w:tcW w:w="737" w:type="dxa"/>
            <w:noWrap/>
            <w:hideMark/>
          </w:tcPr>
          <w:p w14:paraId="56F01F5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1506</w:t>
            </w:r>
          </w:p>
        </w:tc>
        <w:tc>
          <w:tcPr>
            <w:tcW w:w="1559" w:type="dxa"/>
            <w:noWrap/>
            <w:hideMark/>
          </w:tcPr>
          <w:p w14:paraId="54EEF52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Our Lady of the Rosary Primary School</w:t>
            </w:r>
          </w:p>
        </w:tc>
        <w:tc>
          <w:tcPr>
            <w:tcW w:w="709" w:type="dxa"/>
            <w:noWrap/>
            <w:hideMark/>
          </w:tcPr>
          <w:p w14:paraId="6E3F4A2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D0DBA5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2B1E67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DE3DED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20 Vine Street</w:t>
            </w:r>
          </w:p>
        </w:tc>
        <w:tc>
          <w:tcPr>
            <w:tcW w:w="1134" w:type="dxa"/>
            <w:noWrap/>
            <w:hideMark/>
          </w:tcPr>
          <w:p w14:paraId="09E8B60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LSES2009</w:t>
            </w:r>
          </w:p>
        </w:tc>
        <w:tc>
          <w:tcPr>
            <w:tcW w:w="1276" w:type="dxa"/>
            <w:noWrap/>
            <w:hideMark/>
          </w:tcPr>
          <w:p w14:paraId="3F9AD3F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9.5</w:t>
            </w:r>
          </w:p>
        </w:tc>
        <w:tc>
          <w:tcPr>
            <w:tcW w:w="1134" w:type="dxa"/>
            <w:noWrap/>
            <w:hideMark/>
          </w:tcPr>
          <w:p w14:paraId="31C1E2B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623BE0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43EF9A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37</w:t>
            </w:r>
          </w:p>
        </w:tc>
        <w:tc>
          <w:tcPr>
            <w:tcW w:w="1417" w:type="dxa"/>
            <w:noWrap/>
            <w:hideMark/>
          </w:tcPr>
          <w:p w14:paraId="0EFD2C8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765AD355" w14:textId="77777777" w:rsidTr="001367E0">
        <w:tblPrEx>
          <w:tblCellMar>
            <w:left w:w="108" w:type="dxa"/>
            <w:right w:w="108" w:type="dxa"/>
          </w:tblCellMar>
        </w:tblPrEx>
        <w:trPr>
          <w:trHeight w:val="465"/>
        </w:trPr>
        <w:tc>
          <w:tcPr>
            <w:tcW w:w="737" w:type="dxa"/>
            <w:noWrap/>
            <w:hideMark/>
          </w:tcPr>
          <w:p w14:paraId="0479CC2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1507</w:t>
            </w:r>
          </w:p>
        </w:tc>
        <w:tc>
          <w:tcPr>
            <w:tcW w:w="1559" w:type="dxa"/>
            <w:noWrap/>
            <w:hideMark/>
          </w:tcPr>
          <w:p w14:paraId="4F999D1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Our Lady of the Rosary Primary School</w:t>
            </w:r>
          </w:p>
        </w:tc>
        <w:tc>
          <w:tcPr>
            <w:tcW w:w="709" w:type="dxa"/>
            <w:noWrap/>
            <w:hideMark/>
          </w:tcPr>
          <w:p w14:paraId="532BE8D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690ABD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71D3D3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7C2F06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Kensington Road</w:t>
            </w:r>
          </w:p>
        </w:tc>
        <w:tc>
          <w:tcPr>
            <w:tcW w:w="1134" w:type="dxa"/>
            <w:noWrap/>
            <w:hideMark/>
          </w:tcPr>
          <w:p w14:paraId="5C8C7AF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455A19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2.8</w:t>
            </w:r>
          </w:p>
        </w:tc>
        <w:tc>
          <w:tcPr>
            <w:tcW w:w="1134" w:type="dxa"/>
            <w:noWrap/>
            <w:hideMark/>
          </w:tcPr>
          <w:p w14:paraId="34249AC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B52D9B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476893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c>
          <w:tcPr>
            <w:tcW w:w="1417" w:type="dxa"/>
            <w:noWrap/>
            <w:hideMark/>
          </w:tcPr>
          <w:p w14:paraId="427AA6B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8B90E5A" w14:textId="77777777" w:rsidTr="001367E0">
        <w:tblPrEx>
          <w:tblCellMar>
            <w:left w:w="108" w:type="dxa"/>
            <w:right w:w="108" w:type="dxa"/>
          </w:tblCellMar>
        </w:tblPrEx>
        <w:trPr>
          <w:trHeight w:val="465"/>
        </w:trPr>
        <w:tc>
          <w:tcPr>
            <w:tcW w:w="737" w:type="dxa"/>
            <w:noWrap/>
            <w:hideMark/>
          </w:tcPr>
          <w:p w14:paraId="156A52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1512</w:t>
            </w:r>
          </w:p>
        </w:tc>
        <w:tc>
          <w:tcPr>
            <w:tcW w:w="1559" w:type="dxa"/>
            <w:noWrap/>
            <w:hideMark/>
          </w:tcPr>
          <w:p w14:paraId="2AF3696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Our Lady of the Sacred Heart College</w:t>
            </w:r>
          </w:p>
        </w:tc>
        <w:tc>
          <w:tcPr>
            <w:tcW w:w="709" w:type="dxa"/>
            <w:noWrap/>
            <w:hideMark/>
          </w:tcPr>
          <w:p w14:paraId="571E8B9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9DE52D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11D996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17943D8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 Kensington Rd</w:t>
            </w:r>
          </w:p>
        </w:tc>
        <w:tc>
          <w:tcPr>
            <w:tcW w:w="1134" w:type="dxa"/>
            <w:noWrap/>
            <w:hideMark/>
          </w:tcPr>
          <w:p w14:paraId="2D08FD7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4CEFC7F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9.5</w:t>
            </w:r>
          </w:p>
        </w:tc>
        <w:tc>
          <w:tcPr>
            <w:tcW w:w="1134" w:type="dxa"/>
            <w:noWrap/>
            <w:hideMark/>
          </w:tcPr>
          <w:p w14:paraId="25D8435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749C92A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w:t>
            </w:r>
          </w:p>
        </w:tc>
        <w:tc>
          <w:tcPr>
            <w:tcW w:w="1276" w:type="dxa"/>
            <w:noWrap/>
            <w:hideMark/>
          </w:tcPr>
          <w:p w14:paraId="35B240D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57</w:t>
            </w:r>
          </w:p>
        </w:tc>
        <w:tc>
          <w:tcPr>
            <w:tcW w:w="1417" w:type="dxa"/>
            <w:noWrap/>
            <w:hideMark/>
          </w:tcPr>
          <w:p w14:paraId="126F73C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w:t>
            </w:r>
          </w:p>
        </w:tc>
      </w:tr>
      <w:tr w:rsidR="00107BB9" w:rsidRPr="00107BB9" w14:paraId="66E996DC" w14:textId="77777777" w:rsidTr="001367E0">
        <w:tblPrEx>
          <w:tblCellMar>
            <w:left w:w="108" w:type="dxa"/>
            <w:right w:w="108" w:type="dxa"/>
          </w:tblCellMar>
        </w:tblPrEx>
        <w:trPr>
          <w:trHeight w:val="465"/>
        </w:trPr>
        <w:tc>
          <w:tcPr>
            <w:tcW w:w="737" w:type="dxa"/>
            <w:noWrap/>
            <w:hideMark/>
          </w:tcPr>
          <w:p w14:paraId="4E687EF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2346</w:t>
            </w:r>
          </w:p>
        </w:tc>
        <w:tc>
          <w:tcPr>
            <w:tcW w:w="1559" w:type="dxa"/>
            <w:noWrap/>
            <w:hideMark/>
          </w:tcPr>
          <w:p w14:paraId="19DBB5A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Our Lady Star of the Sea Catholic School</w:t>
            </w:r>
          </w:p>
        </w:tc>
        <w:tc>
          <w:tcPr>
            <w:tcW w:w="709" w:type="dxa"/>
            <w:noWrap/>
            <w:hideMark/>
          </w:tcPr>
          <w:p w14:paraId="1CD3AA8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F42742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336EFE5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41F56E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165 Serpentine Road</w:t>
            </w:r>
          </w:p>
        </w:tc>
        <w:tc>
          <w:tcPr>
            <w:tcW w:w="1134" w:type="dxa"/>
            <w:noWrap/>
            <w:hideMark/>
          </w:tcPr>
          <w:p w14:paraId="0155777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46D5F09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8.3</w:t>
            </w:r>
          </w:p>
        </w:tc>
        <w:tc>
          <w:tcPr>
            <w:tcW w:w="1134" w:type="dxa"/>
            <w:noWrap/>
            <w:hideMark/>
          </w:tcPr>
          <w:p w14:paraId="187CC10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5070B5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A4B70A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w:t>
            </w:r>
          </w:p>
        </w:tc>
        <w:tc>
          <w:tcPr>
            <w:tcW w:w="1417" w:type="dxa"/>
            <w:noWrap/>
            <w:hideMark/>
          </w:tcPr>
          <w:p w14:paraId="3B2DCBA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9FD224D" w14:textId="77777777" w:rsidTr="001367E0">
        <w:tblPrEx>
          <w:tblCellMar>
            <w:left w:w="108" w:type="dxa"/>
            <w:right w:w="108" w:type="dxa"/>
          </w:tblCellMar>
        </w:tblPrEx>
        <w:trPr>
          <w:trHeight w:val="465"/>
        </w:trPr>
        <w:tc>
          <w:tcPr>
            <w:tcW w:w="737" w:type="dxa"/>
            <w:noWrap/>
            <w:hideMark/>
          </w:tcPr>
          <w:p w14:paraId="2A4D58A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28908</w:t>
            </w:r>
          </w:p>
        </w:tc>
        <w:tc>
          <w:tcPr>
            <w:tcW w:w="1559" w:type="dxa"/>
            <w:noWrap/>
            <w:hideMark/>
          </w:tcPr>
          <w:p w14:paraId="744FCE1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Redfern Jarjum College</w:t>
            </w:r>
          </w:p>
        </w:tc>
        <w:tc>
          <w:tcPr>
            <w:tcW w:w="709" w:type="dxa"/>
            <w:noWrap/>
            <w:hideMark/>
          </w:tcPr>
          <w:p w14:paraId="34A35CF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A326A8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B2DFEC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E951A6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117 Redfern Street</w:t>
            </w:r>
          </w:p>
        </w:tc>
        <w:tc>
          <w:tcPr>
            <w:tcW w:w="1134" w:type="dxa"/>
            <w:noWrap/>
            <w:hideMark/>
          </w:tcPr>
          <w:p w14:paraId="292294B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2EB1272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D36B1E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16536BA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95651E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417" w:type="dxa"/>
            <w:noWrap/>
            <w:hideMark/>
          </w:tcPr>
          <w:p w14:paraId="1F91733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r>
      <w:tr w:rsidR="00107BB9" w:rsidRPr="00107BB9" w14:paraId="1D1B9F9F" w14:textId="77777777" w:rsidTr="001367E0">
        <w:tblPrEx>
          <w:tblCellMar>
            <w:left w:w="108" w:type="dxa"/>
            <w:right w:w="108" w:type="dxa"/>
          </w:tblCellMar>
        </w:tblPrEx>
        <w:trPr>
          <w:trHeight w:val="465"/>
        </w:trPr>
        <w:tc>
          <w:tcPr>
            <w:tcW w:w="737" w:type="dxa"/>
            <w:noWrap/>
            <w:hideMark/>
          </w:tcPr>
          <w:p w14:paraId="6F19B55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1541</w:t>
            </w:r>
          </w:p>
        </w:tc>
        <w:tc>
          <w:tcPr>
            <w:tcW w:w="1559" w:type="dxa"/>
            <w:noWrap/>
            <w:hideMark/>
          </w:tcPr>
          <w:p w14:paraId="484ED4D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Sacred Heart Primary School</w:t>
            </w:r>
          </w:p>
        </w:tc>
        <w:tc>
          <w:tcPr>
            <w:tcW w:w="709" w:type="dxa"/>
            <w:noWrap/>
            <w:hideMark/>
          </w:tcPr>
          <w:p w14:paraId="1348679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BBBE99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52FE4EB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11E365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Gilmore Street</w:t>
            </w:r>
          </w:p>
        </w:tc>
        <w:tc>
          <w:tcPr>
            <w:tcW w:w="1134" w:type="dxa"/>
            <w:noWrap/>
            <w:hideMark/>
          </w:tcPr>
          <w:p w14:paraId="7F17977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471ADE1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12.3</w:t>
            </w:r>
          </w:p>
        </w:tc>
        <w:tc>
          <w:tcPr>
            <w:tcW w:w="1134" w:type="dxa"/>
            <w:noWrap/>
            <w:hideMark/>
          </w:tcPr>
          <w:p w14:paraId="6CC600C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3189A8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1ECE46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33</w:t>
            </w:r>
          </w:p>
        </w:tc>
        <w:tc>
          <w:tcPr>
            <w:tcW w:w="1417" w:type="dxa"/>
            <w:noWrap/>
            <w:hideMark/>
          </w:tcPr>
          <w:p w14:paraId="5803994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FE624E0" w14:textId="77777777" w:rsidTr="001367E0">
        <w:tblPrEx>
          <w:tblCellMar>
            <w:left w:w="108" w:type="dxa"/>
            <w:right w:w="108" w:type="dxa"/>
          </w:tblCellMar>
        </w:tblPrEx>
        <w:trPr>
          <w:trHeight w:val="465"/>
        </w:trPr>
        <w:tc>
          <w:tcPr>
            <w:tcW w:w="737" w:type="dxa"/>
            <w:noWrap/>
            <w:hideMark/>
          </w:tcPr>
          <w:p w14:paraId="47C7490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2105</w:t>
            </w:r>
          </w:p>
        </w:tc>
        <w:tc>
          <w:tcPr>
            <w:tcW w:w="1559" w:type="dxa"/>
            <w:noWrap/>
            <w:hideMark/>
          </w:tcPr>
          <w:p w14:paraId="4349D9E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Sacred Heart Primary School</w:t>
            </w:r>
          </w:p>
        </w:tc>
        <w:tc>
          <w:tcPr>
            <w:tcW w:w="709" w:type="dxa"/>
            <w:noWrap/>
            <w:hideMark/>
          </w:tcPr>
          <w:p w14:paraId="0339418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693538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2.1.1</w:t>
            </w:r>
          </w:p>
        </w:tc>
        <w:tc>
          <w:tcPr>
            <w:tcW w:w="1134" w:type="dxa"/>
            <w:noWrap/>
            <w:hideMark/>
          </w:tcPr>
          <w:p w14:paraId="1CF8FF9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77263F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Lake Albert Road</w:t>
            </w:r>
          </w:p>
        </w:tc>
        <w:tc>
          <w:tcPr>
            <w:tcW w:w="1134" w:type="dxa"/>
            <w:noWrap/>
            <w:hideMark/>
          </w:tcPr>
          <w:p w14:paraId="1A724E0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2E28451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13.4</w:t>
            </w:r>
          </w:p>
        </w:tc>
        <w:tc>
          <w:tcPr>
            <w:tcW w:w="1134" w:type="dxa"/>
            <w:noWrap/>
            <w:hideMark/>
          </w:tcPr>
          <w:p w14:paraId="59EEBE4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37064B2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77D510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w:t>
            </w:r>
          </w:p>
        </w:tc>
        <w:tc>
          <w:tcPr>
            <w:tcW w:w="1417" w:type="dxa"/>
            <w:noWrap/>
            <w:hideMark/>
          </w:tcPr>
          <w:p w14:paraId="6D9A9F8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635C6A04" w14:textId="77777777" w:rsidTr="001367E0">
        <w:tblPrEx>
          <w:tblCellMar>
            <w:left w:w="108" w:type="dxa"/>
            <w:right w:w="108" w:type="dxa"/>
          </w:tblCellMar>
        </w:tblPrEx>
        <w:trPr>
          <w:trHeight w:val="465"/>
        </w:trPr>
        <w:tc>
          <w:tcPr>
            <w:tcW w:w="737" w:type="dxa"/>
            <w:noWrap/>
            <w:hideMark/>
          </w:tcPr>
          <w:p w14:paraId="1B219FB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4204</w:t>
            </w:r>
          </w:p>
        </w:tc>
        <w:tc>
          <w:tcPr>
            <w:tcW w:w="1559" w:type="dxa"/>
            <w:noWrap/>
            <w:hideMark/>
          </w:tcPr>
          <w:p w14:paraId="73F9BA8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Sacred Heart Primary School</w:t>
            </w:r>
          </w:p>
        </w:tc>
        <w:tc>
          <w:tcPr>
            <w:tcW w:w="709" w:type="dxa"/>
            <w:noWrap/>
            <w:hideMark/>
          </w:tcPr>
          <w:p w14:paraId="4E758E9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EECA7C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27EC499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ED0F63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25 Nelson Street</w:t>
            </w:r>
          </w:p>
        </w:tc>
        <w:tc>
          <w:tcPr>
            <w:tcW w:w="1134" w:type="dxa"/>
            <w:noWrap/>
            <w:hideMark/>
          </w:tcPr>
          <w:p w14:paraId="218237D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1BA595E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44.0</w:t>
            </w:r>
          </w:p>
        </w:tc>
        <w:tc>
          <w:tcPr>
            <w:tcW w:w="1134" w:type="dxa"/>
            <w:noWrap/>
            <w:hideMark/>
          </w:tcPr>
          <w:p w14:paraId="3A75052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654810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100.0</w:t>
            </w:r>
          </w:p>
        </w:tc>
        <w:tc>
          <w:tcPr>
            <w:tcW w:w="1276" w:type="dxa"/>
            <w:noWrap/>
            <w:hideMark/>
          </w:tcPr>
          <w:p w14:paraId="62E63EF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95</w:t>
            </w:r>
          </w:p>
        </w:tc>
        <w:tc>
          <w:tcPr>
            <w:tcW w:w="1417" w:type="dxa"/>
            <w:noWrap/>
            <w:hideMark/>
          </w:tcPr>
          <w:p w14:paraId="360B1CC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E356D9A" w14:textId="77777777" w:rsidTr="001367E0">
        <w:tblPrEx>
          <w:tblCellMar>
            <w:left w:w="108" w:type="dxa"/>
            <w:right w:w="108" w:type="dxa"/>
          </w:tblCellMar>
        </w:tblPrEx>
        <w:trPr>
          <w:trHeight w:val="465"/>
        </w:trPr>
        <w:tc>
          <w:tcPr>
            <w:tcW w:w="737" w:type="dxa"/>
            <w:noWrap/>
            <w:hideMark/>
          </w:tcPr>
          <w:p w14:paraId="6B5C063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1995</w:t>
            </w:r>
          </w:p>
        </w:tc>
        <w:tc>
          <w:tcPr>
            <w:tcW w:w="1559" w:type="dxa"/>
            <w:noWrap/>
            <w:hideMark/>
          </w:tcPr>
          <w:p w14:paraId="4467B2B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San Clemente High School</w:t>
            </w:r>
          </w:p>
        </w:tc>
        <w:tc>
          <w:tcPr>
            <w:tcW w:w="709" w:type="dxa"/>
            <w:noWrap/>
            <w:hideMark/>
          </w:tcPr>
          <w:p w14:paraId="593EFF0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0CB6BE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134" w:type="dxa"/>
            <w:noWrap/>
            <w:hideMark/>
          </w:tcPr>
          <w:p w14:paraId="76F6DF5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77E2304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Havelock Street</w:t>
            </w:r>
          </w:p>
        </w:tc>
        <w:tc>
          <w:tcPr>
            <w:tcW w:w="1134" w:type="dxa"/>
            <w:noWrap/>
            <w:hideMark/>
          </w:tcPr>
          <w:p w14:paraId="3B638F7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75841A4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23.7</w:t>
            </w:r>
          </w:p>
        </w:tc>
        <w:tc>
          <w:tcPr>
            <w:tcW w:w="1134" w:type="dxa"/>
            <w:noWrap/>
            <w:hideMark/>
          </w:tcPr>
          <w:p w14:paraId="67F00EC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46.9</w:t>
            </w:r>
          </w:p>
        </w:tc>
        <w:tc>
          <w:tcPr>
            <w:tcW w:w="1134" w:type="dxa"/>
            <w:noWrap/>
            <w:hideMark/>
          </w:tcPr>
          <w:p w14:paraId="7F738FA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F59FB3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162</w:t>
            </w:r>
          </w:p>
        </w:tc>
        <w:tc>
          <w:tcPr>
            <w:tcW w:w="1417" w:type="dxa"/>
            <w:noWrap/>
            <w:hideMark/>
          </w:tcPr>
          <w:p w14:paraId="0A06494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w:t>
            </w:r>
          </w:p>
        </w:tc>
      </w:tr>
      <w:tr w:rsidR="00107BB9" w:rsidRPr="00107BB9" w14:paraId="68B41FD2" w14:textId="77777777" w:rsidTr="001367E0">
        <w:tblPrEx>
          <w:tblCellMar>
            <w:left w:w="108" w:type="dxa"/>
            <w:right w:w="108" w:type="dxa"/>
          </w:tblCellMar>
        </w:tblPrEx>
        <w:trPr>
          <w:trHeight w:val="465"/>
        </w:trPr>
        <w:tc>
          <w:tcPr>
            <w:tcW w:w="737" w:type="dxa"/>
            <w:noWrap/>
            <w:hideMark/>
          </w:tcPr>
          <w:p w14:paraId="52BA73C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1497</w:t>
            </w:r>
          </w:p>
        </w:tc>
        <w:tc>
          <w:tcPr>
            <w:tcW w:w="1559" w:type="dxa"/>
            <w:noWrap/>
            <w:hideMark/>
          </w:tcPr>
          <w:p w14:paraId="55F77F8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Ss Peter and Paul Parish Primary School</w:t>
            </w:r>
          </w:p>
        </w:tc>
        <w:tc>
          <w:tcPr>
            <w:tcW w:w="709" w:type="dxa"/>
            <w:noWrap/>
            <w:hideMark/>
          </w:tcPr>
          <w:p w14:paraId="12E4B57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B12520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38E1881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F2DF6E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10 Knox Street</w:t>
            </w:r>
          </w:p>
        </w:tc>
        <w:tc>
          <w:tcPr>
            <w:tcW w:w="1134" w:type="dxa"/>
            <w:noWrap/>
            <w:hideMark/>
          </w:tcPr>
          <w:p w14:paraId="6166BA8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D0E1A5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14.5</w:t>
            </w:r>
          </w:p>
        </w:tc>
        <w:tc>
          <w:tcPr>
            <w:tcW w:w="1134" w:type="dxa"/>
            <w:noWrap/>
            <w:hideMark/>
          </w:tcPr>
          <w:p w14:paraId="6114706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828736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2E1519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w:t>
            </w:r>
          </w:p>
        </w:tc>
        <w:tc>
          <w:tcPr>
            <w:tcW w:w="1417" w:type="dxa"/>
            <w:noWrap/>
            <w:hideMark/>
          </w:tcPr>
          <w:p w14:paraId="49053AF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3BBAF99" w14:textId="77777777" w:rsidTr="001367E0">
        <w:tblPrEx>
          <w:tblCellMar>
            <w:left w:w="108" w:type="dxa"/>
            <w:right w:w="108" w:type="dxa"/>
          </w:tblCellMar>
        </w:tblPrEx>
        <w:trPr>
          <w:trHeight w:val="465"/>
        </w:trPr>
        <w:tc>
          <w:tcPr>
            <w:tcW w:w="737" w:type="dxa"/>
            <w:noWrap/>
            <w:hideMark/>
          </w:tcPr>
          <w:p w14:paraId="6135B26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18251</w:t>
            </w:r>
          </w:p>
        </w:tc>
        <w:tc>
          <w:tcPr>
            <w:tcW w:w="1559" w:type="dxa"/>
            <w:noWrap/>
            <w:hideMark/>
          </w:tcPr>
          <w:p w14:paraId="640AD21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Agnes Catholic High School</w:t>
            </w:r>
          </w:p>
        </w:tc>
        <w:tc>
          <w:tcPr>
            <w:tcW w:w="709" w:type="dxa"/>
            <w:noWrap/>
            <w:hideMark/>
          </w:tcPr>
          <w:p w14:paraId="0E2ABC0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87C6C8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85C46E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071970F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Evans Road</w:t>
            </w:r>
          </w:p>
        </w:tc>
        <w:tc>
          <w:tcPr>
            <w:tcW w:w="1134" w:type="dxa"/>
            <w:noWrap/>
            <w:hideMark/>
          </w:tcPr>
          <w:p w14:paraId="760FE4E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5ACE94E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30.7</w:t>
            </w:r>
          </w:p>
        </w:tc>
        <w:tc>
          <w:tcPr>
            <w:tcW w:w="1134" w:type="dxa"/>
            <w:noWrap/>
            <w:hideMark/>
          </w:tcPr>
          <w:p w14:paraId="4233CB0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8005BE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0D1912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212</w:t>
            </w:r>
          </w:p>
        </w:tc>
        <w:tc>
          <w:tcPr>
            <w:tcW w:w="1417" w:type="dxa"/>
            <w:noWrap/>
            <w:hideMark/>
          </w:tcPr>
          <w:p w14:paraId="22B9FA1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370997D8" w14:textId="77777777" w:rsidTr="001367E0">
        <w:tblPrEx>
          <w:tblCellMar>
            <w:left w:w="108" w:type="dxa"/>
            <w:right w:w="108" w:type="dxa"/>
          </w:tblCellMar>
        </w:tblPrEx>
        <w:trPr>
          <w:trHeight w:val="465"/>
        </w:trPr>
        <w:tc>
          <w:tcPr>
            <w:tcW w:w="737" w:type="dxa"/>
            <w:noWrap/>
            <w:hideMark/>
          </w:tcPr>
          <w:p w14:paraId="624C74B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1565</w:t>
            </w:r>
          </w:p>
        </w:tc>
        <w:tc>
          <w:tcPr>
            <w:tcW w:w="1559" w:type="dxa"/>
            <w:noWrap/>
            <w:hideMark/>
          </w:tcPr>
          <w:p w14:paraId="2A26A58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Ambrose's Primary School</w:t>
            </w:r>
          </w:p>
        </w:tc>
        <w:tc>
          <w:tcPr>
            <w:tcW w:w="709" w:type="dxa"/>
            <w:noWrap/>
            <w:hideMark/>
          </w:tcPr>
          <w:p w14:paraId="27A8774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4F556E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5312DF6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610B72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Stuart Street</w:t>
            </w:r>
          </w:p>
        </w:tc>
        <w:tc>
          <w:tcPr>
            <w:tcW w:w="1134" w:type="dxa"/>
            <w:noWrap/>
            <w:hideMark/>
          </w:tcPr>
          <w:p w14:paraId="1A4F130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6699044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3.1</w:t>
            </w:r>
          </w:p>
        </w:tc>
        <w:tc>
          <w:tcPr>
            <w:tcW w:w="1134" w:type="dxa"/>
            <w:noWrap/>
            <w:hideMark/>
          </w:tcPr>
          <w:p w14:paraId="1745D56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D17F64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B4FEE4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w:t>
            </w:r>
          </w:p>
        </w:tc>
        <w:tc>
          <w:tcPr>
            <w:tcW w:w="1417" w:type="dxa"/>
            <w:noWrap/>
            <w:hideMark/>
          </w:tcPr>
          <w:p w14:paraId="5475675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704263A1" w14:textId="77777777" w:rsidTr="001367E0">
        <w:tblPrEx>
          <w:tblCellMar>
            <w:left w:w="108" w:type="dxa"/>
            <w:right w:w="108" w:type="dxa"/>
          </w:tblCellMar>
        </w:tblPrEx>
        <w:trPr>
          <w:trHeight w:val="465"/>
        </w:trPr>
        <w:tc>
          <w:tcPr>
            <w:tcW w:w="737" w:type="dxa"/>
            <w:noWrap/>
            <w:hideMark/>
          </w:tcPr>
          <w:p w14:paraId="0613184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16144</w:t>
            </w:r>
          </w:p>
        </w:tc>
        <w:tc>
          <w:tcPr>
            <w:tcW w:w="1559" w:type="dxa"/>
            <w:noWrap/>
            <w:hideMark/>
          </w:tcPr>
          <w:p w14:paraId="259646D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Andrews College- Holy Family Campus</w:t>
            </w:r>
          </w:p>
        </w:tc>
        <w:tc>
          <w:tcPr>
            <w:tcW w:w="709" w:type="dxa"/>
            <w:noWrap/>
            <w:hideMark/>
          </w:tcPr>
          <w:p w14:paraId="112855B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36C018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183618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584218F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116-132 Quakers Road</w:t>
            </w:r>
          </w:p>
        </w:tc>
        <w:tc>
          <w:tcPr>
            <w:tcW w:w="1134" w:type="dxa"/>
            <w:noWrap/>
            <w:hideMark/>
          </w:tcPr>
          <w:p w14:paraId="7AC4A52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6500B8C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24.1</w:t>
            </w:r>
          </w:p>
        </w:tc>
        <w:tc>
          <w:tcPr>
            <w:tcW w:w="1134" w:type="dxa"/>
            <w:noWrap/>
            <w:hideMark/>
          </w:tcPr>
          <w:p w14:paraId="67BECFC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1E3561A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0EF25A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171</w:t>
            </w:r>
          </w:p>
        </w:tc>
        <w:tc>
          <w:tcPr>
            <w:tcW w:w="1417" w:type="dxa"/>
            <w:noWrap/>
            <w:hideMark/>
          </w:tcPr>
          <w:p w14:paraId="718401B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791D17B" w14:textId="77777777" w:rsidTr="001367E0">
        <w:tblPrEx>
          <w:tblCellMar>
            <w:left w:w="108" w:type="dxa"/>
            <w:right w:w="108" w:type="dxa"/>
          </w:tblCellMar>
        </w:tblPrEx>
        <w:trPr>
          <w:trHeight w:val="465"/>
        </w:trPr>
        <w:tc>
          <w:tcPr>
            <w:tcW w:w="737" w:type="dxa"/>
            <w:noWrap/>
            <w:hideMark/>
          </w:tcPr>
          <w:p w14:paraId="3DF50BD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1568</w:t>
            </w:r>
          </w:p>
        </w:tc>
        <w:tc>
          <w:tcPr>
            <w:tcW w:w="1559" w:type="dxa"/>
            <w:noWrap/>
            <w:hideMark/>
          </w:tcPr>
          <w:p w14:paraId="7CD4877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Andrew's Primary School</w:t>
            </w:r>
          </w:p>
        </w:tc>
        <w:tc>
          <w:tcPr>
            <w:tcW w:w="709" w:type="dxa"/>
            <w:noWrap/>
            <w:hideMark/>
          </w:tcPr>
          <w:p w14:paraId="005E58F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E88E3E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249C411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97A7A6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36 Breakfast Road</w:t>
            </w:r>
          </w:p>
        </w:tc>
        <w:tc>
          <w:tcPr>
            <w:tcW w:w="1134" w:type="dxa"/>
            <w:noWrap/>
            <w:hideMark/>
          </w:tcPr>
          <w:p w14:paraId="0AB6BA3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F122F3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16.2</w:t>
            </w:r>
          </w:p>
        </w:tc>
        <w:tc>
          <w:tcPr>
            <w:tcW w:w="1134" w:type="dxa"/>
            <w:noWrap/>
            <w:hideMark/>
          </w:tcPr>
          <w:p w14:paraId="17AB028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168D37A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29C10F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71</w:t>
            </w:r>
          </w:p>
        </w:tc>
        <w:tc>
          <w:tcPr>
            <w:tcW w:w="1417" w:type="dxa"/>
            <w:noWrap/>
            <w:hideMark/>
          </w:tcPr>
          <w:p w14:paraId="7844197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0FA1D5F" w14:textId="77777777" w:rsidTr="001367E0">
        <w:tblPrEx>
          <w:tblCellMar>
            <w:left w:w="108" w:type="dxa"/>
            <w:right w:w="108" w:type="dxa"/>
          </w:tblCellMar>
        </w:tblPrEx>
        <w:trPr>
          <w:trHeight w:val="465"/>
        </w:trPr>
        <w:tc>
          <w:tcPr>
            <w:tcW w:w="737" w:type="dxa"/>
            <w:noWrap/>
            <w:hideMark/>
          </w:tcPr>
          <w:p w14:paraId="601E410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1575</w:t>
            </w:r>
          </w:p>
        </w:tc>
        <w:tc>
          <w:tcPr>
            <w:tcW w:w="1559" w:type="dxa"/>
            <w:noWrap/>
            <w:hideMark/>
          </w:tcPr>
          <w:p w14:paraId="03B2D37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Anne's Central School</w:t>
            </w:r>
          </w:p>
        </w:tc>
        <w:tc>
          <w:tcPr>
            <w:tcW w:w="709" w:type="dxa"/>
            <w:noWrap/>
            <w:hideMark/>
          </w:tcPr>
          <w:p w14:paraId="7E66343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1EF367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410879E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 7</w:t>
            </w:r>
          </w:p>
        </w:tc>
        <w:tc>
          <w:tcPr>
            <w:tcW w:w="1843" w:type="dxa"/>
            <w:noWrap/>
            <w:hideMark/>
          </w:tcPr>
          <w:p w14:paraId="7D3A29A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De Boos St</w:t>
            </w:r>
          </w:p>
        </w:tc>
        <w:tc>
          <w:tcPr>
            <w:tcW w:w="1134" w:type="dxa"/>
            <w:noWrap/>
            <w:hideMark/>
          </w:tcPr>
          <w:p w14:paraId="3B5CBA1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6F5CF1A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8.0</w:t>
            </w:r>
          </w:p>
        </w:tc>
        <w:tc>
          <w:tcPr>
            <w:tcW w:w="1134" w:type="dxa"/>
            <w:noWrap/>
            <w:hideMark/>
          </w:tcPr>
          <w:p w14:paraId="5BAE9A6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467723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F954BF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w:t>
            </w:r>
          </w:p>
        </w:tc>
        <w:tc>
          <w:tcPr>
            <w:tcW w:w="1417" w:type="dxa"/>
            <w:noWrap/>
            <w:hideMark/>
          </w:tcPr>
          <w:p w14:paraId="3D8F63F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74A9B62" w14:textId="77777777" w:rsidTr="001367E0">
        <w:tblPrEx>
          <w:tblCellMar>
            <w:left w:w="108" w:type="dxa"/>
            <w:right w:w="108" w:type="dxa"/>
          </w:tblCellMar>
        </w:tblPrEx>
        <w:trPr>
          <w:trHeight w:val="465"/>
        </w:trPr>
        <w:tc>
          <w:tcPr>
            <w:tcW w:w="737" w:type="dxa"/>
            <w:noWrap/>
            <w:hideMark/>
          </w:tcPr>
          <w:p w14:paraId="564592E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1574</w:t>
            </w:r>
          </w:p>
        </w:tc>
        <w:tc>
          <w:tcPr>
            <w:tcW w:w="1559" w:type="dxa"/>
            <w:noWrap/>
            <w:hideMark/>
          </w:tcPr>
          <w:p w14:paraId="4621E6D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Anne's Primary School</w:t>
            </w:r>
          </w:p>
        </w:tc>
        <w:tc>
          <w:tcPr>
            <w:tcW w:w="709" w:type="dxa"/>
            <w:noWrap/>
            <w:hideMark/>
          </w:tcPr>
          <w:p w14:paraId="1DA172B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5B9A6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E3CF5E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3B330D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Anne's Square</w:t>
            </w:r>
          </w:p>
        </w:tc>
        <w:tc>
          <w:tcPr>
            <w:tcW w:w="1134" w:type="dxa"/>
            <w:noWrap/>
            <w:hideMark/>
          </w:tcPr>
          <w:p w14:paraId="5C661E6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54A8E48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14.6</w:t>
            </w:r>
          </w:p>
        </w:tc>
        <w:tc>
          <w:tcPr>
            <w:tcW w:w="1134" w:type="dxa"/>
            <w:noWrap/>
            <w:hideMark/>
          </w:tcPr>
          <w:p w14:paraId="6E54E99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4A91FCB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D985DB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417" w:type="dxa"/>
            <w:noWrap/>
            <w:hideMark/>
          </w:tcPr>
          <w:p w14:paraId="3950AEB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70050DC" w14:textId="77777777" w:rsidTr="001367E0">
        <w:tblPrEx>
          <w:tblCellMar>
            <w:left w:w="108" w:type="dxa"/>
            <w:right w:w="108" w:type="dxa"/>
          </w:tblCellMar>
        </w:tblPrEx>
        <w:trPr>
          <w:trHeight w:val="465"/>
        </w:trPr>
        <w:tc>
          <w:tcPr>
            <w:tcW w:w="737" w:type="dxa"/>
            <w:noWrap/>
            <w:hideMark/>
          </w:tcPr>
          <w:p w14:paraId="3437EB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2319</w:t>
            </w:r>
          </w:p>
        </w:tc>
        <w:tc>
          <w:tcPr>
            <w:tcW w:w="1559" w:type="dxa"/>
            <w:noWrap/>
            <w:hideMark/>
          </w:tcPr>
          <w:p w14:paraId="6059F77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Anthony's Primary School</w:t>
            </w:r>
          </w:p>
        </w:tc>
        <w:tc>
          <w:tcPr>
            <w:tcW w:w="709" w:type="dxa"/>
            <w:noWrap/>
            <w:hideMark/>
          </w:tcPr>
          <w:p w14:paraId="7678387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D1C41E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019AFD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47C5C8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Menangle Street</w:t>
            </w:r>
          </w:p>
        </w:tc>
        <w:tc>
          <w:tcPr>
            <w:tcW w:w="1134" w:type="dxa"/>
            <w:noWrap/>
            <w:hideMark/>
          </w:tcPr>
          <w:p w14:paraId="21F62CB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7C1F210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9.0</w:t>
            </w:r>
          </w:p>
        </w:tc>
        <w:tc>
          <w:tcPr>
            <w:tcW w:w="1134" w:type="dxa"/>
            <w:noWrap/>
            <w:hideMark/>
          </w:tcPr>
          <w:p w14:paraId="5142151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F307C4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21DB1D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w:t>
            </w:r>
          </w:p>
        </w:tc>
        <w:tc>
          <w:tcPr>
            <w:tcW w:w="1417" w:type="dxa"/>
            <w:noWrap/>
            <w:hideMark/>
          </w:tcPr>
          <w:p w14:paraId="383BBE4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78C8A9A3" w14:textId="77777777" w:rsidTr="001367E0">
        <w:tblPrEx>
          <w:tblCellMar>
            <w:left w:w="108" w:type="dxa"/>
            <w:right w:w="108" w:type="dxa"/>
          </w:tblCellMar>
        </w:tblPrEx>
        <w:trPr>
          <w:trHeight w:val="465"/>
        </w:trPr>
        <w:tc>
          <w:tcPr>
            <w:tcW w:w="737" w:type="dxa"/>
            <w:noWrap/>
            <w:hideMark/>
          </w:tcPr>
          <w:p w14:paraId="122AED4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1584</w:t>
            </w:r>
          </w:p>
        </w:tc>
        <w:tc>
          <w:tcPr>
            <w:tcW w:w="1559" w:type="dxa"/>
            <w:noWrap/>
            <w:hideMark/>
          </w:tcPr>
          <w:p w14:paraId="13DE739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Augustine's Primary School</w:t>
            </w:r>
          </w:p>
        </w:tc>
        <w:tc>
          <w:tcPr>
            <w:tcW w:w="709" w:type="dxa"/>
            <w:noWrap/>
            <w:hideMark/>
          </w:tcPr>
          <w:p w14:paraId="5805792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5053BA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2.1.2</w:t>
            </w:r>
          </w:p>
        </w:tc>
        <w:tc>
          <w:tcPr>
            <w:tcW w:w="1134" w:type="dxa"/>
            <w:noWrap/>
            <w:hideMark/>
          </w:tcPr>
          <w:p w14:paraId="14CDA2B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FE86A2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Gordon Street</w:t>
            </w:r>
          </w:p>
        </w:tc>
        <w:tc>
          <w:tcPr>
            <w:tcW w:w="1134" w:type="dxa"/>
            <w:noWrap/>
            <w:hideMark/>
          </w:tcPr>
          <w:p w14:paraId="023C1C1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570DE58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13.5</w:t>
            </w:r>
          </w:p>
        </w:tc>
        <w:tc>
          <w:tcPr>
            <w:tcW w:w="1134" w:type="dxa"/>
            <w:noWrap/>
            <w:hideMark/>
          </w:tcPr>
          <w:p w14:paraId="4B2C84E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05F4711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DA4001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47</w:t>
            </w:r>
          </w:p>
        </w:tc>
        <w:tc>
          <w:tcPr>
            <w:tcW w:w="1417" w:type="dxa"/>
            <w:noWrap/>
            <w:hideMark/>
          </w:tcPr>
          <w:p w14:paraId="67A324D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w:t>
            </w:r>
          </w:p>
        </w:tc>
      </w:tr>
      <w:tr w:rsidR="00107BB9" w:rsidRPr="00107BB9" w14:paraId="50461FF8" w14:textId="77777777" w:rsidTr="001367E0">
        <w:tblPrEx>
          <w:tblCellMar>
            <w:left w:w="108" w:type="dxa"/>
            <w:right w:w="108" w:type="dxa"/>
          </w:tblCellMar>
        </w:tblPrEx>
        <w:trPr>
          <w:trHeight w:val="465"/>
        </w:trPr>
        <w:tc>
          <w:tcPr>
            <w:tcW w:w="737" w:type="dxa"/>
            <w:noWrap/>
            <w:hideMark/>
          </w:tcPr>
          <w:p w14:paraId="4520BD2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1586</w:t>
            </w:r>
          </w:p>
        </w:tc>
        <w:tc>
          <w:tcPr>
            <w:tcW w:w="1559" w:type="dxa"/>
            <w:noWrap/>
            <w:hideMark/>
          </w:tcPr>
          <w:p w14:paraId="1404C95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Bede's Primary School</w:t>
            </w:r>
          </w:p>
        </w:tc>
        <w:tc>
          <w:tcPr>
            <w:tcW w:w="709" w:type="dxa"/>
            <w:noWrap/>
            <w:hideMark/>
          </w:tcPr>
          <w:p w14:paraId="16AD28D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C03600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7886887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C2DF40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Park Lane</w:t>
            </w:r>
          </w:p>
        </w:tc>
        <w:tc>
          <w:tcPr>
            <w:tcW w:w="1134" w:type="dxa"/>
            <w:noWrap/>
            <w:hideMark/>
          </w:tcPr>
          <w:p w14:paraId="69F69BC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4C43F0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20.8</w:t>
            </w:r>
          </w:p>
        </w:tc>
        <w:tc>
          <w:tcPr>
            <w:tcW w:w="1134" w:type="dxa"/>
            <w:noWrap/>
            <w:hideMark/>
          </w:tcPr>
          <w:p w14:paraId="67B389F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DBFF9E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8E30FD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417" w:type="dxa"/>
            <w:noWrap/>
            <w:hideMark/>
          </w:tcPr>
          <w:p w14:paraId="39E2E3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F812074" w14:textId="77777777" w:rsidTr="001367E0">
        <w:tblPrEx>
          <w:tblCellMar>
            <w:left w:w="108" w:type="dxa"/>
            <w:right w:w="108" w:type="dxa"/>
          </w:tblCellMar>
        </w:tblPrEx>
        <w:trPr>
          <w:trHeight w:val="465"/>
        </w:trPr>
        <w:tc>
          <w:tcPr>
            <w:tcW w:w="737" w:type="dxa"/>
            <w:noWrap/>
            <w:hideMark/>
          </w:tcPr>
          <w:p w14:paraId="2D45540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13345</w:t>
            </w:r>
          </w:p>
        </w:tc>
        <w:tc>
          <w:tcPr>
            <w:tcW w:w="1559" w:type="dxa"/>
            <w:noWrap/>
            <w:hideMark/>
          </w:tcPr>
          <w:p w14:paraId="57B619D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Brendan's Catholic School</w:t>
            </w:r>
          </w:p>
        </w:tc>
        <w:tc>
          <w:tcPr>
            <w:tcW w:w="709" w:type="dxa"/>
            <w:noWrap/>
            <w:hideMark/>
          </w:tcPr>
          <w:p w14:paraId="000B146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41A29C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3AC09A6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9EFEE8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Carters Road</w:t>
            </w:r>
          </w:p>
        </w:tc>
        <w:tc>
          <w:tcPr>
            <w:tcW w:w="1134" w:type="dxa"/>
            <w:noWrap/>
            <w:hideMark/>
          </w:tcPr>
          <w:p w14:paraId="549EA91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65C93DA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9.3</w:t>
            </w:r>
          </w:p>
        </w:tc>
        <w:tc>
          <w:tcPr>
            <w:tcW w:w="1134" w:type="dxa"/>
            <w:noWrap/>
            <w:hideMark/>
          </w:tcPr>
          <w:p w14:paraId="744F244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7.1</w:t>
            </w:r>
          </w:p>
        </w:tc>
        <w:tc>
          <w:tcPr>
            <w:tcW w:w="1134" w:type="dxa"/>
            <w:noWrap/>
            <w:hideMark/>
          </w:tcPr>
          <w:p w14:paraId="1B2EC3B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C17A8F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w:t>
            </w:r>
          </w:p>
        </w:tc>
        <w:tc>
          <w:tcPr>
            <w:tcW w:w="1417" w:type="dxa"/>
            <w:noWrap/>
            <w:hideMark/>
          </w:tcPr>
          <w:p w14:paraId="62BAB36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1934AF1D" w14:textId="77777777" w:rsidTr="001367E0">
        <w:tblPrEx>
          <w:tblCellMar>
            <w:left w:w="108" w:type="dxa"/>
            <w:right w:w="108" w:type="dxa"/>
          </w:tblCellMar>
        </w:tblPrEx>
        <w:trPr>
          <w:trHeight w:val="465"/>
        </w:trPr>
        <w:tc>
          <w:tcPr>
            <w:tcW w:w="737" w:type="dxa"/>
            <w:noWrap/>
            <w:hideMark/>
          </w:tcPr>
          <w:p w14:paraId="07C6D82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1598</w:t>
            </w:r>
          </w:p>
        </w:tc>
        <w:tc>
          <w:tcPr>
            <w:tcW w:w="1559" w:type="dxa"/>
            <w:noWrap/>
            <w:hideMark/>
          </w:tcPr>
          <w:p w14:paraId="725F647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Brendan's Primary School</w:t>
            </w:r>
          </w:p>
        </w:tc>
        <w:tc>
          <w:tcPr>
            <w:tcW w:w="709" w:type="dxa"/>
            <w:noWrap/>
            <w:hideMark/>
          </w:tcPr>
          <w:p w14:paraId="509D7B8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498A52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2F04FBC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D3C9C2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18 Cambridge Avenue</w:t>
            </w:r>
          </w:p>
        </w:tc>
        <w:tc>
          <w:tcPr>
            <w:tcW w:w="1134" w:type="dxa"/>
            <w:noWrap/>
            <w:hideMark/>
          </w:tcPr>
          <w:p w14:paraId="493F2BE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7833AE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15.5</w:t>
            </w:r>
          </w:p>
        </w:tc>
        <w:tc>
          <w:tcPr>
            <w:tcW w:w="1134" w:type="dxa"/>
            <w:noWrap/>
            <w:hideMark/>
          </w:tcPr>
          <w:p w14:paraId="20781D9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B1409F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AD00A7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37</w:t>
            </w:r>
          </w:p>
        </w:tc>
        <w:tc>
          <w:tcPr>
            <w:tcW w:w="1417" w:type="dxa"/>
            <w:noWrap/>
            <w:hideMark/>
          </w:tcPr>
          <w:p w14:paraId="6A2E9C7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D2B2776" w14:textId="77777777" w:rsidTr="001367E0">
        <w:tblPrEx>
          <w:tblCellMar>
            <w:left w:w="108" w:type="dxa"/>
            <w:right w:w="108" w:type="dxa"/>
          </w:tblCellMar>
        </w:tblPrEx>
        <w:trPr>
          <w:trHeight w:val="465"/>
        </w:trPr>
        <w:tc>
          <w:tcPr>
            <w:tcW w:w="737" w:type="dxa"/>
            <w:noWrap/>
            <w:hideMark/>
          </w:tcPr>
          <w:p w14:paraId="152E9C0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1603</w:t>
            </w:r>
          </w:p>
        </w:tc>
        <w:tc>
          <w:tcPr>
            <w:tcW w:w="1559" w:type="dxa"/>
            <w:noWrap/>
            <w:hideMark/>
          </w:tcPr>
          <w:p w14:paraId="38240CE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Brigid's Primary School</w:t>
            </w:r>
          </w:p>
        </w:tc>
        <w:tc>
          <w:tcPr>
            <w:tcW w:w="709" w:type="dxa"/>
            <w:noWrap/>
            <w:hideMark/>
          </w:tcPr>
          <w:p w14:paraId="5A11119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BDD268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E1CAE6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D5AEA8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392A Marrickville Road</w:t>
            </w:r>
          </w:p>
        </w:tc>
        <w:tc>
          <w:tcPr>
            <w:tcW w:w="1134" w:type="dxa"/>
            <w:noWrap/>
            <w:hideMark/>
          </w:tcPr>
          <w:p w14:paraId="63E3F95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BE220B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w:t>
            </w:r>
          </w:p>
        </w:tc>
        <w:tc>
          <w:tcPr>
            <w:tcW w:w="1134" w:type="dxa"/>
            <w:noWrap/>
            <w:hideMark/>
          </w:tcPr>
          <w:p w14:paraId="6D0E656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5C54CE1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C7473D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34</w:t>
            </w:r>
          </w:p>
        </w:tc>
        <w:tc>
          <w:tcPr>
            <w:tcW w:w="1417" w:type="dxa"/>
            <w:noWrap/>
            <w:hideMark/>
          </w:tcPr>
          <w:p w14:paraId="5A8C231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745658BA" w14:textId="77777777" w:rsidTr="001367E0">
        <w:tblPrEx>
          <w:tblCellMar>
            <w:left w:w="108" w:type="dxa"/>
            <w:right w:w="108" w:type="dxa"/>
          </w:tblCellMar>
        </w:tblPrEx>
        <w:trPr>
          <w:trHeight w:val="465"/>
        </w:trPr>
        <w:tc>
          <w:tcPr>
            <w:tcW w:w="737" w:type="dxa"/>
            <w:noWrap/>
            <w:hideMark/>
          </w:tcPr>
          <w:p w14:paraId="0B95A83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1608</w:t>
            </w:r>
          </w:p>
        </w:tc>
        <w:tc>
          <w:tcPr>
            <w:tcW w:w="1559" w:type="dxa"/>
            <w:noWrap/>
            <w:hideMark/>
          </w:tcPr>
          <w:p w14:paraId="07642C3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Brigid's Primary School</w:t>
            </w:r>
          </w:p>
        </w:tc>
        <w:tc>
          <w:tcPr>
            <w:tcW w:w="709" w:type="dxa"/>
            <w:noWrap/>
            <w:hideMark/>
          </w:tcPr>
          <w:p w14:paraId="2900FDB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2612371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23D9210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BD442E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Groom Street</w:t>
            </w:r>
          </w:p>
        </w:tc>
        <w:tc>
          <w:tcPr>
            <w:tcW w:w="1134" w:type="dxa"/>
            <w:noWrap/>
            <w:hideMark/>
          </w:tcPr>
          <w:p w14:paraId="7916CD4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7ACE6D0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15.6</w:t>
            </w:r>
          </w:p>
        </w:tc>
        <w:tc>
          <w:tcPr>
            <w:tcW w:w="1134" w:type="dxa"/>
            <w:noWrap/>
            <w:hideMark/>
          </w:tcPr>
          <w:p w14:paraId="5C392A4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1817374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DAFE6E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w:t>
            </w:r>
          </w:p>
        </w:tc>
        <w:tc>
          <w:tcPr>
            <w:tcW w:w="1417" w:type="dxa"/>
            <w:noWrap/>
            <w:hideMark/>
          </w:tcPr>
          <w:p w14:paraId="7039CC0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2492EAB" w14:textId="77777777" w:rsidTr="001367E0">
        <w:tblPrEx>
          <w:tblCellMar>
            <w:left w:w="108" w:type="dxa"/>
            <w:right w:w="108" w:type="dxa"/>
          </w:tblCellMar>
        </w:tblPrEx>
        <w:trPr>
          <w:trHeight w:val="465"/>
        </w:trPr>
        <w:tc>
          <w:tcPr>
            <w:tcW w:w="737" w:type="dxa"/>
            <w:noWrap/>
            <w:hideMark/>
          </w:tcPr>
          <w:p w14:paraId="2F96CC6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1613</w:t>
            </w:r>
          </w:p>
        </w:tc>
        <w:tc>
          <w:tcPr>
            <w:tcW w:w="1559" w:type="dxa"/>
            <w:noWrap/>
            <w:hideMark/>
          </w:tcPr>
          <w:p w14:paraId="472BAC5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Catherine Laboure Primary School</w:t>
            </w:r>
          </w:p>
        </w:tc>
        <w:tc>
          <w:tcPr>
            <w:tcW w:w="709" w:type="dxa"/>
            <w:noWrap/>
            <w:hideMark/>
          </w:tcPr>
          <w:p w14:paraId="717F25D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5DAED8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2AD7918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AF71CC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Cnr President Ave &amp; Gymea Bay Rd</w:t>
            </w:r>
          </w:p>
        </w:tc>
        <w:tc>
          <w:tcPr>
            <w:tcW w:w="1134" w:type="dxa"/>
            <w:noWrap/>
            <w:hideMark/>
          </w:tcPr>
          <w:p w14:paraId="65178FE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53F85EB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4.7</w:t>
            </w:r>
          </w:p>
        </w:tc>
        <w:tc>
          <w:tcPr>
            <w:tcW w:w="1134" w:type="dxa"/>
            <w:noWrap/>
            <w:hideMark/>
          </w:tcPr>
          <w:p w14:paraId="7A559AF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412700C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05670B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417" w:type="dxa"/>
            <w:noWrap/>
            <w:hideMark/>
          </w:tcPr>
          <w:p w14:paraId="5F3012A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933019C" w14:textId="77777777" w:rsidTr="001367E0">
        <w:tblPrEx>
          <w:tblCellMar>
            <w:left w:w="108" w:type="dxa"/>
            <w:right w:w="108" w:type="dxa"/>
          </w:tblCellMar>
        </w:tblPrEx>
        <w:trPr>
          <w:trHeight w:val="465"/>
        </w:trPr>
        <w:tc>
          <w:tcPr>
            <w:tcW w:w="737" w:type="dxa"/>
            <w:noWrap/>
            <w:hideMark/>
          </w:tcPr>
          <w:p w14:paraId="5C903C5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16320</w:t>
            </w:r>
          </w:p>
        </w:tc>
        <w:tc>
          <w:tcPr>
            <w:tcW w:w="1559" w:type="dxa"/>
            <w:noWrap/>
            <w:hideMark/>
          </w:tcPr>
          <w:p w14:paraId="24670CB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Catherine of Siena Primary School</w:t>
            </w:r>
          </w:p>
        </w:tc>
        <w:tc>
          <w:tcPr>
            <w:tcW w:w="709" w:type="dxa"/>
            <w:noWrap/>
            <w:hideMark/>
          </w:tcPr>
          <w:p w14:paraId="205F12F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A680CD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4C2406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B2E235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Dalmeny Drive</w:t>
            </w:r>
          </w:p>
        </w:tc>
        <w:tc>
          <w:tcPr>
            <w:tcW w:w="1134" w:type="dxa"/>
            <w:noWrap/>
            <w:hideMark/>
          </w:tcPr>
          <w:p w14:paraId="240D70C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2AB7AE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8.8</w:t>
            </w:r>
          </w:p>
        </w:tc>
        <w:tc>
          <w:tcPr>
            <w:tcW w:w="1134" w:type="dxa"/>
            <w:noWrap/>
            <w:hideMark/>
          </w:tcPr>
          <w:p w14:paraId="77969AC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30.0</w:t>
            </w:r>
          </w:p>
        </w:tc>
        <w:tc>
          <w:tcPr>
            <w:tcW w:w="1134" w:type="dxa"/>
            <w:noWrap/>
            <w:hideMark/>
          </w:tcPr>
          <w:p w14:paraId="67BC9A3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975D6D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w:t>
            </w:r>
          </w:p>
        </w:tc>
        <w:tc>
          <w:tcPr>
            <w:tcW w:w="1417" w:type="dxa"/>
            <w:noWrap/>
            <w:hideMark/>
          </w:tcPr>
          <w:p w14:paraId="48BF2D2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r>
      <w:tr w:rsidR="00107BB9" w:rsidRPr="00107BB9" w14:paraId="344BAA16" w14:textId="77777777" w:rsidTr="001367E0">
        <w:tblPrEx>
          <w:tblCellMar>
            <w:left w:w="108" w:type="dxa"/>
            <w:right w:w="108" w:type="dxa"/>
          </w:tblCellMar>
        </w:tblPrEx>
        <w:trPr>
          <w:trHeight w:val="465"/>
        </w:trPr>
        <w:tc>
          <w:tcPr>
            <w:tcW w:w="737" w:type="dxa"/>
            <w:noWrap/>
            <w:hideMark/>
          </w:tcPr>
          <w:p w14:paraId="64D1A77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17917</w:t>
            </w:r>
          </w:p>
        </w:tc>
        <w:tc>
          <w:tcPr>
            <w:tcW w:w="1559" w:type="dxa"/>
            <w:noWrap/>
            <w:hideMark/>
          </w:tcPr>
          <w:p w14:paraId="5A1292B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Catherine's Catholic College</w:t>
            </w:r>
          </w:p>
        </w:tc>
        <w:tc>
          <w:tcPr>
            <w:tcW w:w="709" w:type="dxa"/>
            <w:noWrap/>
            <w:hideMark/>
          </w:tcPr>
          <w:p w14:paraId="1593547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01B445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4119E73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 7</w:t>
            </w:r>
          </w:p>
        </w:tc>
        <w:tc>
          <w:tcPr>
            <w:tcW w:w="1843" w:type="dxa"/>
            <w:noWrap/>
            <w:hideMark/>
          </w:tcPr>
          <w:p w14:paraId="19C9185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40 Queen Street</w:t>
            </w:r>
          </w:p>
        </w:tc>
        <w:tc>
          <w:tcPr>
            <w:tcW w:w="1134" w:type="dxa"/>
            <w:noWrap/>
            <w:hideMark/>
          </w:tcPr>
          <w:p w14:paraId="52B824F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7D6DE8C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13.0</w:t>
            </w:r>
          </w:p>
        </w:tc>
        <w:tc>
          <w:tcPr>
            <w:tcW w:w="1134" w:type="dxa"/>
            <w:noWrap/>
            <w:hideMark/>
          </w:tcPr>
          <w:p w14:paraId="7C87C8B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57.1</w:t>
            </w:r>
          </w:p>
        </w:tc>
        <w:tc>
          <w:tcPr>
            <w:tcW w:w="1134" w:type="dxa"/>
            <w:noWrap/>
            <w:hideMark/>
          </w:tcPr>
          <w:p w14:paraId="002D38E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1ECD6F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68</w:t>
            </w:r>
          </w:p>
        </w:tc>
        <w:tc>
          <w:tcPr>
            <w:tcW w:w="1417" w:type="dxa"/>
            <w:noWrap/>
            <w:hideMark/>
          </w:tcPr>
          <w:p w14:paraId="55FF0AB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w:t>
            </w:r>
          </w:p>
        </w:tc>
      </w:tr>
      <w:tr w:rsidR="00107BB9" w:rsidRPr="00107BB9" w14:paraId="182E6BCE" w14:textId="77777777" w:rsidTr="001367E0">
        <w:tblPrEx>
          <w:tblCellMar>
            <w:left w:w="108" w:type="dxa"/>
            <w:right w:w="108" w:type="dxa"/>
          </w:tblCellMar>
        </w:tblPrEx>
        <w:trPr>
          <w:trHeight w:val="465"/>
        </w:trPr>
        <w:tc>
          <w:tcPr>
            <w:tcW w:w="737" w:type="dxa"/>
            <w:noWrap/>
            <w:hideMark/>
          </w:tcPr>
          <w:p w14:paraId="55C8D50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1617</w:t>
            </w:r>
          </w:p>
        </w:tc>
        <w:tc>
          <w:tcPr>
            <w:tcW w:w="1559" w:type="dxa"/>
            <w:noWrap/>
            <w:hideMark/>
          </w:tcPr>
          <w:p w14:paraId="14A1288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Cecilia's Catholic School</w:t>
            </w:r>
          </w:p>
        </w:tc>
        <w:tc>
          <w:tcPr>
            <w:tcW w:w="709" w:type="dxa"/>
            <w:noWrap/>
            <w:hideMark/>
          </w:tcPr>
          <w:p w14:paraId="059C018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CF487D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5C0D1CF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E1D67A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Panonia Road</w:t>
            </w:r>
          </w:p>
        </w:tc>
        <w:tc>
          <w:tcPr>
            <w:tcW w:w="1134" w:type="dxa"/>
            <w:noWrap/>
            <w:hideMark/>
          </w:tcPr>
          <w:p w14:paraId="491F554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5217612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8.2</w:t>
            </w:r>
          </w:p>
        </w:tc>
        <w:tc>
          <w:tcPr>
            <w:tcW w:w="1134" w:type="dxa"/>
            <w:noWrap/>
            <w:hideMark/>
          </w:tcPr>
          <w:p w14:paraId="65F7FA2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543845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A394BA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w:t>
            </w:r>
          </w:p>
        </w:tc>
        <w:tc>
          <w:tcPr>
            <w:tcW w:w="1417" w:type="dxa"/>
            <w:noWrap/>
            <w:hideMark/>
          </w:tcPr>
          <w:p w14:paraId="4318598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37EAB19D" w14:textId="77777777" w:rsidTr="001367E0">
        <w:tblPrEx>
          <w:tblCellMar>
            <w:left w:w="108" w:type="dxa"/>
            <w:right w:w="108" w:type="dxa"/>
          </w:tblCellMar>
        </w:tblPrEx>
        <w:trPr>
          <w:trHeight w:val="465"/>
        </w:trPr>
        <w:tc>
          <w:tcPr>
            <w:tcW w:w="737" w:type="dxa"/>
            <w:noWrap/>
            <w:hideMark/>
          </w:tcPr>
          <w:p w14:paraId="47EA6B5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4221</w:t>
            </w:r>
          </w:p>
        </w:tc>
        <w:tc>
          <w:tcPr>
            <w:tcW w:w="1559" w:type="dxa"/>
            <w:noWrap/>
            <w:hideMark/>
          </w:tcPr>
          <w:p w14:paraId="0723E61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Charbel's College</w:t>
            </w:r>
          </w:p>
        </w:tc>
        <w:tc>
          <w:tcPr>
            <w:tcW w:w="709" w:type="dxa"/>
            <w:noWrap/>
            <w:hideMark/>
          </w:tcPr>
          <w:p w14:paraId="073E7D7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35EE1F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A0EB37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 7</w:t>
            </w:r>
          </w:p>
        </w:tc>
        <w:tc>
          <w:tcPr>
            <w:tcW w:w="1843" w:type="dxa"/>
            <w:noWrap/>
            <w:hideMark/>
          </w:tcPr>
          <w:p w14:paraId="5108B38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142 Highclere Avenue</w:t>
            </w:r>
          </w:p>
        </w:tc>
        <w:tc>
          <w:tcPr>
            <w:tcW w:w="1134" w:type="dxa"/>
            <w:noWrap/>
            <w:hideMark/>
          </w:tcPr>
          <w:p w14:paraId="55DD0CB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1C3D1F1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19.1</w:t>
            </w:r>
          </w:p>
        </w:tc>
        <w:tc>
          <w:tcPr>
            <w:tcW w:w="1134" w:type="dxa"/>
            <w:noWrap/>
            <w:hideMark/>
          </w:tcPr>
          <w:p w14:paraId="6FDFB7E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49F42B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CCEE42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125</w:t>
            </w:r>
          </w:p>
        </w:tc>
        <w:tc>
          <w:tcPr>
            <w:tcW w:w="1417" w:type="dxa"/>
            <w:noWrap/>
            <w:hideMark/>
          </w:tcPr>
          <w:p w14:paraId="4813BA9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4280014" w14:textId="77777777" w:rsidTr="001367E0">
        <w:tblPrEx>
          <w:tblCellMar>
            <w:left w:w="108" w:type="dxa"/>
            <w:right w:w="108" w:type="dxa"/>
          </w:tblCellMar>
        </w:tblPrEx>
        <w:trPr>
          <w:trHeight w:val="465"/>
        </w:trPr>
        <w:tc>
          <w:tcPr>
            <w:tcW w:w="737" w:type="dxa"/>
            <w:noWrap/>
            <w:hideMark/>
          </w:tcPr>
          <w:p w14:paraId="41AC9DB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1618</w:t>
            </w:r>
          </w:p>
        </w:tc>
        <w:tc>
          <w:tcPr>
            <w:tcW w:w="1559" w:type="dxa"/>
            <w:noWrap/>
            <w:hideMark/>
          </w:tcPr>
          <w:p w14:paraId="162A57F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Charles' Primary School</w:t>
            </w:r>
          </w:p>
        </w:tc>
        <w:tc>
          <w:tcPr>
            <w:tcW w:w="709" w:type="dxa"/>
            <w:noWrap/>
            <w:hideMark/>
          </w:tcPr>
          <w:p w14:paraId="717E195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D9FF52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C8DAAD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1E0F99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582 Victoria Road</w:t>
            </w:r>
          </w:p>
        </w:tc>
        <w:tc>
          <w:tcPr>
            <w:tcW w:w="1134" w:type="dxa"/>
            <w:noWrap/>
            <w:hideMark/>
          </w:tcPr>
          <w:p w14:paraId="5ED3E1C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0188A97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6.2</w:t>
            </w:r>
          </w:p>
        </w:tc>
        <w:tc>
          <w:tcPr>
            <w:tcW w:w="1134" w:type="dxa"/>
            <w:noWrap/>
            <w:hideMark/>
          </w:tcPr>
          <w:p w14:paraId="72DA19D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41E1E4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27B7E0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w:t>
            </w:r>
          </w:p>
        </w:tc>
        <w:tc>
          <w:tcPr>
            <w:tcW w:w="1417" w:type="dxa"/>
            <w:noWrap/>
            <w:hideMark/>
          </w:tcPr>
          <w:p w14:paraId="569F9BC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053CE22" w14:textId="77777777" w:rsidTr="001367E0">
        <w:tblPrEx>
          <w:tblCellMar>
            <w:left w:w="108" w:type="dxa"/>
            <w:right w:w="108" w:type="dxa"/>
          </w:tblCellMar>
        </w:tblPrEx>
        <w:trPr>
          <w:trHeight w:val="465"/>
        </w:trPr>
        <w:tc>
          <w:tcPr>
            <w:tcW w:w="737" w:type="dxa"/>
            <w:noWrap/>
            <w:hideMark/>
          </w:tcPr>
          <w:p w14:paraId="4D97E77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17657</w:t>
            </w:r>
          </w:p>
        </w:tc>
        <w:tc>
          <w:tcPr>
            <w:tcW w:w="1559" w:type="dxa"/>
            <w:noWrap/>
            <w:hideMark/>
          </w:tcPr>
          <w:p w14:paraId="579899A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Christopher's Primary  School</w:t>
            </w:r>
          </w:p>
        </w:tc>
        <w:tc>
          <w:tcPr>
            <w:tcW w:w="709" w:type="dxa"/>
            <w:noWrap/>
            <w:hideMark/>
          </w:tcPr>
          <w:p w14:paraId="144B5D1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2A3EB80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327F19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E6BF50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Heathcote Rd</w:t>
            </w:r>
          </w:p>
        </w:tc>
        <w:tc>
          <w:tcPr>
            <w:tcW w:w="1134" w:type="dxa"/>
            <w:noWrap/>
            <w:hideMark/>
          </w:tcPr>
          <w:p w14:paraId="3EA4498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FA602E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5.6</w:t>
            </w:r>
          </w:p>
        </w:tc>
        <w:tc>
          <w:tcPr>
            <w:tcW w:w="1134" w:type="dxa"/>
            <w:noWrap/>
            <w:hideMark/>
          </w:tcPr>
          <w:p w14:paraId="5ECB4F7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8B4240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1D7094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417" w:type="dxa"/>
            <w:noWrap/>
            <w:hideMark/>
          </w:tcPr>
          <w:p w14:paraId="618C598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B27EA16" w14:textId="77777777" w:rsidTr="001367E0">
        <w:tblPrEx>
          <w:tblCellMar>
            <w:left w:w="108" w:type="dxa"/>
            <w:right w:w="108" w:type="dxa"/>
          </w:tblCellMar>
        </w:tblPrEx>
        <w:trPr>
          <w:trHeight w:val="465"/>
        </w:trPr>
        <w:tc>
          <w:tcPr>
            <w:tcW w:w="737" w:type="dxa"/>
            <w:noWrap/>
            <w:hideMark/>
          </w:tcPr>
          <w:p w14:paraId="0A17E7B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18250</w:t>
            </w:r>
          </w:p>
        </w:tc>
        <w:tc>
          <w:tcPr>
            <w:tcW w:w="1559" w:type="dxa"/>
            <w:noWrap/>
            <w:hideMark/>
          </w:tcPr>
          <w:p w14:paraId="5221FB0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Clare's Catholic High School</w:t>
            </w:r>
          </w:p>
        </w:tc>
        <w:tc>
          <w:tcPr>
            <w:tcW w:w="709" w:type="dxa"/>
            <w:noWrap/>
            <w:hideMark/>
          </w:tcPr>
          <w:p w14:paraId="7CA80C5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5ED51E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C6CA42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3EE12DD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175 Buckwell Drive</w:t>
            </w:r>
          </w:p>
        </w:tc>
        <w:tc>
          <w:tcPr>
            <w:tcW w:w="1134" w:type="dxa"/>
            <w:noWrap/>
            <w:hideMark/>
          </w:tcPr>
          <w:p w14:paraId="5FA8CFF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6A3E694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36.2</w:t>
            </w:r>
          </w:p>
        </w:tc>
        <w:tc>
          <w:tcPr>
            <w:tcW w:w="1134" w:type="dxa"/>
            <w:noWrap/>
            <w:hideMark/>
          </w:tcPr>
          <w:p w14:paraId="7758C37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59.1</w:t>
            </w:r>
          </w:p>
        </w:tc>
        <w:tc>
          <w:tcPr>
            <w:tcW w:w="1134" w:type="dxa"/>
            <w:noWrap/>
            <w:hideMark/>
          </w:tcPr>
          <w:p w14:paraId="2350B3A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A0909A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267</w:t>
            </w:r>
          </w:p>
        </w:tc>
        <w:tc>
          <w:tcPr>
            <w:tcW w:w="1417" w:type="dxa"/>
            <w:noWrap/>
            <w:hideMark/>
          </w:tcPr>
          <w:p w14:paraId="77C4FCE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w:t>
            </w:r>
          </w:p>
        </w:tc>
      </w:tr>
      <w:tr w:rsidR="00107BB9" w:rsidRPr="00107BB9" w14:paraId="061D9FDC" w14:textId="77777777" w:rsidTr="001367E0">
        <w:tblPrEx>
          <w:tblCellMar>
            <w:left w:w="108" w:type="dxa"/>
            <w:right w:w="108" w:type="dxa"/>
          </w:tblCellMar>
        </w:tblPrEx>
        <w:trPr>
          <w:trHeight w:val="465"/>
        </w:trPr>
        <w:tc>
          <w:tcPr>
            <w:tcW w:w="737" w:type="dxa"/>
            <w:noWrap/>
            <w:hideMark/>
          </w:tcPr>
          <w:p w14:paraId="254C2DA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1624</w:t>
            </w:r>
          </w:p>
        </w:tc>
        <w:tc>
          <w:tcPr>
            <w:tcW w:w="1559" w:type="dxa"/>
            <w:noWrap/>
            <w:hideMark/>
          </w:tcPr>
          <w:p w14:paraId="76811DF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Columbans Primary School</w:t>
            </w:r>
          </w:p>
        </w:tc>
        <w:tc>
          <w:tcPr>
            <w:tcW w:w="709" w:type="dxa"/>
            <w:noWrap/>
            <w:hideMark/>
          </w:tcPr>
          <w:p w14:paraId="5267579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197DAA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134" w:type="dxa"/>
            <w:noWrap/>
            <w:hideMark/>
          </w:tcPr>
          <w:p w14:paraId="19AC053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7520DC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Church St</w:t>
            </w:r>
          </w:p>
        </w:tc>
        <w:tc>
          <w:tcPr>
            <w:tcW w:w="1134" w:type="dxa"/>
            <w:noWrap/>
            <w:hideMark/>
          </w:tcPr>
          <w:p w14:paraId="21E7D84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5661B44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24.5</w:t>
            </w:r>
          </w:p>
        </w:tc>
        <w:tc>
          <w:tcPr>
            <w:tcW w:w="1134" w:type="dxa"/>
            <w:noWrap/>
            <w:hideMark/>
          </w:tcPr>
          <w:p w14:paraId="7D4CD08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62.5</w:t>
            </w:r>
          </w:p>
        </w:tc>
        <w:tc>
          <w:tcPr>
            <w:tcW w:w="1134" w:type="dxa"/>
            <w:noWrap/>
            <w:hideMark/>
          </w:tcPr>
          <w:p w14:paraId="06E84CE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8DB9BA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w:t>
            </w:r>
          </w:p>
        </w:tc>
        <w:tc>
          <w:tcPr>
            <w:tcW w:w="1417" w:type="dxa"/>
            <w:noWrap/>
            <w:hideMark/>
          </w:tcPr>
          <w:p w14:paraId="3BF0208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w:t>
            </w:r>
          </w:p>
        </w:tc>
      </w:tr>
      <w:tr w:rsidR="00107BB9" w:rsidRPr="00107BB9" w14:paraId="56FAE605" w14:textId="77777777" w:rsidTr="001367E0">
        <w:tblPrEx>
          <w:tblCellMar>
            <w:left w:w="108" w:type="dxa"/>
            <w:right w:w="108" w:type="dxa"/>
          </w:tblCellMar>
        </w:tblPrEx>
        <w:trPr>
          <w:trHeight w:val="465"/>
        </w:trPr>
        <w:tc>
          <w:tcPr>
            <w:tcW w:w="737" w:type="dxa"/>
            <w:noWrap/>
            <w:hideMark/>
          </w:tcPr>
          <w:p w14:paraId="398A7E3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1629</w:t>
            </w:r>
          </w:p>
        </w:tc>
        <w:tc>
          <w:tcPr>
            <w:tcW w:w="1559" w:type="dxa"/>
            <w:noWrap/>
            <w:hideMark/>
          </w:tcPr>
          <w:p w14:paraId="1118957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Columba's Primary School</w:t>
            </w:r>
          </w:p>
        </w:tc>
        <w:tc>
          <w:tcPr>
            <w:tcW w:w="709" w:type="dxa"/>
            <w:noWrap/>
            <w:hideMark/>
          </w:tcPr>
          <w:p w14:paraId="7729CFE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A192E6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5314FCE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737169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215 Elswick St</w:t>
            </w:r>
          </w:p>
        </w:tc>
        <w:tc>
          <w:tcPr>
            <w:tcW w:w="1134" w:type="dxa"/>
            <w:noWrap/>
            <w:hideMark/>
          </w:tcPr>
          <w:p w14:paraId="47697AB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4948CC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15.6</w:t>
            </w:r>
          </w:p>
        </w:tc>
        <w:tc>
          <w:tcPr>
            <w:tcW w:w="1134" w:type="dxa"/>
            <w:noWrap/>
            <w:hideMark/>
          </w:tcPr>
          <w:p w14:paraId="41E8814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FB497B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E2C812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w:t>
            </w:r>
          </w:p>
        </w:tc>
        <w:tc>
          <w:tcPr>
            <w:tcW w:w="1417" w:type="dxa"/>
            <w:noWrap/>
            <w:hideMark/>
          </w:tcPr>
          <w:p w14:paraId="2C626CF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35D53FC" w14:textId="77777777" w:rsidTr="001367E0">
        <w:tblPrEx>
          <w:tblCellMar>
            <w:left w:w="108" w:type="dxa"/>
            <w:right w:w="108" w:type="dxa"/>
          </w:tblCellMar>
        </w:tblPrEx>
        <w:trPr>
          <w:trHeight w:val="465"/>
        </w:trPr>
        <w:tc>
          <w:tcPr>
            <w:tcW w:w="737" w:type="dxa"/>
            <w:noWrap/>
            <w:hideMark/>
          </w:tcPr>
          <w:p w14:paraId="725720A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1637</w:t>
            </w:r>
          </w:p>
        </w:tc>
        <w:tc>
          <w:tcPr>
            <w:tcW w:w="1559" w:type="dxa"/>
            <w:noWrap/>
            <w:hideMark/>
          </w:tcPr>
          <w:p w14:paraId="138DD5B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Edward's Primary School</w:t>
            </w:r>
          </w:p>
        </w:tc>
        <w:tc>
          <w:tcPr>
            <w:tcW w:w="709" w:type="dxa"/>
            <w:noWrap/>
            <w:hideMark/>
          </w:tcPr>
          <w:p w14:paraId="434D400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59DFEE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1948736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B810D7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Tilga Street</w:t>
            </w:r>
          </w:p>
        </w:tc>
        <w:tc>
          <w:tcPr>
            <w:tcW w:w="1134" w:type="dxa"/>
            <w:noWrap/>
            <w:hideMark/>
          </w:tcPr>
          <w:p w14:paraId="70ED70A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6007B73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9.5</w:t>
            </w:r>
          </w:p>
        </w:tc>
        <w:tc>
          <w:tcPr>
            <w:tcW w:w="1134" w:type="dxa"/>
            <w:noWrap/>
            <w:hideMark/>
          </w:tcPr>
          <w:p w14:paraId="230DBA0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0A6D66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B7C96F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w:t>
            </w:r>
          </w:p>
        </w:tc>
        <w:tc>
          <w:tcPr>
            <w:tcW w:w="1417" w:type="dxa"/>
            <w:noWrap/>
            <w:hideMark/>
          </w:tcPr>
          <w:p w14:paraId="75B8889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0B60EB16" w14:textId="77777777" w:rsidTr="001367E0">
        <w:tblPrEx>
          <w:tblCellMar>
            <w:left w:w="108" w:type="dxa"/>
            <w:right w:w="108" w:type="dxa"/>
          </w:tblCellMar>
        </w:tblPrEx>
        <w:trPr>
          <w:trHeight w:val="465"/>
        </w:trPr>
        <w:tc>
          <w:tcPr>
            <w:tcW w:w="737" w:type="dxa"/>
            <w:noWrap/>
            <w:hideMark/>
          </w:tcPr>
          <w:p w14:paraId="6E6BD4D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13946</w:t>
            </w:r>
          </w:p>
        </w:tc>
        <w:tc>
          <w:tcPr>
            <w:tcW w:w="1559" w:type="dxa"/>
            <w:noWrap/>
            <w:hideMark/>
          </w:tcPr>
          <w:p w14:paraId="39D23F3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Edward's Primary School</w:t>
            </w:r>
          </w:p>
        </w:tc>
        <w:tc>
          <w:tcPr>
            <w:tcW w:w="709" w:type="dxa"/>
            <w:noWrap/>
            <w:hideMark/>
          </w:tcPr>
          <w:p w14:paraId="51CED58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6E3562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2.1.2</w:t>
            </w:r>
          </w:p>
        </w:tc>
        <w:tc>
          <w:tcPr>
            <w:tcW w:w="1134" w:type="dxa"/>
            <w:noWrap/>
            <w:hideMark/>
          </w:tcPr>
          <w:p w14:paraId="5A6C8D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184F81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Hillvue Rd</w:t>
            </w:r>
          </w:p>
        </w:tc>
        <w:tc>
          <w:tcPr>
            <w:tcW w:w="1134" w:type="dxa"/>
            <w:noWrap/>
            <w:hideMark/>
          </w:tcPr>
          <w:p w14:paraId="352DC7E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85A719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19.6</w:t>
            </w:r>
          </w:p>
        </w:tc>
        <w:tc>
          <w:tcPr>
            <w:tcW w:w="1134" w:type="dxa"/>
            <w:noWrap/>
            <w:hideMark/>
          </w:tcPr>
          <w:p w14:paraId="00C54A3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31.3</w:t>
            </w:r>
          </w:p>
        </w:tc>
        <w:tc>
          <w:tcPr>
            <w:tcW w:w="1134" w:type="dxa"/>
            <w:noWrap/>
            <w:hideMark/>
          </w:tcPr>
          <w:p w14:paraId="2BBCB99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11.1</w:t>
            </w:r>
          </w:p>
        </w:tc>
        <w:tc>
          <w:tcPr>
            <w:tcW w:w="1276" w:type="dxa"/>
            <w:noWrap/>
            <w:hideMark/>
          </w:tcPr>
          <w:p w14:paraId="02294DC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63</w:t>
            </w:r>
          </w:p>
        </w:tc>
        <w:tc>
          <w:tcPr>
            <w:tcW w:w="1417" w:type="dxa"/>
            <w:noWrap/>
            <w:hideMark/>
          </w:tcPr>
          <w:p w14:paraId="059A4BF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w:t>
            </w:r>
          </w:p>
        </w:tc>
      </w:tr>
      <w:tr w:rsidR="00107BB9" w:rsidRPr="00107BB9" w14:paraId="74EEBD82" w14:textId="77777777" w:rsidTr="001367E0">
        <w:tblPrEx>
          <w:tblCellMar>
            <w:left w:w="108" w:type="dxa"/>
            <w:right w:w="108" w:type="dxa"/>
          </w:tblCellMar>
        </w:tblPrEx>
        <w:trPr>
          <w:trHeight w:val="465"/>
        </w:trPr>
        <w:tc>
          <w:tcPr>
            <w:tcW w:w="737" w:type="dxa"/>
            <w:noWrap/>
            <w:hideMark/>
          </w:tcPr>
          <w:p w14:paraId="20275B2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1639</w:t>
            </w:r>
          </w:p>
        </w:tc>
        <w:tc>
          <w:tcPr>
            <w:tcW w:w="1559" w:type="dxa"/>
            <w:noWrap/>
            <w:hideMark/>
          </w:tcPr>
          <w:p w14:paraId="20DFDB0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Felix's Primary School</w:t>
            </w:r>
          </w:p>
        </w:tc>
        <w:tc>
          <w:tcPr>
            <w:tcW w:w="709" w:type="dxa"/>
            <w:noWrap/>
            <w:hideMark/>
          </w:tcPr>
          <w:p w14:paraId="46E2B05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1943C8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2EE198C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FAEA61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552 Chapel Road</w:t>
            </w:r>
          </w:p>
        </w:tc>
        <w:tc>
          <w:tcPr>
            <w:tcW w:w="1134" w:type="dxa"/>
            <w:noWrap/>
            <w:hideMark/>
          </w:tcPr>
          <w:p w14:paraId="0A26B49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09EB844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9.9</w:t>
            </w:r>
          </w:p>
        </w:tc>
        <w:tc>
          <w:tcPr>
            <w:tcW w:w="1134" w:type="dxa"/>
            <w:noWrap/>
            <w:hideMark/>
          </w:tcPr>
          <w:p w14:paraId="2B3D569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B2FBE0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19ADD1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w:t>
            </w:r>
          </w:p>
        </w:tc>
        <w:tc>
          <w:tcPr>
            <w:tcW w:w="1417" w:type="dxa"/>
            <w:noWrap/>
            <w:hideMark/>
          </w:tcPr>
          <w:p w14:paraId="4D208DD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30388BF" w14:textId="77777777" w:rsidTr="001367E0">
        <w:tblPrEx>
          <w:tblCellMar>
            <w:left w:w="108" w:type="dxa"/>
            <w:right w:w="108" w:type="dxa"/>
          </w:tblCellMar>
        </w:tblPrEx>
        <w:trPr>
          <w:trHeight w:val="465"/>
        </w:trPr>
        <w:tc>
          <w:tcPr>
            <w:tcW w:w="737" w:type="dxa"/>
            <w:noWrap/>
            <w:hideMark/>
          </w:tcPr>
          <w:p w14:paraId="05E911D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1640</w:t>
            </w:r>
          </w:p>
        </w:tc>
        <w:tc>
          <w:tcPr>
            <w:tcW w:w="1559" w:type="dxa"/>
            <w:noWrap/>
            <w:hideMark/>
          </w:tcPr>
          <w:p w14:paraId="595E81C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Fiacre's Primary School</w:t>
            </w:r>
          </w:p>
        </w:tc>
        <w:tc>
          <w:tcPr>
            <w:tcW w:w="709" w:type="dxa"/>
            <w:noWrap/>
            <w:hideMark/>
          </w:tcPr>
          <w:p w14:paraId="19A5A83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333995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D8EFB3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1477D6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98 Catherine Street</w:t>
            </w:r>
          </w:p>
        </w:tc>
        <w:tc>
          <w:tcPr>
            <w:tcW w:w="1134" w:type="dxa"/>
            <w:noWrap/>
            <w:hideMark/>
          </w:tcPr>
          <w:p w14:paraId="4EA32A9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64A5CFF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w:t>
            </w:r>
          </w:p>
        </w:tc>
        <w:tc>
          <w:tcPr>
            <w:tcW w:w="1134" w:type="dxa"/>
            <w:noWrap/>
            <w:hideMark/>
          </w:tcPr>
          <w:p w14:paraId="4827891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2FC36C8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7277F2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c>
          <w:tcPr>
            <w:tcW w:w="1417" w:type="dxa"/>
            <w:noWrap/>
            <w:hideMark/>
          </w:tcPr>
          <w:p w14:paraId="41472FD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5F0CA33" w14:textId="77777777" w:rsidTr="001367E0">
        <w:tblPrEx>
          <w:tblCellMar>
            <w:left w:w="108" w:type="dxa"/>
            <w:right w:w="108" w:type="dxa"/>
          </w:tblCellMar>
        </w:tblPrEx>
        <w:trPr>
          <w:trHeight w:val="465"/>
        </w:trPr>
        <w:tc>
          <w:tcPr>
            <w:tcW w:w="737" w:type="dxa"/>
            <w:noWrap/>
            <w:hideMark/>
          </w:tcPr>
          <w:p w14:paraId="19A1FD5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1642</w:t>
            </w:r>
          </w:p>
        </w:tc>
        <w:tc>
          <w:tcPr>
            <w:tcW w:w="1559" w:type="dxa"/>
            <w:noWrap/>
            <w:hideMark/>
          </w:tcPr>
          <w:p w14:paraId="76802F3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Finbar's Primary School</w:t>
            </w:r>
          </w:p>
        </w:tc>
        <w:tc>
          <w:tcPr>
            <w:tcW w:w="709" w:type="dxa"/>
            <w:noWrap/>
            <w:hideMark/>
          </w:tcPr>
          <w:p w14:paraId="2EA1526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DE36DC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8F7006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6D8119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21 Broughton St</w:t>
            </w:r>
          </w:p>
        </w:tc>
        <w:tc>
          <w:tcPr>
            <w:tcW w:w="1134" w:type="dxa"/>
            <w:noWrap/>
            <w:hideMark/>
          </w:tcPr>
          <w:p w14:paraId="3A28A0D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43AEDB5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9.8</w:t>
            </w:r>
          </w:p>
        </w:tc>
        <w:tc>
          <w:tcPr>
            <w:tcW w:w="1134" w:type="dxa"/>
            <w:noWrap/>
            <w:hideMark/>
          </w:tcPr>
          <w:p w14:paraId="2620F81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9DA444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57A1AE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w:t>
            </w:r>
          </w:p>
        </w:tc>
        <w:tc>
          <w:tcPr>
            <w:tcW w:w="1417" w:type="dxa"/>
            <w:noWrap/>
            <w:hideMark/>
          </w:tcPr>
          <w:p w14:paraId="5867ECB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215D296" w14:textId="77777777" w:rsidTr="001367E0">
        <w:tblPrEx>
          <w:tblCellMar>
            <w:left w:w="108" w:type="dxa"/>
            <w:right w:w="108" w:type="dxa"/>
          </w:tblCellMar>
        </w:tblPrEx>
        <w:trPr>
          <w:trHeight w:val="465"/>
        </w:trPr>
        <w:tc>
          <w:tcPr>
            <w:tcW w:w="737" w:type="dxa"/>
            <w:noWrap/>
            <w:hideMark/>
          </w:tcPr>
          <w:p w14:paraId="2189D65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1652</w:t>
            </w:r>
          </w:p>
        </w:tc>
        <w:tc>
          <w:tcPr>
            <w:tcW w:w="1559" w:type="dxa"/>
            <w:noWrap/>
            <w:hideMark/>
          </w:tcPr>
          <w:p w14:paraId="3FF0192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Francis Xavier Primary School</w:t>
            </w:r>
          </w:p>
        </w:tc>
        <w:tc>
          <w:tcPr>
            <w:tcW w:w="709" w:type="dxa"/>
            <w:noWrap/>
            <w:hideMark/>
          </w:tcPr>
          <w:p w14:paraId="7901AF5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0B0124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3.1</w:t>
            </w:r>
          </w:p>
        </w:tc>
        <w:tc>
          <w:tcPr>
            <w:tcW w:w="1134" w:type="dxa"/>
            <w:noWrap/>
            <w:hideMark/>
          </w:tcPr>
          <w:p w14:paraId="0DB991F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322AE9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Conapaira Street</w:t>
            </w:r>
          </w:p>
        </w:tc>
        <w:tc>
          <w:tcPr>
            <w:tcW w:w="1134" w:type="dxa"/>
            <w:noWrap/>
            <w:hideMark/>
          </w:tcPr>
          <w:p w14:paraId="048FBCB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LSES2009</w:t>
            </w:r>
          </w:p>
        </w:tc>
        <w:tc>
          <w:tcPr>
            <w:tcW w:w="1276" w:type="dxa"/>
            <w:noWrap/>
            <w:hideMark/>
          </w:tcPr>
          <w:p w14:paraId="1948136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28.6</w:t>
            </w:r>
          </w:p>
        </w:tc>
        <w:tc>
          <w:tcPr>
            <w:tcW w:w="1134" w:type="dxa"/>
            <w:noWrap/>
            <w:hideMark/>
          </w:tcPr>
          <w:p w14:paraId="7D1DE6A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44.4</w:t>
            </w:r>
          </w:p>
        </w:tc>
        <w:tc>
          <w:tcPr>
            <w:tcW w:w="1134" w:type="dxa"/>
            <w:noWrap/>
            <w:hideMark/>
          </w:tcPr>
          <w:p w14:paraId="7F25AAD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318F49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417" w:type="dxa"/>
            <w:noWrap/>
            <w:hideMark/>
          </w:tcPr>
          <w:p w14:paraId="4F6B4A7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w:t>
            </w:r>
          </w:p>
        </w:tc>
      </w:tr>
      <w:tr w:rsidR="00107BB9" w:rsidRPr="00107BB9" w14:paraId="21FCDE11" w14:textId="77777777" w:rsidTr="001367E0">
        <w:tblPrEx>
          <w:tblCellMar>
            <w:left w:w="108" w:type="dxa"/>
            <w:right w:w="108" w:type="dxa"/>
          </w:tblCellMar>
        </w:tblPrEx>
        <w:trPr>
          <w:trHeight w:val="465"/>
        </w:trPr>
        <w:tc>
          <w:tcPr>
            <w:tcW w:w="737" w:type="dxa"/>
            <w:noWrap/>
            <w:hideMark/>
          </w:tcPr>
          <w:p w14:paraId="7A3CA64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14013</w:t>
            </w:r>
          </w:p>
        </w:tc>
        <w:tc>
          <w:tcPr>
            <w:tcW w:w="1559" w:type="dxa"/>
            <w:noWrap/>
            <w:hideMark/>
          </w:tcPr>
          <w:p w14:paraId="03C3A6D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Francis Xavier Primary School</w:t>
            </w:r>
          </w:p>
        </w:tc>
        <w:tc>
          <w:tcPr>
            <w:tcW w:w="709" w:type="dxa"/>
            <w:noWrap/>
            <w:hideMark/>
          </w:tcPr>
          <w:p w14:paraId="03E4770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EB6F0C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7B3EF23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8DEA9D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39 Queen Street</w:t>
            </w:r>
          </w:p>
        </w:tc>
        <w:tc>
          <w:tcPr>
            <w:tcW w:w="1134" w:type="dxa"/>
            <w:noWrap/>
            <w:hideMark/>
          </w:tcPr>
          <w:p w14:paraId="5126FED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600C48F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16.5</w:t>
            </w:r>
          </w:p>
        </w:tc>
        <w:tc>
          <w:tcPr>
            <w:tcW w:w="1134" w:type="dxa"/>
            <w:noWrap/>
            <w:hideMark/>
          </w:tcPr>
          <w:p w14:paraId="5258F0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33.3</w:t>
            </w:r>
          </w:p>
        </w:tc>
        <w:tc>
          <w:tcPr>
            <w:tcW w:w="1134" w:type="dxa"/>
            <w:noWrap/>
            <w:hideMark/>
          </w:tcPr>
          <w:p w14:paraId="3910EE2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25.0</w:t>
            </w:r>
          </w:p>
        </w:tc>
        <w:tc>
          <w:tcPr>
            <w:tcW w:w="1276" w:type="dxa"/>
            <w:noWrap/>
            <w:hideMark/>
          </w:tcPr>
          <w:p w14:paraId="598CDFA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w:t>
            </w:r>
          </w:p>
        </w:tc>
        <w:tc>
          <w:tcPr>
            <w:tcW w:w="1417" w:type="dxa"/>
            <w:noWrap/>
            <w:hideMark/>
          </w:tcPr>
          <w:p w14:paraId="0C6BE35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00EFBB14" w14:textId="77777777" w:rsidTr="001367E0">
        <w:tblPrEx>
          <w:tblCellMar>
            <w:left w:w="108" w:type="dxa"/>
            <w:right w:w="108" w:type="dxa"/>
          </w:tblCellMar>
        </w:tblPrEx>
        <w:trPr>
          <w:trHeight w:val="465"/>
        </w:trPr>
        <w:tc>
          <w:tcPr>
            <w:tcW w:w="737" w:type="dxa"/>
            <w:noWrap/>
            <w:hideMark/>
          </w:tcPr>
          <w:p w14:paraId="7CDFEFC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2315</w:t>
            </w:r>
          </w:p>
        </w:tc>
        <w:tc>
          <w:tcPr>
            <w:tcW w:w="1559" w:type="dxa"/>
            <w:noWrap/>
            <w:hideMark/>
          </w:tcPr>
          <w:p w14:paraId="35FE17E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Francis Xavier's Primary School</w:t>
            </w:r>
          </w:p>
        </w:tc>
        <w:tc>
          <w:tcPr>
            <w:tcW w:w="709" w:type="dxa"/>
            <w:noWrap/>
            <w:hideMark/>
          </w:tcPr>
          <w:p w14:paraId="6FE6FF4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BDD5B1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5FCF9B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505CD2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71 Webster Rd</w:t>
            </w:r>
          </w:p>
        </w:tc>
        <w:tc>
          <w:tcPr>
            <w:tcW w:w="1134" w:type="dxa"/>
            <w:noWrap/>
            <w:hideMark/>
          </w:tcPr>
          <w:p w14:paraId="1A9D51C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205700A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4.9</w:t>
            </w:r>
          </w:p>
        </w:tc>
        <w:tc>
          <w:tcPr>
            <w:tcW w:w="1134" w:type="dxa"/>
            <w:noWrap/>
            <w:hideMark/>
          </w:tcPr>
          <w:p w14:paraId="44C0095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1632205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C0ED6F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w:t>
            </w:r>
          </w:p>
        </w:tc>
        <w:tc>
          <w:tcPr>
            <w:tcW w:w="1417" w:type="dxa"/>
            <w:noWrap/>
            <w:hideMark/>
          </w:tcPr>
          <w:p w14:paraId="005967C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D519039" w14:textId="77777777" w:rsidTr="001367E0">
        <w:tblPrEx>
          <w:tblCellMar>
            <w:left w:w="108" w:type="dxa"/>
            <w:right w:w="108" w:type="dxa"/>
          </w:tblCellMar>
        </w:tblPrEx>
        <w:trPr>
          <w:trHeight w:val="465"/>
        </w:trPr>
        <w:tc>
          <w:tcPr>
            <w:tcW w:w="737" w:type="dxa"/>
            <w:noWrap/>
            <w:hideMark/>
          </w:tcPr>
          <w:p w14:paraId="07E8AA1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1657</w:t>
            </w:r>
          </w:p>
        </w:tc>
        <w:tc>
          <w:tcPr>
            <w:tcW w:w="1559" w:type="dxa"/>
            <w:noWrap/>
            <w:hideMark/>
          </w:tcPr>
          <w:p w14:paraId="03D0E7B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Gabriel's Primary School</w:t>
            </w:r>
          </w:p>
        </w:tc>
        <w:tc>
          <w:tcPr>
            <w:tcW w:w="709" w:type="dxa"/>
            <w:noWrap/>
            <w:hideMark/>
          </w:tcPr>
          <w:p w14:paraId="0056239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3A0E02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DC31E4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16CFB7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39 Highgate Street</w:t>
            </w:r>
          </w:p>
        </w:tc>
        <w:tc>
          <w:tcPr>
            <w:tcW w:w="1134" w:type="dxa"/>
            <w:noWrap/>
            <w:hideMark/>
          </w:tcPr>
          <w:p w14:paraId="5CF7F95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0257B2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w:t>
            </w:r>
          </w:p>
        </w:tc>
        <w:tc>
          <w:tcPr>
            <w:tcW w:w="1134" w:type="dxa"/>
            <w:noWrap/>
            <w:hideMark/>
          </w:tcPr>
          <w:p w14:paraId="28F1C33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DDAABC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8FC13B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c>
          <w:tcPr>
            <w:tcW w:w="1417" w:type="dxa"/>
            <w:noWrap/>
            <w:hideMark/>
          </w:tcPr>
          <w:p w14:paraId="698CE59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E130033" w14:textId="77777777" w:rsidTr="001367E0">
        <w:tblPrEx>
          <w:tblCellMar>
            <w:left w:w="108" w:type="dxa"/>
            <w:right w:w="108" w:type="dxa"/>
          </w:tblCellMar>
        </w:tblPrEx>
        <w:trPr>
          <w:trHeight w:val="465"/>
        </w:trPr>
        <w:tc>
          <w:tcPr>
            <w:tcW w:w="737" w:type="dxa"/>
            <w:noWrap/>
            <w:hideMark/>
          </w:tcPr>
          <w:p w14:paraId="1D16D2E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1659</w:t>
            </w:r>
          </w:p>
        </w:tc>
        <w:tc>
          <w:tcPr>
            <w:tcW w:w="1559" w:type="dxa"/>
            <w:noWrap/>
            <w:hideMark/>
          </w:tcPr>
          <w:p w14:paraId="0FA55C2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Gertrude's Primary School</w:t>
            </w:r>
          </w:p>
        </w:tc>
        <w:tc>
          <w:tcPr>
            <w:tcW w:w="709" w:type="dxa"/>
            <w:noWrap/>
            <w:hideMark/>
          </w:tcPr>
          <w:p w14:paraId="55CD308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BCB047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7676C16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4E7C3B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1-11 Justin Street</w:t>
            </w:r>
          </w:p>
        </w:tc>
        <w:tc>
          <w:tcPr>
            <w:tcW w:w="1134" w:type="dxa"/>
            <w:noWrap/>
            <w:hideMark/>
          </w:tcPr>
          <w:p w14:paraId="0A4C688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053A29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9.0</w:t>
            </w:r>
          </w:p>
        </w:tc>
        <w:tc>
          <w:tcPr>
            <w:tcW w:w="1134" w:type="dxa"/>
            <w:noWrap/>
            <w:hideMark/>
          </w:tcPr>
          <w:p w14:paraId="1392667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27269C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A50E31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40</w:t>
            </w:r>
          </w:p>
        </w:tc>
        <w:tc>
          <w:tcPr>
            <w:tcW w:w="1417" w:type="dxa"/>
            <w:noWrap/>
            <w:hideMark/>
          </w:tcPr>
          <w:p w14:paraId="7C25B80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466785F" w14:textId="77777777" w:rsidTr="001367E0">
        <w:tblPrEx>
          <w:tblCellMar>
            <w:left w:w="108" w:type="dxa"/>
            <w:right w:w="108" w:type="dxa"/>
          </w:tblCellMar>
        </w:tblPrEx>
        <w:trPr>
          <w:trHeight w:val="465"/>
        </w:trPr>
        <w:tc>
          <w:tcPr>
            <w:tcW w:w="737" w:type="dxa"/>
            <w:noWrap/>
            <w:hideMark/>
          </w:tcPr>
          <w:p w14:paraId="49FB7BD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13853</w:t>
            </w:r>
          </w:p>
        </w:tc>
        <w:tc>
          <w:tcPr>
            <w:tcW w:w="1559" w:type="dxa"/>
            <w:noWrap/>
            <w:hideMark/>
          </w:tcPr>
          <w:p w14:paraId="4FC9F23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Gregory's Primary School</w:t>
            </w:r>
          </w:p>
        </w:tc>
        <w:tc>
          <w:tcPr>
            <w:tcW w:w="709" w:type="dxa"/>
            <w:noWrap/>
            <w:hideMark/>
          </w:tcPr>
          <w:p w14:paraId="115E1A6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2277C8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134" w:type="dxa"/>
            <w:noWrap/>
            <w:hideMark/>
          </w:tcPr>
          <w:p w14:paraId="1FE1B0E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04C173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57 Lowe Street</w:t>
            </w:r>
          </w:p>
        </w:tc>
        <w:tc>
          <w:tcPr>
            <w:tcW w:w="1134" w:type="dxa"/>
            <w:noWrap/>
            <w:hideMark/>
          </w:tcPr>
          <w:p w14:paraId="72233A2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4C7B95B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8.6</w:t>
            </w:r>
          </w:p>
        </w:tc>
        <w:tc>
          <w:tcPr>
            <w:tcW w:w="1134" w:type="dxa"/>
            <w:noWrap/>
            <w:hideMark/>
          </w:tcPr>
          <w:p w14:paraId="3C2C086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04BB06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20.0</w:t>
            </w:r>
          </w:p>
        </w:tc>
        <w:tc>
          <w:tcPr>
            <w:tcW w:w="1276" w:type="dxa"/>
            <w:noWrap/>
            <w:hideMark/>
          </w:tcPr>
          <w:p w14:paraId="72BB872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31</w:t>
            </w:r>
          </w:p>
        </w:tc>
        <w:tc>
          <w:tcPr>
            <w:tcW w:w="1417" w:type="dxa"/>
            <w:noWrap/>
            <w:hideMark/>
          </w:tcPr>
          <w:p w14:paraId="1F3DE42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EFEDAA4" w14:textId="77777777" w:rsidTr="001367E0">
        <w:tblPrEx>
          <w:tblCellMar>
            <w:left w:w="108" w:type="dxa"/>
            <w:right w:w="108" w:type="dxa"/>
          </w:tblCellMar>
        </w:tblPrEx>
        <w:trPr>
          <w:trHeight w:val="465"/>
        </w:trPr>
        <w:tc>
          <w:tcPr>
            <w:tcW w:w="737" w:type="dxa"/>
            <w:noWrap/>
            <w:hideMark/>
          </w:tcPr>
          <w:p w14:paraId="0A24A3F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14601</w:t>
            </w:r>
          </w:p>
        </w:tc>
        <w:tc>
          <w:tcPr>
            <w:tcW w:w="1559" w:type="dxa"/>
            <w:noWrap/>
            <w:hideMark/>
          </w:tcPr>
          <w:p w14:paraId="3AB1F65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James Primary School</w:t>
            </w:r>
          </w:p>
        </w:tc>
        <w:tc>
          <w:tcPr>
            <w:tcW w:w="709" w:type="dxa"/>
            <w:noWrap/>
            <w:hideMark/>
          </w:tcPr>
          <w:p w14:paraId="584464B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2D9672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7957EBE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D01225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Carr's Drive</w:t>
            </w:r>
          </w:p>
        </w:tc>
        <w:tc>
          <w:tcPr>
            <w:tcW w:w="1134" w:type="dxa"/>
            <w:noWrap/>
            <w:hideMark/>
          </w:tcPr>
          <w:p w14:paraId="6F8ED9A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56403C5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9.4</w:t>
            </w:r>
          </w:p>
        </w:tc>
        <w:tc>
          <w:tcPr>
            <w:tcW w:w="1134" w:type="dxa"/>
            <w:noWrap/>
            <w:hideMark/>
          </w:tcPr>
          <w:p w14:paraId="7957FF0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FDF30B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05DBF4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c>
          <w:tcPr>
            <w:tcW w:w="1417" w:type="dxa"/>
            <w:noWrap/>
            <w:hideMark/>
          </w:tcPr>
          <w:p w14:paraId="577F702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DA39368" w14:textId="77777777" w:rsidTr="001367E0">
        <w:tblPrEx>
          <w:tblCellMar>
            <w:left w:w="108" w:type="dxa"/>
            <w:right w:w="108" w:type="dxa"/>
          </w:tblCellMar>
        </w:tblPrEx>
        <w:trPr>
          <w:trHeight w:val="465"/>
        </w:trPr>
        <w:tc>
          <w:tcPr>
            <w:tcW w:w="737" w:type="dxa"/>
            <w:noWrap/>
            <w:hideMark/>
          </w:tcPr>
          <w:p w14:paraId="2216A83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1665</w:t>
            </w:r>
          </w:p>
        </w:tc>
        <w:tc>
          <w:tcPr>
            <w:tcW w:w="1559" w:type="dxa"/>
            <w:noWrap/>
            <w:hideMark/>
          </w:tcPr>
          <w:p w14:paraId="5A3EEE6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James' Primary School</w:t>
            </w:r>
          </w:p>
        </w:tc>
        <w:tc>
          <w:tcPr>
            <w:tcW w:w="709" w:type="dxa"/>
            <w:noWrap/>
            <w:hideMark/>
          </w:tcPr>
          <w:p w14:paraId="3B4D1C1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83B986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152F03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5D6B31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 Woolley St</w:t>
            </w:r>
          </w:p>
        </w:tc>
        <w:tc>
          <w:tcPr>
            <w:tcW w:w="1134" w:type="dxa"/>
            <w:noWrap/>
            <w:hideMark/>
          </w:tcPr>
          <w:p w14:paraId="38A25BC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47A74E3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12.2</w:t>
            </w:r>
          </w:p>
        </w:tc>
        <w:tc>
          <w:tcPr>
            <w:tcW w:w="1134" w:type="dxa"/>
            <w:noWrap/>
            <w:hideMark/>
          </w:tcPr>
          <w:p w14:paraId="786F550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33.3</w:t>
            </w:r>
          </w:p>
        </w:tc>
        <w:tc>
          <w:tcPr>
            <w:tcW w:w="1134" w:type="dxa"/>
            <w:noWrap/>
            <w:hideMark/>
          </w:tcPr>
          <w:p w14:paraId="621F27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03CEC8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w:t>
            </w:r>
          </w:p>
        </w:tc>
        <w:tc>
          <w:tcPr>
            <w:tcW w:w="1417" w:type="dxa"/>
            <w:noWrap/>
            <w:hideMark/>
          </w:tcPr>
          <w:p w14:paraId="1C4A68C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5D52E12F" w14:textId="77777777" w:rsidTr="001367E0">
        <w:tblPrEx>
          <w:tblCellMar>
            <w:left w:w="108" w:type="dxa"/>
            <w:right w:w="108" w:type="dxa"/>
          </w:tblCellMar>
        </w:tblPrEx>
        <w:trPr>
          <w:trHeight w:val="465"/>
        </w:trPr>
        <w:tc>
          <w:tcPr>
            <w:tcW w:w="737" w:type="dxa"/>
            <w:noWrap/>
            <w:hideMark/>
          </w:tcPr>
          <w:p w14:paraId="375ADE3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1668</w:t>
            </w:r>
          </w:p>
        </w:tc>
        <w:tc>
          <w:tcPr>
            <w:tcW w:w="1559" w:type="dxa"/>
            <w:noWrap/>
            <w:hideMark/>
          </w:tcPr>
          <w:p w14:paraId="340AB65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Jerome's Primary School</w:t>
            </w:r>
          </w:p>
        </w:tc>
        <w:tc>
          <w:tcPr>
            <w:tcW w:w="709" w:type="dxa"/>
            <w:noWrap/>
            <w:hideMark/>
          </w:tcPr>
          <w:p w14:paraId="1A0339A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8C8493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6AC77C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17BCFC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Rossmore Ave</w:t>
            </w:r>
          </w:p>
        </w:tc>
        <w:tc>
          <w:tcPr>
            <w:tcW w:w="1134" w:type="dxa"/>
            <w:noWrap/>
            <w:hideMark/>
          </w:tcPr>
          <w:p w14:paraId="25DDFD6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504E12A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10.6</w:t>
            </w:r>
          </w:p>
        </w:tc>
        <w:tc>
          <w:tcPr>
            <w:tcW w:w="1134" w:type="dxa"/>
            <w:noWrap/>
            <w:hideMark/>
          </w:tcPr>
          <w:p w14:paraId="5E2F900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1B4345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9485CA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w:t>
            </w:r>
          </w:p>
        </w:tc>
        <w:tc>
          <w:tcPr>
            <w:tcW w:w="1417" w:type="dxa"/>
            <w:noWrap/>
            <w:hideMark/>
          </w:tcPr>
          <w:p w14:paraId="48180A6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7F646633" w14:textId="77777777" w:rsidTr="001367E0">
        <w:tblPrEx>
          <w:tblCellMar>
            <w:left w:w="108" w:type="dxa"/>
            <w:right w:w="108" w:type="dxa"/>
          </w:tblCellMar>
        </w:tblPrEx>
        <w:trPr>
          <w:trHeight w:val="465"/>
        </w:trPr>
        <w:tc>
          <w:tcPr>
            <w:tcW w:w="737" w:type="dxa"/>
            <w:noWrap/>
            <w:hideMark/>
          </w:tcPr>
          <w:p w14:paraId="4F95BFE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1669</w:t>
            </w:r>
          </w:p>
        </w:tc>
        <w:tc>
          <w:tcPr>
            <w:tcW w:w="1559" w:type="dxa"/>
            <w:noWrap/>
            <w:hideMark/>
          </w:tcPr>
          <w:p w14:paraId="3EEF2BF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Joachim's Primary School</w:t>
            </w:r>
          </w:p>
        </w:tc>
        <w:tc>
          <w:tcPr>
            <w:tcW w:w="709" w:type="dxa"/>
            <w:noWrap/>
            <w:hideMark/>
          </w:tcPr>
          <w:p w14:paraId="7875E3D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DB3864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B33285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49F3D3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7 Mary Street</w:t>
            </w:r>
          </w:p>
        </w:tc>
        <w:tc>
          <w:tcPr>
            <w:tcW w:w="1134" w:type="dxa"/>
            <w:noWrap/>
            <w:hideMark/>
          </w:tcPr>
          <w:p w14:paraId="6BFC35E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45ABDCD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10.3</w:t>
            </w:r>
          </w:p>
        </w:tc>
        <w:tc>
          <w:tcPr>
            <w:tcW w:w="1134" w:type="dxa"/>
            <w:noWrap/>
            <w:hideMark/>
          </w:tcPr>
          <w:p w14:paraId="6D4417B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684ED21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2DEE44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w:t>
            </w:r>
          </w:p>
        </w:tc>
        <w:tc>
          <w:tcPr>
            <w:tcW w:w="1417" w:type="dxa"/>
            <w:noWrap/>
            <w:hideMark/>
          </w:tcPr>
          <w:p w14:paraId="2BE8071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52651D5C" w14:textId="77777777" w:rsidTr="001367E0">
        <w:tblPrEx>
          <w:tblCellMar>
            <w:left w:w="108" w:type="dxa"/>
            <w:right w:w="108" w:type="dxa"/>
          </w:tblCellMar>
        </w:tblPrEx>
        <w:trPr>
          <w:trHeight w:val="465"/>
        </w:trPr>
        <w:tc>
          <w:tcPr>
            <w:tcW w:w="737" w:type="dxa"/>
            <w:noWrap/>
            <w:hideMark/>
          </w:tcPr>
          <w:p w14:paraId="49B1ADD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1671</w:t>
            </w:r>
          </w:p>
        </w:tc>
        <w:tc>
          <w:tcPr>
            <w:tcW w:w="1559" w:type="dxa"/>
            <w:noWrap/>
            <w:hideMark/>
          </w:tcPr>
          <w:p w14:paraId="4067AA0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John Bosco Primary School</w:t>
            </w:r>
          </w:p>
        </w:tc>
        <w:tc>
          <w:tcPr>
            <w:tcW w:w="709" w:type="dxa"/>
            <w:noWrap/>
            <w:hideMark/>
          </w:tcPr>
          <w:p w14:paraId="63F20DC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808741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5759C76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A42C33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Banksia Avenue</w:t>
            </w:r>
          </w:p>
        </w:tc>
        <w:tc>
          <w:tcPr>
            <w:tcW w:w="1134" w:type="dxa"/>
            <w:noWrap/>
            <w:hideMark/>
          </w:tcPr>
          <w:p w14:paraId="5E47A27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7D30A3B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7.8</w:t>
            </w:r>
          </w:p>
        </w:tc>
        <w:tc>
          <w:tcPr>
            <w:tcW w:w="1134" w:type="dxa"/>
            <w:noWrap/>
            <w:hideMark/>
          </w:tcPr>
          <w:p w14:paraId="4E069B2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25.0</w:t>
            </w:r>
          </w:p>
        </w:tc>
        <w:tc>
          <w:tcPr>
            <w:tcW w:w="1134" w:type="dxa"/>
            <w:noWrap/>
            <w:hideMark/>
          </w:tcPr>
          <w:p w14:paraId="6E7BB71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B2B812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34</w:t>
            </w:r>
          </w:p>
        </w:tc>
        <w:tc>
          <w:tcPr>
            <w:tcW w:w="1417" w:type="dxa"/>
            <w:noWrap/>
            <w:hideMark/>
          </w:tcPr>
          <w:p w14:paraId="6F05F3C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09DE974C" w14:textId="77777777" w:rsidTr="001367E0">
        <w:tblPrEx>
          <w:tblCellMar>
            <w:left w:w="108" w:type="dxa"/>
            <w:right w:w="108" w:type="dxa"/>
          </w:tblCellMar>
        </w:tblPrEx>
        <w:trPr>
          <w:trHeight w:val="465"/>
        </w:trPr>
        <w:tc>
          <w:tcPr>
            <w:tcW w:w="737" w:type="dxa"/>
            <w:noWrap/>
            <w:hideMark/>
          </w:tcPr>
          <w:p w14:paraId="0C2441F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8790</w:t>
            </w:r>
          </w:p>
        </w:tc>
        <w:tc>
          <w:tcPr>
            <w:tcW w:w="1559" w:type="dxa"/>
            <w:noWrap/>
            <w:hideMark/>
          </w:tcPr>
          <w:p w14:paraId="6604728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John Fisher Catholic School</w:t>
            </w:r>
          </w:p>
        </w:tc>
        <w:tc>
          <w:tcPr>
            <w:tcW w:w="709" w:type="dxa"/>
            <w:noWrap/>
            <w:hideMark/>
          </w:tcPr>
          <w:p w14:paraId="53A9B8C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1224BB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BBF5F6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7BBEDE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Hicks Lane</w:t>
            </w:r>
          </w:p>
        </w:tc>
        <w:tc>
          <w:tcPr>
            <w:tcW w:w="1134" w:type="dxa"/>
            <w:noWrap/>
            <w:hideMark/>
          </w:tcPr>
          <w:p w14:paraId="0FA2779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66D25F9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9.8</w:t>
            </w:r>
          </w:p>
        </w:tc>
        <w:tc>
          <w:tcPr>
            <w:tcW w:w="1134" w:type="dxa"/>
            <w:noWrap/>
            <w:hideMark/>
          </w:tcPr>
          <w:p w14:paraId="2FAA73E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33.3</w:t>
            </w:r>
          </w:p>
        </w:tc>
        <w:tc>
          <w:tcPr>
            <w:tcW w:w="1134" w:type="dxa"/>
            <w:noWrap/>
            <w:hideMark/>
          </w:tcPr>
          <w:p w14:paraId="392E5B4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26FDF1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w:t>
            </w:r>
          </w:p>
        </w:tc>
        <w:tc>
          <w:tcPr>
            <w:tcW w:w="1417" w:type="dxa"/>
            <w:noWrap/>
            <w:hideMark/>
          </w:tcPr>
          <w:p w14:paraId="58CEA00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4B9B7927" w14:textId="77777777" w:rsidTr="001367E0">
        <w:tblPrEx>
          <w:tblCellMar>
            <w:left w:w="108" w:type="dxa"/>
            <w:right w:w="108" w:type="dxa"/>
          </w:tblCellMar>
        </w:tblPrEx>
        <w:trPr>
          <w:trHeight w:val="465"/>
        </w:trPr>
        <w:tc>
          <w:tcPr>
            <w:tcW w:w="737" w:type="dxa"/>
            <w:noWrap/>
            <w:hideMark/>
          </w:tcPr>
          <w:p w14:paraId="3B5EF52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1692</w:t>
            </w:r>
          </w:p>
        </w:tc>
        <w:tc>
          <w:tcPr>
            <w:tcW w:w="1559" w:type="dxa"/>
            <w:noWrap/>
            <w:hideMark/>
          </w:tcPr>
          <w:p w14:paraId="44EFE25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John the Baptist Catholic School</w:t>
            </w:r>
          </w:p>
        </w:tc>
        <w:tc>
          <w:tcPr>
            <w:tcW w:w="709" w:type="dxa"/>
            <w:noWrap/>
            <w:hideMark/>
          </w:tcPr>
          <w:p w14:paraId="41CBD3A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383FE5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39C14AC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75EF28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21a Dulkara Road</w:t>
            </w:r>
          </w:p>
        </w:tc>
        <w:tc>
          <w:tcPr>
            <w:tcW w:w="1134" w:type="dxa"/>
            <w:noWrap/>
            <w:hideMark/>
          </w:tcPr>
          <w:p w14:paraId="208B52B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1BF1850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8.8</w:t>
            </w:r>
          </w:p>
        </w:tc>
        <w:tc>
          <w:tcPr>
            <w:tcW w:w="1134" w:type="dxa"/>
            <w:noWrap/>
            <w:hideMark/>
          </w:tcPr>
          <w:p w14:paraId="1B8A61F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26DD58E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20.0</w:t>
            </w:r>
          </w:p>
        </w:tc>
        <w:tc>
          <w:tcPr>
            <w:tcW w:w="1276" w:type="dxa"/>
            <w:noWrap/>
            <w:hideMark/>
          </w:tcPr>
          <w:p w14:paraId="14A8B91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w:t>
            </w:r>
          </w:p>
        </w:tc>
        <w:tc>
          <w:tcPr>
            <w:tcW w:w="1417" w:type="dxa"/>
            <w:noWrap/>
            <w:hideMark/>
          </w:tcPr>
          <w:p w14:paraId="27D2588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246C690" w14:textId="77777777" w:rsidTr="001367E0">
        <w:tblPrEx>
          <w:tblCellMar>
            <w:left w:w="108" w:type="dxa"/>
            <w:right w:w="108" w:type="dxa"/>
          </w:tblCellMar>
        </w:tblPrEx>
        <w:trPr>
          <w:trHeight w:val="465"/>
        </w:trPr>
        <w:tc>
          <w:tcPr>
            <w:tcW w:w="737" w:type="dxa"/>
            <w:noWrap/>
            <w:hideMark/>
          </w:tcPr>
          <w:p w14:paraId="2683B0E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1694</w:t>
            </w:r>
          </w:p>
        </w:tc>
        <w:tc>
          <w:tcPr>
            <w:tcW w:w="1559" w:type="dxa"/>
            <w:noWrap/>
            <w:hideMark/>
          </w:tcPr>
          <w:p w14:paraId="2526385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John Vianney's Primary School</w:t>
            </w:r>
          </w:p>
        </w:tc>
        <w:tc>
          <w:tcPr>
            <w:tcW w:w="709" w:type="dxa"/>
            <w:noWrap/>
            <w:hideMark/>
          </w:tcPr>
          <w:p w14:paraId="464BC10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338696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630820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DF9898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Pandora Street</w:t>
            </w:r>
          </w:p>
        </w:tc>
        <w:tc>
          <w:tcPr>
            <w:tcW w:w="1134" w:type="dxa"/>
            <w:noWrap/>
            <w:hideMark/>
          </w:tcPr>
          <w:p w14:paraId="391D0BD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2A5BA86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9.2</w:t>
            </w:r>
          </w:p>
        </w:tc>
        <w:tc>
          <w:tcPr>
            <w:tcW w:w="1134" w:type="dxa"/>
            <w:noWrap/>
            <w:hideMark/>
          </w:tcPr>
          <w:p w14:paraId="1958FA0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57B7F6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DD3957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w:t>
            </w:r>
          </w:p>
        </w:tc>
        <w:tc>
          <w:tcPr>
            <w:tcW w:w="1417" w:type="dxa"/>
            <w:noWrap/>
            <w:hideMark/>
          </w:tcPr>
          <w:p w14:paraId="6919EA8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064805A0" w14:textId="77777777" w:rsidTr="001367E0">
        <w:tblPrEx>
          <w:tblCellMar>
            <w:left w:w="108" w:type="dxa"/>
            <w:right w:w="108" w:type="dxa"/>
          </w:tblCellMar>
        </w:tblPrEx>
        <w:trPr>
          <w:trHeight w:val="465"/>
        </w:trPr>
        <w:tc>
          <w:tcPr>
            <w:tcW w:w="737" w:type="dxa"/>
            <w:noWrap/>
            <w:hideMark/>
          </w:tcPr>
          <w:p w14:paraId="103C386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1688</w:t>
            </w:r>
          </w:p>
        </w:tc>
        <w:tc>
          <w:tcPr>
            <w:tcW w:w="1559" w:type="dxa"/>
            <w:noWrap/>
            <w:hideMark/>
          </w:tcPr>
          <w:p w14:paraId="714CF38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John's Catholic School</w:t>
            </w:r>
          </w:p>
        </w:tc>
        <w:tc>
          <w:tcPr>
            <w:tcW w:w="709" w:type="dxa"/>
            <w:noWrap/>
            <w:hideMark/>
          </w:tcPr>
          <w:p w14:paraId="302764A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24D0FA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15DF08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BE13EB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166 Alfred Street</w:t>
            </w:r>
          </w:p>
        </w:tc>
        <w:tc>
          <w:tcPr>
            <w:tcW w:w="1134" w:type="dxa"/>
            <w:noWrap/>
            <w:hideMark/>
          </w:tcPr>
          <w:p w14:paraId="6B30AE6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459E914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9.1</w:t>
            </w:r>
          </w:p>
        </w:tc>
        <w:tc>
          <w:tcPr>
            <w:tcW w:w="1134" w:type="dxa"/>
            <w:noWrap/>
            <w:hideMark/>
          </w:tcPr>
          <w:p w14:paraId="6F38737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3B25CD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C9FADC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w:t>
            </w:r>
          </w:p>
        </w:tc>
        <w:tc>
          <w:tcPr>
            <w:tcW w:w="1417" w:type="dxa"/>
            <w:noWrap/>
            <w:hideMark/>
          </w:tcPr>
          <w:p w14:paraId="24DB25D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08720D8B" w14:textId="77777777" w:rsidTr="001367E0">
        <w:tblPrEx>
          <w:tblCellMar>
            <w:left w:w="108" w:type="dxa"/>
            <w:right w:w="108" w:type="dxa"/>
          </w:tblCellMar>
        </w:tblPrEx>
        <w:trPr>
          <w:trHeight w:val="465"/>
        </w:trPr>
        <w:tc>
          <w:tcPr>
            <w:tcW w:w="737" w:type="dxa"/>
            <w:noWrap/>
            <w:hideMark/>
          </w:tcPr>
          <w:p w14:paraId="140C6E0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1677</w:t>
            </w:r>
          </w:p>
        </w:tc>
        <w:tc>
          <w:tcPr>
            <w:tcW w:w="1559" w:type="dxa"/>
            <w:noWrap/>
            <w:hideMark/>
          </w:tcPr>
          <w:p w14:paraId="3BE6683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John's Primary School</w:t>
            </w:r>
          </w:p>
        </w:tc>
        <w:tc>
          <w:tcPr>
            <w:tcW w:w="709" w:type="dxa"/>
            <w:noWrap/>
            <w:hideMark/>
          </w:tcPr>
          <w:p w14:paraId="11383BF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560C7C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5CDDB3E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04A7F4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77 Queen Street</w:t>
            </w:r>
          </w:p>
        </w:tc>
        <w:tc>
          <w:tcPr>
            <w:tcW w:w="1134" w:type="dxa"/>
            <w:noWrap/>
            <w:hideMark/>
          </w:tcPr>
          <w:p w14:paraId="0500A32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047FCE0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27.9</w:t>
            </w:r>
          </w:p>
        </w:tc>
        <w:tc>
          <w:tcPr>
            <w:tcW w:w="1134" w:type="dxa"/>
            <w:noWrap/>
            <w:hideMark/>
          </w:tcPr>
          <w:p w14:paraId="360FF1F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1CC210C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C0B8FA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38</w:t>
            </w:r>
          </w:p>
        </w:tc>
        <w:tc>
          <w:tcPr>
            <w:tcW w:w="1417" w:type="dxa"/>
            <w:noWrap/>
            <w:hideMark/>
          </w:tcPr>
          <w:p w14:paraId="42927A7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069646CE" w14:textId="77777777" w:rsidTr="001367E0">
        <w:tblPrEx>
          <w:tblCellMar>
            <w:left w:w="108" w:type="dxa"/>
            <w:right w:w="108" w:type="dxa"/>
          </w:tblCellMar>
        </w:tblPrEx>
        <w:trPr>
          <w:trHeight w:val="465"/>
        </w:trPr>
        <w:tc>
          <w:tcPr>
            <w:tcW w:w="737" w:type="dxa"/>
            <w:noWrap/>
            <w:hideMark/>
          </w:tcPr>
          <w:p w14:paraId="1A7E31D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1679</w:t>
            </w:r>
          </w:p>
        </w:tc>
        <w:tc>
          <w:tcPr>
            <w:tcW w:w="1559" w:type="dxa"/>
            <w:noWrap/>
            <w:hideMark/>
          </w:tcPr>
          <w:p w14:paraId="764ABC4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John's Primary School</w:t>
            </w:r>
          </w:p>
        </w:tc>
        <w:tc>
          <w:tcPr>
            <w:tcW w:w="709" w:type="dxa"/>
            <w:noWrap/>
            <w:hideMark/>
          </w:tcPr>
          <w:p w14:paraId="2C24D77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C6ABF9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134" w:type="dxa"/>
            <w:noWrap/>
            <w:hideMark/>
          </w:tcPr>
          <w:p w14:paraId="4644785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BC8965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Jerematta and Werowi Sts</w:t>
            </w:r>
          </w:p>
        </w:tc>
        <w:tc>
          <w:tcPr>
            <w:tcW w:w="1134" w:type="dxa"/>
            <w:noWrap/>
            <w:hideMark/>
          </w:tcPr>
          <w:p w14:paraId="693B619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261ABDB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11.3</w:t>
            </w:r>
          </w:p>
        </w:tc>
        <w:tc>
          <w:tcPr>
            <w:tcW w:w="1134" w:type="dxa"/>
            <w:noWrap/>
            <w:hideMark/>
          </w:tcPr>
          <w:p w14:paraId="6AEDA8C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A704E6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17BBDB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33</w:t>
            </w:r>
          </w:p>
        </w:tc>
        <w:tc>
          <w:tcPr>
            <w:tcW w:w="1417" w:type="dxa"/>
            <w:noWrap/>
            <w:hideMark/>
          </w:tcPr>
          <w:p w14:paraId="032A3DE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A7BD135" w14:textId="77777777" w:rsidTr="001367E0">
        <w:tblPrEx>
          <w:tblCellMar>
            <w:left w:w="108" w:type="dxa"/>
            <w:right w:w="108" w:type="dxa"/>
          </w:tblCellMar>
        </w:tblPrEx>
        <w:trPr>
          <w:trHeight w:val="465"/>
        </w:trPr>
        <w:tc>
          <w:tcPr>
            <w:tcW w:w="737" w:type="dxa"/>
            <w:noWrap/>
            <w:hideMark/>
          </w:tcPr>
          <w:p w14:paraId="4E26F11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1682</w:t>
            </w:r>
          </w:p>
        </w:tc>
        <w:tc>
          <w:tcPr>
            <w:tcW w:w="1559" w:type="dxa"/>
            <w:noWrap/>
            <w:hideMark/>
          </w:tcPr>
          <w:p w14:paraId="46FAC20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John's Primary School</w:t>
            </w:r>
          </w:p>
        </w:tc>
        <w:tc>
          <w:tcPr>
            <w:tcW w:w="709" w:type="dxa"/>
            <w:noWrap/>
            <w:hideMark/>
          </w:tcPr>
          <w:p w14:paraId="1CF3929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74C70B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3.1</w:t>
            </w:r>
          </w:p>
        </w:tc>
        <w:tc>
          <w:tcPr>
            <w:tcW w:w="1134" w:type="dxa"/>
            <w:noWrap/>
            <w:hideMark/>
          </w:tcPr>
          <w:p w14:paraId="5A8D1AF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2501A3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Queen St</w:t>
            </w:r>
          </w:p>
        </w:tc>
        <w:tc>
          <w:tcPr>
            <w:tcW w:w="1134" w:type="dxa"/>
            <w:noWrap/>
            <w:hideMark/>
          </w:tcPr>
          <w:p w14:paraId="060AC1C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65B94E5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25.0</w:t>
            </w:r>
          </w:p>
        </w:tc>
        <w:tc>
          <w:tcPr>
            <w:tcW w:w="1134" w:type="dxa"/>
            <w:noWrap/>
            <w:hideMark/>
          </w:tcPr>
          <w:p w14:paraId="10FFC91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FD2042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6F6C1C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w:t>
            </w:r>
          </w:p>
        </w:tc>
        <w:tc>
          <w:tcPr>
            <w:tcW w:w="1417" w:type="dxa"/>
            <w:noWrap/>
            <w:hideMark/>
          </w:tcPr>
          <w:p w14:paraId="7374FF8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0879C3E3" w14:textId="77777777" w:rsidTr="001367E0">
        <w:tblPrEx>
          <w:tblCellMar>
            <w:left w:w="108" w:type="dxa"/>
            <w:right w:w="108" w:type="dxa"/>
          </w:tblCellMar>
        </w:tblPrEx>
        <w:trPr>
          <w:trHeight w:val="465"/>
        </w:trPr>
        <w:tc>
          <w:tcPr>
            <w:tcW w:w="737" w:type="dxa"/>
            <w:noWrap/>
            <w:hideMark/>
          </w:tcPr>
          <w:p w14:paraId="2B15BF2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1684</w:t>
            </w:r>
          </w:p>
        </w:tc>
        <w:tc>
          <w:tcPr>
            <w:tcW w:w="1559" w:type="dxa"/>
            <w:noWrap/>
            <w:hideMark/>
          </w:tcPr>
          <w:p w14:paraId="7C52763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John's Primary School</w:t>
            </w:r>
          </w:p>
        </w:tc>
        <w:tc>
          <w:tcPr>
            <w:tcW w:w="709" w:type="dxa"/>
            <w:noWrap/>
            <w:hideMark/>
          </w:tcPr>
          <w:p w14:paraId="028EB17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73A073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3.1</w:t>
            </w:r>
          </w:p>
        </w:tc>
        <w:tc>
          <w:tcPr>
            <w:tcW w:w="1134" w:type="dxa"/>
            <w:noWrap/>
            <w:hideMark/>
          </w:tcPr>
          <w:p w14:paraId="483336D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FCC155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Prince St</w:t>
            </w:r>
          </w:p>
        </w:tc>
        <w:tc>
          <w:tcPr>
            <w:tcW w:w="1134" w:type="dxa"/>
            <w:noWrap/>
            <w:hideMark/>
          </w:tcPr>
          <w:p w14:paraId="035AD99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4F5B020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28.6</w:t>
            </w:r>
          </w:p>
        </w:tc>
        <w:tc>
          <w:tcPr>
            <w:tcW w:w="1134" w:type="dxa"/>
            <w:noWrap/>
            <w:hideMark/>
          </w:tcPr>
          <w:p w14:paraId="71697D8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33.3</w:t>
            </w:r>
          </w:p>
        </w:tc>
        <w:tc>
          <w:tcPr>
            <w:tcW w:w="1134" w:type="dxa"/>
            <w:noWrap/>
            <w:hideMark/>
          </w:tcPr>
          <w:p w14:paraId="7701FD6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2637CB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24</w:t>
            </w:r>
          </w:p>
        </w:tc>
        <w:tc>
          <w:tcPr>
            <w:tcW w:w="1417" w:type="dxa"/>
            <w:noWrap/>
            <w:hideMark/>
          </w:tcPr>
          <w:p w14:paraId="5DB51F2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37A12362" w14:textId="77777777" w:rsidTr="001367E0">
        <w:tblPrEx>
          <w:tblCellMar>
            <w:left w:w="108" w:type="dxa"/>
            <w:right w:w="108" w:type="dxa"/>
          </w:tblCellMar>
        </w:tblPrEx>
        <w:trPr>
          <w:trHeight w:val="465"/>
        </w:trPr>
        <w:tc>
          <w:tcPr>
            <w:tcW w:w="737" w:type="dxa"/>
            <w:noWrap/>
            <w:hideMark/>
          </w:tcPr>
          <w:p w14:paraId="425C9A5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1802</w:t>
            </w:r>
          </w:p>
        </w:tc>
        <w:tc>
          <w:tcPr>
            <w:tcW w:w="1559" w:type="dxa"/>
            <w:noWrap/>
            <w:hideMark/>
          </w:tcPr>
          <w:p w14:paraId="7599719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 the Worker Primary School</w:t>
            </w:r>
          </w:p>
        </w:tc>
        <w:tc>
          <w:tcPr>
            <w:tcW w:w="709" w:type="dxa"/>
            <w:noWrap/>
            <w:hideMark/>
          </w:tcPr>
          <w:p w14:paraId="1AA6947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39AED3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98AB86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9D169C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 New Street</w:t>
            </w:r>
          </w:p>
        </w:tc>
        <w:tc>
          <w:tcPr>
            <w:tcW w:w="1134" w:type="dxa"/>
            <w:noWrap/>
            <w:hideMark/>
          </w:tcPr>
          <w:p w14:paraId="41D4357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0513C9D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20.4</w:t>
            </w:r>
          </w:p>
        </w:tc>
        <w:tc>
          <w:tcPr>
            <w:tcW w:w="1134" w:type="dxa"/>
            <w:noWrap/>
            <w:hideMark/>
          </w:tcPr>
          <w:p w14:paraId="6333B62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1E060C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7ED34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w:t>
            </w:r>
          </w:p>
        </w:tc>
        <w:tc>
          <w:tcPr>
            <w:tcW w:w="1417" w:type="dxa"/>
            <w:noWrap/>
            <w:hideMark/>
          </w:tcPr>
          <w:p w14:paraId="52057D3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3180015" w14:textId="77777777" w:rsidTr="001367E0">
        <w:tblPrEx>
          <w:tblCellMar>
            <w:left w:w="108" w:type="dxa"/>
            <w:right w:w="108" w:type="dxa"/>
          </w:tblCellMar>
        </w:tblPrEx>
        <w:trPr>
          <w:trHeight w:val="465"/>
        </w:trPr>
        <w:tc>
          <w:tcPr>
            <w:tcW w:w="737" w:type="dxa"/>
            <w:noWrap/>
            <w:hideMark/>
          </w:tcPr>
          <w:p w14:paraId="3BD74B3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13440</w:t>
            </w:r>
          </w:p>
        </w:tc>
        <w:tc>
          <w:tcPr>
            <w:tcW w:w="1559" w:type="dxa"/>
            <w:noWrap/>
            <w:hideMark/>
          </w:tcPr>
          <w:p w14:paraId="4D6DEE1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College</w:t>
            </w:r>
          </w:p>
        </w:tc>
        <w:tc>
          <w:tcPr>
            <w:tcW w:w="709" w:type="dxa"/>
            <w:noWrap/>
            <w:hideMark/>
          </w:tcPr>
          <w:p w14:paraId="0D5422D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FC9E30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134" w:type="dxa"/>
            <w:noWrap/>
            <w:hideMark/>
          </w:tcPr>
          <w:p w14:paraId="2F16871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0E493C3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Doyle Drive</w:t>
            </w:r>
          </w:p>
        </w:tc>
        <w:tc>
          <w:tcPr>
            <w:tcW w:w="1134" w:type="dxa"/>
            <w:noWrap/>
            <w:hideMark/>
          </w:tcPr>
          <w:p w14:paraId="2A98196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2813047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17.2</w:t>
            </w:r>
          </w:p>
        </w:tc>
        <w:tc>
          <w:tcPr>
            <w:tcW w:w="1134" w:type="dxa"/>
            <w:noWrap/>
            <w:hideMark/>
          </w:tcPr>
          <w:p w14:paraId="7CA0369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41.4</w:t>
            </w:r>
          </w:p>
        </w:tc>
        <w:tc>
          <w:tcPr>
            <w:tcW w:w="1134" w:type="dxa"/>
            <w:noWrap/>
            <w:hideMark/>
          </w:tcPr>
          <w:p w14:paraId="295ABFA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6.3</w:t>
            </w:r>
          </w:p>
        </w:tc>
        <w:tc>
          <w:tcPr>
            <w:tcW w:w="1276" w:type="dxa"/>
            <w:noWrap/>
            <w:hideMark/>
          </w:tcPr>
          <w:p w14:paraId="1978500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87</w:t>
            </w:r>
          </w:p>
        </w:tc>
        <w:tc>
          <w:tcPr>
            <w:tcW w:w="1417" w:type="dxa"/>
            <w:noWrap/>
            <w:hideMark/>
          </w:tcPr>
          <w:p w14:paraId="37A3D46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r>
      <w:tr w:rsidR="00107BB9" w:rsidRPr="00107BB9" w14:paraId="35F4E637" w14:textId="77777777" w:rsidTr="001367E0">
        <w:tblPrEx>
          <w:tblCellMar>
            <w:left w:w="108" w:type="dxa"/>
            <w:right w:w="108" w:type="dxa"/>
          </w:tblCellMar>
        </w:tblPrEx>
        <w:trPr>
          <w:trHeight w:val="465"/>
        </w:trPr>
        <w:tc>
          <w:tcPr>
            <w:tcW w:w="737" w:type="dxa"/>
            <w:noWrap/>
            <w:hideMark/>
          </w:tcPr>
          <w:p w14:paraId="6AC7F3D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1701</w:t>
            </w:r>
          </w:p>
        </w:tc>
        <w:tc>
          <w:tcPr>
            <w:tcW w:w="1559" w:type="dxa"/>
            <w:noWrap/>
            <w:hideMark/>
          </w:tcPr>
          <w:p w14:paraId="13E2E45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025D9D1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C61496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1B492B5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1117BC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Palace Street</w:t>
            </w:r>
          </w:p>
        </w:tc>
        <w:tc>
          <w:tcPr>
            <w:tcW w:w="1134" w:type="dxa"/>
            <w:noWrap/>
            <w:hideMark/>
          </w:tcPr>
          <w:p w14:paraId="76C772B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5C87B68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7.1</w:t>
            </w:r>
          </w:p>
        </w:tc>
        <w:tc>
          <w:tcPr>
            <w:tcW w:w="1134" w:type="dxa"/>
            <w:noWrap/>
            <w:hideMark/>
          </w:tcPr>
          <w:p w14:paraId="5D717AB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57D57A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498A31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c>
          <w:tcPr>
            <w:tcW w:w="1417" w:type="dxa"/>
            <w:noWrap/>
            <w:hideMark/>
          </w:tcPr>
          <w:p w14:paraId="3EB4B79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E2D82A5" w14:textId="77777777" w:rsidTr="001367E0">
        <w:tblPrEx>
          <w:tblCellMar>
            <w:left w:w="108" w:type="dxa"/>
            <w:right w:w="108" w:type="dxa"/>
          </w:tblCellMar>
        </w:tblPrEx>
        <w:trPr>
          <w:trHeight w:val="465"/>
        </w:trPr>
        <w:tc>
          <w:tcPr>
            <w:tcW w:w="737" w:type="dxa"/>
            <w:noWrap/>
            <w:hideMark/>
          </w:tcPr>
          <w:p w14:paraId="0F30A03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1700</w:t>
            </w:r>
          </w:p>
        </w:tc>
        <w:tc>
          <w:tcPr>
            <w:tcW w:w="1559" w:type="dxa"/>
            <w:noWrap/>
            <w:hideMark/>
          </w:tcPr>
          <w:p w14:paraId="577EA4A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307FC2F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067097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7BE4147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7F2166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Greville Street</w:t>
            </w:r>
          </w:p>
        </w:tc>
        <w:tc>
          <w:tcPr>
            <w:tcW w:w="1134" w:type="dxa"/>
            <w:noWrap/>
            <w:hideMark/>
          </w:tcPr>
          <w:p w14:paraId="1D538E3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2984CC5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11.0</w:t>
            </w:r>
          </w:p>
        </w:tc>
        <w:tc>
          <w:tcPr>
            <w:tcW w:w="1134" w:type="dxa"/>
            <w:noWrap/>
            <w:hideMark/>
          </w:tcPr>
          <w:p w14:paraId="66A0346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2B07CEA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58FB81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417" w:type="dxa"/>
            <w:noWrap/>
            <w:hideMark/>
          </w:tcPr>
          <w:p w14:paraId="5595C82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1A7DF7C1" w14:textId="77777777" w:rsidTr="001367E0">
        <w:tblPrEx>
          <w:tblCellMar>
            <w:left w:w="108" w:type="dxa"/>
            <w:right w:w="108" w:type="dxa"/>
          </w:tblCellMar>
        </w:tblPrEx>
        <w:trPr>
          <w:trHeight w:val="465"/>
        </w:trPr>
        <w:tc>
          <w:tcPr>
            <w:tcW w:w="737" w:type="dxa"/>
            <w:noWrap/>
            <w:hideMark/>
          </w:tcPr>
          <w:p w14:paraId="62F9F06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1702</w:t>
            </w:r>
          </w:p>
        </w:tc>
        <w:tc>
          <w:tcPr>
            <w:tcW w:w="1559" w:type="dxa"/>
            <w:noWrap/>
            <w:hideMark/>
          </w:tcPr>
          <w:p w14:paraId="298847A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6C31C04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BA9A81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46A1C3B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6DECD2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Kemp Street</w:t>
            </w:r>
          </w:p>
        </w:tc>
        <w:tc>
          <w:tcPr>
            <w:tcW w:w="1134" w:type="dxa"/>
            <w:noWrap/>
            <w:hideMark/>
          </w:tcPr>
          <w:p w14:paraId="6C7214E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6F99E9A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24.2</w:t>
            </w:r>
          </w:p>
        </w:tc>
        <w:tc>
          <w:tcPr>
            <w:tcW w:w="1134" w:type="dxa"/>
            <w:noWrap/>
            <w:hideMark/>
          </w:tcPr>
          <w:p w14:paraId="7EA52A1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15.4</w:t>
            </w:r>
          </w:p>
        </w:tc>
        <w:tc>
          <w:tcPr>
            <w:tcW w:w="1134" w:type="dxa"/>
            <w:noWrap/>
            <w:hideMark/>
          </w:tcPr>
          <w:p w14:paraId="214CBBC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13.3</w:t>
            </w:r>
          </w:p>
        </w:tc>
        <w:tc>
          <w:tcPr>
            <w:tcW w:w="1276" w:type="dxa"/>
            <w:noWrap/>
            <w:hideMark/>
          </w:tcPr>
          <w:p w14:paraId="17CB974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61</w:t>
            </w:r>
          </w:p>
        </w:tc>
        <w:tc>
          <w:tcPr>
            <w:tcW w:w="1417" w:type="dxa"/>
            <w:noWrap/>
            <w:hideMark/>
          </w:tcPr>
          <w:p w14:paraId="7877798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w:t>
            </w:r>
          </w:p>
        </w:tc>
      </w:tr>
      <w:tr w:rsidR="00107BB9" w:rsidRPr="00107BB9" w14:paraId="228CEC00" w14:textId="77777777" w:rsidTr="001367E0">
        <w:tblPrEx>
          <w:tblCellMar>
            <w:left w:w="108" w:type="dxa"/>
            <w:right w:w="108" w:type="dxa"/>
          </w:tblCellMar>
        </w:tblPrEx>
        <w:trPr>
          <w:trHeight w:val="465"/>
        </w:trPr>
        <w:tc>
          <w:tcPr>
            <w:tcW w:w="737" w:type="dxa"/>
            <w:noWrap/>
            <w:hideMark/>
          </w:tcPr>
          <w:p w14:paraId="6D96542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1722</w:t>
            </w:r>
          </w:p>
        </w:tc>
        <w:tc>
          <w:tcPr>
            <w:tcW w:w="1559" w:type="dxa"/>
            <w:noWrap/>
            <w:hideMark/>
          </w:tcPr>
          <w:p w14:paraId="3B26EFA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5FC495D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3B5071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22DEAB3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35C3CD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Pye St</w:t>
            </w:r>
          </w:p>
        </w:tc>
        <w:tc>
          <w:tcPr>
            <w:tcW w:w="1134" w:type="dxa"/>
            <w:noWrap/>
            <w:hideMark/>
          </w:tcPr>
          <w:p w14:paraId="149703B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00761D6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28.6</w:t>
            </w:r>
          </w:p>
        </w:tc>
        <w:tc>
          <w:tcPr>
            <w:tcW w:w="1134" w:type="dxa"/>
            <w:noWrap/>
            <w:hideMark/>
          </w:tcPr>
          <w:p w14:paraId="4E52F2C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F38878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6B3ECB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w:t>
            </w:r>
          </w:p>
        </w:tc>
        <w:tc>
          <w:tcPr>
            <w:tcW w:w="1417" w:type="dxa"/>
            <w:noWrap/>
            <w:hideMark/>
          </w:tcPr>
          <w:p w14:paraId="0F8CAB1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7C21A0F" w14:textId="77777777" w:rsidTr="001367E0">
        <w:tblPrEx>
          <w:tblCellMar>
            <w:left w:w="108" w:type="dxa"/>
            <w:right w:w="108" w:type="dxa"/>
          </w:tblCellMar>
        </w:tblPrEx>
        <w:trPr>
          <w:trHeight w:val="465"/>
        </w:trPr>
        <w:tc>
          <w:tcPr>
            <w:tcW w:w="737" w:type="dxa"/>
            <w:noWrap/>
            <w:hideMark/>
          </w:tcPr>
          <w:p w14:paraId="1346708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1729</w:t>
            </w:r>
          </w:p>
        </w:tc>
        <w:tc>
          <w:tcPr>
            <w:tcW w:w="1559" w:type="dxa"/>
            <w:noWrap/>
            <w:hideMark/>
          </w:tcPr>
          <w:p w14:paraId="1057AB2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0E4EF02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55F1BD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2CBB2E7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3F269A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Williewa Street</w:t>
            </w:r>
          </w:p>
        </w:tc>
        <w:tc>
          <w:tcPr>
            <w:tcW w:w="1134" w:type="dxa"/>
            <w:noWrap/>
            <w:hideMark/>
          </w:tcPr>
          <w:p w14:paraId="25CB8D5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0CF96D5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7.7</w:t>
            </w:r>
          </w:p>
        </w:tc>
        <w:tc>
          <w:tcPr>
            <w:tcW w:w="1134" w:type="dxa"/>
            <w:noWrap/>
            <w:hideMark/>
          </w:tcPr>
          <w:p w14:paraId="57E4615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F7661E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B96AFF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c>
          <w:tcPr>
            <w:tcW w:w="1417" w:type="dxa"/>
            <w:noWrap/>
            <w:hideMark/>
          </w:tcPr>
          <w:p w14:paraId="4EE9508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1363CD7E" w14:textId="77777777" w:rsidTr="001367E0">
        <w:tblPrEx>
          <w:tblCellMar>
            <w:left w:w="108" w:type="dxa"/>
            <w:right w:w="108" w:type="dxa"/>
          </w:tblCellMar>
        </w:tblPrEx>
        <w:trPr>
          <w:trHeight w:val="465"/>
        </w:trPr>
        <w:tc>
          <w:tcPr>
            <w:tcW w:w="737" w:type="dxa"/>
            <w:noWrap/>
            <w:hideMark/>
          </w:tcPr>
          <w:p w14:paraId="1C6EB04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1731</w:t>
            </w:r>
          </w:p>
        </w:tc>
        <w:tc>
          <w:tcPr>
            <w:tcW w:w="1559" w:type="dxa"/>
            <w:noWrap/>
            <w:hideMark/>
          </w:tcPr>
          <w:p w14:paraId="5D6E67A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6F8BE1F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468883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93E646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99E5C4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Watkin Street</w:t>
            </w:r>
          </w:p>
        </w:tc>
        <w:tc>
          <w:tcPr>
            <w:tcW w:w="1134" w:type="dxa"/>
            <w:noWrap/>
            <w:hideMark/>
          </w:tcPr>
          <w:p w14:paraId="1B478EC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233D207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3.9</w:t>
            </w:r>
          </w:p>
        </w:tc>
        <w:tc>
          <w:tcPr>
            <w:tcW w:w="1134" w:type="dxa"/>
            <w:noWrap/>
            <w:hideMark/>
          </w:tcPr>
          <w:p w14:paraId="7B143E1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29EDAA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3376B3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w:t>
            </w:r>
          </w:p>
        </w:tc>
        <w:tc>
          <w:tcPr>
            <w:tcW w:w="1417" w:type="dxa"/>
            <w:noWrap/>
            <w:hideMark/>
          </w:tcPr>
          <w:p w14:paraId="70193DC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2A7DAB8" w14:textId="77777777" w:rsidTr="001367E0">
        <w:tblPrEx>
          <w:tblCellMar>
            <w:left w:w="108" w:type="dxa"/>
            <w:right w:w="108" w:type="dxa"/>
          </w:tblCellMar>
        </w:tblPrEx>
        <w:trPr>
          <w:trHeight w:val="465"/>
        </w:trPr>
        <w:tc>
          <w:tcPr>
            <w:tcW w:w="737" w:type="dxa"/>
            <w:noWrap/>
            <w:hideMark/>
          </w:tcPr>
          <w:p w14:paraId="76CF184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1735</w:t>
            </w:r>
          </w:p>
        </w:tc>
        <w:tc>
          <w:tcPr>
            <w:tcW w:w="1559" w:type="dxa"/>
            <w:noWrap/>
            <w:hideMark/>
          </w:tcPr>
          <w:p w14:paraId="01E3AD9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16876A7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40C7E0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2.1.1</w:t>
            </w:r>
          </w:p>
        </w:tc>
        <w:tc>
          <w:tcPr>
            <w:tcW w:w="1134" w:type="dxa"/>
            <w:noWrap/>
            <w:hideMark/>
          </w:tcPr>
          <w:p w14:paraId="4E4B836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1FCA40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Adelaide Street</w:t>
            </w:r>
          </w:p>
        </w:tc>
        <w:tc>
          <w:tcPr>
            <w:tcW w:w="1134" w:type="dxa"/>
            <w:noWrap/>
            <w:hideMark/>
          </w:tcPr>
          <w:p w14:paraId="142CFDA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D0ACA9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13.5</w:t>
            </w:r>
          </w:p>
        </w:tc>
        <w:tc>
          <w:tcPr>
            <w:tcW w:w="1134" w:type="dxa"/>
            <w:noWrap/>
            <w:hideMark/>
          </w:tcPr>
          <w:p w14:paraId="420B49D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40.0</w:t>
            </w:r>
          </w:p>
        </w:tc>
        <w:tc>
          <w:tcPr>
            <w:tcW w:w="1134" w:type="dxa"/>
            <w:noWrap/>
            <w:hideMark/>
          </w:tcPr>
          <w:p w14:paraId="461D8DE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6D9E95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w:t>
            </w:r>
          </w:p>
        </w:tc>
        <w:tc>
          <w:tcPr>
            <w:tcW w:w="1417" w:type="dxa"/>
            <w:noWrap/>
            <w:hideMark/>
          </w:tcPr>
          <w:p w14:paraId="20D9128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78DA7322" w14:textId="77777777" w:rsidTr="001367E0">
        <w:tblPrEx>
          <w:tblCellMar>
            <w:left w:w="108" w:type="dxa"/>
            <w:right w:w="108" w:type="dxa"/>
          </w:tblCellMar>
        </w:tblPrEx>
        <w:trPr>
          <w:trHeight w:val="465"/>
        </w:trPr>
        <w:tc>
          <w:tcPr>
            <w:tcW w:w="737" w:type="dxa"/>
            <w:noWrap/>
            <w:hideMark/>
          </w:tcPr>
          <w:p w14:paraId="3C7EA85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1746</w:t>
            </w:r>
          </w:p>
        </w:tc>
        <w:tc>
          <w:tcPr>
            <w:tcW w:w="1559" w:type="dxa"/>
            <w:noWrap/>
            <w:hideMark/>
          </w:tcPr>
          <w:p w14:paraId="620D409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3172B32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850772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1F8CB2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09717F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8 Wilson Ave</w:t>
            </w:r>
          </w:p>
        </w:tc>
        <w:tc>
          <w:tcPr>
            <w:tcW w:w="1134" w:type="dxa"/>
            <w:noWrap/>
            <w:hideMark/>
          </w:tcPr>
          <w:p w14:paraId="5F7E8B4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4B155D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26.6</w:t>
            </w:r>
          </w:p>
        </w:tc>
        <w:tc>
          <w:tcPr>
            <w:tcW w:w="1134" w:type="dxa"/>
            <w:noWrap/>
            <w:hideMark/>
          </w:tcPr>
          <w:p w14:paraId="7237046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w:t>
            </w:r>
          </w:p>
        </w:tc>
        <w:tc>
          <w:tcPr>
            <w:tcW w:w="1134" w:type="dxa"/>
            <w:noWrap/>
            <w:hideMark/>
          </w:tcPr>
          <w:p w14:paraId="43B0C17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EFA577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w:t>
            </w:r>
          </w:p>
        </w:tc>
        <w:tc>
          <w:tcPr>
            <w:tcW w:w="1417" w:type="dxa"/>
            <w:noWrap/>
            <w:hideMark/>
          </w:tcPr>
          <w:p w14:paraId="14FAE97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02922DC6" w14:textId="77777777" w:rsidTr="001367E0">
        <w:tblPrEx>
          <w:tblCellMar>
            <w:left w:w="108" w:type="dxa"/>
            <w:right w:w="108" w:type="dxa"/>
          </w:tblCellMar>
        </w:tblPrEx>
        <w:trPr>
          <w:trHeight w:val="465"/>
        </w:trPr>
        <w:tc>
          <w:tcPr>
            <w:tcW w:w="737" w:type="dxa"/>
            <w:noWrap/>
            <w:hideMark/>
          </w:tcPr>
          <w:p w14:paraId="6F7FCC7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1748</w:t>
            </w:r>
          </w:p>
        </w:tc>
        <w:tc>
          <w:tcPr>
            <w:tcW w:w="1559" w:type="dxa"/>
            <w:noWrap/>
            <w:hideMark/>
          </w:tcPr>
          <w:p w14:paraId="14D31D3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02156F5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B5C85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777BD66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4DDF58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31 Queen Street</w:t>
            </w:r>
          </w:p>
        </w:tc>
        <w:tc>
          <w:tcPr>
            <w:tcW w:w="1134" w:type="dxa"/>
            <w:noWrap/>
            <w:hideMark/>
          </w:tcPr>
          <w:p w14:paraId="3220C97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2EDD54B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w:t>
            </w:r>
          </w:p>
        </w:tc>
        <w:tc>
          <w:tcPr>
            <w:tcW w:w="1134" w:type="dxa"/>
            <w:noWrap/>
            <w:hideMark/>
          </w:tcPr>
          <w:p w14:paraId="7C06ACD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2721AA3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18AFDD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c>
          <w:tcPr>
            <w:tcW w:w="1417" w:type="dxa"/>
            <w:noWrap/>
            <w:hideMark/>
          </w:tcPr>
          <w:p w14:paraId="5C389AA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3F11EB3D" w14:textId="77777777" w:rsidTr="001367E0">
        <w:tblPrEx>
          <w:tblCellMar>
            <w:left w:w="108" w:type="dxa"/>
            <w:right w:w="108" w:type="dxa"/>
          </w:tblCellMar>
        </w:tblPrEx>
        <w:trPr>
          <w:trHeight w:val="465"/>
        </w:trPr>
        <w:tc>
          <w:tcPr>
            <w:tcW w:w="737" w:type="dxa"/>
            <w:noWrap/>
            <w:hideMark/>
          </w:tcPr>
          <w:p w14:paraId="3CF2B96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1749</w:t>
            </w:r>
          </w:p>
        </w:tc>
        <w:tc>
          <w:tcPr>
            <w:tcW w:w="1559" w:type="dxa"/>
            <w:noWrap/>
            <w:hideMark/>
          </w:tcPr>
          <w:p w14:paraId="46BE9DC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19B7961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306A09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204A9FD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9E2A15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Scott St</w:t>
            </w:r>
          </w:p>
        </w:tc>
        <w:tc>
          <w:tcPr>
            <w:tcW w:w="1134" w:type="dxa"/>
            <w:noWrap/>
            <w:hideMark/>
          </w:tcPr>
          <w:p w14:paraId="365392B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3F2F6A3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14.3</w:t>
            </w:r>
          </w:p>
        </w:tc>
        <w:tc>
          <w:tcPr>
            <w:tcW w:w="1134" w:type="dxa"/>
            <w:noWrap/>
            <w:hideMark/>
          </w:tcPr>
          <w:p w14:paraId="190A98A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468DE10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BFEBE8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w:t>
            </w:r>
          </w:p>
        </w:tc>
        <w:tc>
          <w:tcPr>
            <w:tcW w:w="1417" w:type="dxa"/>
            <w:noWrap/>
            <w:hideMark/>
          </w:tcPr>
          <w:p w14:paraId="06DF497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0328437E" w14:textId="77777777" w:rsidTr="001367E0">
        <w:tblPrEx>
          <w:tblCellMar>
            <w:left w:w="108" w:type="dxa"/>
            <w:right w:w="108" w:type="dxa"/>
          </w:tblCellMar>
        </w:tblPrEx>
        <w:trPr>
          <w:trHeight w:val="465"/>
        </w:trPr>
        <w:tc>
          <w:tcPr>
            <w:tcW w:w="737" w:type="dxa"/>
            <w:noWrap/>
            <w:hideMark/>
          </w:tcPr>
          <w:p w14:paraId="2D7A65E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1757</w:t>
            </w:r>
          </w:p>
        </w:tc>
        <w:tc>
          <w:tcPr>
            <w:tcW w:w="1559" w:type="dxa"/>
            <w:noWrap/>
            <w:hideMark/>
          </w:tcPr>
          <w:p w14:paraId="4BA4AB4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074BCAD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1B254B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3169589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17927E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Cnr Molong and William Streets</w:t>
            </w:r>
          </w:p>
        </w:tc>
        <w:tc>
          <w:tcPr>
            <w:tcW w:w="1134" w:type="dxa"/>
            <w:noWrap/>
            <w:hideMark/>
          </w:tcPr>
          <w:p w14:paraId="0FFB86A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F68A88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17.2</w:t>
            </w:r>
          </w:p>
        </w:tc>
        <w:tc>
          <w:tcPr>
            <w:tcW w:w="1134" w:type="dxa"/>
            <w:noWrap/>
            <w:hideMark/>
          </w:tcPr>
          <w:p w14:paraId="2D170FC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33.3</w:t>
            </w:r>
          </w:p>
        </w:tc>
        <w:tc>
          <w:tcPr>
            <w:tcW w:w="1134" w:type="dxa"/>
            <w:noWrap/>
            <w:hideMark/>
          </w:tcPr>
          <w:p w14:paraId="68C5F87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25.0</w:t>
            </w:r>
          </w:p>
        </w:tc>
        <w:tc>
          <w:tcPr>
            <w:tcW w:w="1276" w:type="dxa"/>
            <w:noWrap/>
            <w:hideMark/>
          </w:tcPr>
          <w:p w14:paraId="0DDB15D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417" w:type="dxa"/>
            <w:noWrap/>
            <w:hideMark/>
          </w:tcPr>
          <w:p w14:paraId="28E20D6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3C04EBD3" w14:textId="77777777" w:rsidTr="001367E0">
        <w:tblPrEx>
          <w:tblCellMar>
            <w:left w:w="108" w:type="dxa"/>
            <w:right w:w="108" w:type="dxa"/>
          </w:tblCellMar>
        </w:tblPrEx>
        <w:trPr>
          <w:trHeight w:val="465"/>
        </w:trPr>
        <w:tc>
          <w:tcPr>
            <w:tcW w:w="737" w:type="dxa"/>
            <w:noWrap/>
            <w:hideMark/>
          </w:tcPr>
          <w:p w14:paraId="3AB1F8E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1758</w:t>
            </w:r>
          </w:p>
        </w:tc>
        <w:tc>
          <w:tcPr>
            <w:tcW w:w="1559" w:type="dxa"/>
            <w:noWrap/>
            <w:hideMark/>
          </w:tcPr>
          <w:p w14:paraId="58A6EF1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172E49A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5CC436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684318B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11905B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8 Blair St</w:t>
            </w:r>
          </w:p>
        </w:tc>
        <w:tc>
          <w:tcPr>
            <w:tcW w:w="1134" w:type="dxa"/>
            <w:noWrap/>
            <w:hideMark/>
          </w:tcPr>
          <w:p w14:paraId="67FC3AE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526BB30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30.4</w:t>
            </w:r>
          </w:p>
        </w:tc>
        <w:tc>
          <w:tcPr>
            <w:tcW w:w="1134" w:type="dxa"/>
            <w:noWrap/>
            <w:hideMark/>
          </w:tcPr>
          <w:p w14:paraId="08BF5BC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3031758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477974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w:t>
            </w:r>
          </w:p>
        </w:tc>
        <w:tc>
          <w:tcPr>
            <w:tcW w:w="1417" w:type="dxa"/>
            <w:noWrap/>
            <w:hideMark/>
          </w:tcPr>
          <w:p w14:paraId="2AF2B48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5620B4F1" w14:textId="77777777" w:rsidTr="001367E0">
        <w:tblPrEx>
          <w:tblCellMar>
            <w:left w:w="108" w:type="dxa"/>
            <w:right w:w="108" w:type="dxa"/>
          </w:tblCellMar>
        </w:tblPrEx>
        <w:trPr>
          <w:trHeight w:val="465"/>
        </w:trPr>
        <w:tc>
          <w:tcPr>
            <w:tcW w:w="737" w:type="dxa"/>
            <w:noWrap/>
            <w:hideMark/>
          </w:tcPr>
          <w:p w14:paraId="23D7C16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1762</w:t>
            </w:r>
          </w:p>
        </w:tc>
        <w:tc>
          <w:tcPr>
            <w:tcW w:w="1559" w:type="dxa"/>
            <w:noWrap/>
            <w:hideMark/>
          </w:tcPr>
          <w:p w14:paraId="2722D49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7E42BF0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1A8753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6A6C0C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63EC32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29 Burwood Road</w:t>
            </w:r>
          </w:p>
        </w:tc>
        <w:tc>
          <w:tcPr>
            <w:tcW w:w="1134" w:type="dxa"/>
            <w:noWrap/>
            <w:hideMark/>
          </w:tcPr>
          <w:p w14:paraId="00D06FE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5760C8A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10.3</w:t>
            </w:r>
          </w:p>
        </w:tc>
        <w:tc>
          <w:tcPr>
            <w:tcW w:w="1134" w:type="dxa"/>
            <w:noWrap/>
            <w:hideMark/>
          </w:tcPr>
          <w:p w14:paraId="36FDA3A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B7D0B5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728431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w:t>
            </w:r>
          </w:p>
        </w:tc>
        <w:tc>
          <w:tcPr>
            <w:tcW w:w="1417" w:type="dxa"/>
            <w:noWrap/>
            <w:hideMark/>
          </w:tcPr>
          <w:p w14:paraId="6EA1F42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9206210" w14:textId="77777777" w:rsidTr="001367E0">
        <w:tblPrEx>
          <w:tblCellMar>
            <w:left w:w="108" w:type="dxa"/>
            <w:right w:w="108" w:type="dxa"/>
          </w:tblCellMar>
        </w:tblPrEx>
        <w:trPr>
          <w:trHeight w:val="465"/>
        </w:trPr>
        <w:tc>
          <w:tcPr>
            <w:tcW w:w="737" w:type="dxa"/>
            <w:noWrap/>
            <w:hideMark/>
          </w:tcPr>
          <w:p w14:paraId="3FCA58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1764</w:t>
            </w:r>
          </w:p>
        </w:tc>
        <w:tc>
          <w:tcPr>
            <w:tcW w:w="1559" w:type="dxa"/>
            <w:noWrap/>
            <w:hideMark/>
          </w:tcPr>
          <w:p w14:paraId="50B3A1E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16576A8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29F3CD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21EE2F5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99A122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Hyde Street</w:t>
            </w:r>
          </w:p>
        </w:tc>
        <w:tc>
          <w:tcPr>
            <w:tcW w:w="1134" w:type="dxa"/>
            <w:noWrap/>
            <w:hideMark/>
          </w:tcPr>
          <w:p w14:paraId="36B6AF2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969DD8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13.7</w:t>
            </w:r>
          </w:p>
        </w:tc>
        <w:tc>
          <w:tcPr>
            <w:tcW w:w="1134" w:type="dxa"/>
            <w:noWrap/>
            <w:hideMark/>
          </w:tcPr>
          <w:p w14:paraId="0D64820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25.0</w:t>
            </w:r>
          </w:p>
        </w:tc>
        <w:tc>
          <w:tcPr>
            <w:tcW w:w="1134" w:type="dxa"/>
            <w:noWrap/>
            <w:hideMark/>
          </w:tcPr>
          <w:p w14:paraId="63DBFA7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9237C9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w:t>
            </w:r>
          </w:p>
        </w:tc>
        <w:tc>
          <w:tcPr>
            <w:tcW w:w="1417" w:type="dxa"/>
            <w:noWrap/>
            <w:hideMark/>
          </w:tcPr>
          <w:p w14:paraId="3170A2C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r>
      <w:tr w:rsidR="00107BB9" w:rsidRPr="00107BB9" w14:paraId="54297531" w14:textId="77777777" w:rsidTr="001367E0">
        <w:tblPrEx>
          <w:tblCellMar>
            <w:left w:w="108" w:type="dxa"/>
            <w:right w:w="108" w:type="dxa"/>
          </w:tblCellMar>
        </w:tblPrEx>
        <w:trPr>
          <w:trHeight w:val="465"/>
        </w:trPr>
        <w:tc>
          <w:tcPr>
            <w:tcW w:w="737" w:type="dxa"/>
            <w:noWrap/>
            <w:hideMark/>
          </w:tcPr>
          <w:p w14:paraId="7A5ED02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1765</w:t>
            </w:r>
          </w:p>
        </w:tc>
        <w:tc>
          <w:tcPr>
            <w:tcW w:w="1559" w:type="dxa"/>
            <w:noWrap/>
            <w:hideMark/>
          </w:tcPr>
          <w:p w14:paraId="22639DC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62A833F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9DE09F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0631C31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E1537B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Weddin Street</w:t>
            </w:r>
          </w:p>
        </w:tc>
        <w:tc>
          <w:tcPr>
            <w:tcW w:w="1134" w:type="dxa"/>
            <w:noWrap/>
            <w:hideMark/>
          </w:tcPr>
          <w:p w14:paraId="4F067D4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47020AC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8.8</w:t>
            </w:r>
          </w:p>
        </w:tc>
        <w:tc>
          <w:tcPr>
            <w:tcW w:w="1134" w:type="dxa"/>
            <w:noWrap/>
            <w:hideMark/>
          </w:tcPr>
          <w:p w14:paraId="34644E4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71BFFC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82FD35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c>
          <w:tcPr>
            <w:tcW w:w="1417" w:type="dxa"/>
            <w:noWrap/>
            <w:hideMark/>
          </w:tcPr>
          <w:p w14:paraId="3DCBF2A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F027138" w14:textId="77777777" w:rsidTr="001367E0">
        <w:tblPrEx>
          <w:tblCellMar>
            <w:left w:w="108" w:type="dxa"/>
            <w:right w:w="108" w:type="dxa"/>
          </w:tblCellMar>
        </w:tblPrEx>
        <w:trPr>
          <w:trHeight w:val="465"/>
        </w:trPr>
        <w:tc>
          <w:tcPr>
            <w:tcW w:w="737" w:type="dxa"/>
            <w:noWrap/>
            <w:hideMark/>
          </w:tcPr>
          <w:p w14:paraId="5581C84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1769</w:t>
            </w:r>
          </w:p>
        </w:tc>
        <w:tc>
          <w:tcPr>
            <w:tcW w:w="1559" w:type="dxa"/>
            <w:noWrap/>
            <w:hideMark/>
          </w:tcPr>
          <w:p w14:paraId="6EEDC9D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33666E0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B98636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202A443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0884EC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94 Joseph Street</w:t>
            </w:r>
          </w:p>
        </w:tc>
        <w:tc>
          <w:tcPr>
            <w:tcW w:w="1134" w:type="dxa"/>
            <w:noWrap/>
            <w:hideMark/>
          </w:tcPr>
          <w:p w14:paraId="5843A6E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666A7A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26.2</w:t>
            </w:r>
          </w:p>
        </w:tc>
        <w:tc>
          <w:tcPr>
            <w:tcW w:w="1134" w:type="dxa"/>
            <w:noWrap/>
            <w:hideMark/>
          </w:tcPr>
          <w:p w14:paraId="1B39E92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17B1C42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9BEB6E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38</w:t>
            </w:r>
          </w:p>
        </w:tc>
        <w:tc>
          <w:tcPr>
            <w:tcW w:w="1417" w:type="dxa"/>
            <w:noWrap/>
            <w:hideMark/>
          </w:tcPr>
          <w:p w14:paraId="447A9DB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4ECE63FB" w14:textId="77777777" w:rsidTr="001367E0">
        <w:tblPrEx>
          <w:tblCellMar>
            <w:left w:w="108" w:type="dxa"/>
            <w:right w:w="108" w:type="dxa"/>
          </w:tblCellMar>
        </w:tblPrEx>
        <w:trPr>
          <w:trHeight w:val="465"/>
        </w:trPr>
        <w:tc>
          <w:tcPr>
            <w:tcW w:w="737" w:type="dxa"/>
            <w:noWrap/>
            <w:hideMark/>
          </w:tcPr>
          <w:p w14:paraId="0BBE3A1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1771</w:t>
            </w:r>
          </w:p>
        </w:tc>
        <w:tc>
          <w:tcPr>
            <w:tcW w:w="1559" w:type="dxa"/>
            <w:noWrap/>
            <w:hideMark/>
          </w:tcPr>
          <w:p w14:paraId="1BC7B93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5819F8B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766FD4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450FC8F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99C7CE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Ferrier Street</w:t>
            </w:r>
          </w:p>
        </w:tc>
        <w:tc>
          <w:tcPr>
            <w:tcW w:w="1134" w:type="dxa"/>
            <w:noWrap/>
            <w:hideMark/>
          </w:tcPr>
          <w:p w14:paraId="53714C7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C9040A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7.1</w:t>
            </w:r>
          </w:p>
        </w:tc>
        <w:tc>
          <w:tcPr>
            <w:tcW w:w="1134" w:type="dxa"/>
            <w:noWrap/>
            <w:hideMark/>
          </w:tcPr>
          <w:p w14:paraId="050E5B4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12D0AD9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AA0BB9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c>
          <w:tcPr>
            <w:tcW w:w="1417" w:type="dxa"/>
            <w:noWrap/>
            <w:hideMark/>
          </w:tcPr>
          <w:p w14:paraId="334A91F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E52602F" w14:textId="77777777" w:rsidTr="001367E0">
        <w:tblPrEx>
          <w:tblCellMar>
            <w:left w:w="108" w:type="dxa"/>
            <w:right w:w="108" w:type="dxa"/>
          </w:tblCellMar>
        </w:tblPrEx>
        <w:trPr>
          <w:trHeight w:val="465"/>
        </w:trPr>
        <w:tc>
          <w:tcPr>
            <w:tcW w:w="737" w:type="dxa"/>
            <w:noWrap/>
            <w:hideMark/>
          </w:tcPr>
          <w:p w14:paraId="5EDE775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1782</w:t>
            </w:r>
          </w:p>
        </w:tc>
        <w:tc>
          <w:tcPr>
            <w:tcW w:w="1559" w:type="dxa"/>
            <w:noWrap/>
            <w:hideMark/>
          </w:tcPr>
          <w:p w14:paraId="17941DD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2848A80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662EAD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3.1</w:t>
            </w:r>
          </w:p>
        </w:tc>
        <w:tc>
          <w:tcPr>
            <w:tcW w:w="1134" w:type="dxa"/>
            <w:noWrap/>
            <w:hideMark/>
          </w:tcPr>
          <w:p w14:paraId="1BD8DD5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9B0A0F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23 Terangion Street</w:t>
            </w:r>
          </w:p>
        </w:tc>
        <w:tc>
          <w:tcPr>
            <w:tcW w:w="1134" w:type="dxa"/>
            <w:noWrap/>
            <w:hideMark/>
          </w:tcPr>
          <w:p w14:paraId="381BB9F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1ABAD05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15.2</w:t>
            </w:r>
          </w:p>
        </w:tc>
        <w:tc>
          <w:tcPr>
            <w:tcW w:w="1134" w:type="dxa"/>
            <w:noWrap/>
            <w:hideMark/>
          </w:tcPr>
          <w:p w14:paraId="0BD8552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25.0</w:t>
            </w:r>
          </w:p>
        </w:tc>
        <w:tc>
          <w:tcPr>
            <w:tcW w:w="1134" w:type="dxa"/>
            <w:noWrap/>
            <w:hideMark/>
          </w:tcPr>
          <w:p w14:paraId="0546A88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2BD3A1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w:t>
            </w:r>
          </w:p>
        </w:tc>
        <w:tc>
          <w:tcPr>
            <w:tcW w:w="1417" w:type="dxa"/>
            <w:noWrap/>
            <w:hideMark/>
          </w:tcPr>
          <w:p w14:paraId="30692F8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5C107875" w14:textId="77777777" w:rsidTr="001367E0">
        <w:tblPrEx>
          <w:tblCellMar>
            <w:left w:w="108" w:type="dxa"/>
            <w:right w:w="108" w:type="dxa"/>
          </w:tblCellMar>
        </w:tblPrEx>
        <w:trPr>
          <w:trHeight w:val="465"/>
        </w:trPr>
        <w:tc>
          <w:tcPr>
            <w:tcW w:w="737" w:type="dxa"/>
            <w:noWrap/>
            <w:hideMark/>
          </w:tcPr>
          <w:p w14:paraId="4940D6B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1786</w:t>
            </w:r>
          </w:p>
        </w:tc>
        <w:tc>
          <w:tcPr>
            <w:tcW w:w="1559" w:type="dxa"/>
            <w:noWrap/>
            <w:hideMark/>
          </w:tcPr>
          <w:p w14:paraId="577B37E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2D1C5C9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418746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2937718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F0C4D5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18 Thomas Street</w:t>
            </w:r>
          </w:p>
        </w:tc>
        <w:tc>
          <w:tcPr>
            <w:tcW w:w="1134" w:type="dxa"/>
            <w:noWrap/>
            <w:hideMark/>
          </w:tcPr>
          <w:p w14:paraId="260107D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10974E4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38.1</w:t>
            </w:r>
          </w:p>
        </w:tc>
        <w:tc>
          <w:tcPr>
            <w:tcW w:w="1134" w:type="dxa"/>
            <w:noWrap/>
            <w:hideMark/>
          </w:tcPr>
          <w:p w14:paraId="17A3AF7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D8F841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5CAEC4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w:t>
            </w:r>
          </w:p>
        </w:tc>
        <w:tc>
          <w:tcPr>
            <w:tcW w:w="1417" w:type="dxa"/>
            <w:noWrap/>
            <w:hideMark/>
          </w:tcPr>
          <w:p w14:paraId="54D720C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29AA3A1" w14:textId="77777777" w:rsidTr="001367E0">
        <w:tblPrEx>
          <w:tblCellMar>
            <w:left w:w="108" w:type="dxa"/>
            <w:right w:w="108" w:type="dxa"/>
          </w:tblCellMar>
        </w:tblPrEx>
        <w:trPr>
          <w:trHeight w:val="465"/>
        </w:trPr>
        <w:tc>
          <w:tcPr>
            <w:tcW w:w="737" w:type="dxa"/>
            <w:noWrap/>
            <w:hideMark/>
          </w:tcPr>
          <w:p w14:paraId="7EEA135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1787</w:t>
            </w:r>
          </w:p>
        </w:tc>
        <w:tc>
          <w:tcPr>
            <w:tcW w:w="1559" w:type="dxa"/>
            <w:noWrap/>
            <w:hideMark/>
          </w:tcPr>
          <w:p w14:paraId="74F5E87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18E33B7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06C831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3DEEF5A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3530D1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28-32 Thurlow Street</w:t>
            </w:r>
          </w:p>
        </w:tc>
        <w:tc>
          <w:tcPr>
            <w:tcW w:w="1134" w:type="dxa"/>
            <w:noWrap/>
            <w:hideMark/>
          </w:tcPr>
          <w:p w14:paraId="742AFEA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077525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4.6</w:t>
            </w:r>
          </w:p>
        </w:tc>
        <w:tc>
          <w:tcPr>
            <w:tcW w:w="1134" w:type="dxa"/>
            <w:noWrap/>
            <w:hideMark/>
          </w:tcPr>
          <w:p w14:paraId="6C9D893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2A6387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DD0B7C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w:t>
            </w:r>
          </w:p>
        </w:tc>
        <w:tc>
          <w:tcPr>
            <w:tcW w:w="1417" w:type="dxa"/>
            <w:noWrap/>
            <w:hideMark/>
          </w:tcPr>
          <w:p w14:paraId="7B27D81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71D3B4CD" w14:textId="77777777" w:rsidTr="001367E0">
        <w:tblPrEx>
          <w:tblCellMar>
            <w:left w:w="108" w:type="dxa"/>
            <w:right w:w="108" w:type="dxa"/>
          </w:tblCellMar>
        </w:tblPrEx>
        <w:trPr>
          <w:trHeight w:val="465"/>
        </w:trPr>
        <w:tc>
          <w:tcPr>
            <w:tcW w:w="737" w:type="dxa"/>
            <w:noWrap/>
            <w:hideMark/>
          </w:tcPr>
          <w:p w14:paraId="4184424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1790</w:t>
            </w:r>
          </w:p>
        </w:tc>
        <w:tc>
          <w:tcPr>
            <w:tcW w:w="1559" w:type="dxa"/>
            <w:noWrap/>
            <w:hideMark/>
          </w:tcPr>
          <w:p w14:paraId="09EED7F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2ADFC71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5E6A01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2.1.2</w:t>
            </w:r>
          </w:p>
        </w:tc>
        <w:tc>
          <w:tcPr>
            <w:tcW w:w="1134" w:type="dxa"/>
            <w:noWrap/>
            <w:hideMark/>
          </w:tcPr>
          <w:p w14:paraId="5B9781A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E5660A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Bridge Street</w:t>
            </w:r>
          </w:p>
        </w:tc>
        <w:tc>
          <w:tcPr>
            <w:tcW w:w="1134" w:type="dxa"/>
            <w:noWrap/>
            <w:hideMark/>
          </w:tcPr>
          <w:p w14:paraId="32C5BC5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66D7CDE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11.9</w:t>
            </w:r>
          </w:p>
        </w:tc>
        <w:tc>
          <w:tcPr>
            <w:tcW w:w="1134" w:type="dxa"/>
            <w:noWrap/>
            <w:hideMark/>
          </w:tcPr>
          <w:p w14:paraId="0003889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25.0</w:t>
            </w:r>
          </w:p>
        </w:tc>
        <w:tc>
          <w:tcPr>
            <w:tcW w:w="1134" w:type="dxa"/>
            <w:noWrap/>
            <w:hideMark/>
          </w:tcPr>
          <w:p w14:paraId="229ACE2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7E2D5A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w:t>
            </w:r>
          </w:p>
        </w:tc>
        <w:tc>
          <w:tcPr>
            <w:tcW w:w="1417" w:type="dxa"/>
            <w:noWrap/>
            <w:hideMark/>
          </w:tcPr>
          <w:p w14:paraId="442C480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4A75F703" w14:textId="77777777" w:rsidTr="001367E0">
        <w:tblPrEx>
          <w:tblCellMar>
            <w:left w:w="108" w:type="dxa"/>
            <w:right w:w="108" w:type="dxa"/>
          </w:tblCellMar>
        </w:tblPrEx>
        <w:trPr>
          <w:trHeight w:val="465"/>
        </w:trPr>
        <w:tc>
          <w:tcPr>
            <w:tcW w:w="737" w:type="dxa"/>
            <w:noWrap/>
            <w:hideMark/>
          </w:tcPr>
          <w:p w14:paraId="61CC21E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1998</w:t>
            </w:r>
          </w:p>
        </w:tc>
        <w:tc>
          <w:tcPr>
            <w:tcW w:w="1559" w:type="dxa"/>
            <w:noWrap/>
            <w:hideMark/>
          </w:tcPr>
          <w:p w14:paraId="6F3E218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3D999DE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94C4B1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2.1.1</w:t>
            </w:r>
          </w:p>
        </w:tc>
        <w:tc>
          <w:tcPr>
            <w:tcW w:w="1134" w:type="dxa"/>
            <w:noWrap/>
            <w:hideMark/>
          </w:tcPr>
          <w:p w14:paraId="0EE886F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98EAFF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90 Hill Street</w:t>
            </w:r>
          </w:p>
        </w:tc>
        <w:tc>
          <w:tcPr>
            <w:tcW w:w="1134" w:type="dxa"/>
            <w:noWrap/>
            <w:hideMark/>
          </w:tcPr>
          <w:p w14:paraId="420232D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6965F35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7.4</w:t>
            </w:r>
          </w:p>
        </w:tc>
        <w:tc>
          <w:tcPr>
            <w:tcW w:w="1134" w:type="dxa"/>
            <w:noWrap/>
            <w:hideMark/>
          </w:tcPr>
          <w:p w14:paraId="0736480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4874DC3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63167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w:t>
            </w:r>
          </w:p>
        </w:tc>
        <w:tc>
          <w:tcPr>
            <w:tcW w:w="1417" w:type="dxa"/>
            <w:noWrap/>
            <w:hideMark/>
          </w:tcPr>
          <w:p w14:paraId="7064149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78176A1A" w14:textId="77777777" w:rsidTr="001367E0">
        <w:tblPrEx>
          <w:tblCellMar>
            <w:left w:w="108" w:type="dxa"/>
            <w:right w:w="108" w:type="dxa"/>
          </w:tblCellMar>
        </w:tblPrEx>
        <w:trPr>
          <w:trHeight w:val="465"/>
        </w:trPr>
        <w:tc>
          <w:tcPr>
            <w:tcW w:w="737" w:type="dxa"/>
            <w:noWrap/>
            <w:hideMark/>
          </w:tcPr>
          <w:p w14:paraId="2A91FCF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2323</w:t>
            </w:r>
          </w:p>
        </w:tc>
        <w:tc>
          <w:tcPr>
            <w:tcW w:w="1559" w:type="dxa"/>
            <w:noWrap/>
            <w:hideMark/>
          </w:tcPr>
          <w:p w14:paraId="3DA35A0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Joseph's Primary School</w:t>
            </w:r>
          </w:p>
        </w:tc>
        <w:tc>
          <w:tcPr>
            <w:tcW w:w="709" w:type="dxa"/>
            <w:noWrap/>
            <w:hideMark/>
          </w:tcPr>
          <w:p w14:paraId="3EC118B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0DD95A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1FC2B62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BD1EC0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Lagoon Street</w:t>
            </w:r>
          </w:p>
        </w:tc>
        <w:tc>
          <w:tcPr>
            <w:tcW w:w="1134" w:type="dxa"/>
            <w:noWrap/>
            <w:hideMark/>
          </w:tcPr>
          <w:p w14:paraId="0F5797F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2E6CA72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12.8</w:t>
            </w:r>
          </w:p>
        </w:tc>
        <w:tc>
          <w:tcPr>
            <w:tcW w:w="1134" w:type="dxa"/>
            <w:noWrap/>
            <w:hideMark/>
          </w:tcPr>
          <w:p w14:paraId="195582A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0080E67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C16B28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w:t>
            </w:r>
          </w:p>
        </w:tc>
        <w:tc>
          <w:tcPr>
            <w:tcW w:w="1417" w:type="dxa"/>
            <w:noWrap/>
            <w:hideMark/>
          </w:tcPr>
          <w:p w14:paraId="3DCCE26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30BB2128" w14:textId="77777777" w:rsidTr="001367E0">
        <w:tblPrEx>
          <w:tblCellMar>
            <w:left w:w="108" w:type="dxa"/>
            <w:right w:w="108" w:type="dxa"/>
          </w:tblCellMar>
        </w:tblPrEx>
        <w:trPr>
          <w:trHeight w:val="465"/>
        </w:trPr>
        <w:tc>
          <w:tcPr>
            <w:tcW w:w="737" w:type="dxa"/>
            <w:noWrap/>
            <w:hideMark/>
          </w:tcPr>
          <w:p w14:paraId="354E66F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1805</w:t>
            </w:r>
          </w:p>
        </w:tc>
        <w:tc>
          <w:tcPr>
            <w:tcW w:w="1559" w:type="dxa"/>
            <w:noWrap/>
            <w:hideMark/>
          </w:tcPr>
          <w:p w14:paraId="1BD13E2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Kevin's Catholic School</w:t>
            </w:r>
          </w:p>
        </w:tc>
        <w:tc>
          <w:tcPr>
            <w:tcW w:w="709" w:type="dxa"/>
            <w:noWrap/>
            <w:hideMark/>
          </w:tcPr>
          <w:p w14:paraId="4549C33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9D2200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D2324E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84B778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57 - 59 Oaks Avenue</w:t>
            </w:r>
          </w:p>
        </w:tc>
        <w:tc>
          <w:tcPr>
            <w:tcW w:w="1134" w:type="dxa"/>
            <w:noWrap/>
            <w:hideMark/>
          </w:tcPr>
          <w:p w14:paraId="6235461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0CDD3B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8.3</w:t>
            </w:r>
          </w:p>
        </w:tc>
        <w:tc>
          <w:tcPr>
            <w:tcW w:w="1134" w:type="dxa"/>
            <w:noWrap/>
            <w:hideMark/>
          </w:tcPr>
          <w:p w14:paraId="633FEFA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26D9507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9F03ED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w:t>
            </w:r>
          </w:p>
        </w:tc>
        <w:tc>
          <w:tcPr>
            <w:tcW w:w="1417" w:type="dxa"/>
            <w:noWrap/>
            <w:hideMark/>
          </w:tcPr>
          <w:p w14:paraId="10A8A47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3AD3AEE5" w14:textId="77777777" w:rsidTr="001367E0">
        <w:tblPrEx>
          <w:tblCellMar>
            <w:left w:w="108" w:type="dxa"/>
            <w:right w:w="108" w:type="dxa"/>
          </w:tblCellMar>
        </w:tblPrEx>
        <w:trPr>
          <w:trHeight w:val="465"/>
        </w:trPr>
        <w:tc>
          <w:tcPr>
            <w:tcW w:w="737" w:type="dxa"/>
            <w:noWrap/>
            <w:hideMark/>
          </w:tcPr>
          <w:p w14:paraId="15F3DBE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13845</w:t>
            </w:r>
          </w:p>
        </w:tc>
        <w:tc>
          <w:tcPr>
            <w:tcW w:w="1559" w:type="dxa"/>
            <w:noWrap/>
            <w:hideMark/>
          </w:tcPr>
          <w:p w14:paraId="474783E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Laurence's Primary School</w:t>
            </w:r>
          </w:p>
        </w:tc>
        <w:tc>
          <w:tcPr>
            <w:tcW w:w="709" w:type="dxa"/>
            <w:noWrap/>
            <w:hideMark/>
          </w:tcPr>
          <w:p w14:paraId="1D9D33F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2DEE01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2B47EB5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11CFED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20 Johnson Street</w:t>
            </w:r>
          </w:p>
        </w:tc>
        <w:tc>
          <w:tcPr>
            <w:tcW w:w="1134" w:type="dxa"/>
            <w:noWrap/>
            <w:hideMark/>
          </w:tcPr>
          <w:p w14:paraId="50685BF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4E9CC38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21.5</w:t>
            </w:r>
          </w:p>
        </w:tc>
        <w:tc>
          <w:tcPr>
            <w:tcW w:w="1134" w:type="dxa"/>
            <w:noWrap/>
            <w:hideMark/>
          </w:tcPr>
          <w:p w14:paraId="6F05410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18.8</w:t>
            </w:r>
          </w:p>
        </w:tc>
        <w:tc>
          <w:tcPr>
            <w:tcW w:w="1134" w:type="dxa"/>
            <w:noWrap/>
            <w:hideMark/>
          </w:tcPr>
          <w:p w14:paraId="379D35A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51F849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34</w:t>
            </w:r>
          </w:p>
        </w:tc>
        <w:tc>
          <w:tcPr>
            <w:tcW w:w="1417" w:type="dxa"/>
            <w:noWrap/>
            <w:hideMark/>
          </w:tcPr>
          <w:p w14:paraId="452F18B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r>
      <w:tr w:rsidR="00107BB9" w:rsidRPr="00107BB9" w14:paraId="746272D1" w14:textId="77777777" w:rsidTr="001367E0">
        <w:tblPrEx>
          <w:tblCellMar>
            <w:left w:w="108" w:type="dxa"/>
            <w:right w:w="108" w:type="dxa"/>
          </w:tblCellMar>
        </w:tblPrEx>
        <w:trPr>
          <w:trHeight w:val="465"/>
        </w:trPr>
        <w:tc>
          <w:tcPr>
            <w:tcW w:w="737" w:type="dxa"/>
            <w:noWrap/>
            <w:hideMark/>
          </w:tcPr>
          <w:p w14:paraId="65E96A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1811</w:t>
            </w:r>
          </w:p>
        </w:tc>
        <w:tc>
          <w:tcPr>
            <w:tcW w:w="1559" w:type="dxa"/>
            <w:noWrap/>
            <w:hideMark/>
          </w:tcPr>
          <w:p w14:paraId="46A9512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Lawrence's Primary School</w:t>
            </w:r>
          </w:p>
        </w:tc>
        <w:tc>
          <w:tcPr>
            <w:tcW w:w="709" w:type="dxa"/>
            <w:noWrap/>
            <w:hideMark/>
          </w:tcPr>
          <w:p w14:paraId="689B2C4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23FE2A8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68B1961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FD7DA8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Dalgarno St</w:t>
            </w:r>
          </w:p>
        </w:tc>
        <w:tc>
          <w:tcPr>
            <w:tcW w:w="1134" w:type="dxa"/>
            <w:noWrap/>
            <w:hideMark/>
          </w:tcPr>
          <w:p w14:paraId="16E755A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43CD644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10.5</w:t>
            </w:r>
          </w:p>
        </w:tc>
        <w:tc>
          <w:tcPr>
            <w:tcW w:w="1134" w:type="dxa"/>
            <w:noWrap/>
            <w:hideMark/>
          </w:tcPr>
          <w:p w14:paraId="398D8AC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611E5F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7AFD6E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c>
          <w:tcPr>
            <w:tcW w:w="1417" w:type="dxa"/>
            <w:noWrap/>
            <w:hideMark/>
          </w:tcPr>
          <w:p w14:paraId="2FD408C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35B8B621" w14:textId="77777777" w:rsidTr="001367E0">
        <w:tblPrEx>
          <w:tblCellMar>
            <w:left w:w="108" w:type="dxa"/>
            <w:right w:w="108" w:type="dxa"/>
          </w:tblCellMar>
        </w:tblPrEx>
        <w:trPr>
          <w:trHeight w:val="465"/>
        </w:trPr>
        <w:tc>
          <w:tcPr>
            <w:tcW w:w="737" w:type="dxa"/>
            <w:noWrap/>
            <w:hideMark/>
          </w:tcPr>
          <w:p w14:paraId="7FDBADA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1815</w:t>
            </w:r>
          </w:p>
        </w:tc>
        <w:tc>
          <w:tcPr>
            <w:tcW w:w="1559" w:type="dxa"/>
            <w:noWrap/>
            <w:hideMark/>
          </w:tcPr>
          <w:p w14:paraId="29A2489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Luke's Primary School</w:t>
            </w:r>
          </w:p>
        </w:tc>
        <w:tc>
          <w:tcPr>
            <w:tcW w:w="709" w:type="dxa"/>
            <w:noWrap/>
            <w:hideMark/>
          </w:tcPr>
          <w:p w14:paraId="51C8CAF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F1F18F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70E385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7933AD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 Beaconsfield Street</w:t>
            </w:r>
          </w:p>
        </w:tc>
        <w:tc>
          <w:tcPr>
            <w:tcW w:w="1134" w:type="dxa"/>
            <w:noWrap/>
            <w:hideMark/>
          </w:tcPr>
          <w:p w14:paraId="7644310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119AFD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9.6</w:t>
            </w:r>
          </w:p>
        </w:tc>
        <w:tc>
          <w:tcPr>
            <w:tcW w:w="1134" w:type="dxa"/>
            <w:noWrap/>
            <w:hideMark/>
          </w:tcPr>
          <w:p w14:paraId="417C6E5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DA24DF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69592F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34</w:t>
            </w:r>
          </w:p>
        </w:tc>
        <w:tc>
          <w:tcPr>
            <w:tcW w:w="1417" w:type="dxa"/>
            <w:noWrap/>
            <w:hideMark/>
          </w:tcPr>
          <w:p w14:paraId="2334A55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3DCA088A" w14:textId="77777777" w:rsidTr="001367E0">
        <w:tblPrEx>
          <w:tblCellMar>
            <w:left w:w="108" w:type="dxa"/>
            <w:right w:w="108" w:type="dxa"/>
          </w:tblCellMar>
        </w:tblPrEx>
        <w:trPr>
          <w:trHeight w:val="465"/>
        </w:trPr>
        <w:tc>
          <w:tcPr>
            <w:tcW w:w="737" w:type="dxa"/>
            <w:noWrap/>
            <w:hideMark/>
          </w:tcPr>
          <w:p w14:paraId="0A2FE58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1820</w:t>
            </w:r>
          </w:p>
        </w:tc>
        <w:tc>
          <w:tcPr>
            <w:tcW w:w="1559" w:type="dxa"/>
            <w:noWrap/>
            <w:hideMark/>
          </w:tcPr>
          <w:p w14:paraId="6A86630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Maroun's College</w:t>
            </w:r>
          </w:p>
        </w:tc>
        <w:tc>
          <w:tcPr>
            <w:tcW w:w="709" w:type="dxa"/>
            <w:noWrap/>
            <w:hideMark/>
          </w:tcPr>
          <w:p w14:paraId="4093148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588912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3368CB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 7</w:t>
            </w:r>
          </w:p>
        </w:tc>
        <w:tc>
          <w:tcPr>
            <w:tcW w:w="1843" w:type="dxa"/>
            <w:noWrap/>
            <w:hideMark/>
          </w:tcPr>
          <w:p w14:paraId="1EC2389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194-206 Wardell Road</w:t>
            </w:r>
          </w:p>
        </w:tc>
        <w:tc>
          <w:tcPr>
            <w:tcW w:w="1134" w:type="dxa"/>
            <w:noWrap/>
            <w:hideMark/>
          </w:tcPr>
          <w:p w14:paraId="1C02552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2089472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20.1</w:t>
            </w:r>
          </w:p>
        </w:tc>
        <w:tc>
          <w:tcPr>
            <w:tcW w:w="1134" w:type="dxa"/>
            <w:noWrap/>
            <w:hideMark/>
          </w:tcPr>
          <w:p w14:paraId="4D7C884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D84DA1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100.0</w:t>
            </w:r>
          </w:p>
        </w:tc>
        <w:tc>
          <w:tcPr>
            <w:tcW w:w="1276" w:type="dxa"/>
            <w:noWrap/>
            <w:hideMark/>
          </w:tcPr>
          <w:p w14:paraId="2CAF9D7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65</w:t>
            </w:r>
          </w:p>
        </w:tc>
        <w:tc>
          <w:tcPr>
            <w:tcW w:w="1417" w:type="dxa"/>
            <w:noWrap/>
            <w:hideMark/>
          </w:tcPr>
          <w:p w14:paraId="6837BFE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2712620" w14:textId="77777777" w:rsidTr="001367E0">
        <w:tblPrEx>
          <w:tblCellMar>
            <w:left w:w="108" w:type="dxa"/>
            <w:right w:w="108" w:type="dxa"/>
          </w:tblCellMar>
        </w:tblPrEx>
        <w:trPr>
          <w:trHeight w:val="465"/>
        </w:trPr>
        <w:tc>
          <w:tcPr>
            <w:tcW w:w="737" w:type="dxa"/>
            <w:noWrap/>
            <w:hideMark/>
          </w:tcPr>
          <w:p w14:paraId="0AB6672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1821</w:t>
            </w:r>
          </w:p>
        </w:tc>
        <w:tc>
          <w:tcPr>
            <w:tcW w:w="1559" w:type="dxa"/>
            <w:noWrap/>
            <w:hideMark/>
          </w:tcPr>
          <w:p w14:paraId="129F446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Martha's Primary School</w:t>
            </w:r>
          </w:p>
        </w:tc>
        <w:tc>
          <w:tcPr>
            <w:tcW w:w="709" w:type="dxa"/>
            <w:noWrap/>
            <w:hideMark/>
          </w:tcPr>
          <w:p w14:paraId="030F7D4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445FB8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BCFA27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797BA9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88 Churchill Avenue</w:t>
            </w:r>
          </w:p>
        </w:tc>
        <w:tc>
          <w:tcPr>
            <w:tcW w:w="1134" w:type="dxa"/>
            <w:noWrap/>
            <w:hideMark/>
          </w:tcPr>
          <w:p w14:paraId="52DCFFA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034842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5.9</w:t>
            </w:r>
          </w:p>
        </w:tc>
        <w:tc>
          <w:tcPr>
            <w:tcW w:w="1134" w:type="dxa"/>
            <w:noWrap/>
            <w:hideMark/>
          </w:tcPr>
          <w:p w14:paraId="063373C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EECFC8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4A074B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c>
          <w:tcPr>
            <w:tcW w:w="1417" w:type="dxa"/>
            <w:noWrap/>
            <w:hideMark/>
          </w:tcPr>
          <w:p w14:paraId="7AAB8DF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5F7141A" w14:textId="77777777" w:rsidTr="001367E0">
        <w:tblPrEx>
          <w:tblCellMar>
            <w:left w:w="108" w:type="dxa"/>
            <w:right w:w="108" w:type="dxa"/>
          </w:tblCellMar>
        </w:tblPrEx>
        <w:trPr>
          <w:trHeight w:val="465"/>
        </w:trPr>
        <w:tc>
          <w:tcPr>
            <w:tcW w:w="737" w:type="dxa"/>
            <w:noWrap/>
            <w:hideMark/>
          </w:tcPr>
          <w:p w14:paraId="69D06FB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2220</w:t>
            </w:r>
          </w:p>
        </w:tc>
        <w:tc>
          <w:tcPr>
            <w:tcW w:w="1559" w:type="dxa"/>
            <w:noWrap/>
            <w:hideMark/>
          </w:tcPr>
          <w:p w14:paraId="7C5AB45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Catholic School</w:t>
            </w:r>
          </w:p>
        </w:tc>
        <w:tc>
          <w:tcPr>
            <w:tcW w:w="709" w:type="dxa"/>
            <w:noWrap/>
            <w:hideMark/>
          </w:tcPr>
          <w:p w14:paraId="3EC661C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BA1CAD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8F0434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45196B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458 Main Road</w:t>
            </w:r>
          </w:p>
        </w:tc>
        <w:tc>
          <w:tcPr>
            <w:tcW w:w="1134" w:type="dxa"/>
            <w:noWrap/>
            <w:hideMark/>
          </w:tcPr>
          <w:p w14:paraId="2910C75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03BC706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4.1</w:t>
            </w:r>
          </w:p>
        </w:tc>
        <w:tc>
          <w:tcPr>
            <w:tcW w:w="1134" w:type="dxa"/>
            <w:noWrap/>
            <w:hideMark/>
          </w:tcPr>
          <w:p w14:paraId="6F302B4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11.1</w:t>
            </w:r>
          </w:p>
        </w:tc>
        <w:tc>
          <w:tcPr>
            <w:tcW w:w="1134" w:type="dxa"/>
            <w:noWrap/>
            <w:hideMark/>
          </w:tcPr>
          <w:p w14:paraId="25F92E2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36CE65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w:t>
            </w:r>
          </w:p>
        </w:tc>
        <w:tc>
          <w:tcPr>
            <w:tcW w:w="1417" w:type="dxa"/>
            <w:noWrap/>
            <w:hideMark/>
          </w:tcPr>
          <w:p w14:paraId="63CD4C5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0227221D" w14:textId="77777777" w:rsidTr="001367E0">
        <w:tblPrEx>
          <w:tblCellMar>
            <w:left w:w="108" w:type="dxa"/>
            <w:right w:w="108" w:type="dxa"/>
          </w:tblCellMar>
        </w:tblPrEx>
        <w:trPr>
          <w:trHeight w:val="465"/>
        </w:trPr>
        <w:tc>
          <w:tcPr>
            <w:tcW w:w="737" w:type="dxa"/>
            <w:noWrap/>
            <w:hideMark/>
          </w:tcPr>
          <w:p w14:paraId="02CB098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1850</w:t>
            </w:r>
          </w:p>
        </w:tc>
        <w:tc>
          <w:tcPr>
            <w:tcW w:w="1559" w:type="dxa"/>
            <w:noWrap/>
            <w:hideMark/>
          </w:tcPr>
          <w:p w14:paraId="42386E7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High School</w:t>
            </w:r>
          </w:p>
        </w:tc>
        <w:tc>
          <w:tcPr>
            <w:tcW w:w="709" w:type="dxa"/>
            <w:noWrap/>
            <w:hideMark/>
          </w:tcPr>
          <w:p w14:paraId="09F25B1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19E6BD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259CA83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05EE494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Canterbury Street</w:t>
            </w:r>
          </w:p>
        </w:tc>
        <w:tc>
          <w:tcPr>
            <w:tcW w:w="1134" w:type="dxa"/>
            <w:noWrap/>
            <w:hideMark/>
          </w:tcPr>
          <w:p w14:paraId="217D257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5912504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24.4</w:t>
            </w:r>
          </w:p>
        </w:tc>
        <w:tc>
          <w:tcPr>
            <w:tcW w:w="1134" w:type="dxa"/>
            <w:noWrap/>
            <w:hideMark/>
          </w:tcPr>
          <w:p w14:paraId="2E9F2AD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37.5</w:t>
            </w:r>
          </w:p>
        </w:tc>
        <w:tc>
          <w:tcPr>
            <w:tcW w:w="1134" w:type="dxa"/>
            <w:noWrap/>
            <w:hideMark/>
          </w:tcPr>
          <w:p w14:paraId="2B3B023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1D029A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75</w:t>
            </w:r>
          </w:p>
        </w:tc>
        <w:tc>
          <w:tcPr>
            <w:tcW w:w="1417" w:type="dxa"/>
            <w:noWrap/>
            <w:hideMark/>
          </w:tcPr>
          <w:p w14:paraId="79DBD92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r>
      <w:tr w:rsidR="00107BB9" w:rsidRPr="00107BB9" w14:paraId="576152A8" w14:textId="77777777" w:rsidTr="001367E0">
        <w:tblPrEx>
          <w:tblCellMar>
            <w:left w:w="108" w:type="dxa"/>
            <w:right w:w="108" w:type="dxa"/>
          </w:tblCellMar>
        </w:tblPrEx>
        <w:trPr>
          <w:trHeight w:val="465"/>
        </w:trPr>
        <w:tc>
          <w:tcPr>
            <w:tcW w:w="737" w:type="dxa"/>
            <w:noWrap/>
            <w:hideMark/>
          </w:tcPr>
          <w:p w14:paraId="32545DC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1823</w:t>
            </w:r>
          </w:p>
        </w:tc>
        <w:tc>
          <w:tcPr>
            <w:tcW w:w="1559" w:type="dxa"/>
            <w:noWrap/>
            <w:hideMark/>
          </w:tcPr>
          <w:p w14:paraId="699E20F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Primary School</w:t>
            </w:r>
          </w:p>
        </w:tc>
        <w:tc>
          <w:tcPr>
            <w:tcW w:w="709" w:type="dxa"/>
            <w:noWrap/>
            <w:hideMark/>
          </w:tcPr>
          <w:p w14:paraId="7264734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2A693A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1B7B3E1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208E83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Dangar St</w:t>
            </w:r>
          </w:p>
        </w:tc>
        <w:tc>
          <w:tcPr>
            <w:tcW w:w="1134" w:type="dxa"/>
            <w:noWrap/>
            <w:hideMark/>
          </w:tcPr>
          <w:p w14:paraId="0AC08DB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1809B79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15.2</w:t>
            </w:r>
          </w:p>
        </w:tc>
        <w:tc>
          <w:tcPr>
            <w:tcW w:w="1134" w:type="dxa"/>
            <w:noWrap/>
            <w:hideMark/>
          </w:tcPr>
          <w:p w14:paraId="47D4FD5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56.3</w:t>
            </w:r>
          </w:p>
        </w:tc>
        <w:tc>
          <w:tcPr>
            <w:tcW w:w="1134" w:type="dxa"/>
            <w:noWrap/>
            <w:hideMark/>
          </w:tcPr>
          <w:p w14:paraId="5107B22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F4A107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w:t>
            </w:r>
          </w:p>
        </w:tc>
        <w:tc>
          <w:tcPr>
            <w:tcW w:w="1417" w:type="dxa"/>
            <w:noWrap/>
            <w:hideMark/>
          </w:tcPr>
          <w:p w14:paraId="47670CC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w:t>
            </w:r>
          </w:p>
        </w:tc>
      </w:tr>
      <w:tr w:rsidR="00107BB9" w:rsidRPr="00107BB9" w14:paraId="228E7A7B" w14:textId="77777777" w:rsidTr="001367E0">
        <w:tblPrEx>
          <w:tblCellMar>
            <w:left w:w="108" w:type="dxa"/>
            <w:right w:w="108" w:type="dxa"/>
          </w:tblCellMar>
        </w:tblPrEx>
        <w:trPr>
          <w:trHeight w:val="465"/>
        </w:trPr>
        <w:tc>
          <w:tcPr>
            <w:tcW w:w="737" w:type="dxa"/>
            <w:noWrap/>
            <w:hideMark/>
          </w:tcPr>
          <w:p w14:paraId="4BACCB4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1828</w:t>
            </w:r>
          </w:p>
        </w:tc>
        <w:tc>
          <w:tcPr>
            <w:tcW w:w="1559" w:type="dxa"/>
            <w:noWrap/>
            <w:hideMark/>
          </w:tcPr>
          <w:p w14:paraId="3EFE366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Primary School</w:t>
            </w:r>
          </w:p>
        </w:tc>
        <w:tc>
          <w:tcPr>
            <w:tcW w:w="709" w:type="dxa"/>
            <w:noWrap/>
            <w:hideMark/>
          </w:tcPr>
          <w:p w14:paraId="3979292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82D08B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72B5751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6597D7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Park Street</w:t>
            </w:r>
          </w:p>
        </w:tc>
        <w:tc>
          <w:tcPr>
            <w:tcW w:w="1134" w:type="dxa"/>
            <w:noWrap/>
            <w:hideMark/>
          </w:tcPr>
          <w:p w14:paraId="222F528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0C7D575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w:t>
            </w:r>
          </w:p>
        </w:tc>
        <w:tc>
          <w:tcPr>
            <w:tcW w:w="1134" w:type="dxa"/>
            <w:noWrap/>
            <w:hideMark/>
          </w:tcPr>
          <w:p w14:paraId="3F8C5FB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741221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8C6673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c>
          <w:tcPr>
            <w:tcW w:w="1417" w:type="dxa"/>
            <w:noWrap/>
            <w:hideMark/>
          </w:tcPr>
          <w:p w14:paraId="1E7250B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098D426A" w14:textId="77777777" w:rsidTr="001367E0">
        <w:tblPrEx>
          <w:tblCellMar>
            <w:left w:w="108" w:type="dxa"/>
            <w:right w:w="108" w:type="dxa"/>
          </w:tblCellMar>
        </w:tblPrEx>
        <w:trPr>
          <w:trHeight w:val="465"/>
        </w:trPr>
        <w:tc>
          <w:tcPr>
            <w:tcW w:w="737" w:type="dxa"/>
            <w:noWrap/>
            <w:hideMark/>
          </w:tcPr>
          <w:p w14:paraId="4EFD94E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1846</w:t>
            </w:r>
          </w:p>
        </w:tc>
        <w:tc>
          <w:tcPr>
            <w:tcW w:w="1559" w:type="dxa"/>
            <w:noWrap/>
            <w:hideMark/>
          </w:tcPr>
          <w:p w14:paraId="7146420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Primary School</w:t>
            </w:r>
          </w:p>
        </w:tc>
        <w:tc>
          <w:tcPr>
            <w:tcW w:w="709" w:type="dxa"/>
            <w:noWrap/>
            <w:hideMark/>
          </w:tcPr>
          <w:p w14:paraId="2F60C84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2EF0710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592C476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2BCD11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Selwyn Street</w:t>
            </w:r>
          </w:p>
        </w:tc>
        <w:tc>
          <w:tcPr>
            <w:tcW w:w="1134" w:type="dxa"/>
            <w:noWrap/>
            <w:hideMark/>
          </w:tcPr>
          <w:p w14:paraId="70ADB3B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LSES2009</w:t>
            </w:r>
          </w:p>
        </w:tc>
        <w:tc>
          <w:tcPr>
            <w:tcW w:w="1276" w:type="dxa"/>
            <w:noWrap/>
            <w:hideMark/>
          </w:tcPr>
          <w:p w14:paraId="52D58B2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23.5</w:t>
            </w:r>
          </w:p>
        </w:tc>
        <w:tc>
          <w:tcPr>
            <w:tcW w:w="1134" w:type="dxa"/>
            <w:noWrap/>
            <w:hideMark/>
          </w:tcPr>
          <w:p w14:paraId="6548AFE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092505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820343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w:t>
            </w:r>
          </w:p>
        </w:tc>
        <w:tc>
          <w:tcPr>
            <w:tcW w:w="1417" w:type="dxa"/>
            <w:noWrap/>
            <w:hideMark/>
          </w:tcPr>
          <w:p w14:paraId="0680782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C477237" w14:textId="77777777" w:rsidTr="001367E0">
        <w:tblPrEx>
          <w:tblCellMar>
            <w:left w:w="108" w:type="dxa"/>
            <w:right w:w="108" w:type="dxa"/>
          </w:tblCellMar>
        </w:tblPrEx>
        <w:trPr>
          <w:trHeight w:val="465"/>
        </w:trPr>
        <w:tc>
          <w:tcPr>
            <w:tcW w:w="737" w:type="dxa"/>
            <w:noWrap/>
            <w:hideMark/>
          </w:tcPr>
          <w:p w14:paraId="0B39875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1848</w:t>
            </w:r>
          </w:p>
        </w:tc>
        <w:tc>
          <w:tcPr>
            <w:tcW w:w="1559" w:type="dxa"/>
            <w:noWrap/>
            <w:hideMark/>
          </w:tcPr>
          <w:p w14:paraId="390AF71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Primary School</w:t>
            </w:r>
          </w:p>
        </w:tc>
        <w:tc>
          <w:tcPr>
            <w:tcW w:w="709" w:type="dxa"/>
            <w:noWrap/>
            <w:hideMark/>
          </w:tcPr>
          <w:p w14:paraId="74B6144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835E43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1680801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ABE22E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Carbin Street</w:t>
            </w:r>
          </w:p>
        </w:tc>
        <w:tc>
          <w:tcPr>
            <w:tcW w:w="1134" w:type="dxa"/>
            <w:noWrap/>
            <w:hideMark/>
          </w:tcPr>
          <w:p w14:paraId="4B4EEFF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2E59632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36.8</w:t>
            </w:r>
          </w:p>
        </w:tc>
        <w:tc>
          <w:tcPr>
            <w:tcW w:w="1134" w:type="dxa"/>
            <w:noWrap/>
            <w:hideMark/>
          </w:tcPr>
          <w:p w14:paraId="363C8E8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46.7</w:t>
            </w:r>
          </w:p>
        </w:tc>
        <w:tc>
          <w:tcPr>
            <w:tcW w:w="1134" w:type="dxa"/>
            <w:noWrap/>
            <w:hideMark/>
          </w:tcPr>
          <w:p w14:paraId="4C34AAF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11.1</w:t>
            </w:r>
          </w:p>
        </w:tc>
        <w:tc>
          <w:tcPr>
            <w:tcW w:w="1276" w:type="dxa"/>
            <w:noWrap/>
            <w:hideMark/>
          </w:tcPr>
          <w:p w14:paraId="1B8F51A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w:t>
            </w:r>
          </w:p>
        </w:tc>
        <w:tc>
          <w:tcPr>
            <w:tcW w:w="1417" w:type="dxa"/>
            <w:noWrap/>
            <w:hideMark/>
          </w:tcPr>
          <w:p w14:paraId="643BFC3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w:t>
            </w:r>
          </w:p>
        </w:tc>
      </w:tr>
      <w:tr w:rsidR="00107BB9" w:rsidRPr="00107BB9" w14:paraId="1E99D5E3" w14:textId="77777777" w:rsidTr="001367E0">
        <w:tblPrEx>
          <w:tblCellMar>
            <w:left w:w="108" w:type="dxa"/>
            <w:right w:w="108" w:type="dxa"/>
          </w:tblCellMar>
        </w:tblPrEx>
        <w:trPr>
          <w:trHeight w:val="465"/>
        </w:trPr>
        <w:tc>
          <w:tcPr>
            <w:tcW w:w="737" w:type="dxa"/>
            <w:noWrap/>
            <w:hideMark/>
          </w:tcPr>
          <w:p w14:paraId="0BF5969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1853</w:t>
            </w:r>
          </w:p>
        </w:tc>
        <w:tc>
          <w:tcPr>
            <w:tcW w:w="1559" w:type="dxa"/>
            <w:noWrap/>
            <w:hideMark/>
          </w:tcPr>
          <w:p w14:paraId="679E632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Primary School</w:t>
            </w:r>
          </w:p>
        </w:tc>
        <w:tc>
          <w:tcPr>
            <w:tcW w:w="709" w:type="dxa"/>
            <w:noWrap/>
            <w:hideMark/>
          </w:tcPr>
          <w:p w14:paraId="424E187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490D9CD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2.1.2</w:t>
            </w:r>
          </w:p>
        </w:tc>
        <w:tc>
          <w:tcPr>
            <w:tcW w:w="1134" w:type="dxa"/>
            <w:noWrap/>
            <w:hideMark/>
          </w:tcPr>
          <w:p w14:paraId="2A47D25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05DC18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Wheeler's Lane</w:t>
            </w:r>
          </w:p>
        </w:tc>
        <w:tc>
          <w:tcPr>
            <w:tcW w:w="1134" w:type="dxa"/>
            <w:noWrap/>
            <w:hideMark/>
          </w:tcPr>
          <w:p w14:paraId="47D5408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5B19BD5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12.6</w:t>
            </w:r>
          </w:p>
        </w:tc>
        <w:tc>
          <w:tcPr>
            <w:tcW w:w="1134" w:type="dxa"/>
            <w:noWrap/>
            <w:hideMark/>
          </w:tcPr>
          <w:p w14:paraId="05813F7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4A6DA7E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BCF2EA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32</w:t>
            </w:r>
          </w:p>
        </w:tc>
        <w:tc>
          <w:tcPr>
            <w:tcW w:w="1417" w:type="dxa"/>
            <w:noWrap/>
            <w:hideMark/>
          </w:tcPr>
          <w:p w14:paraId="063E499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w:t>
            </w:r>
          </w:p>
        </w:tc>
      </w:tr>
      <w:tr w:rsidR="00107BB9" w:rsidRPr="00107BB9" w14:paraId="762EC6DC" w14:textId="77777777" w:rsidTr="001367E0">
        <w:tblPrEx>
          <w:tblCellMar>
            <w:left w:w="108" w:type="dxa"/>
            <w:right w:w="108" w:type="dxa"/>
          </w:tblCellMar>
        </w:tblPrEx>
        <w:trPr>
          <w:trHeight w:val="465"/>
        </w:trPr>
        <w:tc>
          <w:tcPr>
            <w:tcW w:w="737" w:type="dxa"/>
            <w:noWrap/>
            <w:hideMark/>
          </w:tcPr>
          <w:p w14:paraId="0EAF298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1856</w:t>
            </w:r>
          </w:p>
        </w:tc>
        <w:tc>
          <w:tcPr>
            <w:tcW w:w="1559" w:type="dxa"/>
            <w:noWrap/>
            <w:hideMark/>
          </w:tcPr>
          <w:p w14:paraId="70D7EAA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Primary School</w:t>
            </w:r>
          </w:p>
        </w:tc>
        <w:tc>
          <w:tcPr>
            <w:tcW w:w="709" w:type="dxa"/>
            <w:noWrap/>
            <w:hideMark/>
          </w:tcPr>
          <w:p w14:paraId="265178E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E993D1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77CA8EF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0DCCA7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436 Moppett Street</w:t>
            </w:r>
          </w:p>
        </w:tc>
        <w:tc>
          <w:tcPr>
            <w:tcW w:w="1134" w:type="dxa"/>
            <w:noWrap/>
            <w:hideMark/>
          </w:tcPr>
          <w:p w14:paraId="214F29F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750AC00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29.5</w:t>
            </w:r>
          </w:p>
        </w:tc>
        <w:tc>
          <w:tcPr>
            <w:tcW w:w="1134" w:type="dxa"/>
            <w:noWrap/>
            <w:hideMark/>
          </w:tcPr>
          <w:p w14:paraId="3876973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60.0</w:t>
            </w:r>
          </w:p>
        </w:tc>
        <w:tc>
          <w:tcPr>
            <w:tcW w:w="1134" w:type="dxa"/>
            <w:noWrap/>
            <w:hideMark/>
          </w:tcPr>
          <w:p w14:paraId="38936FB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B30D64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w:t>
            </w:r>
          </w:p>
        </w:tc>
        <w:tc>
          <w:tcPr>
            <w:tcW w:w="1417" w:type="dxa"/>
            <w:noWrap/>
            <w:hideMark/>
          </w:tcPr>
          <w:p w14:paraId="6B99611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r>
      <w:tr w:rsidR="00107BB9" w:rsidRPr="00107BB9" w14:paraId="777BA86A" w14:textId="77777777" w:rsidTr="001367E0">
        <w:tblPrEx>
          <w:tblCellMar>
            <w:left w:w="108" w:type="dxa"/>
            <w:right w:w="108" w:type="dxa"/>
          </w:tblCellMar>
        </w:tblPrEx>
        <w:trPr>
          <w:trHeight w:val="465"/>
        </w:trPr>
        <w:tc>
          <w:tcPr>
            <w:tcW w:w="737" w:type="dxa"/>
            <w:noWrap/>
            <w:hideMark/>
          </w:tcPr>
          <w:p w14:paraId="7B8FCA6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1863</w:t>
            </w:r>
          </w:p>
        </w:tc>
        <w:tc>
          <w:tcPr>
            <w:tcW w:w="1559" w:type="dxa"/>
            <w:noWrap/>
            <w:hideMark/>
          </w:tcPr>
          <w:p w14:paraId="56549B3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Primary School</w:t>
            </w:r>
          </w:p>
        </w:tc>
        <w:tc>
          <w:tcPr>
            <w:tcW w:w="709" w:type="dxa"/>
            <w:noWrap/>
            <w:hideMark/>
          </w:tcPr>
          <w:p w14:paraId="06D3B06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22318F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2.1.1</w:t>
            </w:r>
          </w:p>
        </w:tc>
        <w:tc>
          <w:tcPr>
            <w:tcW w:w="1134" w:type="dxa"/>
            <w:noWrap/>
            <w:hideMark/>
          </w:tcPr>
          <w:p w14:paraId="1781826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E73F4D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Cnr Byng &amp; Park Streets</w:t>
            </w:r>
          </w:p>
        </w:tc>
        <w:tc>
          <w:tcPr>
            <w:tcW w:w="1134" w:type="dxa"/>
            <w:noWrap/>
            <w:hideMark/>
          </w:tcPr>
          <w:p w14:paraId="2183F98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5F077BD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8.7</w:t>
            </w:r>
          </w:p>
        </w:tc>
        <w:tc>
          <w:tcPr>
            <w:tcW w:w="1134" w:type="dxa"/>
            <w:noWrap/>
            <w:hideMark/>
          </w:tcPr>
          <w:p w14:paraId="3D26C6D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8.6</w:t>
            </w:r>
          </w:p>
        </w:tc>
        <w:tc>
          <w:tcPr>
            <w:tcW w:w="1134" w:type="dxa"/>
            <w:noWrap/>
            <w:hideMark/>
          </w:tcPr>
          <w:p w14:paraId="13A7EB5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4.6</w:t>
            </w:r>
          </w:p>
        </w:tc>
        <w:tc>
          <w:tcPr>
            <w:tcW w:w="1276" w:type="dxa"/>
            <w:noWrap/>
            <w:hideMark/>
          </w:tcPr>
          <w:p w14:paraId="2BFD623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w:t>
            </w:r>
          </w:p>
        </w:tc>
        <w:tc>
          <w:tcPr>
            <w:tcW w:w="1417" w:type="dxa"/>
            <w:noWrap/>
            <w:hideMark/>
          </w:tcPr>
          <w:p w14:paraId="32AED05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w:t>
            </w:r>
          </w:p>
        </w:tc>
      </w:tr>
      <w:tr w:rsidR="00107BB9" w:rsidRPr="00107BB9" w14:paraId="3CF9A7AD" w14:textId="77777777" w:rsidTr="001367E0">
        <w:tblPrEx>
          <w:tblCellMar>
            <w:left w:w="108" w:type="dxa"/>
            <w:right w:w="108" w:type="dxa"/>
          </w:tblCellMar>
        </w:tblPrEx>
        <w:trPr>
          <w:trHeight w:val="465"/>
        </w:trPr>
        <w:tc>
          <w:tcPr>
            <w:tcW w:w="737" w:type="dxa"/>
            <w:noWrap/>
            <w:hideMark/>
          </w:tcPr>
          <w:p w14:paraId="5DF8F2A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1867</w:t>
            </w:r>
          </w:p>
        </w:tc>
        <w:tc>
          <w:tcPr>
            <w:tcW w:w="1559" w:type="dxa"/>
            <w:noWrap/>
            <w:hideMark/>
          </w:tcPr>
          <w:p w14:paraId="3281CC2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Primary School</w:t>
            </w:r>
          </w:p>
        </w:tc>
        <w:tc>
          <w:tcPr>
            <w:tcW w:w="709" w:type="dxa"/>
            <w:noWrap/>
            <w:hideMark/>
          </w:tcPr>
          <w:p w14:paraId="3881EC0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B49A08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02A0A49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7D772F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Lawson Street</w:t>
            </w:r>
          </w:p>
        </w:tc>
        <w:tc>
          <w:tcPr>
            <w:tcW w:w="1134" w:type="dxa"/>
            <w:noWrap/>
            <w:hideMark/>
          </w:tcPr>
          <w:p w14:paraId="4F61A74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705C095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8.3</w:t>
            </w:r>
          </w:p>
        </w:tc>
        <w:tc>
          <w:tcPr>
            <w:tcW w:w="1134" w:type="dxa"/>
            <w:noWrap/>
            <w:hideMark/>
          </w:tcPr>
          <w:p w14:paraId="15DF3CA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0278C3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83C06B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c>
          <w:tcPr>
            <w:tcW w:w="1417" w:type="dxa"/>
            <w:noWrap/>
            <w:hideMark/>
          </w:tcPr>
          <w:p w14:paraId="31DB167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DB5233A" w14:textId="77777777" w:rsidTr="001367E0">
        <w:tblPrEx>
          <w:tblCellMar>
            <w:left w:w="108" w:type="dxa"/>
            <w:right w:w="108" w:type="dxa"/>
          </w:tblCellMar>
        </w:tblPrEx>
        <w:trPr>
          <w:trHeight w:val="465"/>
        </w:trPr>
        <w:tc>
          <w:tcPr>
            <w:tcW w:w="737" w:type="dxa"/>
            <w:noWrap/>
            <w:hideMark/>
          </w:tcPr>
          <w:p w14:paraId="50A2668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2242</w:t>
            </w:r>
          </w:p>
        </w:tc>
        <w:tc>
          <w:tcPr>
            <w:tcW w:w="1559" w:type="dxa"/>
            <w:noWrap/>
            <w:hideMark/>
          </w:tcPr>
          <w:p w14:paraId="0143F1E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Primary School</w:t>
            </w:r>
          </w:p>
        </w:tc>
        <w:tc>
          <w:tcPr>
            <w:tcW w:w="709" w:type="dxa"/>
            <w:noWrap/>
            <w:hideMark/>
          </w:tcPr>
          <w:p w14:paraId="26A31E5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AD045D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0313A0E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310C01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Centre Street</w:t>
            </w:r>
          </w:p>
        </w:tc>
        <w:tc>
          <w:tcPr>
            <w:tcW w:w="1134" w:type="dxa"/>
            <w:noWrap/>
            <w:hideMark/>
          </w:tcPr>
          <w:p w14:paraId="54A5399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619E8E5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20.6</w:t>
            </w:r>
          </w:p>
        </w:tc>
        <w:tc>
          <w:tcPr>
            <w:tcW w:w="1134" w:type="dxa"/>
            <w:noWrap/>
            <w:hideMark/>
          </w:tcPr>
          <w:p w14:paraId="1AC8C7C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23A4DB0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w:t>
            </w:r>
          </w:p>
        </w:tc>
        <w:tc>
          <w:tcPr>
            <w:tcW w:w="1276" w:type="dxa"/>
            <w:noWrap/>
            <w:hideMark/>
          </w:tcPr>
          <w:p w14:paraId="0673B58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60</w:t>
            </w:r>
          </w:p>
        </w:tc>
        <w:tc>
          <w:tcPr>
            <w:tcW w:w="1417" w:type="dxa"/>
            <w:noWrap/>
            <w:hideMark/>
          </w:tcPr>
          <w:p w14:paraId="2007939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w:t>
            </w:r>
          </w:p>
        </w:tc>
      </w:tr>
      <w:tr w:rsidR="00107BB9" w:rsidRPr="00107BB9" w14:paraId="20295A57" w14:textId="77777777" w:rsidTr="001367E0">
        <w:tblPrEx>
          <w:tblCellMar>
            <w:left w:w="108" w:type="dxa"/>
            <w:right w:w="108" w:type="dxa"/>
          </w:tblCellMar>
        </w:tblPrEx>
        <w:trPr>
          <w:trHeight w:val="465"/>
        </w:trPr>
        <w:tc>
          <w:tcPr>
            <w:tcW w:w="737" w:type="dxa"/>
            <w:noWrap/>
            <w:hideMark/>
          </w:tcPr>
          <w:p w14:paraId="0915441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17909</w:t>
            </w:r>
          </w:p>
        </w:tc>
        <w:tc>
          <w:tcPr>
            <w:tcW w:w="1559" w:type="dxa"/>
            <w:noWrap/>
            <w:hideMark/>
          </w:tcPr>
          <w:p w14:paraId="0FE1B59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Primary School</w:t>
            </w:r>
          </w:p>
        </w:tc>
        <w:tc>
          <w:tcPr>
            <w:tcW w:w="709" w:type="dxa"/>
            <w:noWrap/>
            <w:hideMark/>
          </w:tcPr>
          <w:p w14:paraId="60FF50A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DC5A30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620C429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B64AA0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171 Turf Street</w:t>
            </w:r>
          </w:p>
        </w:tc>
        <w:tc>
          <w:tcPr>
            <w:tcW w:w="1134" w:type="dxa"/>
            <w:noWrap/>
            <w:hideMark/>
          </w:tcPr>
          <w:p w14:paraId="2FDA8C7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6E4C134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16.4</w:t>
            </w:r>
          </w:p>
        </w:tc>
        <w:tc>
          <w:tcPr>
            <w:tcW w:w="1134" w:type="dxa"/>
            <w:noWrap/>
            <w:hideMark/>
          </w:tcPr>
          <w:p w14:paraId="778CD81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w:t>
            </w:r>
          </w:p>
        </w:tc>
        <w:tc>
          <w:tcPr>
            <w:tcW w:w="1134" w:type="dxa"/>
            <w:noWrap/>
            <w:hideMark/>
          </w:tcPr>
          <w:p w14:paraId="714B053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61493A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w:t>
            </w:r>
          </w:p>
        </w:tc>
        <w:tc>
          <w:tcPr>
            <w:tcW w:w="1417" w:type="dxa"/>
            <w:noWrap/>
            <w:hideMark/>
          </w:tcPr>
          <w:p w14:paraId="3E716B2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08B95E1C" w14:textId="77777777" w:rsidTr="001367E0">
        <w:tblPrEx>
          <w:tblCellMar>
            <w:left w:w="108" w:type="dxa"/>
            <w:right w:w="108" w:type="dxa"/>
          </w:tblCellMar>
        </w:tblPrEx>
        <w:trPr>
          <w:trHeight w:val="465"/>
        </w:trPr>
        <w:tc>
          <w:tcPr>
            <w:tcW w:w="737" w:type="dxa"/>
            <w:noWrap/>
            <w:hideMark/>
          </w:tcPr>
          <w:p w14:paraId="6D7B8FE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1870</w:t>
            </w:r>
          </w:p>
        </w:tc>
        <w:tc>
          <w:tcPr>
            <w:tcW w:w="1559" w:type="dxa"/>
            <w:noWrap/>
            <w:hideMark/>
          </w:tcPr>
          <w:p w14:paraId="384C51A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Mary's Star of the Sea Primary School</w:t>
            </w:r>
          </w:p>
        </w:tc>
        <w:tc>
          <w:tcPr>
            <w:tcW w:w="709" w:type="dxa"/>
            <w:noWrap/>
            <w:hideMark/>
          </w:tcPr>
          <w:p w14:paraId="62E5717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73F07D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81BED7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271B07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24-26 Croydon Road</w:t>
            </w:r>
          </w:p>
        </w:tc>
        <w:tc>
          <w:tcPr>
            <w:tcW w:w="1134" w:type="dxa"/>
            <w:noWrap/>
            <w:hideMark/>
          </w:tcPr>
          <w:p w14:paraId="2E8BB4F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40A9A17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6.6</w:t>
            </w:r>
          </w:p>
        </w:tc>
        <w:tc>
          <w:tcPr>
            <w:tcW w:w="1134" w:type="dxa"/>
            <w:noWrap/>
            <w:hideMark/>
          </w:tcPr>
          <w:p w14:paraId="46A3841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A0EE22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807122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15</w:t>
            </w:r>
          </w:p>
        </w:tc>
        <w:tc>
          <w:tcPr>
            <w:tcW w:w="1417" w:type="dxa"/>
            <w:noWrap/>
            <w:hideMark/>
          </w:tcPr>
          <w:p w14:paraId="424FC15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3E2292A5" w14:textId="77777777" w:rsidTr="001367E0">
        <w:tblPrEx>
          <w:tblCellMar>
            <w:left w:w="108" w:type="dxa"/>
            <w:right w:w="108" w:type="dxa"/>
          </w:tblCellMar>
        </w:tblPrEx>
        <w:trPr>
          <w:trHeight w:val="465"/>
        </w:trPr>
        <w:tc>
          <w:tcPr>
            <w:tcW w:w="737" w:type="dxa"/>
            <w:noWrap/>
            <w:hideMark/>
          </w:tcPr>
          <w:p w14:paraId="4A5C056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1873</w:t>
            </w:r>
          </w:p>
        </w:tc>
        <w:tc>
          <w:tcPr>
            <w:tcW w:w="1559" w:type="dxa"/>
            <w:noWrap/>
            <w:hideMark/>
          </w:tcPr>
          <w:p w14:paraId="47491BB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Matthew's Catholic School</w:t>
            </w:r>
          </w:p>
        </w:tc>
        <w:tc>
          <w:tcPr>
            <w:tcW w:w="709" w:type="dxa"/>
            <w:noWrap/>
            <w:hideMark/>
          </w:tcPr>
          <w:p w14:paraId="5AB8EB4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327250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0FC3C79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 7</w:t>
            </w:r>
          </w:p>
        </w:tc>
        <w:tc>
          <w:tcPr>
            <w:tcW w:w="1843" w:type="dxa"/>
            <w:noWrap/>
            <w:hideMark/>
          </w:tcPr>
          <w:p w14:paraId="64CCF47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Lewis Street</w:t>
            </w:r>
          </w:p>
        </w:tc>
        <w:tc>
          <w:tcPr>
            <w:tcW w:w="1134" w:type="dxa"/>
            <w:noWrap/>
            <w:hideMark/>
          </w:tcPr>
          <w:p w14:paraId="25CAD5A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7172C3B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7.5</w:t>
            </w:r>
          </w:p>
        </w:tc>
        <w:tc>
          <w:tcPr>
            <w:tcW w:w="1134" w:type="dxa"/>
            <w:noWrap/>
            <w:hideMark/>
          </w:tcPr>
          <w:p w14:paraId="5ACAA30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2ADD779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D41EE9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24</w:t>
            </w:r>
          </w:p>
        </w:tc>
        <w:tc>
          <w:tcPr>
            <w:tcW w:w="1417" w:type="dxa"/>
            <w:noWrap/>
            <w:hideMark/>
          </w:tcPr>
          <w:p w14:paraId="3569FD2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7D730B87" w14:textId="77777777" w:rsidTr="001367E0">
        <w:tblPrEx>
          <w:tblCellMar>
            <w:left w:w="108" w:type="dxa"/>
            <w:right w:w="108" w:type="dxa"/>
          </w:tblCellMar>
        </w:tblPrEx>
        <w:trPr>
          <w:trHeight w:val="465"/>
        </w:trPr>
        <w:tc>
          <w:tcPr>
            <w:tcW w:w="737" w:type="dxa"/>
            <w:noWrap/>
            <w:hideMark/>
          </w:tcPr>
          <w:p w14:paraId="4F60A1F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1886</w:t>
            </w:r>
          </w:p>
        </w:tc>
        <w:tc>
          <w:tcPr>
            <w:tcW w:w="1559" w:type="dxa"/>
            <w:noWrap/>
            <w:hideMark/>
          </w:tcPr>
          <w:p w14:paraId="4932CC1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Michael's Primary School</w:t>
            </w:r>
          </w:p>
        </w:tc>
        <w:tc>
          <w:tcPr>
            <w:tcW w:w="709" w:type="dxa"/>
            <w:noWrap/>
            <w:hideMark/>
          </w:tcPr>
          <w:p w14:paraId="3CCC40C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2DE1BD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DDFB3A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9FB89E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181-187 Longueville Road</w:t>
            </w:r>
          </w:p>
        </w:tc>
        <w:tc>
          <w:tcPr>
            <w:tcW w:w="1134" w:type="dxa"/>
            <w:noWrap/>
            <w:hideMark/>
          </w:tcPr>
          <w:p w14:paraId="31E7106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086E22C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43A005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402B083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DE6987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c>
          <w:tcPr>
            <w:tcW w:w="1417" w:type="dxa"/>
            <w:noWrap/>
            <w:hideMark/>
          </w:tcPr>
          <w:p w14:paraId="2274FF4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7C38134D" w14:textId="77777777" w:rsidTr="001367E0">
        <w:tblPrEx>
          <w:tblCellMar>
            <w:left w:w="108" w:type="dxa"/>
            <w:right w:w="108" w:type="dxa"/>
          </w:tblCellMar>
        </w:tblPrEx>
        <w:trPr>
          <w:trHeight w:val="465"/>
        </w:trPr>
        <w:tc>
          <w:tcPr>
            <w:tcW w:w="737" w:type="dxa"/>
            <w:noWrap/>
            <w:hideMark/>
          </w:tcPr>
          <w:p w14:paraId="418E431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1887</w:t>
            </w:r>
          </w:p>
        </w:tc>
        <w:tc>
          <w:tcPr>
            <w:tcW w:w="1559" w:type="dxa"/>
            <w:noWrap/>
            <w:hideMark/>
          </w:tcPr>
          <w:p w14:paraId="09B0856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Michael's Primary School</w:t>
            </w:r>
          </w:p>
        </w:tc>
        <w:tc>
          <w:tcPr>
            <w:tcW w:w="709" w:type="dxa"/>
            <w:noWrap/>
            <w:hideMark/>
          </w:tcPr>
          <w:p w14:paraId="53F97A4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24D5F8A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3FB0CAE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C63D3A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45 Rowan Street</w:t>
            </w:r>
          </w:p>
        </w:tc>
        <w:tc>
          <w:tcPr>
            <w:tcW w:w="1134" w:type="dxa"/>
            <w:noWrap/>
            <w:hideMark/>
          </w:tcPr>
          <w:p w14:paraId="1CBBBD8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6962DAA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3.8</w:t>
            </w:r>
          </w:p>
        </w:tc>
        <w:tc>
          <w:tcPr>
            <w:tcW w:w="1134" w:type="dxa"/>
            <w:noWrap/>
            <w:hideMark/>
          </w:tcPr>
          <w:p w14:paraId="106B271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79C8535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531CEE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c>
          <w:tcPr>
            <w:tcW w:w="1417" w:type="dxa"/>
            <w:noWrap/>
            <w:hideMark/>
          </w:tcPr>
          <w:p w14:paraId="32DA4FE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69F08E7" w14:textId="77777777" w:rsidTr="001367E0">
        <w:tblPrEx>
          <w:tblCellMar>
            <w:left w:w="108" w:type="dxa"/>
            <w:right w:w="108" w:type="dxa"/>
          </w:tblCellMar>
        </w:tblPrEx>
        <w:trPr>
          <w:trHeight w:val="465"/>
        </w:trPr>
        <w:tc>
          <w:tcPr>
            <w:tcW w:w="737" w:type="dxa"/>
            <w:noWrap/>
            <w:hideMark/>
          </w:tcPr>
          <w:p w14:paraId="0E496EA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1888</w:t>
            </w:r>
          </w:p>
        </w:tc>
        <w:tc>
          <w:tcPr>
            <w:tcW w:w="1559" w:type="dxa"/>
            <w:noWrap/>
            <w:hideMark/>
          </w:tcPr>
          <w:p w14:paraId="3225E17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Michael's Primary School</w:t>
            </w:r>
          </w:p>
        </w:tc>
        <w:tc>
          <w:tcPr>
            <w:tcW w:w="709" w:type="dxa"/>
            <w:noWrap/>
            <w:hideMark/>
          </w:tcPr>
          <w:p w14:paraId="724871C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0425C7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CE2852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91B9C1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53 Maxim Street</w:t>
            </w:r>
          </w:p>
        </w:tc>
        <w:tc>
          <w:tcPr>
            <w:tcW w:w="1134" w:type="dxa"/>
            <w:noWrap/>
            <w:hideMark/>
          </w:tcPr>
          <w:p w14:paraId="433FCD3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01AF721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5.9</w:t>
            </w:r>
          </w:p>
        </w:tc>
        <w:tc>
          <w:tcPr>
            <w:tcW w:w="1134" w:type="dxa"/>
            <w:noWrap/>
            <w:hideMark/>
          </w:tcPr>
          <w:p w14:paraId="42B7E8E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246E503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7073EB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w:t>
            </w:r>
          </w:p>
        </w:tc>
        <w:tc>
          <w:tcPr>
            <w:tcW w:w="1417" w:type="dxa"/>
            <w:noWrap/>
            <w:hideMark/>
          </w:tcPr>
          <w:p w14:paraId="2BFDE74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67EB1296" w14:textId="77777777" w:rsidTr="001367E0">
        <w:tblPrEx>
          <w:tblCellMar>
            <w:left w:w="108" w:type="dxa"/>
            <w:right w:w="108" w:type="dxa"/>
          </w:tblCellMar>
        </w:tblPrEx>
        <w:trPr>
          <w:trHeight w:val="465"/>
        </w:trPr>
        <w:tc>
          <w:tcPr>
            <w:tcW w:w="737" w:type="dxa"/>
            <w:noWrap/>
            <w:hideMark/>
          </w:tcPr>
          <w:p w14:paraId="5E256BE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17021</w:t>
            </w:r>
          </w:p>
        </w:tc>
        <w:tc>
          <w:tcPr>
            <w:tcW w:w="1559" w:type="dxa"/>
            <w:noWrap/>
            <w:hideMark/>
          </w:tcPr>
          <w:p w14:paraId="5CA9123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Nicholas' Primary School</w:t>
            </w:r>
          </w:p>
        </w:tc>
        <w:tc>
          <w:tcPr>
            <w:tcW w:w="709" w:type="dxa"/>
            <w:noWrap/>
            <w:hideMark/>
          </w:tcPr>
          <w:p w14:paraId="5D2BF87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AE86B3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2.1.2</w:t>
            </w:r>
          </w:p>
        </w:tc>
        <w:tc>
          <w:tcPr>
            <w:tcW w:w="1134" w:type="dxa"/>
            <w:noWrap/>
            <w:hideMark/>
          </w:tcPr>
          <w:p w14:paraId="4166D3D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0DA6A8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143-149 Carthage Street</w:t>
            </w:r>
          </w:p>
        </w:tc>
        <w:tc>
          <w:tcPr>
            <w:tcW w:w="1134" w:type="dxa"/>
            <w:noWrap/>
            <w:hideMark/>
          </w:tcPr>
          <w:p w14:paraId="76357B1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7CBFBDC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12.9</w:t>
            </w:r>
          </w:p>
        </w:tc>
        <w:tc>
          <w:tcPr>
            <w:tcW w:w="1134" w:type="dxa"/>
            <w:noWrap/>
            <w:hideMark/>
          </w:tcPr>
          <w:p w14:paraId="62DF68F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40.0</w:t>
            </w:r>
          </w:p>
        </w:tc>
        <w:tc>
          <w:tcPr>
            <w:tcW w:w="1134" w:type="dxa"/>
            <w:noWrap/>
            <w:hideMark/>
          </w:tcPr>
          <w:p w14:paraId="2FCA62B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023A971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30</w:t>
            </w:r>
          </w:p>
        </w:tc>
        <w:tc>
          <w:tcPr>
            <w:tcW w:w="1417" w:type="dxa"/>
            <w:noWrap/>
            <w:hideMark/>
          </w:tcPr>
          <w:p w14:paraId="1CC2600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w:t>
            </w:r>
          </w:p>
        </w:tc>
      </w:tr>
      <w:tr w:rsidR="00107BB9" w:rsidRPr="00107BB9" w14:paraId="6FD669A7" w14:textId="77777777" w:rsidTr="001367E0">
        <w:tblPrEx>
          <w:tblCellMar>
            <w:left w:w="108" w:type="dxa"/>
            <w:right w:w="108" w:type="dxa"/>
          </w:tblCellMar>
        </w:tblPrEx>
        <w:trPr>
          <w:trHeight w:val="465"/>
        </w:trPr>
        <w:tc>
          <w:tcPr>
            <w:tcW w:w="737" w:type="dxa"/>
            <w:noWrap/>
            <w:hideMark/>
          </w:tcPr>
          <w:p w14:paraId="4034E2C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1321</w:t>
            </w:r>
          </w:p>
        </w:tc>
        <w:tc>
          <w:tcPr>
            <w:tcW w:w="1559" w:type="dxa"/>
            <w:noWrap/>
            <w:hideMark/>
          </w:tcPr>
          <w:p w14:paraId="47EBCCE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Oliver's Primary School</w:t>
            </w:r>
          </w:p>
        </w:tc>
        <w:tc>
          <w:tcPr>
            <w:tcW w:w="709" w:type="dxa"/>
            <w:noWrap/>
            <w:hideMark/>
          </w:tcPr>
          <w:p w14:paraId="3C21462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38D773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523A7D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3EBA12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33 Wigram Street</w:t>
            </w:r>
          </w:p>
        </w:tc>
        <w:tc>
          <w:tcPr>
            <w:tcW w:w="1134" w:type="dxa"/>
            <w:noWrap/>
            <w:hideMark/>
          </w:tcPr>
          <w:p w14:paraId="019317A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02FF7FD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w:t>
            </w:r>
          </w:p>
        </w:tc>
        <w:tc>
          <w:tcPr>
            <w:tcW w:w="1134" w:type="dxa"/>
            <w:noWrap/>
            <w:hideMark/>
          </w:tcPr>
          <w:p w14:paraId="1ED845F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A0087B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3163D33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417" w:type="dxa"/>
            <w:noWrap/>
            <w:hideMark/>
          </w:tcPr>
          <w:p w14:paraId="5DAA784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269C961" w14:textId="77777777" w:rsidTr="001367E0">
        <w:tblPrEx>
          <w:tblCellMar>
            <w:left w:w="108" w:type="dxa"/>
            <w:right w:w="108" w:type="dxa"/>
          </w:tblCellMar>
        </w:tblPrEx>
        <w:trPr>
          <w:trHeight w:val="465"/>
        </w:trPr>
        <w:tc>
          <w:tcPr>
            <w:tcW w:w="737" w:type="dxa"/>
            <w:noWrap/>
            <w:hideMark/>
          </w:tcPr>
          <w:p w14:paraId="0FA02EA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1905</w:t>
            </w:r>
          </w:p>
        </w:tc>
        <w:tc>
          <w:tcPr>
            <w:tcW w:w="1559" w:type="dxa"/>
            <w:noWrap/>
            <w:hideMark/>
          </w:tcPr>
          <w:p w14:paraId="0F2A36E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Patrick's Catholic School</w:t>
            </w:r>
          </w:p>
        </w:tc>
        <w:tc>
          <w:tcPr>
            <w:tcW w:w="709" w:type="dxa"/>
            <w:noWrap/>
            <w:hideMark/>
          </w:tcPr>
          <w:p w14:paraId="6188EFE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D68E67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C5DF96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C3601F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Cnr York and Melbourne Streets</w:t>
            </w:r>
          </w:p>
        </w:tc>
        <w:tc>
          <w:tcPr>
            <w:tcW w:w="1134" w:type="dxa"/>
            <w:noWrap/>
            <w:hideMark/>
          </w:tcPr>
          <w:p w14:paraId="1EF746B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0F6195D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9.9</w:t>
            </w:r>
          </w:p>
        </w:tc>
        <w:tc>
          <w:tcPr>
            <w:tcW w:w="1134" w:type="dxa"/>
            <w:noWrap/>
            <w:hideMark/>
          </w:tcPr>
          <w:p w14:paraId="2DBEBA3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08F9B62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ECDD38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w:t>
            </w:r>
          </w:p>
        </w:tc>
        <w:tc>
          <w:tcPr>
            <w:tcW w:w="1417" w:type="dxa"/>
            <w:noWrap/>
            <w:hideMark/>
          </w:tcPr>
          <w:p w14:paraId="6938C85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3AA52609" w14:textId="77777777" w:rsidTr="001367E0">
        <w:tblPrEx>
          <w:tblCellMar>
            <w:left w:w="108" w:type="dxa"/>
            <w:right w:w="108" w:type="dxa"/>
          </w:tblCellMar>
        </w:tblPrEx>
        <w:trPr>
          <w:trHeight w:val="465"/>
        </w:trPr>
        <w:tc>
          <w:tcPr>
            <w:tcW w:w="737" w:type="dxa"/>
            <w:noWrap/>
            <w:hideMark/>
          </w:tcPr>
          <w:p w14:paraId="6F5F750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1329</w:t>
            </w:r>
          </w:p>
        </w:tc>
        <w:tc>
          <w:tcPr>
            <w:tcW w:w="1559" w:type="dxa"/>
            <w:noWrap/>
            <w:hideMark/>
          </w:tcPr>
          <w:p w14:paraId="3C19E29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Patrick's Parish School</w:t>
            </w:r>
          </w:p>
        </w:tc>
        <w:tc>
          <w:tcPr>
            <w:tcW w:w="709" w:type="dxa"/>
            <w:noWrap/>
            <w:hideMark/>
          </w:tcPr>
          <w:p w14:paraId="481597B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F6AF6F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459047C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 7</w:t>
            </w:r>
          </w:p>
        </w:tc>
        <w:tc>
          <w:tcPr>
            <w:tcW w:w="1843" w:type="dxa"/>
            <w:noWrap/>
            <w:hideMark/>
          </w:tcPr>
          <w:p w14:paraId="4B1D869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Vale &amp; Murray Streets</w:t>
            </w:r>
          </w:p>
        </w:tc>
        <w:tc>
          <w:tcPr>
            <w:tcW w:w="1134" w:type="dxa"/>
            <w:noWrap/>
            <w:hideMark/>
          </w:tcPr>
          <w:p w14:paraId="46C2042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1C266B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16.5</w:t>
            </w:r>
          </w:p>
        </w:tc>
        <w:tc>
          <w:tcPr>
            <w:tcW w:w="1134" w:type="dxa"/>
            <w:noWrap/>
            <w:hideMark/>
          </w:tcPr>
          <w:p w14:paraId="08F8746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100.0</w:t>
            </w:r>
          </w:p>
        </w:tc>
        <w:tc>
          <w:tcPr>
            <w:tcW w:w="1134" w:type="dxa"/>
            <w:noWrap/>
            <w:hideMark/>
          </w:tcPr>
          <w:p w14:paraId="3E95B8F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0E645C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43</w:t>
            </w:r>
          </w:p>
        </w:tc>
        <w:tc>
          <w:tcPr>
            <w:tcW w:w="1417" w:type="dxa"/>
            <w:noWrap/>
            <w:hideMark/>
          </w:tcPr>
          <w:p w14:paraId="6D10DAC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6C9F93E4" w14:textId="77777777" w:rsidTr="001367E0">
        <w:tblPrEx>
          <w:tblCellMar>
            <w:left w:w="108" w:type="dxa"/>
            <w:right w:w="108" w:type="dxa"/>
          </w:tblCellMar>
        </w:tblPrEx>
        <w:trPr>
          <w:trHeight w:val="465"/>
        </w:trPr>
        <w:tc>
          <w:tcPr>
            <w:tcW w:w="737" w:type="dxa"/>
            <w:noWrap/>
            <w:hideMark/>
          </w:tcPr>
          <w:p w14:paraId="6CB0EDC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1911</w:t>
            </w:r>
          </w:p>
        </w:tc>
        <w:tc>
          <w:tcPr>
            <w:tcW w:w="1559" w:type="dxa"/>
            <w:noWrap/>
            <w:hideMark/>
          </w:tcPr>
          <w:p w14:paraId="5A9EC23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Patrick's Primary School</w:t>
            </w:r>
          </w:p>
        </w:tc>
        <w:tc>
          <w:tcPr>
            <w:tcW w:w="709" w:type="dxa"/>
            <w:noWrap/>
            <w:hideMark/>
          </w:tcPr>
          <w:p w14:paraId="178D601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25AB4CD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37AF6D5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0031E1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Gipps Street</w:t>
            </w:r>
          </w:p>
        </w:tc>
        <w:tc>
          <w:tcPr>
            <w:tcW w:w="1134" w:type="dxa"/>
            <w:noWrap/>
            <w:hideMark/>
          </w:tcPr>
          <w:p w14:paraId="72A53C2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4800A2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20.6</w:t>
            </w:r>
          </w:p>
        </w:tc>
        <w:tc>
          <w:tcPr>
            <w:tcW w:w="1134" w:type="dxa"/>
            <w:noWrap/>
            <w:hideMark/>
          </w:tcPr>
          <w:p w14:paraId="5B687F3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25.0</w:t>
            </w:r>
          </w:p>
        </w:tc>
        <w:tc>
          <w:tcPr>
            <w:tcW w:w="1134" w:type="dxa"/>
            <w:noWrap/>
            <w:hideMark/>
          </w:tcPr>
          <w:p w14:paraId="52E46CB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02A9FB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w:t>
            </w:r>
          </w:p>
        </w:tc>
        <w:tc>
          <w:tcPr>
            <w:tcW w:w="1417" w:type="dxa"/>
            <w:noWrap/>
            <w:hideMark/>
          </w:tcPr>
          <w:p w14:paraId="1E3EDC8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73851F17" w14:textId="77777777" w:rsidTr="001367E0">
        <w:tblPrEx>
          <w:tblCellMar>
            <w:left w:w="108" w:type="dxa"/>
            <w:right w:w="108" w:type="dxa"/>
          </w:tblCellMar>
        </w:tblPrEx>
        <w:trPr>
          <w:trHeight w:val="465"/>
        </w:trPr>
        <w:tc>
          <w:tcPr>
            <w:tcW w:w="737" w:type="dxa"/>
            <w:noWrap/>
            <w:hideMark/>
          </w:tcPr>
          <w:p w14:paraId="40F9720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1920</w:t>
            </w:r>
          </w:p>
        </w:tc>
        <w:tc>
          <w:tcPr>
            <w:tcW w:w="1559" w:type="dxa"/>
            <w:noWrap/>
            <w:hideMark/>
          </w:tcPr>
          <w:p w14:paraId="3C98A5C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Patrick's Primary School</w:t>
            </w:r>
          </w:p>
        </w:tc>
        <w:tc>
          <w:tcPr>
            <w:tcW w:w="709" w:type="dxa"/>
            <w:noWrap/>
            <w:hideMark/>
          </w:tcPr>
          <w:p w14:paraId="471D7DD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1718F2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0C8E84A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2846D5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145 Albury Street</w:t>
            </w:r>
          </w:p>
        </w:tc>
        <w:tc>
          <w:tcPr>
            <w:tcW w:w="1134" w:type="dxa"/>
            <w:noWrap/>
            <w:hideMark/>
          </w:tcPr>
          <w:p w14:paraId="3D64491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4B5431E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46.7</w:t>
            </w:r>
          </w:p>
        </w:tc>
        <w:tc>
          <w:tcPr>
            <w:tcW w:w="1134" w:type="dxa"/>
            <w:noWrap/>
            <w:hideMark/>
          </w:tcPr>
          <w:p w14:paraId="780B0FC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100.0</w:t>
            </w:r>
          </w:p>
        </w:tc>
        <w:tc>
          <w:tcPr>
            <w:tcW w:w="1134" w:type="dxa"/>
            <w:noWrap/>
            <w:hideMark/>
          </w:tcPr>
          <w:p w14:paraId="5B69539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2B8529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w:t>
            </w:r>
          </w:p>
        </w:tc>
        <w:tc>
          <w:tcPr>
            <w:tcW w:w="1417" w:type="dxa"/>
            <w:noWrap/>
            <w:hideMark/>
          </w:tcPr>
          <w:p w14:paraId="244483E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w:t>
            </w:r>
          </w:p>
        </w:tc>
      </w:tr>
      <w:tr w:rsidR="00107BB9" w:rsidRPr="00107BB9" w14:paraId="067875EE" w14:textId="77777777" w:rsidTr="001367E0">
        <w:tblPrEx>
          <w:tblCellMar>
            <w:left w:w="108" w:type="dxa"/>
            <w:right w:w="108" w:type="dxa"/>
          </w:tblCellMar>
        </w:tblPrEx>
        <w:trPr>
          <w:trHeight w:val="465"/>
        </w:trPr>
        <w:tc>
          <w:tcPr>
            <w:tcW w:w="737" w:type="dxa"/>
            <w:noWrap/>
            <w:hideMark/>
          </w:tcPr>
          <w:p w14:paraId="55069DF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1923</w:t>
            </w:r>
          </w:p>
        </w:tc>
        <w:tc>
          <w:tcPr>
            <w:tcW w:w="1559" w:type="dxa"/>
            <w:noWrap/>
            <w:hideMark/>
          </w:tcPr>
          <w:p w14:paraId="79E6895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Patrick's Primary School</w:t>
            </w:r>
          </w:p>
        </w:tc>
        <w:tc>
          <w:tcPr>
            <w:tcW w:w="709" w:type="dxa"/>
            <w:noWrap/>
            <w:hideMark/>
          </w:tcPr>
          <w:p w14:paraId="1C30619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71CCF8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2.2.2</w:t>
            </w:r>
          </w:p>
        </w:tc>
        <w:tc>
          <w:tcPr>
            <w:tcW w:w="1134" w:type="dxa"/>
            <w:noWrap/>
            <w:hideMark/>
          </w:tcPr>
          <w:p w14:paraId="7752103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2244BAD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Wallace Street</w:t>
            </w:r>
          </w:p>
        </w:tc>
        <w:tc>
          <w:tcPr>
            <w:tcW w:w="1134" w:type="dxa"/>
            <w:noWrap/>
            <w:hideMark/>
          </w:tcPr>
          <w:p w14:paraId="41C182A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7BD4C3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10.9</w:t>
            </w:r>
          </w:p>
        </w:tc>
        <w:tc>
          <w:tcPr>
            <w:tcW w:w="1134" w:type="dxa"/>
            <w:noWrap/>
            <w:hideMark/>
          </w:tcPr>
          <w:p w14:paraId="742242E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616E99F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33.3</w:t>
            </w:r>
          </w:p>
        </w:tc>
        <w:tc>
          <w:tcPr>
            <w:tcW w:w="1276" w:type="dxa"/>
            <w:noWrap/>
            <w:hideMark/>
          </w:tcPr>
          <w:p w14:paraId="6B14D1E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w:t>
            </w:r>
          </w:p>
        </w:tc>
        <w:tc>
          <w:tcPr>
            <w:tcW w:w="1417" w:type="dxa"/>
            <w:noWrap/>
            <w:hideMark/>
          </w:tcPr>
          <w:p w14:paraId="18C631F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711406FA" w14:textId="77777777" w:rsidTr="001367E0">
        <w:tblPrEx>
          <w:tblCellMar>
            <w:left w:w="108" w:type="dxa"/>
            <w:right w:w="108" w:type="dxa"/>
          </w:tblCellMar>
        </w:tblPrEx>
        <w:trPr>
          <w:trHeight w:val="465"/>
        </w:trPr>
        <w:tc>
          <w:tcPr>
            <w:tcW w:w="737" w:type="dxa"/>
            <w:noWrap/>
            <w:hideMark/>
          </w:tcPr>
          <w:p w14:paraId="5650D5B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1931</w:t>
            </w:r>
          </w:p>
        </w:tc>
        <w:tc>
          <w:tcPr>
            <w:tcW w:w="1559" w:type="dxa"/>
            <w:noWrap/>
            <w:hideMark/>
          </w:tcPr>
          <w:p w14:paraId="7623DEC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Patrick's Primary School</w:t>
            </w:r>
          </w:p>
        </w:tc>
        <w:tc>
          <w:tcPr>
            <w:tcW w:w="709" w:type="dxa"/>
            <w:noWrap/>
            <w:hideMark/>
          </w:tcPr>
          <w:p w14:paraId="5925E6C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1E128D5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134" w:type="dxa"/>
            <w:noWrap/>
            <w:hideMark/>
          </w:tcPr>
          <w:p w14:paraId="48C5664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7F073B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Neilson Street</w:t>
            </w:r>
          </w:p>
        </w:tc>
        <w:tc>
          <w:tcPr>
            <w:tcW w:w="1134" w:type="dxa"/>
            <w:noWrap/>
            <w:hideMark/>
          </w:tcPr>
          <w:p w14:paraId="3E937AA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3AD6718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17.6</w:t>
            </w:r>
          </w:p>
        </w:tc>
        <w:tc>
          <w:tcPr>
            <w:tcW w:w="1134" w:type="dxa"/>
            <w:noWrap/>
            <w:hideMark/>
          </w:tcPr>
          <w:p w14:paraId="4FCF103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100.0</w:t>
            </w:r>
          </w:p>
        </w:tc>
        <w:tc>
          <w:tcPr>
            <w:tcW w:w="1134" w:type="dxa"/>
            <w:noWrap/>
            <w:hideMark/>
          </w:tcPr>
          <w:p w14:paraId="55AE716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2040C78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w:t>
            </w:r>
          </w:p>
        </w:tc>
        <w:tc>
          <w:tcPr>
            <w:tcW w:w="1417" w:type="dxa"/>
            <w:noWrap/>
            <w:hideMark/>
          </w:tcPr>
          <w:p w14:paraId="70330A0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32463E8C" w14:textId="77777777" w:rsidTr="001367E0">
        <w:tblPrEx>
          <w:tblCellMar>
            <w:left w:w="108" w:type="dxa"/>
            <w:right w:w="108" w:type="dxa"/>
          </w:tblCellMar>
        </w:tblPrEx>
        <w:trPr>
          <w:trHeight w:val="465"/>
        </w:trPr>
        <w:tc>
          <w:tcPr>
            <w:tcW w:w="737" w:type="dxa"/>
            <w:noWrap/>
            <w:hideMark/>
          </w:tcPr>
          <w:p w14:paraId="285CA89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1922</w:t>
            </w:r>
          </w:p>
        </w:tc>
        <w:tc>
          <w:tcPr>
            <w:tcW w:w="1559" w:type="dxa"/>
            <w:noWrap/>
            <w:hideMark/>
          </w:tcPr>
          <w:p w14:paraId="05BDA2B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Patrick's Primary School- Lithgow</w:t>
            </w:r>
          </w:p>
        </w:tc>
        <w:tc>
          <w:tcPr>
            <w:tcW w:w="709" w:type="dxa"/>
            <w:noWrap/>
            <w:hideMark/>
          </w:tcPr>
          <w:p w14:paraId="5718473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970985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4F91248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E32867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Mort Street</w:t>
            </w:r>
          </w:p>
        </w:tc>
        <w:tc>
          <w:tcPr>
            <w:tcW w:w="1134" w:type="dxa"/>
            <w:noWrap/>
            <w:hideMark/>
          </w:tcPr>
          <w:p w14:paraId="435C502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LNNP</w:t>
            </w:r>
          </w:p>
        </w:tc>
        <w:tc>
          <w:tcPr>
            <w:tcW w:w="1276" w:type="dxa"/>
            <w:noWrap/>
            <w:hideMark/>
          </w:tcPr>
          <w:p w14:paraId="477BBD5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9.2</w:t>
            </w:r>
          </w:p>
        </w:tc>
        <w:tc>
          <w:tcPr>
            <w:tcW w:w="1134" w:type="dxa"/>
            <w:noWrap/>
            <w:hideMark/>
          </w:tcPr>
          <w:p w14:paraId="711C606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28.6</w:t>
            </w:r>
          </w:p>
        </w:tc>
        <w:tc>
          <w:tcPr>
            <w:tcW w:w="1134" w:type="dxa"/>
            <w:noWrap/>
            <w:hideMark/>
          </w:tcPr>
          <w:p w14:paraId="68ABB53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12.5</w:t>
            </w:r>
          </w:p>
        </w:tc>
        <w:tc>
          <w:tcPr>
            <w:tcW w:w="1276" w:type="dxa"/>
            <w:noWrap/>
            <w:hideMark/>
          </w:tcPr>
          <w:p w14:paraId="1E54292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w:t>
            </w:r>
          </w:p>
        </w:tc>
        <w:tc>
          <w:tcPr>
            <w:tcW w:w="1417" w:type="dxa"/>
            <w:noWrap/>
            <w:hideMark/>
          </w:tcPr>
          <w:p w14:paraId="1DBB375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w:t>
            </w:r>
          </w:p>
        </w:tc>
      </w:tr>
      <w:tr w:rsidR="00107BB9" w:rsidRPr="00107BB9" w14:paraId="40DB47BB" w14:textId="77777777" w:rsidTr="001367E0">
        <w:tblPrEx>
          <w:tblCellMar>
            <w:left w:w="108" w:type="dxa"/>
            <w:right w:w="108" w:type="dxa"/>
          </w:tblCellMar>
        </w:tblPrEx>
        <w:trPr>
          <w:trHeight w:val="465"/>
        </w:trPr>
        <w:tc>
          <w:tcPr>
            <w:tcW w:w="737" w:type="dxa"/>
            <w:noWrap/>
            <w:hideMark/>
          </w:tcPr>
          <w:p w14:paraId="4BDA611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1351</w:t>
            </w:r>
          </w:p>
        </w:tc>
        <w:tc>
          <w:tcPr>
            <w:tcW w:w="1559" w:type="dxa"/>
            <w:noWrap/>
            <w:hideMark/>
          </w:tcPr>
          <w:p w14:paraId="13CAABB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Paul's Catholic College</w:t>
            </w:r>
          </w:p>
        </w:tc>
        <w:tc>
          <w:tcPr>
            <w:tcW w:w="709" w:type="dxa"/>
            <w:noWrap/>
            <w:hideMark/>
          </w:tcPr>
          <w:p w14:paraId="612A131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262C7A5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35DE23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13BB97C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Darley Road</w:t>
            </w:r>
          </w:p>
        </w:tc>
        <w:tc>
          <w:tcPr>
            <w:tcW w:w="1134" w:type="dxa"/>
            <w:noWrap/>
            <w:hideMark/>
          </w:tcPr>
          <w:p w14:paraId="1EBA20D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658B458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10.7</w:t>
            </w:r>
          </w:p>
        </w:tc>
        <w:tc>
          <w:tcPr>
            <w:tcW w:w="1134" w:type="dxa"/>
            <w:noWrap/>
            <w:hideMark/>
          </w:tcPr>
          <w:p w14:paraId="2AF823D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0C82CA7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09EF4C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51</w:t>
            </w:r>
          </w:p>
        </w:tc>
        <w:tc>
          <w:tcPr>
            <w:tcW w:w="1417" w:type="dxa"/>
            <w:noWrap/>
            <w:hideMark/>
          </w:tcPr>
          <w:p w14:paraId="3D21483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w:t>
            </w:r>
          </w:p>
        </w:tc>
      </w:tr>
      <w:tr w:rsidR="00107BB9" w:rsidRPr="00107BB9" w14:paraId="73C14DA2" w14:textId="77777777" w:rsidTr="001367E0">
        <w:tblPrEx>
          <w:tblCellMar>
            <w:left w:w="108" w:type="dxa"/>
            <w:right w:w="108" w:type="dxa"/>
          </w:tblCellMar>
        </w:tblPrEx>
        <w:trPr>
          <w:trHeight w:val="465"/>
        </w:trPr>
        <w:tc>
          <w:tcPr>
            <w:tcW w:w="737" w:type="dxa"/>
            <w:noWrap/>
            <w:hideMark/>
          </w:tcPr>
          <w:p w14:paraId="375BB92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2115</w:t>
            </w:r>
          </w:p>
        </w:tc>
        <w:tc>
          <w:tcPr>
            <w:tcW w:w="1559" w:type="dxa"/>
            <w:noWrap/>
            <w:hideMark/>
          </w:tcPr>
          <w:p w14:paraId="54DB26C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Paul's College</w:t>
            </w:r>
          </w:p>
        </w:tc>
        <w:tc>
          <w:tcPr>
            <w:tcW w:w="709" w:type="dxa"/>
            <w:noWrap/>
            <w:hideMark/>
          </w:tcPr>
          <w:p w14:paraId="766B3B5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AD0686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7841EB3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13E8A45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107 Sea Street</w:t>
            </w:r>
          </w:p>
        </w:tc>
        <w:tc>
          <w:tcPr>
            <w:tcW w:w="1134" w:type="dxa"/>
            <w:noWrap/>
            <w:hideMark/>
          </w:tcPr>
          <w:p w14:paraId="5EF5B33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2E9FAE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23.4</w:t>
            </w:r>
          </w:p>
        </w:tc>
        <w:tc>
          <w:tcPr>
            <w:tcW w:w="1134" w:type="dxa"/>
            <w:noWrap/>
            <w:hideMark/>
          </w:tcPr>
          <w:p w14:paraId="354A942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59.1</w:t>
            </w:r>
          </w:p>
        </w:tc>
        <w:tc>
          <w:tcPr>
            <w:tcW w:w="1134" w:type="dxa"/>
            <w:noWrap/>
            <w:hideMark/>
          </w:tcPr>
          <w:p w14:paraId="0921A2A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8.3</w:t>
            </w:r>
          </w:p>
        </w:tc>
        <w:tc>
          <w:tcPr>
            <w:tcW w:w="1276" w:type="dxa"/>
            <w:noWrap/>
            <w:hideMark/>
          </w:tcPr>
          <w:p w14:paraId="6A69093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81</w:t>
            </w:r>
          </w:p>
        </w:tc>
        <w:tc>
          <w:tcPr>
            <w:tcW w:w="1417" w:type="dxa"/>
            <w:noWrap/>
            <w:hideMark/>
          </w:tcPr>
          <w:p w14:paraId="5A93D0E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13</w:t>
            </w:r>
          </w:p>
        </w:tc>
      </w:tr>
      <w:tr w:rsidR="00107BB9" w:rsidRPr="00107BB9" w14:paraId="18A80475" w14:textId="77777777" w:rsidTr="001367E0">
        <w:tblPrEx>
          <w:tblCellMar>
            <w:left w:w="108" w:type="dxa"/>
            <w:right w:w="108" w:type="dxa"/>
          </w:tblCellMar>
        </w:tblPrEx>
        <w:trPr>
          <w:trHeight w:val="465"/>
        </w:trPr>
        <w:tc>
          <w:tcPr>
            <w:tcW w:w="737" w:type="dxa"/>
            <w:noWrap/>
            <w:hideMark/>
          </w:tcPr>
          <w:p w14:paraId="59CC306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1941</w:t>
            </w:r>
          </w:p>
        </w:tc>
        <w:tc>
          <w:tcPr>
            <w:tcW w:w="1559" w:type="dxa"/>
            <w:noWrap/>
            <w:hideMark/>
          </w:tcPr>
          <w:p w14:paraId="096965C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Paul's Primary School</w:t>
            </w:r>
          </w:p>
        </w:tc>
        <w:tc>
          <w:tcPr>
            <w:tcW w:w="709" w:type="dxa"/>
            <w:noWrap/>
            <w:hideMark/>
          </w:tcPr>
          <w:p w14:paraId="2B72BAB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B71F17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2.2.1</w:t>
            </w:r>
          </w:p>
        </w:tc>
        <w:tc>
          <w:tcPr>
            <w:tcW w:w="1134" w:type="dxa"/>
            <w:noWrap/>
            <w:hideMark/>
          </w:tcPr>
          <w:p w14:paraId="0D4A680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A84EA8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18 Garrett Street</w:t>
            </w:r>
          </w:p>
        </w:tc>
        <w:tc>
          <w:tcPr>
            <w:tcW w:w="1134" w:type="dxa"/>
            <w:noWrap/>
            <w:hideMark/>
          </w:tcPr>
          <w:p w14:paraId="5825C95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CA993A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14.9</w:t>
            </w:r>
          </w:p>
        </w:tc>
        <w:tc>
          <w:tcPr>
            <w:tcW w:w="1134" w:type="dxa"/>
            <w:noWrap/>
            <w:hideMark/>
          </w:tcPr>
          <w:p w14:paraId="5091417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F89FC2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B9B304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417" w:type="dxa"/>
            <w:noWrap/>
            <w:hideMark/>
          </w:tcPr>
          <w:p w14:paraId="2B989C1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2BDEB450" w14:textId="77777777" w:rsidTr="001367E0">
        <w:tblPrEx>
          <w:tblCellMar>
            <w:left w:w="108" w:type="dxa"/>
            <w:right w:w="108" w:type="dxa"/>
          </w:tblCellMar>
        </w:tblPrEx>
        <w:trPr>
          <w:trHeight w:val="465"/>
        </w:trPr>
        <w:tc>
          <w:tcPr>
            <w:tcW w:w="737" w:type="dxa"/>
            <w:noWrap/>
            <w:hideMark/>
          </w:tcPr>
          <w:p w14:paraId="00BFAC8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1946</w:t>
            </w:r>
          </w:p>
        </w:tc>
        <w:tc>
          <w:tcPr>
            <w:tcW w:w="1559" w:type="dxa"/>
            <w:noWrap/>
            <w:hideMark/>
          </w:tcPr>
          <w:p w14:paraId="544AC7C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Peter Chanel Primary School</w:t>
            </w:r>
          </w:p>
        </w:tc>
        <w:tc>
          <w:tcPr>
            <w:tcW w:w="709" w:type="dxa"/>
            <w:noWrap/>
            <w:hideMark/>
          </w:tcPr>
          <w:p w14:paraId="53E000F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39265A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325210D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115D77F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39 Regent Street</w:t>
            </w:r>
          </w:p>
        </w:tc>
        <w:tc>
          <w:tcPr>
            <w:tcW w:w="1134" w:type="dxa"/>
            <w:noWrap/>
            <w:hideMark/>
          </w:tcPr>
          <w:p w14:paraId="49CF8FA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AC7B6F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w:t>
            </w:r>
          </w:p>
        </w:tc>
        <w:tc>
          <w:tcPr>
            <w:tcW w:w="1134" w:type="dxa"/>
            <w:noWrap/>
            <w:hideMark/>
          </w:tcPr>
          <w:p w14:paraId="1AC3EB4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692563F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A7A14B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34</w:t>
            </w:r>
          </w:p>
        </w:tc>
        <w:tc>
          <w:tcPr>
            <w:tcW w:w="1417" w:type="dxa"/>
            <w:noWrap/>
            <w:hideMark/>
          </w:tcPr>
          <w:p w14:paraId="187A6E1B"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60052A4" w14:textId="77777777" w:rsidTr="001367E0">
        <w:tblPrEx>
          <w:tblCellMar>
            <w:left w:w="108" w:type="dxa"/>
            <w:right w:w="108" w:type="dxa"/>
          </w:tblCellMar>
        </w:tblPrEx>
        <w:trPr>
          <w:trHeight w:val="465"/>
        </w:trPr>
        <w:tc>
          <w:tcPr>
            <w:tcW w:w="737" w:type="dxa"/>
            <w:noWrap/>
            <w:hideMark/>
          </w:tcPr>
          <w:p w14:paraId="19B824E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1952</w:t>
            </w:r>
          </w:p>
        </w:tc>
        <w:tc>
          <w:tcPr>
            <w:tcW w:w="1559" w:type="dxa"/>
            <w:noWrap/>
            <w:hideMark/>
          </w:tcPr>
          <w:p w14:paraId="486B679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Pius' Primary School</w:t>
            </w:r>
          </w:p>
        </w:tc>
        <w:tc>
          <w:tcPr>
            <w:tcW w:w="709" w:type="dxa"/>
            <w:noWrap/>
            <w:hideMark/>
          </w:tcPr>
          <w:p w14:paraId="5B72BB6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B8BBE7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B17FFC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2BD4A5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209 Edgeware Road</w:t>
            </w:r>
          </w:p>
        </w:tc>
        <w:tc>
          <w:tcPr>
            <w:tcW w:w="1134" w:type="dxa"/>
            <w:noWrap/>
            <w:hideMark/>
          </w:tcPr>
          <w:p w14:paraId="32DACB6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0EB9B3F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6.4</w:t>
            </w:r>
          </w:p>
        </w:tc>
        <w:tc>
          <w:tcPr>
            <w:tcW w:w="1134" w:type="dxa"/>
            <w:noWrap/>
            <w:hideMark/>
          </w:tcPr>
          <w:p w14:paraId="0539E62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33.3</w:t>
            </w:r>
          </w:p>
        </w:tc>
        <w:tc>
          <w:tcPr>
            <w:tcW w:w="1134" w:type="dxa"/>
            <w:noWrap/>
            <w:hideMark/>
          </w:tcPr>
          <w:p w14:paraId="193EE3F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CBD7D3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c>
          <w:tcPr>
            <w:tcW w:w="1417" w:type="dxa"/>
            <w:noWrap/>
            <w:hideMark/>
          </w:tcPr>
          <w:p w14:paraId="2C7956B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w:t>
            </w:r>
          </w:p>
        </w:tc>
      </w:tr>
      <w:tr w:rsidR="00107BB9" w:rsidRPr="00107BB9" w14:paraId="0DCE0554" w14:textId="77777777" w:rsidTr="001367E0">
        <w:tblPrEx>
          <w:tblCellMar>
            <w:left w:w="108" w:type="dxa"/>
            <w:right w:w="108" w:type="dxa"/>
          </w:tblCellMar>
        </w:tblPrEx>
        <w:trPr>
          <w:trHeight w:val="465"/>
        </w:trPr>
        <w:tc>
          <w:tcPr>
            <w:tcW w:w="737" w:type="dxa"/>
            <w:noWrap/>
            <w:hideMark/>
          </w:tcPr>
          <w:p w14:paraId="156F453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1956</w:t>
            </w:r>
          </w:p>
        </w:tc>
        <w:tc>
          <w:tcPr>
            <w:tcW w:w="1559" w:type="dxa"/>
            <w:noWrap/>
            <w:hideMark/>
          </w:tcPr>
          <w:p w14:paraId="68BEBDB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Pius X Primary School</w:t>
            </w:r>
          </w:p>
        </w:tc>
        <w:tc>
          <w:tcPr>
            <w:tcW w:w="709" w:type="dxa"/>
            <w:noWrap/>
            <w:hideMark/>
          </w:tcPr>
          <w:p w14:paraId="78822AC4"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34AF8E0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2.1.2</w:t>
            </w:r>
          </w:p>
        </w:tc>
        <w:tc>
          <w:tcPr>
            <w:tcW w:w="1134" w:type="dxa"/>
            <w:noWrap/>
            <w:hideMark/>
          </w:tcPr>
          <w:p w14:paraId="4DE765F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413EEDD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East Street</w:t>
            </w:r>
          </w:p>
        </w:tc>
        <w:tc>
          <w:tcPr>
            <w:tcW w:w="1134" w:type="dxa"/>
            <w:noWrap/>
            <w:hideMark/>
          </w:tcPr>
          <w:p w14:paraId="26377E1E"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9EE080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6.8</w:t>
            </w:r>
          </w:p>
        </w:tc>
        <w:tc>
          <w:tcPr>
            <w:tcW w:w="1134" w:type="dxa"/>
            <w:noWrap/>
            <w:hideMark/>
          </w:tcPr>
          <w:p w14:paraId="7BB7118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927E36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4A4B8FD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w:t>
            </w:r>
          </w:p>
        </w:tc>
        <w:tc>
          <w:tcPr>
            <w:tcW w:w="1417" w:type="dxa"/>
            <w:noWrap/>
            <w:hideMark/>
          </w:tcPr>
          <w:p w14:paraId="4FDA893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178349A" w14:textId="77777777" w:rsidTr="001367E0">
        <w:tblPrEx>
          <w:tblCellMar>
            <w:left w:w="108" w:type="dxa"/>
            <w:right w:w="108" w:type="dxa"/>
          </w:tblCellMar>
        </w:tblPrEx>
        <w:trPr>
          <w:trHeight w:val="465"/>
        </w:trPr>
        <w:tc>
          <w:tcPr>
            <w:tcW w:w="737" w:type="dxa"/>
            <w:noWrap/>
            <w:hideMark/>
          </w:tcPr>
          <w:p w14:paraId="33AF29E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1958</w:t>
            </w:r>
          </w:p>
        </w:tc>
        <w:tc>
          <w:tcPr>
            <w:tcW w:w="1559" w:type="dxa"/>
            <w:noWrap/>
            <w:hideMark/>
          </w:tcPr>
          <w:p w14:paraId="61E75A3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Pius X Primary School</w:t>
            </w:r>
          </w:p>
        </w:tc>
        <w:tc>
          <w:tcPr>
            <w:tcW w:w="709" w:type="dxa"/>
            <w:noWrap/>
            <w:hideMark/>
          </w:tcPr>
          <w:p w14:paraId="037C948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D5B8AE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w:t>
            </w:r>
          </w:p>
        </w:tc>
        <w:tc>
          <w:tcPr>
            <w:tcW w:w="1134" w:type="dxa"/>
            <w:noWrap/>
            <w:hideMark/>
          </w:tcPr>
          <w:p w14:paraId="1BECF47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6C6C7C8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12 Lake Road</w:t>
            </w:r>
          </w:p>
        </w:tc>
        <w:tc>
          <w:tcPr>
            <w:tcW w:w="1134" w:type="dxa"/>
            <w:noWrap/>
            <w:hideMark/>
          </w:tcPr>
          <w:p w14:paraId="18F269C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LSES2009</w:t>
            </w:r>
          </w:p>
        </w:tc>
        <w:tc>
          <w:tcPr>
            <w:tcW w:w="1276" w:type="dxa"/>
            <w:noWrap/>
            <w:hideMark/>
          </w:tcPr>
          <w:p w14:paraId="26D131F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4275AFE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37EB454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7CEA73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c>
          <w:tcPr>
            <w:tcW w:w="1417" w:type="dxa"/>
            <w:noWrap/>
            <w:hideMark/>
          </w:tcPr>
          <w:p w14:paraId="2DF2AA3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509B58AD" w14:textId="77777777" w:rsidTr="001367E0">
        <w:tblPrEx>
          <w:tblCellMar>
            <w:left w:w="108" w:type="dxa"/>
            <w:right w:w="108" w:type="dxa"/>
          </w:tblCellMar>
        </w:tblPrEx>
        <w:trPr>
          <w:trHeight w:val="465"/>
        </w:trPr>
        <w:tc>
          <w:tcPr>
            <w:tcW w:w="737" w:type="dxa"/>
            <w:noWrap/>
            <w:hideMark/>
          </w:tcPr>
          <w:p w14:paraId="0B86DC2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1966</w:t>
            </w:r>
          </w:p>
        </w:tc>
        <w:tc>
          <w:tcPr>
            <w:tcW w:w="1559" w:type="dxa"/>
            <w:noWrap/>
            <w:hideMark/>
          </w:tcPr>
          <w:p w14:paraId="4FB78BD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Therese's Primary School</w:t>
            </w:r>
          </w:p>
        </w:tc>
        <w:tc>
          <w:tcPr>
            <w:tcW w:w="709" w:type="dxa"/>
            <w:noWrap/>
            <w:hideMark/>
          </w:tcPr>
          <w:p w14:paraId="4F7CBD9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F82988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50218BB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1F9D94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96 Cartwright Ave</w:t>
            </w:r>
          </w:p>
        </w:tc>
        <w:tc>
          <w:tcPr>
            <w:tcW w:w="1134" w:type="dxa"/>
            <w:noWrap/>
            <w:hideMark/>
          </w:tcPr>
          <w:p w14:paraId="59104A0F"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60F60B2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16.7</w:t>
            </w:r>
          </w:p>
        </w:tc>
        <w:tc>
          <w:tcPr>
            <w:tcW w:w="1134" w:type="dxa"/>
            <w:noWrap/>
            <w:hideMark/>
          </w:tcPr>
          <w:p w14:paraId="5A177C2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2022CC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20.0</w:t>
            </w:r>
          </w:p>
        </w:tc>
        <w:tc>
          <w:tcPr>
            <w:tcW w:w="1276" w:type="dxa"/>
            <w:noWrap/>
            <w:hideMark/>
          </w:tcPr>
          <w:p w14:paraId="387D5F0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32</w:t>
            </w:r>
          </w:p>
        </w:tc>
        <w:tc>
          <w:tcPr>
            <w:tcW w:w="1417" w:type="dxa"/>
            <w:noWrap/>
            <w:hideMark/>
          </w:tcPr>
          <w:p w14:paraId="3CB3965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64FA5AD2" w14:textId="77777777" w:rsidTr="001367E0">
        <w:tblPrEx>
          <w:tblCellMar>
            <w:left w:w="108" w:type="dxa"/>
            <w:right w:w="108" w:type="dxa"/>
          </w:tblCellMar>
        </w:tblPrEx>
        <w:trPr>
          <w:trHeight w:val="465"/>
        </w:trPr>
        <w:tc>
          <w:tcPr>
            <w:tcW w:w="737" w:type="dxa"/>
            <w:noWrap/>
            <w:hideMark/>
          </w:tcPr>
          <w:p w14:paraId="72A5D33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1969</w:t>
            </w:r>
          </w:p>
        </w:tc>
        <w:tc>
          <w:tcPr>
            <w:tcW w:w="1559" w:type="dxa"/>
            <w:noWrap/>
            <w:hideMark/>
          </w:tcPr>
          <w:p w14:paraId="5EA4D42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Therese's Primary School</w:t>
            </w:r>
          </w:p>
        </w:tc>
        <w:tc>
          <w:tcPr>
            <w:tcW w:w="709" w:type="dxa"/>
            <w:noWrap/>
            <w:hideMark/>
          </w:tcPr>
          <w:p w14:paraId="746C8B1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03214C9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2F844F7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01EA5A5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165 Lakemba Street</w:t>
            </w:r>
          </w:p>
        </w:tc>
        <w:tc>
          <w:tcPr>
            <w:tcW w:w="1134" w:type="dxa"/>
            <w:noWrap/>
            <w:hideMark/>
          </w:tcPr>
          <w:p w14:paraId="169768C3"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499AAF1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12.5</w:t>
            </w:r>
          </w:p>
        </w:tc>
        <w:tc>
          <w:tcPr>
            <w:tcW w:w="1134" w:type="dxa"/>
            <w:noWrap/>
            <w:hideMark/>
          </w:tcPr>
          <w:p w14:paraId="4E3B392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510C716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568176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21</w:t>
            </w:r>
          </w:p>
        </w:tc>
        <w:tc>
          <w:tcPr>
            <w:tcW w:w="1417" w:type="dxa"/>
            <w:noWrap/>
            <w:hideMark/>
          </w:tcPr>
          <w:p w14:paraId="6557663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458209A5" w14:textId="77777777" w:rsidTr="001367E0">
        <w:tblPrEx>
          <w:tblCellMar>
            <w:left w:w="108" w:type="dxa"/>
            <w:right w:w="108" w:type="dxa"/>
          </w:tblCellMar>
        </w:tblPrEx>
        <w:trPr>
          <w:trHeight w:val="465"/>
        </w:trPr>
        <w:tc>
          <w:tcPr>
            <w:tcW w:w="737" w:type="dxa"/>
            <w:noWrap/>
            <w:hideMark/>
          </w:tcPr>
          <w:p w14:paraId="737B259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1970</w:t>
            </w:r>
          </w:p>
        </w:tc>
        <w:tc>
          <w:tcPr>
            <w:tcW w:w="1559" w:type="dxa"/>
            <w:noWrap/>
            <w:hideMark/>
          </w:tcPr>
          <w:p w14:paraId="565F1DDA"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Therese's Primary School</w:t>
            </w:r>
          </w:p>
        </w:tc>
        <w:tc>
          <w:tcPr>
            <w:tcW w:w="709" w:type="dxa"/>
            <w:noWrap/>
            <w:hideMark/>
          </w:tcPr>
          <w:p w14:paraId="1A090CF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84402C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42A6C7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A9026F0"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43 Sutherland Street</w:t>
            </w:r>
          </w:p>
        </w:tc>
        <w:tc>
          <w:tcPr>
            <w:tcW w:w="1134" w:type="dxa"/>
            <w:noWrap/>
            <w:hideMark/>
          </w:tcPr>
          <w:p w14:paraId="47329BE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7B92E6A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6.6</w:t>
            </w:r>
          </w:p>
        </w:tc>
        <w:tc>
          <w:tcPr>
            <w:tcW w:w="1134" w:type="dxa"/>
            <w:noWrap/>
            <w:hideMark/>
          </w:tcPr>
          <w:p w14:paraId="4DA734F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22A7A64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14A37EC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w:t>
            </w:r>
          </w:p>
        </w:tc>
        <w:tc>
          <w:tcPr>
            <w:tcW w:w="1417" w:type="dxa"/>
            <w:noWrap/>
            <w:hideMark/>
          </w:tcPr>
          <w:p w14:paraId="5F43C24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7CDD8A8B" w14:textId="77777777" w:rsidTr="001367E0">
        <w:tblPrEx>
          <w:tblCellMar>
            <w:left w:w="108" w:type="dxa"/>
            <w:right w:w="108" w:type="dxa"/>
          </w:tblCellMar>
        </w:tblPrEx>
        <w:trPr>
          <w:trHeight w:val="465"/>
        </w:trPr>
        <w:tc>
          <w:tcPr>
            <w:tcW w:w="737" w:type="dxa"/>
            <w:noWrap/>
            <w:hideMark/>
          </w:tcPr>
          <w:p w14:paraId="28B8DA9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1972</w:t>
            </w:r>
          </w:p>
        </w:tc>
        <w:tc>
          <w:tcPr>
            <w:tcW w:w="1559" w:type="dxa"/>
            <w:noWrap/>
            <w:hideMark/>
          </w:tcPr>
          <w:p w14:paraId="56A63F3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Therese's Primary School</w:t>
            </w:r>
          </w:p>
        </w:tc>
        <w:tc>
          <w:tcPr>
            <w:tcW w:w="709" w:type="dxa"/>
            <w:noWrap/>
            <w:hideMark/>
          </w:tcPr>
          <w:p w14:paraId="42D45748"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7253C5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1A89F2D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3935CBE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48 Chamberlain Rd</w:t>
            </w:r>
          </w:p>
        </w:tc>
        <w:tc>
          <w:tcPr>
            <w:tcW w:w="1134" w:type="dxa"/>
            <w:noWrap/>
            <w:hideMark/>
          </w:tcPr>
          <w:p w14:paraId="5FDCB77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3177E3F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4.8</w:t>
            </w:r>
          </w:p>
        </w:tc>
        <w:tc>
          <w:tcPr>
            <w:tcW w:w="1134" w:type="dxa"/>
            <w:noWrap/>
            <w:hideMark/>
          </w:tcPr>
          <w:p w14:paraId="5F71655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1C4A19B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61CA650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6</w:t>
            </w:r>
          </w:p>
        </w:tc>
        <w:tc>
          <w:tcPr>
            <w:tcW w:w="1417" w:type="dxa"/>
            <w:noWrap/>
            <w:hideMark/>
          </w:tcPr>
          <w:p w14:paraId="2C921FDF"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07BB9" w:rsidRPr="00107BB9" w14:paraId="036E8D04" w14:textId="77777777" w:rsidTr="001367E0">
        <w:tblPrEx>
          <w:tblCellMar>
            <w:left w:w="108" w:type="dxa"/>
            <w:right w:w="108" w:type="dxa"/>
          </w:tblCellMar>
        </w:tblPrEx>
        <w:trPr>
          <w:trHeight w:val="465"/>
        </w:trPr>
        <w:tc>
          <w:tcPr>
            <w:tcW w:w="737" w:type="dxa"/>
            <w:noWrap/>
            <w:hideMark/>
          </w:tcPr>
          <w:p w14:paraId="5A19033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2349</w:t>
            </w:r>
          </w:p>
        </w:tc>
        <w:tc>
          <w:tcPr>
            <w:tcW w:w="1559" w:type="dxa"/>
            <w:noWrap/>
            <w:hideMark/>
          </w:tcPr>
          <w:p w14:paraId="0C9D0D1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Thomas More Catholic Primary School</w:t>
            </w:r>
          </w:p>
        </w:tc>
        <w:tc>
          <w:tcPr>
            <w:tcW w:w="709" w:type="dxa"/>
            <w:noWrap/>
            <w:hideMark/>
          </w:tcPr>
          <w:p w14:paraId="000C7A29"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79B736F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04C43A7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77037FB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6 St John's Road</w:t>
            </w:r>
          </w:p>
        </w:tc>
        <w:tc>
          <w:tcPr>
            <w:tcW w:w="1134" w:type="dxa"/>
            <w:noWrap/>
            <w:hideMark/>
          </w:tcPr>
          <w:p w14:paraId="5C4811F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53E6BD5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12.4</w:t>
            </w:r>
          </w:p>
        </w:tc>
        <w:tc>
          <w:tcPr>
            <w:tcW w:w="1134" w:type="dxa"/>
            <w:noWrap/>
            <w:hideMark/>
          </w:tcPr>
          <w:p w14:paraId="55FAE023"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147592A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40.0</w:t>
            </w:r>
          </w:p>
        </w:tc>
        <w:tc>
          <w:tcPr>
            <w:tcW w:w="1276" w:type="dxa"/>
            <w:noWrap/>
            <w:hideMark/>
          </w:tcPr>
          <w:p w14:paraId="7D870440"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24</w:t>
            </w:r>
          </w:p>
        </w:tc>
        <w:tc>
          <w:tcPr>
            <w:tcW w:w="1417" w:type="dxa"/>
            <w:noWrap/>
            <w:hideMark/>
          </w:tcPr>
          <w:p w14:paraId="3FBAFC51"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r>
      <w:tr w:rsidR="00107BB9" w:rsidRPr="00107BB9" w14:paraId="20788B31" w14:textId="77777777" w:rsidTr="001367E0">
        <w:tblPrEx>
          <w:tblCellMar>
            <w:left w:w="108" w:type="dxa"/>
            <w:right w:w="108" w:type="dxa"/>
          </w:tblCellMar>
        </w:tblPrEx>
        <w:trPr>
          <w:trHeight w:val="465"/>
        </w:trPr>
        <w:tc>
          <w:tcPr>
            <w:tcW w:w="737" w:type="dxa"/>
            <w:noWrap/>
            <w:hideMark/>
          </w:tcPr>
          <w:p w14:paraId="432480E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1989</w:t>
            </w:r>
          </w:p>
        </w:tc>
        <w:tc>
          <w:tcPr>
            <w:tcW w:w="1559" w:type="dxa"/>
            <w:noWrap/>
            <w:hideMark/>
          </w:tcPr>
          <w:p w14:paraId="6A7235C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St Vincent's Primary School</w:t>
            </w:r>
          </w:p>
        </w:tc>
        <w:tc>
          <w:tcPr>
            <w:tcW w:w="709" w:type="dxa"/>
            <w:noWrap/>
            <w:hideMark/>
          </w:tcPr>
          <w:p w14:paraId="3A86B411"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CB6CBA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6BB00A4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B87379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30-34 Charlotte Street</w:t>
            </w:r>
          </w:p>
        </w:tc>
        <w:tc>
          <w:tcPr>
            <w:tcW w:w="1134" w:type="dxa"/>
            <w:noWrap/>
            <w:hideMark/>
          </w:tcPr>
          <w:p w14:paraId="6D6D323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12C39F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11.3</w:t>
            </w:r>
          </w:p>
        </w:tc>
        <w:tc>
          <w:tcPr>
            <w:tcW w:w="1134" w:type="dxa"/>
            <w:noWrap/>
            <w:hideMark/>
          </w:tcPr>
          <w:p w14:paraId="68B8148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50.0</w:t>
            </w:r>
          </w:p>
        </w:tc>
        <w:tc>
          <w:tcPr>
            <w:tcW w:w="1134" w:type="dxa"/>
            <w:noWrap/>
            <w:hideMark/>
          </w:tcPr>
          <w:p w14:paraId="78F8D63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25.0</w:t>
            </w:r>
          </w:p>
        </w:tc>
        <w:tc>
          <w:tcPr>
            <w:tcW w:w="1276" w:type="dxa"/>
            <w:noWrap/>
            <w:hideMark/>
          </w:tcPr>
          <w:p w14:paraId="7D3FAF6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w:t>
            </w:r>
          </w:p>
        </w:tc>
        <w:tc>
          <w:tcPr>
            <w:tcW w:w="1417" w:type="dxa"/>
            <w:noWrap/>
            <w:hideMark/>
          </w:tcPr>
          <w:p w14:paraId="0F39337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3</w:t>
            </w:r>
          </w:p>
        </w:tc>
      </w:tr>
      <w:tr w:rsidR="00107BB9" w:rsidRPr="00107BB9" w14:paraId="083C75BD" w14:textId="77777777" w:rsidTr="001367E0">
        <w:tblPrEx>
          <w:tblCellMar>
            <w:left w:w="108" w:type="dxa"/>
            <w:right w:w="108" w:type="dxa"/>
          </w:tblCellMar>
        </w:tblPrEx>
        <w:trPr>
          <w:trHeight w:val="465"/>
        </w:trPr>
        <w:tc>
          <w:tcPr>
            <w:tcW w:w="737" w:type="dxa"/>
            <w:noWrap/>
            <w:hideMark/>
          </w:tcPr>
          <w:p w14:paraId="4B808F4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14621</w:t>
            </w:r>
          </w:p>
        </w:tc>
        <w:tc>
          <w:tcPr>
            <w:tcW w:w="1559" w:type="dxa"/>
            <w:noWrap/>
            <w:hideMark/>
          </w:tcPr>
          <w:p w14:paraId="1E062ECD"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Terra Sancta College- Schofields Campus</w:t>
            </w:r>
          </w:p>
        </w:tc>
        <w:tc>
          <w:tcPr>
            <w:tcW w:w="709" w:type="dxa"/>
            <w:noWrap/>
            <w:hideMark/>
          </w:tcPr>
          <w:p w14:paraId="6E3E404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65356492"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4C60217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7</w:t>
            </w:r>
          </w:p>
        </w:tc>
        <w:tc>
          <w:tcPr>
            <w:tcW w:w="1843" w:type="dxa"/>
            <w:noWrap/>
            <w:hideMark/>
          </w:tcPr>
          <w:p w14:paraId="1EF07F57"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85 Hambledon Road</w:t>
            </w:r>
          </w:p>
        </w:tc>
        <w:tc>
          <w:tcPr>
            <w:tcW w:w="1134" w:type="dxa"/>
            <w:noWrap/>
            <w:hideMark/>
          </w:tcPr>
          <w:p w14:paraId="0B51ED6C"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SP</w:t>
            </w:r>
          </w:p>
        </w:tc>
        <w:tc>
          <w:tcPr>
            <w:tcW w:w="1276" w:type="dxa"/>
            <w:noWrap/>
            <w:hideMark/>
          </w:tcPr>
          <w:p w14:paraId="610E0047"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22.0</w:t>
            </w:r>
          </w:p>
        </w:tc>
        <w:tc>
          <w:tcPr>
            <w:tcW w:w="1134" w:type="dxa"/>
            <w:noWrap/>
            <w:hideMark/>
          </w:tcPr>
          <w:p w14:paraId="712D9EE6"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43.8</w:t>
            </w:r>
          </w:p>
        </w:tc>
        <w:tc>
          <w:tcPr>
            <w:tcW w:w="1134" w:type="dxa"/>
            <w:noWrap/>
            <w:hideMark/>
          </w:tcPr>
          <w:p w14:paraId="7E35C81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704A7285"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168</w:t>
            </w:r>
          </w:p>
        </w:tc>
        <w:tc>
          <w:tcPr>
            <w:tcW w:w="1417" w:type="dxa"/>
            <w:noWrap/>
            <w:hideMark/>
          </w:tcPr>
          <w:p w14:paraId="731859D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7</w:t>
            </w:r>
          </w:p>
        </w:tc>
      </w:tr>
      <w:tr w:rsidR="00107BB9" w:rsidRPr="00107BB9" w14:paraId="2E06EAAD" w14:textId="77777777" w:rsidTr="001367E0">
        <w:tblPrEx>
          <w:tblCellMar>
            <w:left w:w="108" w:type="dxa"/>
            <w:right w:w="108" w:type="dxa"/>
          </w:tblCellMar>
        </w:tblPrEx>
        <w:trPr>
          <w:trHeight w:val="465"/>
        </w:trPr>
        <w:tc>
          <w:tcPr>
            <w:tcW w:w="737" w:type="dxa"/>
            <w:noWrap/>
            <w:hideMark/>
          </w:tcPr>
          <w:p w14:paraId="127D904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2036</w:t>
            </w:r>
          </w:p>
        </w:tc>
        <w:tc>
          <w:tcPr>
            <w:tcW w:w="1559" w:type="dxa"/>
            <w:noWrap/>
            <w:hideMark/>
          </w:tcPr>
          <w:p w14:paraId="7614CB9B"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Villa Maria Primary School</w:t>
            </w:r>
          </w:p>
        </w:tc>
        <w:tc>
          <w:tcPr>
            <w:tcW w:w="709" w:type="dxa"/>
            <w:noWrap/>
            <w:hideMark/>
          </w:tcPr>
          <w:p w14:paraId="16D3F505"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CEC</w:t>
            </w:r>
          </w:p>
        </w:tc>
        <w:tc>
          <w:tcPr>
            <w:tcW w:w="992" w:type="dxa"/>
            <w:noWrap/>
            <w:hideMark/>
          </w:tcPr>
          <w:p w14:paraId="5C6B7018"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1.1</w:t>
            </w:r>
          </w:p>
        </w:tc>
        <w:tc>
          <w:tcPr>
            <w:tcW w:w="1134" w:type="dxa"/>
            <w:noWrap/>
            <w:hideMark/>
          </w:tcPr>
          <w:p w14:paraId="20B83A2A"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Yr 3, 5</w:t>
            </w:r>
          </w:p>
        </w:tc>
        <w:tc>
          <w:tcPr>
            <w:tcW w:w="1843" w:type="dxa"/>
            <w:noWrap/>
            <w:hideMark/>
          </w:tcPr>
          <w:p w14:paraId="569C10E2"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Mark Street</w:t>
            </w:r>
          </w:p>
        </w:tc>
        <w:tc>
          <w:tcPr>
            <w:tcW w:w="1134" w:type="dxa"/>
            <w:noWrap/>
            <w:hideMark/>
          </w:tcPr>
          <w:p w14:paraId="3C408DB6" w14:textId="77777777" w:rsidR="00107BB9" w:rsidRPr="00107BB9" w:rsidRDefault="00107BB9" w:rsidP="00107BB9">
            <w:pPr>
              <w:rPr>
                <w:rFonts w:eastAsia="Times New Roman" w:cs="Times New Roman"/>
                <w:color w:val="000000"/>
                <w:sz w:val="18"/>
                <w:szCs w:val="18"/>
                <w:lang w:eastAsia="en-AU"/>
              </w:rPr>
            </w:pPr>
            <w:r w:rsidRPr="00107BB9">
              <w:rPr>
                <w:rFonts w:eastAsia="Times New Roman" w:cs="Times New Roman"/>
                <w:color w:val="000000"/>
                <w:sz w:val="18"/>
                <w:szCs w:val="18"/>
                <w:lang w:eastAsia="en-AU"/>
              </w:rPr>
              <w:t>DN</w:t>
            </w:r>
          </w:p>
        </w:tc>
        <w:tc>
          <w:tcPr>
            <w:tcW w:w="1276" w:type="dxa"/>
            <w:noWrap/>
            <w:hideMark/>
          </w:tcPr>
          <w:p w14:paraId="13895044"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4.5</w:t>
            </w:r>
          </w:p>
        </w:tc>
        <w:tc>
          <w:tcPr>
            <w:tcW w:w="1134" w:type="dxa"/>
            <w:noWrap/>
            <w:hideMark/>
          </w:tcPr>
          <w:p w14:paraId="15D90FAE"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134" w:type="dxa"/>
            <w:noWrap/>
            <w:hideMark/>
          </w:tcPr>
          <w:p w14:paraId="433B4AEC"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0.0</w:t>
            </w:r>
          </w:p>
        </w:tc>
        <w:tc>
          <w:tcPr>
            <w:tcW w:w="1276" w:type="dxa"/>
            <w:noWrap/>
            <w:hideMark/>
          </w:tcPr>
          <w:p w14:paraId="54B608DD"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8</w:t>
            </w:r>
          </w:p>
        </w:tc>
        <w:tc>
          <w:tcPr>
            <w:tcW w:w="1417" w:type="dxa"/>
            <w:noWrap/>
            <w:hideMark/>
          </w:tcPr>
          <w:p w14:paraId="667EEAE9" w14:textId="77777777" w:rsidR="00107BB9" w:rsidRPr="00107BB9" w:rsidRDefault="00107BB9" w:rsidP="00107BB9">
            <w:pPr>
              <w:jc w:val="right"/>
              <w:rPr>
                <w:rFonts w:eastAsia="Times New Roman" w:cs="Times New Roman"/>
                <w:color w:val="000000"/>
                <w:sz w:val="18"/>
                <w:szCs w:val="18"/>
                <w:lang w:eastAsia="en-AU"/>
              </w:rPr>
            </w:pPr>
            <w:r w:rsidRPr="00107BB9">
              <w:rPr>
                <w:rFonts w:eastAsia="Times New Roman" w:cs="Times New Roman"/>
                <w:color w:val="000000"/>
                <w:sz w:val="18"/>
                <w:szCs w:val="18"/>
                <w:lang w:eastAsia="en-AU"/>
              </w:rPr>
              <w:t>0</w:t>
            </w:r>
          </w:p>
        </w:tc>
      </w:tr>
      <w:tr w:rsidR="001367E0" w:rsidRPr="001367E0" w14:paraId="34F7A727" w14:textId="77777777" w:rsidTr="001367E0">
        <w:tblPrEx>
          <w:tblCellMar>
            <w:left w:w="108" w:type="dxa"/>
            <w:right w:w="108" w:type="dxa"/>
          </w:tblCellMar>
        </w:tblPrEx>
        <w:trPr>
          <w:trHeight w:val="465"/>
        </w:trPr>
        <w:tc>
          <w:tcPr>
            <w:tcW w:w="737" w:type="dxa"/>
            <w:noWrap/>
            <w:hideMark/>
          </w:tcPr>
          <w:p w14:paraId="7D5669E4"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2000</w:t>
            </w:r>
          </w:p>
        </w:tc>
        <w:tc>
          <w:tcPr>
            <w:tcW w:w="1559" w:type="dxa"/>
            <w:noWrap/>
            <w:hideMark/>
          </w:tcPr>
          <w:p w14:paraId="772945E9"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Blue Hills College</w:t>
            </w:r>
          </w:p>
        </w:tc>
        <w:tc>
          <w:tcPr>
            <w:tcW w:w="709" w:type="dxa"/>
            <w:noWrap/>
            <w:hideMark/>
          </w:tcPr>
          <w:p w14:paraId="056C060A"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1C3073FE"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2.1.2</w:t>
            </w:r>
          </w:p>
        </w:tc>
        <w:tc>
          <w:tcPr>
            <w:tcW w:w="1134" w:type="dxa"/>
            <w:noWrap/>
            <w:hideMark/>
          </w:tcPr>
          <w:p w14:paraId="09DEA04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3CB6B44E"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17 Blue Hills Avenue</w:t>
            </w:r>
          </w:p>
        </w:tc>
        <w:tc>
          <w:tcPr>
            <w:tcW w:w="1134" w:type="dxa"/>
            <w:noWrap/>
            <w:hideMark/>
          </w:tcPr>
          <w:p w14:paraId="482FF43E"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SP</w:t>
            </w:r>
          </w:p>
        </w:tc>
        <w:tc>
          <w:tcPr>
            <w:tcW w:w="1276" w:type="dxa"/>
            <w:noWrap/>
            <w:hideMark/>
          </w:tcPr>
          <w:p w14:paraId="72B9DB8B"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17.5</w:t>
            </w:r>
          </w:p>
        </w:tc>
        <w:tc>
          <w:tcPr>
            <w:tcW w:w="1134" w:type="dxa"/>
            <w:noWrap/>
            <w:hideMark/>
          </w:tcPr>
          <w:p w14:paraId="5F28485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68.4</w:t>
            </w:r>
          </w:p>
        </w:tc>
        <w:tc>
          <w:tcPr>
            <w:tcW w:w="1134" w:type="dxa"/>
            <w:noWrap/>
            <w:hideMark/>
          </w:tcPr>
          <w:p w14:paraId="276C6AE8"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9.1</w:t>
            </w:r>
          </w:p>
        </w:tc>
        <w:tc>
          <w:tcPr>
            <w:tcW w:w="1276" w:type="dxa"/>
            <w:noWrap/>
            <w:hideMark/>
          </w:tcPr>
          <w:p w14:paraId="054E0154"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32</w:t>
            </w:r>
          </w:p>
        </w:tc>
        <w:tc>
          <w:tcPr>
            <w:tcW w:w="1417" w:type="dxa"/>
            <w:noWrap/>
            <w:hideMark/>
          </w:tcPr>
          <w:p w14:paraId="1C95AC17"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13</w:t>
            </w:r>
          </w:p>
        </w:tc>
      </w:tr>
      <w:tr w:rsidR="001367E0" w:rsidRPr="001367E0" w14:paraId="2CDCDA9C" w14:textId="77777777" w:rsidTr="001367E0">
        <w:tblPrEx>
          <w:tblCellMar>
            <w:left w:w="108" w:type="dxa"/>
            <w:right w:w="108" w:type="dxa"/>
          </w:tblCellMar>
        </w:tblPrEx>
        <w:trPr>
          <w:trHeight w:val="465"/>
        </w:trPr>
        <w:tc>
          <w:tcPr>
            <w:tcW w:w="737" w:type="dxa"/>
            <w:noWrap/>
            <w:hideMark/>
          </w:tcPr>
          <w:p w14:paraId="1BD450DF"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2023</w:t>
            </w:r>
          </w:p>
        </w:tc>
        <w:tc>
          <w:tcPr>
            <w:tcW w:w="1559" w:type="dxa"/>
            <w:noWrap/>
            <w:hideMark/>
          </w:tcPr>
          <w:p w14:paraId="3B2F3C5A"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Calrossy Anglican School</w:t>
            </w:r>
          </w:p>
        </w:tc>
        <w:tc>
          <w:tcPr>
            <w:tcW w:w="709" w:type="dxa"/>
            <w:noWrap/>
            <w:hideMark/>
          </w:tcPr>
          <w:p w14:paraId="1E2B0B29"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7457DBCA"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2.1.2</w:t>
            </w:r>
          </w:p>
        </w:tc>
        <w:tc>
          <w:tcPr>
            <w:tcW w:w="1134" w:type="dxa"/>
            <w:noWrap/>
            <w:hideMark/>
          </w:tcPr>
          <w:p w14:paraId="6997C18D"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7DE93116"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140 Brisbane Street</w:t>
            </w:r>
          </w:p>
        </w:tc>
        <w:tc>
          <w:tcPr>
            <w:tcW w:w="1134" w:type="dxa"/>
            <w:noWrap/>
            <w:hideMark/>
          </w:tcPr>
          <w:p w14:paraId="760D0449"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SP</w:t>
            </w:r>
          </w:p>
        </w:tc>
        <w:tc>
          <w:tcPr>
            <w:tcW w:w="1276" w:type="dxa"/>
            <w:noWrap/>
            <w:hideMark/>
          </w:tcPr>
          <w:p w14:paraId="6C6A68EA"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12.6</w:t>
            </w:r>
          </w:p>
        </w:tc>
        <w:tc>
          <w:tcPr>
            <w:tcW w:w="1134" w:type="dxa"/>
            <w:noWrap/>
            <w:hideMark/>
          </w:tcPr>
          <w:p w14:paraId="4947D7B6"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50.0</w:t>
            </w:r>
          </w:p>
        </w:tc>
        <w:tc>
          <w:tcPr>
            <w:tcW w:w="1134" w:type="dxa"/>
            <w:noWrap/>
            <w:hideMark/>
          </w:tcPr>
          <w:p w14:paraId="642B40F3"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6A679054"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75</w:t>
            </w:r>
          </w:p>
        </w:tc>
        <w:tc>
          <w:tcPr>
            <w:tcW w:w="1417" w:type="dxa"/>
            <w:noWrap/>
            <w:hideMark/>
          </w:tcPr>
          <w:p w14:paraId="2218CF7E"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11</w:t>
            </w:r>
          </w:p>
        </w:tc>
      </w:tr>
      <w:tr w:rsidR="001367E0" w:rsidRPr="001367E0" w14:paraId="56513B9A" w14:textId="77777777" w:rsidTr="001367E0">
        <w:tblPrEx>
          <w:tblCellMar>
            <w:left w:w="108" w:type="dxa"/>
            <w:right w:w="108" w:type="dxa"/>
          </w:tblCellMar>
        </w:tblPrEx>
        <w:trPr>
          <w:trHeight w:val="465"/>
        </w:trPr>
        <w:tc>
          <w:tcPr>
            <w:tcW w:w="737" w:type="dxa"/>
            <w:noWrap/>
            <w:hideMark/>
          </w:tcPr>
          <w:p w14:paraId="2FBB513D"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3321</w:t>
            </w:r>
          </w:p>
        </w:tc>
        <w:tc>
          <w:tcPr>
            <w:tcW w:w="1559" w:type="dxa"/>
            <w:noWrap/>
            <w:hideMark/>
          </w:tcPr>
          <w:p w14:paraId="40285E56"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Carinya Christian School Gunnedah</w:t>
            </w:r>
          </w:p>
        </w:tc>
        <w:tc>
          <w:tcPr>
            <w:tcW w:w="709" w:type="dxa"/>
            <w:noWrap/>
            <w:hideMark/>
          </w:tcPr>
          <w:p w14:paraId="67B7E687"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1513A85B"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2.2.2</w:t>
            </w:r>
          </w:p>
        </w:tc>
        <w:tc>
          <w:tcPr>
            <w:tcW w:w="1134" w:type="dxa"/>
            <w:noWrap/>
            <w:hideMark/>
          </w:tcPr>
          <w:p w14:paraId="2E2E6056"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w:t>
            </w:r>
          </w:p>
        </w:tc>
        <w:tc>
          <w:tcPr>
            <w:tcW w:w="1843" w:type="dxa"/>
            <w:noWrap/>
            <w:hideMark/>
          </w:tcPr>
          <w:p w14:paraId="44327C56"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46 Elgin Street</w:t>
            </w:r>
          </w:p>
        </w:tc>
        <w:tc>
          <w:tcPr>
            <w:tcW w:w="1134" w:type="dxa"/>
            <w:noWrap/>
            <w:hideMark/>
          </w:tcPr>
          <w:p w14:paraId="5FD8D8D1"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DN</w:t>
            </w:r>
          </w:p>
        </w:tc>
        <w:tc>
          <w:tcPr>
            <w:tcW w:w="1276" w:type="dxa"/>
            <w:noWrap/>
            <w:hideMark/>
          </w:tcPr>
          <w:p w14:paraId="1D02A12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7.5</w:t>
            </w:r>
          </w:p>
        </w:tc>
        <w:tc>
          <w:tcPr>
            <w:tcW w:w="1134" w:type="dxa"/>
            <w:noWrap/>
            <w:hideMark/>
          </w:tcPr>
          <w:p w14:paraId="08ECCC68"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134" w:type="dxa"/>
            <w:noWrap/>
            <w:hideMark/>
          </w:tcPr>
          <w:p w14:paraId="7F6A5B96"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2E48975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3</w:t>
            </w:r>
          </w:p>
        </w:tc>
        <w:tc>
          <w:tcPr>
            <w:tcW w:w="1417" w:type="dxa"/>
            <w:noWrap/>
            <w:hideMark/>
          </w:tcPr>
          <w:p w14:paraId="31E26BE0"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w:t>
            </w:r>
          </w:p>
        </w:tc>
      </w:tr>
      <w:tr w:rsidR="001367E0" w:rsidRPr="001367E0" w14:paraId="452B4342" w14:textId="77777777" w:rsidTr="001367E0">
        <w:tblPrEx>
          <w:tblCellMar>
            <w:left w:w="108" w:type="dxa"/>
            <w:right w:w="108" w:type="dxa"/>
          </w:tblCellMar>
        </w:tblPrEx>
        <w:trPr>
          <w:trHeight w:val="465"/>
        </w:trPr>
        <w:tc>
          <w:tcPr>
            <w:tcW w:w="737" w:type="dxa"/>
            <w:noWrap/>
            <w:hideMark/>
          </w:tcPr>
          <w:p w14:paraId="05686AE0"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4263</w:t>
            </w:r>
          </w:p>
        </w:tc>
        <w:tc>
          <w:tcPr>
            <w:tcW w:w="1559" w:type="dxa"/>
            <w:noWrap/>
            <w:hideMark/>
          </w:tcPr>
          <w:p w14:paraId="11D8C462"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Carinya Christian School Tamworth</w:t>
            </w:r>
          </w:p>
        </w:tc>
        <w:tc>
          <w:tcPr>
            <w:tcW w:w="709" w:type="dxa"/>
            <w:noWrap/>
            <w:hideMark/>
          </w:tcPr>
          <w:p w14:paraId="43F28F23"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4B69F9A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2.1.2</w:t>
            </w:r>
          </w:p>
        </w:tc>
        <w:tc>
          <w:tcPr>
            <w:tcW w:w="1134" w:type="dxa"/>
            <w:noWrap/>
            <w:hideMark/>
          </w:tcPr>
          <w:p w14:paraId="3B9B172B"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47D4997F"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25 Boronia Drive</w:t>
            </w:r>
          </w:p>
        </w:tc>
        <w:tc>
          <w:tcPr>
            <w:tcW w:w="1134" w:type="dxa"/>
            <w:noWrap/>
            <w:hideMark/>
          </w:tcPr>
          <w:p w14:paraId="421184EA"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DN</w:t>
            </w:r>
          </w:p>
        </w:tc>
        <w:tc>
          <w:tcPr>
            <w:tcW w:w="1276" w:type="dxa"/>
            <w:noWrap/>
            <w:hideMark/>
          </w:tcPr>
          <w:p w14:paraId="3524CE70"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10.4</w:t>
            </w:r>
          </w:p>
        </w:tc>
        <w:tc>
          <w:tcPr>
            <w:tcW w:w="1134" w:type="dxa"/>
            <w:noWrap/>
            <w:hideMark/>
          </w:tcPr>
          <w:p w14:paraId="601078D3"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22.7</w:t>
            </w:r>
          </w:p>
        </w:tc>
        <w:tc>
          <w:tcPr>
            <w:tcW w:w="1134" w:type="dxa"/>
            <w:noWrap/>
            <w:hideMark/>
          </w:tcPr>
          <w:p w14:paraId="72F8243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3491816F"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38</w:t>
            </w:r>
          </w:p>
        </w:tc>
        <w:tc>
          <w:tcPr>
            <w:tcW w:w="1417" w:type="dxa"/>
            <w:noWrap/>
            <w:hideMark/>
          </w:tcPr>
          <w:p w14:paraId="4D1F4F1F"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5</w:t>
            </w:r>
          </w:p>
        </w:tc>
      </w:tr>
      <w:tr w:rsidR="001367E0" w:rsidRPr="001367E0" w14:paraId="39E47610" w14:textId="77777777" w:rsidTr="001367E0">
        <w:tblPrEx>
          <w:tblCellMar>
            <w:left w:w="108" w:type="dxa"/>
            <w:right w:w="108" w:type="dxa"/>
          </w:tblCellMar>
        </w:tblPrEx>
        <w:trPr>
          <w:trHeight w:val="465"/>
        </w:trPr>
        <w:tc>
          <w:tcPr>
            <w:tcW w:w="737" w:type="dxa"/>
            <w:noWrap/>
            <w:hideMark/>
          </w:tcPr>
          <w:p w14:paraId="27C02381"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77154</w:t>
            </w:r>
          </w:p>
        </w:tc>
        <w:tc>
          <w:tcPr>
            <w:tcW w:w="1559" w:type="dxa"/>
            <w:noWrap/>
            <w:hideMark/>
          </w:tcPr>
          <w:p w14:paraId="111ECE41"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Coffs Harbour Christian Community School</w:t>
            </w:r>
          </w:p>
        </w:tc>
        <w:tc>
          <w:tcPr>
            <w:tcW w:w="709" w:type="dxa"/>
            <w:noWrap/>
            <w:hideMark/>
          </w:tcPr>
          <w:p w14:paraId="65DB448A"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27E1536D"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2.1.2</w:t>
            </w:r>
          </w:p>
        </w:tc>
        <w:tc>
          <w:tcPr>
            <w:tcW w:w="1134" w:type="dxa"/>
            <w:noWrap/>
            <w:hideMark/>
          </w:tcPr>
          <w:p w14:paraId="0A4A48A7"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5ED1F027"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226 Bonville Station Road</w:t>
            </w:r>
          </w:p>
        </w:tc>
        <w:tc>
          <w:tcPr>
            <w:tcW w:w="1134" w:type="dxa"/>
            <w:noWrap/>
            <w:hideMark/>
          </w:tcPr>
          <w:p w14:paraId="36F6FEEE"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DN</w:t>
            </w:r>
          </w:p>
        </w:tc>
        <w:tc>
          <w:tcPr>
            <w:tcW w:w="1276" w:type="dxa"/>
            <w:noWrap/>
            <w:hideMark/>
          </w:tcPr>
          <w:p w14:paraId="3C9EC67B"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14.6</w:t>
            </w:r>
          </w:p>
        </w:tc>
        <w:tc>
          <w:tcPr>
            <w:tcW w:w="1134" w:type="dxa"/>
            <w:noWrap/>
            <w:hideMark/>
          </w:tcPr>
          <w:p w14:paraId="3231243E"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15.0</w:t>
            </w:r>
          </w:p>
        </w:tc>
        <w:tc>
          <w:tcPr>
            <w:tcW w:w="1134" w:type="dxa"/>
            <w:noWrap/>
            <w:hideMark/>
          </w:tcPr>
          <w:p w14:paraId="224823E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9.1</w:t>
            </w:r>
          </w:p>
        </w:tc>
        <w:tc>
          <w:tcPr>
            <w:tcW w:w="1276" w:type="dxa"/>
            <w:noWrap/>
            <w:hideMark/>
          </w:tcPr>
          <w:p w14:paraId="44965CC3"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83</w:t>
            </w:r>
          </w:p>
        </w:tc>
        <w:tc>
          <w:tcPr>
            <w:tcW w:w="1417" w:type="dxa"/>
            <w:noWrap/>
            <w:hideMark/>
          </w:tcPr>
          <w:p w14:paraId="57718ABE"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3</w:t>
            </w:r>
          </w:p>
        </w:tc>
      </w:tr>
      <w:tr w:rsidR="001367E0" w:rsidRPr="001367E0" w14:paraId="2B34B1D8" w14:textId="77777777" w:rsidTr="001367E0">
        <w:tblPrEx>
          <w:tblCellMar>
            <w:left w:w="108" w:type="dxa"/>
            <w:right w:w="108" w:type="dxa"/>
          </w:tblCellMar>
        </w:tblPrEx>
        <w:trPr>
          <w:trHeight w:val="465"/>
        </w:trPr>
        <w:tc>
          <w:tcPr>
            <w:tcW w:w="737" w:type="dxa"/>
            <w:noWrap/>
            <w:hideMark/>
          </w:tcPr>
          <w:p w14:paraId="0C9211E4"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2326</w:t>
            </w:r>
          </w:p>
        </w:tc>
        <w:tc>
          <w:tcPr>
            <w:tcW w:w="1559" w:type="dxa"/>
            <w:noWrap/>
            <w:hideMark/>
          </w:tcPr>
          <w:p w14:paraId="5AC515A5"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Kempsey Adventist School</w:t>
            </w:r>
          </w:p>
        </w:tc>
        <w:tc>
          <w:tcPr>
            <w:tcW w:w="709" w:type="dxa"/>
            <w:noWrap/>
            <w:hideMark/>
          </w:tcPr>
          <w:p w14:paraId="55DC2F29"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7B0A1806"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2.2.1</w:t>
            </w:r>
          </w:p>
        </w:tc>
        <w:tc>
          <w:tcPr>
            <w:tcW w:w="1134" w:type="dxa"/>
            <w:noWrap/>
            <w:hideMark/>
          </w:tcPr>
          <w:p w14:paraId="4D48A01B"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7633044C"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108 Crescent Head Road</w:t>
            </w:r>
          </w:p>
        </w:tc>
        <w:tc>
          <w:tcPr>
            <w:tcW w:w="1134" w:type="dxa"/>
            <w:noWrap/>
            <w:hideMark/>
          </w:tcPr>
          <w:p w14:paraId="1E38C54F"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SP</w:t>
            </w:r>
          </w:p>
        </w:tc>
        <w:tc>
          <w:tcPr>
            <w:tcW w:w="1276" w:type="dxa"/>
            <w:noWrap/>
            <w:hideMark/>
          </w:tcPr>
          <w:p w14:paraId="02F6182F"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15.8</w:t>
            </w:r>
          </w:p>
        </w:tc>
        <w:tc>
          <w:tcPr>
            <w:tcW w:w="1134" w:type="dxa"/>
            <w:noWrap/>
            <w:hideMark/>
          </w:tcPr>
          <w:p w14:paraId="360A643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34.6</w:t>
            </w:r>
          </w:p>
        </w:tc>
        <w:tc>
          <w:tcPr>
            <w:tcW w:w="1134" w:type="dxa"/>
            <w:noWrap/>
            <w:hideMark/>
          </w:tcPr>
          <w:p w14:paraId="47B2909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28617A60"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37</w:t>
            </w:r>
          </w:p>
        </w:tc>
        <w:tc>
          <w:tcPr>
            <w:tcW w:w="1417" w:type="dxa"/>
            <w:noWrap/>
            <w:hideMark/>
          </w:tcPr>
          <w:p w14:paraId="3EA06AF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9</w:t>
            </w:r>
          </w:p>
        </w:tc>
      </w:tr>
      <w:tr w:rsidR="001367E0" w:rsidRPr="001367E0" w14:paraId="59998BFF" w14:textId="77777777" w:rsidTr="001367E0">
        <w:tblPrEx>
          <w:tblCellMar>
            <w:left w:w="108" w:type="dxa"/>
            <w:right w:w="108" w:type="dxa"/>
          </w:tblCellMar>
        </w:tblPrEx>
        <w:trPr>
          <w:trHeight w:val="465"/>
        </w:trPr>
        <w:tc>
          <w:tcPr>
            <w:tcW w:w="737" w:type="dxa"/>
            <w:noWrap/>
            <w:hideMark/>
          </w:tcPr>
          <w:p w14:paraId="1F9767B7"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17633</w:t>
            </w:r>
          </w:p>
        </w:tc>
        <w:tc>
          <w:tcPr>
            <w:tcW w:w="1559" w:type="dxa"/>
            <w:noWrap/>
            <w:hideMark/>
          </w:tcPr>
          <w:p w14:paraId="0E728C75"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Macleay Vocational College</w:t>
            </w:r>
          </w:p>
        </w:tc>
        <w:tc>
          <w:tcPr>
            <w:tcW w:w="709" w:type="dxa"/>
            <w:noWrap/>
            <w:hideMark/>
          </w:tcPr>
          <w:p w14:paraId="5B832816"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51A5CE0D"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2.2.1</w:t>
            </w:r>
          </w:p>
        </w:tc>
        <w:tc>
          <w:tcPr>
            <w:tcW w:w="1134" w:type="dxa"/>
            <w:noWrap/>
            <w:hideMark/>
          </w:tcPr>
          <w:p w14:paraId="60DE9E70"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7</w:t>
            </w:r>
          </w:p>
        </w:tc>
        <w:tc>
          <w:tcPr>
            <w:tcW w:w="1843" w:type="dxa"/>
            <w:noWrap/>
            <w:hideMark/>
          </w:tcPr>
          <w:p w14:paraId="57712719"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1-13 Reginald Ward Street</w:t>
            </w:r>
          </w:p>
        </w:tc>
        <w:tc>
          <w:tcPr>
            <w:tcW w:w="1134" w:type="dxa"/>
            <w:noWrap/>
            <w:hideMark/>
          </w:tcPr>
          <w:p w14:paraId="2AF5BFF4"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2009 Low SES NP</w:t>
            </w:r>
          </w:p>
        </w:tc>
        <w:tc>
          <w:tcPr>
            <w:tcW w:w="1276" w:type="dxa"/>
            <w:noWrap/>
            <w:hideMark/>
          </w:tcPr>
          <w:p w14:paraId="30D1AD43"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100.0</w:t>
            </w:r>
          </w:p>
        </w:tc>
        <w:tc>
          <w:tcPr>
            <w:tcW w:w="1134" w:type="dxa"/>
            <w:noWrap/>
            <w:hideMark/>
          </w:tcPr>
          <w:p w14:paraId="76F0B0F6"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100.0</w:t>
            </w:r>
          </w:p>
        </w:tc>
        <w:tc>
          <w:tcPr>
            <w:tcW w:w="1134" w:type="dxa"/>
            <w:noWrap/>
            <w:hideMark/>
          </w:tcPr>
          <w:p w14:paraId="0AC1D477"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25.0</w:t>
            </w:r>
          </w:p>
        </w:tc>
        <w:tc>
          <w:tcPr>
            <w:tcW w:w="1276" w:type="dxa"/>
            <w:noWrap/>
            <w:hideMark/>
          </w:tcPr>
          <w:p w14:paraId="49009FE3"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20</w:t>
            </w:r>
          </w:p>
        </w:tc>
        <w:tc>
          <w:tcPr>
            <w:tcW w:w="1417" w:type="dxa"/>
            <w:noWrap/>
            <w:hideMark/>
          </w:tcPr>
          <w:p w14:paraId="3802AC5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16</w:t>
            </w:r>
          </w:p>
        </w:tc>
      </w:tr>
      <w:tr w:rsidR="001367E0" w:rsidRPr="001367E0" w14:paraId="7418EC93" w14:textId="77777777" w:rsidTr="001367E0">
        <w:tblPrEx>
          <w:tblCellMar>
            <w:left w:w="108" w:type="dxa"/>
            <w:right w:w="108" w:type="dxa"/>
          </w:tblCellMar>
        </w:tblPrEx>
        <w:trPr>
          <w:trHeight w:val="465"/>
        </w:trPr>
        <w:tc>
          <w:tcPr>
            <w:tcW w:w="737" w:type="dxa"/>
            <w:noWrap/>
            <w:hideMark/>
          </w:tcPr>
          <w:p w14:paraId="729C970A"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77489</w:t>
            </w:r>
          </w:p>
        </w:tc>
        <w:tc>
          <w:tcPr>
            <w:tcW w:w="1559" w:type="dxa"/>
            <w:noWrap/>
            <w:hideMark/>
          </w:tcPr>
          <w:p w14:paraId="7C5B5FED"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Mar Narsai Assyrian College</w:t>
            </w:r>
          </w:p>
        </w:tc>
        <w:tc>
          <w:tcPr>
            <w:tcW w:w="709" w:type="dxa"/>
            <w:noWrap/>
            <w:hideMark/>
          </w:tcPr>
          <w:p w14:paraId="587C0CB2"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29FFDD6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1.1</w:t>
            </w:r>
          </w:p>
        </w:tc>
        <w:tc>
          <w:tcPr>
            <w:tcW w:w="1134" w:type="dxa"/>
            <w:noWrap/>
            <w:hideMark/>
          </w:tcPr>
          <w:p w14:paraId="57DDC954"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7</w:t>
            </w:r>
          </w:p>
        </w:tc>
        <w:tc>
          <w:tcPr>
            <w:tcW w:w="1843" w:type="dxa"/>
            <w:noWrap/>
            <w:hideMark/>
          </w:tcPr>
          <w:p w14:paraId="72818097"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7-9 Greenfield Road</w:t>
            </w:r>
          </w:p>
        </w:tc>
        <w:tc>
          <w:tcPr>
            <w:tcW w:w="1134" w:type="dxa"/>
            <w:noWrap/>
            <w:hideMark/>
          </w:tcPr>
          <w:p w14:paraId="6D2F2254"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SP</w:t>
            </w:r>
          </w:p>
        </w:tc>
        <w:tc>
          <w:tcPr>
            <w:tcW w:w="1276" w:type="dxa"/>
            <w:noWrap/>
            <w:hideMark/>
          </w:tcPr>
          <w:p w14:paraId="4444EBEC"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44.8</w:t>
            </w:r>
          </w:p>
        </w:tc>
        <w:tc>
          <w:tcPr>
            <w:tcW w:w="1134" w:type="dxa"/>
            <w:noWrap/>
            <w:hideMark/>
          </w:tcPr>
          <w:p w14:paraId="231B9CDF"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134" w:type="dxa"/>
            <w:noWrap/>
            <w:hideMark/>
          </w:tcPr>
          <w:p w14:paraId="755DCC3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2A700C1C"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90</w:t>
            </w:r>
          </w:p>
        </w:tc>
        <w:tc>
          <w:tcPr>
            <w:tcW w:w="1417" w:type="dxa"/>
            <w:noWrap/>
            <w:hideMark/>
          </w:tcPr>
          <w:p w14:paraId="278D559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w:t>
            </w:r>
          </w:p>
        </w:tc>
      </w:tr>
      <w:tr w:rsidR="001367E0" w:rsidRPr="001367E0" w14:paraId="1AF620C9" w14:textId="77777777" w:rsidTr="001367E0">
        <w:tblPrEx>
          <w:tblCellMar>
            <w:left w:w="108" w:type="dxa"/>
            <w:right w:w="108" w:type="dxa"/>
          </w:tblCellMar>
        </w:tblPrEx>
        <w:trPr>
          <w:trHeight w:val="465"/>
        </w:trPr>
        <w:tc>
          <w:tcPr>
            <w:tcW w:w="737" w:type="dxa"/>
            <w:noWrap/>
            <w:hideMark/>
          </w:tcPr>
          <w:p w14:paraId="7B38AD1F"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15383</w:t>
            </w:r>
          </w:p>
        </w:tc>
        <w:tc>
          <w:tcPr>
            <w:tcW w:w="1559" w:type="dxa"/>
            <w:noWrap/>
            <w:hideMark/>
          </w:tcPr>
          <w:p w14:paraId="485689DA"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Minimbah Primary School</w:t>
            </w:r>
          </w:p>
        </w:tc>
        <w:tc>
          <w:tcPr>
            <w:tcW w:w="709" w:type="dxa"/>
            <w:noWrap/>
            <w:hideMark/>
          </w:tcPr>
          <w:p w14:paraId="3AF35952"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24B67290"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2.2.1</w:t>
            </w:r>
          </w:p>
        </w:tc>
        <w:tc>
          <w:tcPr>
            <w:tcW w:w="1134" w:type="dxa"/>
            <w:noWrap/>
            <w:hideMark/>
          </w:tcPr>
          <w:p w14:paraId="0655B4A4"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w:t>
            </w:r>
          </w:p>
        </w:tc>
        <w:tc>
          <w:tcPr>
            <w:tcW w:w="1843" w:type="dxa"/>
            <w:noWrap/>
            <w:hideMark/>
          </w:tcPr>
          <w:p w14:paraId="20FF9F24"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Galloway Street</w:t>
            </w:r>
          </w:p>
        </w:tc>
        <w:tc>
          <w:tcPr>
            <w:tcW w:w="1134" w:type="dxa"/>
            <w:noWrap/>
            <w:hideMark/>
          </w:tcPr>
          <w:p w14:paraId="0988FE53"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SP</w:t>
            </w:r>
          </w:p>
        </w:tc>
        <w:tc>
          <w:tcPr>
            <w:tcW w:w="1276" w:type="dxa"/>
            <w:noWrap/>
            <w:hideMark/>
          </w:tcPr>
          <w:p w14:paraId="67916C40"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45.0</w:t>
            </w:r>
          </w:p>
        </w:tc>
        <w:tc>
          <w:tcPr>
            <w:tcW w:w="1134" w:type="dxa"/>
            <w:noWrap/>
            <w:hideMark/>
          </w:tcPr>
          <w:p w14:paraId="50F2B2A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50.0</w:t>
            </w:r>
          </w:p>
        </w:tc>
        <w:tc>
          <w:tcPr>
            <w:tcW w:w="1134" w:type="dxa"/>
            <w:noWrap/>
            <w:hideMark/>
          </w:tcPr>
          <w:p w14:paraId="09BBD376"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05AC0AD8"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9</w:t>
            </w:r>
          </w:p>
        </w:tc>
        <w:tc>
          <w:tcPr>
            <w:tcW w:w="1417" w:type="dxa"/>
            <w:noWrap/>
            <w:hideMark/>
          </w:tcPr>
          <w:p w14:paraId="3428C40E"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9</w:t>
            </w:r>
          </w:p>
        </w:tc>
      </w:tr>
      <w:tr w:rsidR="001367E0" w:rsidRPr="001367E0" w14:paraId="4776B716" w14:textId="77777777" w:rsidTr="001367E0">
        <w:tblPrEx>
          <w:tblCellMar>
            <w:left w:w="108" w:type="dxa"/>
            <w:right w:w="108" w:type="dxa"/>
          </w:tblCellMar>
        </w:tblPrEx>
        <w:trPr>
          <w:trHeight w:val="465"/>
        </w:trPr>
        <w:tc>
          <w:tcPr>
            <w:tcW w:w="737" w:type="dxa"/>
            <w:noWrap/>
            <w:hideMark/>
          </w:tcPr>
          <w:p w14:paraId="6F546E5F"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16955</w:t>
            </w:r>
          </w:p>
        </w:tc>
        <w:tc>
          <w:tcPr>
            <w:tcW w:w="1559" w:type="dxa"/>
            <w:noWrap/>
            <w:hideMark/>
          </w:tcPr>
          <w:p w14:paraId="151B2AED"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Nowra Anglican College</w:t>
            </w:r>
          </w:p>
        </w:tc>
        <w:tc>
          <w:tcPr>
            <w:tcW w:w="709" w:type="dxa"/>
            <w:noWrap/>
            <w:hideMark/>
          </w:tcPr>
          <w:p w14:paraId="4E4A75AD"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199154CD"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2.1.2</w:t>
            </w:r>
          </w:p>
        </w:tc>
        <w:tc>
          <w:tcPr>
            <w:tcW w:w="1134" w:type="dxa"/>
            <w:noWrap/>
            <w:hideMark/>
          </w:tcPr>
          <w:p w14:paraId="776F05F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794528ED" w14:textId="75FCDC62" w:rsidR="001367E0" w:rsidRPr="001367E0" w:rsidRDefault="001367E0" w:rsidP="00620352">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 xml:space="preserve">Cnr Princes Highway and West Bunderra </w:t>
            </w:r>
          </w:p>
        </w:tc>
        <w:tc>
          <w:tcPr>
            <w:tcW w:w="1134" w:type="dxa"/>
            <w:noWrap/>
            <w:hideMark/>
          </w:tcPr>
          <w:p w14:paraId="6D3FF585"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DN</w:t>
            </w:r>
          </w:p>
        </w:tc>
        <w:tc>
          <w:tcPr>
            <w:tcW w:w="1276" w:type="dxa"/>
            <w:noWrap/>
            <w:hideMark/>
          </w:tcPr>
          <w:p w14:paraId="49BADF0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8.4</w:t>
            </w:r>
          </w:p>
        </w:tc>
        <w:tc>
          <w:tcPr>
            <w:tcW w:w="1134" w:type="dxa"/>
            <w:noWrap/>
            <w:hideMark/>
          </w:tcPr>
          <w:p w14:paraId="210B2F84"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31.0</w:t>
            </w:r>
          </w:p>
        </w:tc>
        <w:tc>
          <w:tcPr>
            <w:tcW w:w="1134" w:type="dxa"/>
            <w:noWrap/>
            <w:hideMark/>
          </w:tcPr>
          <w:p w14:paraId="452AAD3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11.1</w:t>
            </w:r>
          </w:p>
        </w:tc>
        <w:tc>
          <w:tcPr>
            <w:tcW w:w="1276" w:type="dxa"/>
            <w:noWrap/>
            <w:hideMark/>
          </w:tcPr>
          <w:p w14:paraId="11444E7C"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41</w:t>
            </w:r>
          </w:p>
        </w:tc>
        <w:tc>
          <w:tcPr>
            <w:tcW w:w="1417" w:type="dxa"/>
            <w:noWrap/>
            <w:hideMark/>
          </w:tcPr>
          <w:p w14:paraId="0483984F"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9</w:t>
            </w:r>
          </w:p>
        </w:tc>
      </w:tr>
      <w:tr w:rsidR="001367E0" w:rsidRPr="001367E0" w14:paraId="28143933" w14:textId="77777777" w:rsidTr="001367E0">
        <w:tblPrEx>
          <w:tblCellMar>
            <w:left w:w="108" w:type="dxa"/>
            <w:right w:w="108" w:type="dxa"/>
          </w:tblCellMar>
        </w:tblPrEx>
        <w:trPr>
          <w:trHeight w:val="465"/>
        </w:trPr>
        <w:tc>
          <w:tcPr>
            <w:tcW w:w="737" w:type="dxa"/>
            <w:noWrap/>
            <w:hideMark/>
          </w:tcPr>
          <w:p w14:paraId="305A9D2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16721</w:t>
            </w:r>
          </w:p>
        </w:tc>
        <w:tc>
          <w:tcPr>
            <w:tcW w:w="1559" w:type="dxa"/>
            <w:noWrap/>
            <w:hideMark/>
          </w:tcPr>
          <w:p w14:paraId="1F4C0364"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Richard Johnson Anglican School</w:t>
            </w:r>
          </w:p>
        </w:tc>
        <w:tc>
          <w:tcPr>
            <w:tcW w:w="709" w:type="dxa"/>
            <w:noWrap/>
            <w:hideMark/>
          </w:tcPr>
          <w:p w14:paraId="422AD078"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7F8C6DD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1.1</w:t>
            </w:r>
          </w:p>
        </w:tc>
        <w:tc>
          <w:tcPr>
            <w:tcW w:w="1134" w:type="dxa"/>
            <w:noWrap/>
            <w:hideMark/>
          </w:tcPr>
          <w:p w14:paraId="495E1683"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399277C8"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93 Hyatts Road</w:t>
            </w:r>
          </w:p>
        </w:tc>
        <w:tc>
          <w:tcPr>
            <w:tcW w:w="1134" w:type="dxa"/>
            <w:noWrap/>
            <w:hideMark/>
          </w:tcPr>
          <w:p w14:paraId="430A057A"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DN</w:t>
            </w:r>
          </w:p>
        </w:tc>
        <w:tc>
          <w:tcPr>
            <w:tcW w:w="1276" w:type="dxa"/>
            <w:noWrap/>
            <w:hideMark/>
          </w:tcPr>
          <w:p w14:paraId="728100A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12.4</w:t>
            </w:r>
          </w:p>
        </w:tc>
        <w:tc>
          <w:tcPr>
            <w:tcW w:w="1134" w:type="dxa"/>
            <w:noWrap/>
            <w:hideMark/>
          </w:tcPr>
          <w:p w14:paraId="5A02A64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134" w:type="dxa"/>
            <w:noWrap/>
            <w:hideMark/>
          </w:tcPr>
          <w:p w14:paraId="32B23163"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791D67E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70</w:t>
            </w:r>
          </w:p>
        </w:tc>
        <w:tc>
          <w:tcPr>
            <w:tcW w:w="1417" w:type="dxa"/>
            <w:noWrap/>
            <w:hideMark/>
          </w:tcPr>
          <w:p w14:paraId="7827C096"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w:t>
            </w:r>
          </w:p>
        </w:tc>
      </w:tr>
      <w:tr w:rsidR="001367E0" w:rsidRPr="001367E0" w14:paraId="3C941BB3" w14:textId="77777777" w:rsidTr="001367E0">
        <w:tblPrEx>
          <w:tblCellMar>
            <w:left w:w="108" w:type="dxa"/>
            <w:right w:w="108" w:type="dxa"/>
          </w:tblCellMar>
        </w:tblPrEx>
        <w:trPr>
          <w:trHeight w:val="465"/>
        </w:trPr>
        <w:tc>
          <w:tcPr>
            <w:tcW w:w="737" w:type="dxa"/>
            <w:noWrap/>
            <w:hideMark/>
          </w:tcPr>
          <w:p w14:paraId="2AE31300"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17159</w:t>
            </w:r>
          </w:p>
        </w:tc>
        <w:tc>
          <w:tcPr>
            <w:tcW w:w="1559" w:type="dxa"/>
            <w:noWrap/>
            <w:hideMark/>
          </w:tcPr>
          <w:p w14:paraId="645CA6B0"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Rouse Hill Anglican College</w:t>
            </w:r>
          </w:p>
        </w:tc>
        <w:tc>
          <w:tcPr>
            <w:tcW w:w="709" w:type="dxa"/>
            <w:noWrap/>
            <w:hideMark/>
          </w:tcPr>
          <w:p w14:paraId="517396E9"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5A7154D7"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1.1</w:t>
            </w:r>
          </w:p>
        </w:tc>
        <w:tc>
          <w:tcPr>
            <w:tcW w:w="1134" w:type="dxa"/>
            <w:noWrap/>
            <w:hideMark/>
          </w:tcPr>
          <w:p w14:paraId="48D0A10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06BEA373"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Corner Rouse Road and Worcester Road</w:t>
            </w:r>
          </w:p>
        </w:tc>
        <w:tc>
          <w:tcPr>
            <w:tcW w:w="1134" w:type="dxa"/>
            <w:noWrap/>
            <w:hideMark/>
          </w:tcPr>
          <w:p w14:paraId="5A9129B3"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SP</w:t>
            </w:r>
          </w:p>
        </w:tc>
        <w:tc>
          <w:tcPr>
            <w:tcW w:w="1276" w:type="dxa"/>
            <w:noWrap/>
            <w:hideMark/>
          </w:tcPr>
          <w:p w14:paraId="0DF99757"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12.8</w:t>
            </w:r>
          </w:p>
        </w:tc>
        <w:tc>
          <w:tcPr>
            <w:tcW w:w="1134" w:type="dxa"/>
            <w:noWrap/>
            <w:hideMark/>
          </w:tcPr>
          <w:p w14:paraId="3B2F99E1"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100.0</w:t>
            </w:r>
          </w:p>
        </w:tc>
        <w:tc>
          <w:tcPr>
            <w:tcW w:w="1134" w:type="dxa"/>
            <w:noWrap/>
            <w:hideMark/>
          </w:tcPr>
          <w:p w14:paraId="2C2F2C33"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28BF63BD"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90</w:t>
            </w:r>
          </w:p>
        </w:tc>
        <w:tc>
          <w:tcPr>
            <w:tcW w:w="1417" w:type="dxa"/>
            <w:noWrap/>
            <w:hideMark/>
          </w:tcPr>
          <w:p w14:paraId="516220E0"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w:t>
            </w:r>
          </w:p>
        </w:tc>
      </w:tr>
      <w:tr w:rsidR="001367E0" w:rsidRPr="001367E0" w14:paraId="5A599260" w14:textId="77777777" w:rsidTr="001367E0">
        <w:tblPrEx>
          <w:tblCellMar>
            <w:left w:w="108" w:type="dxa"/>
            <w:right w:w="108" w:type="dxa"/>
          </w:tblCellMar>
        </w:tblPrEx>
        <w:trPr>
          <w:trHeight w:val="465"/>
        </w:trPr>
        <w:tc>
          <w:tcPr>
            <w:tcW w:w="737" w:type="dxa"/>
            <w:noWrap/>
            <w:hideMark/>
          </w:tcPr>
          <w:p w14:paraId="18F77234"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16091</w:t>
            </w:r>
          </w:p>
        </w:tc>
        <w:tc>
          <w:tcPr>
            <w:tcW w:w="1559" w:type="dxa"/>
            <w:noWrap/>
            <w:hideMark/>
          </w:tcPr>
          <w:p w14:paraId="67E4F600"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St Philip's Christian College - Cessnock Campus</w:t>
            </w:r>
          </w:p>
        </w:tc>
        <w:tc>
          <w:tcPr>
            <w:tcW w:w="709" w:type="dxa"/>
            <w:noWrap/>
            <w:hideMark/>
          </w:tcPr>
          <w:p w14:paraId="55BE5848"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024DACC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1.2</w:t>
            </w:r>
          </w:p>
        </w:tc>
        <w:tc>
          <w:tcPr>
            <w:tcW w:w="1134" w:type="dxa"/>
            <w:noWrap/>
            <w:hideMark/>
          </w:tcPr>
          <w:p w14:paraId="78EA3A56"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4CCCF299"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Edgeworth Street</w:t>
            </w:r>
          </w:p>
        </w:tc>
        <w:tc>
          <w:tcPr>
            <w:tcW w:w="1134" w:type="dxa"/>
            <w:noWrap/>
            <w:hideMark/>
          </w:tcPr>
          <w:p w14:paraId="6D83C400"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SP</w:t>
            </w:r>
          </w:p>
        </w:tc>
        <w:tc>
          <w:tcPr>
            <w:tcW w:w="1276" w:type="dxa"/>
            <w:noWrap/>
            <w:hideMark/>
          </w:tcPr>
          <w:p w14:paraId="73032DD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19.0</w:t>
            </w:r>
          </w:p>
        </w:tc>
        <w:tc>
          <w:tcPr>
            <w:tcW w:w="1134" w:type="dxa"/>
            <w:noWrap/>
            <w:hideMark/>
          </w:tcPr>
          <w:p w14:paraId="5C022B8E"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77.8</w:t>
            </w:r>
          </w:p>
        </w:tc>
        <w:tc>
          <w:tcPr>
            <w:tcW w:w="1134" w:type="dxa"/>
            <w:noWrap/>
            <w:hideMark/>
          </w:tcPr>
          <w:p w14:paraId="5A4DC51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16.7</w:t>
            </w:r>
          </w:p>
        </w:tc>
        <w:tc>
          <w:tcPr>
            <w:tcW w:w="1276" w:type="dxa"/>
            <w:noWrap/>
            <w:hideMark/>
          </w:tcPr>
          <w:p w14:paraId="748E1F40"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45</w:t>
            </w:r>
          </w:p>
        </w:tc>
        <w:tc>
          <w:tcPr>
            <w:tcW w:w="1417" w:type="dxa"/>
            <w:noWrap/>
            <w:hideMark/>
          </w:tcPr>
          <w:p w14:paraId="0B51C0AE"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7</w:t>
            </w:r>
          </w:p>
        </w:tc>
      </w:tr>
      <w:tr w:rsidR="001367E0" w:rsidRPr="001367E0" w14:paraId="56DF59EF" w14:textId="77777777" w:rsidTr="001367E0">
        <w:tblPrEx>
          <w:tblCellMar>
            <w:left w:w="108" w:type="dxa"/>
            <w:right w:w="108" w:type="dxa"/>
          </w:tblCellMar>
        </w:tblPrEx>
        <w:trPr>
          <w:trHeight w:val="465"/>
        </w:trPr>
        <w:tc>
          <w:tcPr>
            <w:tcW w:w="737" w:type="dxa"/>
            <w:noWrap/>
            <w:hideMark/>
          </w:tcPr>
          <w:p w14:paraId="39514B6F"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5297</w:t>
            </w:r>
          </w:p>
        </w:tc>
        <w:tc>
          <w:tcPr>
            <w:tcW w:w="1559" w:type="dxa"/>
            <w:noWrap/>
            <w:hideMark/>
          </w:tcPr>
          <w:p w14:paraId="7EC7C400"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Summerland Christian College</w:t>
            </w:r>
          </w:p>
        </w:tc>
        <w:tc>
          <w:tcPr>
            <w:tcW w:w="709" w:type="dxa"/>
            <w:noWrap/>
            <w:hideMark/>
          </w:tcPr>
          <w:p w14:paraId="50B73CAB"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209F51F3"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2.1.2</w:t>
            </w:r>
          </w:p>
        </w:tc>
        <w:tc>
          <w:tcPr>
            <w:tcW w:w="1134" w:type="dxa"/>
            <w:noWrap/>
            <w:hideMark/>
          </w:tcPr>
          <w:p w14:paraId="1B17AB5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76154787"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Pineapple Road</w:t>
            </w:r>
          </w:p>
        </w:tc>
        <w:tc>
          <w:tcPr>
            <w:tcW w:w="1134" w:type="dxa"/>
            <w:noWrap/>
            <w:hideMark/>
          </w:tcPr>
          <w:p w14:paraId="2965E9D9"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DN</w:t>
            </w:r>
          </w:p>
        </w:tc>
        <w:tc>
          <w:tcPr>
            <w:tcW w:w="1276" w:type="dxa"/>
            <w:noWrap/>
            <w:hideMark/>
          </w:tcPr>
          <w:p w14:paraId="45C90193"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11.0</w:t>
            </w:r>
          </w:p>
        </w:tc>
        <w:tc>
          <w:tcPr>
            <w:tcW w:w="1134" w:type="dxa"/>
            <w:noWrap/>
            <w:hideMark/>
          </w:tcPr>
          <w:p w14:paraId="4B4E32C7"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25.0</w:t>
            </w:r>
          </w:p>
        </w:tc>
        <w:tc>
          <w:tcPr>
            <w:tcW w:w="1134" w:type="dxa"/>
            <w:noWrap/>
            <w:hideMark/>
          </w:tcPr>
          <w:p w14:paraId="11FED5FC"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7863E847"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18</w:t>
            </w:r>
          </w:p>
        </w:tc>
        <w:tc>
          <w:tcPr>
            <w:tcW w:w="1417" w:type="dxa"/>
            <w:noWrap/>
            <w:hideMark/>
          </w:tcPr>
          <w:p w14:paraId="2BD2F3CA"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w:t>
            </w:r>
          </w:p>
        </w:tc>
      </w:tr>
      <w:tr w:rsidR="001367E0" w:rsidRPr="001367E0" w14:paraId="75574A24" w14:textId="77777777" w:rsidTr="001367E0">
        <w:tblPrEx>
          <w:tblCellMar>
            <w:left w:w="108" w:type="dxa"/>
            <w:right w:w="108" w:type="dxa"/>
          </w:tblCellMar>
        </w:tblPrEx>
        <w:trPr>
          <w:trHeight w:val="465"/>
        </w:trPr>
        <w:tc>
          <w:tcPr>
            <w:tcW w:w="737" w:type="dxa"/>
            <w:noWrap/>
            <w:hideMark/>
          </w:tcPr>
          <w:p w14:paraId="5189FF96"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16956</w:t>
            </w:r>
          </w:p>
        </w:tc>
        <w:tc>
          <w:tcPr>
            <w:tcW w:w="1559" w:type="dxa"/>
            <w:noWrap/>
            <w:hideMark/>
          </w:tcPr>
          <w:p w14:paraId="361F0E8F"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Thomas Hassall Anglican College</w:t>
            </w:r>
          </w:p>
        </w:tc>
        <w:tc>
          <w:tcPr>
            <w:tcW w:w="709" w:type="dxa"/>
            <w:noWrap/>
            <w:hideMark/>
          </w:tcPr>
          <w:p w14:paraId="607E6175"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6B6DB9B7"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1.1</w:t>
            </w:r>
          </w:p>
        </w:tc>
        <w:tc>
          <w:tcPr>
            <w:tcW w:w="1134" w:type="dxa"/>
            <w:noWrap/>
            <w:hideMark/>
          </w:tcPr>
          <w:p w14:paraId="6B7A971E"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59043A7B"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Cnr Second and Sixteenth Avenues</w:t>
            </w:r>
          </w:p>
        </w:tc>
        <w:tc>
          <w:tcPr>
            <w:tcW w:w="1134" w:type="dxa"/>
            <w:noWrap/>
            <w:hideMark/>
          </w:tcPr>
          <w:p w14:paraId="12445FC5"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DN</w:t>
            </w:r>
          </w:p>
        </w:tc>
        <w:tc>
          <w:tcPr>
            <w:tcW w:w="1276" w:type="dxa"/>
            <w:noWrap/>
            <w:hideMark/>
          </w:tcPr>
          <w:p w14:paraId="641ACF4C"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12.7</w:t>
            </w:r>
          </w:p>
        </w:tc>
        <w:tc>
          <w:tcPr>
            <w:tcW w:w="1134" w:type="dxa"/>
            <w:noWrap/>
            <w:hideMark/>
          </w:tcPr>
          <w:p w14:paraId="738F826E"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134" w:type="dxa"/>
            <w:noWrap/>
            <w:hideMark/>
          </w:tcPr>
          <w:p w14:paraId="638B9E6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7E4903EC"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94</w:t>
            </w:r>
          </w:p>
        </w:tc>
        <w:tc>
          <w:tcPr>
            <w:tcW w:w="1417" w:type="dxa"/>
            <w:noWrap/>
            <w:hideMark/>
          </w:tcPr>
          <w:p w14:paraId="5228768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w:t>
            </w:r>
          </w:p>
        </w:tc>
      </w:tr>
      <w:tr w:rsidR="001367E0" w:rsidRPr="001367E0" w14:paraId="52CC10F9" w14:textId="77777777" w:rsidTr="001367E0">
        <w:tblPrEx>
          <w:tblCellMar>
            <w:left w:w="108" w:type="dxa"/>
            <w:right w:w="108" w:type="dxa"/>
          </w:tblCellMar>
        </w:tblPrEx>
        <w:trPr>
          <w:trHeight w:val="465"/>
        </w:trPr>
        <w:tc>
          <w:tcPr>
            <w:tcW w:w="737" w:type="dxa"/>
            <w:noWrap/>
            <w:hideMark/>
          </w:tcPr>
          <w:p w14:paraId="30C43D04"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2035</w:t>
            </w:r>
          </w:p>
        </w:tc>
        <w:tc>
          <w:tcPr>
            <w:tcW w:w="1559" w:type="dxa"/>
            <w:noWrap/>
            <w:hideMark/>
          </w:tcPr>
          <w:p w14:paraId="7365988B"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Tyndale Christian School</w:t>
            </w:r>
          </w:p>
        </w:tc>
        <w:tc>
          <w:tcPr>
            <w:tcW w:w="709" w:type="dxa"/>
            <w:noWrap/>
            <w:hideMark/>
          </w:tcPr>
          <w:p w14:paraId="1B9A0163"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7E33F43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1.1</w:t>
            </w:r>
          </w:p>
        </w:tc>
        <w:tc>
          <w:tcPr>
            <w:tcW w:w="1134" w:type="dxa"/>
            <w:noWrap/>
            <w:hideMark/>
          </w:tcPr>
          <w:p w14:paraId="2A2D36EE"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23A1047B"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58 Douglas Road</w:t>
            </w:r>
          </w:p>
        </w:tc>
        <w:tc>
          <w:tcPr>
            <w:tcW w:w="1134" w:type="dxa"/>
            <w:noWrap/>
            <w:hideMark/>
          </w:tcPr>
          <w:p w14:paraId="7335A91D"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SP</w:t>
            </w:r>
          </w:p>
        </w:tc>
        <w:tc>
          <w:tcPr>
            <w:tcW w:w="1276" w:type="dxa"/>
            <w:noWrap/>
            <w:hideMark/>
          </w:tcPr>
          <w:p w14:paraId="6CA5B3D8"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19.1</w:t>
            </w:r>
          </w:p>
        </w:tc>
        <w:tc>
          <w:tcPr>
            <w:tcW w:w="1134" w:type="dxa"/>
            <w:noWrap/>
            <w:hideMark/>
          </w:tcPr>
          <w:p w14:paraId="2BF15E7B"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134" w:type="dxa"/>
            <w:noWrap/>
            <w:hideMark/>
          </w:tcPr>
          <w:p w14:paraId="65C255A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6B5C874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76</w:t>
            </w:r>
          </w:p>
        </w:tc>
        <w:tc>
          <w:tcPr>
            <w:tcW w:w="1417" w:type="dxa"/>
            <w:noWrap/>
            <w:hideMark/>
          </w:tcPr>
          <w:p w14:paraId="57BEEE6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w:t>
            </w:r>
          </w:p>
        </w:tc>
      </w:tr>
      <w:tr w:rsidR="001367E0" w:rsidRPr="001367E0" w14:paraId="55651E67" w14:textId="77777777" w:rsidTr="001367E0">
        <w:tblPrEx>
          <w:tblCellMar>
            <w:left w:w="108" w:type="dxa"/>
            <w:right w:w="108" w:type="dxa"/>
          </w:tblCellMar>
        </w:tblPrEx>
        <w:trPr>
          <w:trHeight w:val="465"/>
        </w:trPr>
        <w:tc>
          <w:tcPr>
            <w:tcW w:w="737" w:type="dxa"/>
            <w:noWrap/>
            <w:hideMark/>
          </w:tcPr>
          <w:p w14:paraId="79B4057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5347</w:t>
            </w:r>
          </w:p>
        </w:tc>
        <w:tc>
          <w:tcPr>
            <w:tcW w:w="1559" w:type="dxa"/>
            <w:noWrap/>
            <w:hideMark/>
          </w:tcPr>
          <w:p w14:paraId="0A425404"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William Carey Christian School</w:t>
            </w:r>
          </w:p>
        </w:tc>
        <w:tc>
          <w:tcPr>
            <w:tcW w:w="709" w:type="dxa"/>
            <w:noWrap/>
            <w:hideMark/>
          </w:tcPr>
          <w:p w14:paraId="2D9DD055"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1A4E0D2C"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1.1</w:t>
            </w:r>
          </w:p>
        </w:tc>
        <w:tc>
          <w:tcPr>
            <w:tcW w:w="1134" w:type="dxa"/>
            <w:noWrap/>
            <w:hideMark/>
          </w:tcPr>
          <w:p w14:paraId="3F5BFE9E"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4743BEA0"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Bumbera Street</w:t>
            </w:r>
          </w:p>
        </w:tc>
        <w:tc>
          <w:tcPr>
            <w:tcW w:w="1134" w:type="dxa"/>
            <w:noWrap/>
            <w:hideMark/>
          </w:tcPr>
          <w:p w14:paraId="0CF4E80E"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DN</w:t>
            </w:r>
          </w:p>
        </w:tc>
        <w:tc>
          <w:tcPr>
            <w:tcW w:w="1276" w:type="dxa"/>
            <w:noWrap/>
            <w:hideMark/>
          </w:tcPr>
          <w:p w14:paraId="2A771217"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11.4</w:t>
            </w:r>
          </w:p>
        </w:tc>
        <w:tc>
          <w:tcPr>
            <w:tcW w:w="1134" w:type="dxa"/>
            <w:noWrap/>
            <w:hideMark/>
          </w:tcPr>
          <w:p w14:paraId="34FDCE41"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134" w:type="dxa"/>
            <w:noWrap/>
            <w:hideMark/>
          </w:tcPr>
          <w:p w14:paraId="07DE5B8C"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0.0</w:t>
            </w:r>
          </w:p>
        </w:tc>
        <w:tc>
          <w:tcPr>
            <w:tcW w:w="1276" w:type="dxa"/>
            <w:noWrap/>
            <w:hideMark/>
          </w:tcPr>
          <w:p w14:paraId="786ACBB8"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94</w:t>
            </w:r>
          </w:p>
        </w:tc>
        <w:tc>
          <w:tcPr>
            <w:tcW w:w="1417" w:type="dxa"/>
            <w:noWrap/>
            <w:hideMark/>
          </w:tcPr>
          <w:p w14:paraId="34164516"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0</w:t>
            </w:r>
          </w:p>
        </w:tc>
      </w:tr>
      <w:tr w:rsidR="001367E0" w:rsidRPr="001367E0" w14:paraId="1F7AD288" w14:textId="77777777" w:rsidTr="001367E0">
        <w:tblPrEx>
          <w:tblCellMar>
            <w:left w:w="108" w:type="dxa"/>
            <w:right w:w="108" w:type="dxa"/>
          </w:tblCellMar>
        </w:tblPrEx>
        <w:trPr>
          <w:trHeight w:val="465"/>
        </w:trPr>
        <w:tc>
          <w:tcPr>
            <w:tcW w:w="737" w:type="dxa"/>
            <w:noWrap/>
            <w:hideMark/>
          </w:tcPr>
          <w:p w14:paraId="234C4537"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18086</w:t>
            </w:r>
          </w:p>
        </w:tc>
        <w:tc>
          <w:tcPr>
            <w:tcW w:w="1559" w:type="dxa"/>
            <w:noWrap/>
            <w:hideMark/>
          </w:tcPr>
          <w:p w14:paraId="400802C2"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Wollondilly Anglican College</w:t>
            </w:r>
          </w:p>
        </w:tc>
        <w:tc>
          <w:tcPr>
            <w:tcW w:w="709" w:type="dxa"/>
            <w:noWrap/>
            <w:hideMark/>
          </w:tcPr>
          <w:p w14:paraId="0E5E93A9"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AIS</w:t>
            </w:r>
          </w:p>
        </w:tc>
        <w:tc>
          <w:tcPr>
            <w:tcW w:w="992" w:type="dxa"/>
            <w:noWrap/>
            <w:hideMark/>
          </w:tcPr>
          <w:p w14:paraId="5D53834C"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1.1</w:t>
            </w:r>
          </w:p>
        </w:tc>
        <w:tc>
          <w:tcPr>
            <w:tcW w:w="1134" w:type="dxa"/>
            <w:noWrap/>
            <w:hideMark/>
          </w:tcPr>
          <w:p w14:paraId="67E0F0B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Yr 3, 5, 7</w:t>
            </w:r>
          </w:p>
        </w:tc>
        <w:tc>
          <w:tcPr>
            <w:tcW w:w="1843" w:type="dxa"/>
            <w:noWrap/>
            <w:hideMark/>
          </w:tcPr>
          <w:p w14:paraId="3B7EC0B2"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3000 Remembrance Drive</w:t>
            </w:r>
          </w:p>
        </w:tc>
        <w:tc>
          <w:tcPr>
            <w:tcW w:w="1134" w:type="dxa"/>
            <w:noWrap/>
            <w:hideMark/>
          </w:tcPr>
          <w:p w14:paraId="08B332F3" w14:textId="77777777" w:rsidR="001367E0" w:rsidRPr="001367E0" w:rsidRDefault="001367E0" w:rsidP="001367E0">
            <w:pPr>
              <w:rPr>
                <w:rFonts w:eastAsia="Times New Roman" w:cs="Times New Roman"/>
                <w:color w:val="000000"/>
                <w:sz w:val="18"/>
                <w:szCs w:val="18"/>
                <w:lang w:eastAsia="en-AU"/>
              </w:rPr>
            </w:pPr>
            <w:r w:rsidRPr="001367E0">
              <w:rPr>
                <w:rFonts w:eastAsia="Times New Roman" w:cs="Times New Roman"/>
                <w:color w:val="000000"/>
                <w:sz w:val="18"/>
                <w:szCs w:val="18"/>
                <w:lang w:eastAsia="en-AU"/>
              </w:rPr>
              <w:t>SP</w:t>
            </w:r>
          </w:p>
        </w:tc>
        <w:tc>
          <w:tcPr>
            <w:tcW w:w="1276" w:type="dxa"/>
            <w:noWrap/>
            <w:hideMark/>
          </w:tcPr>
          <w:p w14:paraId="5DB6564A"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17.8</w:t>
            </w:r>
          </w:p>
        </w:tc>
        <w:tc>
          <w:tcPr>
            <w:tcW w:w="1134" w:type="dxa"/>
            <w:noWrap/>
            <w:hideMark/>
          </w:tcPr>
          <w:p w14:paraId="37192FB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75.0</w:t>
            </w:r>
          </w:p>
        </w:tc>
        <w:tc>
          <w:tcPr>
            <w:tcW w:w="1134" w:type="dxa"/>
            <w:noWrap/>
            <w:hideMark/>
          </w:tcPr>
          <w:p w14:paraId="5C479F32"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20.0</w:t>
            </w:r>
          </w:p>
        </w:tc>
        <w:tc>
          <w:tcPr>
            <w:tcW w:w="1276" w:type="dxa"/>
            <w:noWrap/>
            <w:hideMark/>
          </w:tcPr>
          <w:p w14:paraId="42B331B5"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75</w:t>
            </w:r>
          </w:p>
        </w:tc>
        <w:tc>
          <w:tcPr>
            <w:tcW w:w="1417" w:type="dxa"/>
            <w:noWrap/>
            <w:hideMark/>
          </w:tcPr>
          <w:p w14:paraId="6F86BFD9" w14:textId="77777777" w:rsidR="001367E0" w:rsidRPr="001367E0" w:rsidRDefault="001367E0" w:rsidP="001367E0">
            <w:pPr>
              <w:jc w:val="right"/>
              <w:rPr>
                <w:rFonts w:eastAsia="Times New Roman" w:cs="Times New Roman"/>
                <w:color w:val="000000"/>
                <w:sz w:val="18"/>
                <w:szCs w:val="18"/>
                <w:lang w:eastAsia="en-AU"/>
              </w:rPr>
            </w:pPr>
            <w:r w:rsidRPr="001367E0">
              <w:rPr>
                <w:rFonts w:eastAsia="Times New Roman" w:cs="Times New Roman"/>
                <w:color w:val="000000"/>
                <w:sz w:val="18"/>
                <w:szCs w:val="18"/>
                <w:lang w:eastAsia="en-AU"/>
              </w:rPr>
              <w:t>6</w:t>
            </w:r>
          </w:p>
        </w:tc>
      </w:tr>
    </w:tbl>
    <w:p w14:paraId="4F2ED05F" w14:textId="77777777" w:rsidR="0035355F" w:rsidRPr="001367E0" w:rsidRDefault="0035355F" w:rsidP="00BC3DCB">
      <w:r w:rsidRPr="001367E0">
        <w:t xml:space="preserve">*Categories </w:t>
      </w:r>
    </w:p>
    <w:p w14:paraId="51FCBD21" w14:textId="77777777" w:rsidR="0035355F" w:rsidRPr="001367E0" w:rsidRDefault="0035355F" w:rsidP="00BC3DCB">
      <w:pPr>
        <w:rPr>
          <w:sz w:val="16"/>
        </w:rPr>
      </w:pPr>
      <w:r w:rsidRPr="001367E0">
        <w:rPr>
          <w:sz w:val="16"/>
        </w:rPr>
        <w:t>‘LNNP’ – previously participated in the Literacy and Numeracy National Partnership Agreement 2009-2012; or</w:t>
      </w:r>
    </w:p>
    <w:p w14:paraId="67F0750D" w14:textId="77777777" w:rsidR="0035355F" w:rsidRPr="001367E0" w:rsidRDefault="0035355F" w:rsidP="00BC3DCB">
      <w:pPr>
        <w:rPr>
          <w:sz w:val="16"/>
        </w:rPr>
      </w:pPr>
      <w:r w:rsidRPr="001367E0">
        <w:rPr>
          <w:sz w:val="16"/>
        </w:rPr>
        <w:t>‘SP’ – significant proportion of students in the bottom two NAPLAN bands; or</w:t>
      </w:r>
    </w:p>
    <w:p w14:paraId="0EC75A4E" w14:textId="77777777" w:rsidR="00327E37" w:rsidRPr="001367E0" w:rsidRDefault="0035355F" w:rsidP="00BC3DCB">
      <w:pPr>
        <w:rPr>
          <w:sz w:val="16"/>
        </w:rPr>
      </w:pPr>
      <w:r w:rsidRPr="001367E0">
        <w:rPr>
          <w:sz w:val="16"/>
        </w:rPr>
        <w:t>‘DN’ – does not meet previous criteria but has a demonstrated need</w:t>
      </w:r>
    </w:p>
    <w:p w14:paraId="10E00901" w14:textId="0E8FD664" w:rsidR="00892F35" w:rsidRPr="001367E0" w:rsidRDefault="00892F35" w:rsidP="00BC3DCB">
      <w:pPr>
        <w:rPr>
          <w:sz w:val="16"/>
        </w:rPr>
      </w:pPr>
      <w:r w:rsidRPr="001367E0">
        <w:rPr>
          <w:sz w:val="16"/>
        </w:rPr>
        <w:t>2009 Low SES School</w:t>
      </w:r>
    </w:p>
    <w:p w14:paraId="7DC61458" w14:textId="77777777" w:rsidR="00892F35" w:rsidRPr="001367E0" w:rsidRDefault="00892F35" w:rsidP="001367E0">
      <w:pPr>
        <w:pStyle w:val="Normalnumbered"/>
        <w:numPr>
          <w:ilvl w:val="0"/>
          <w:numId w:val="0"/>
        </w:numPr>
        <w:tabs>
          <w:tab w:val="num" w:pos="2160"/>
        </w:tabs>
        <w:ind w:left="567" w:hanging="567"/>
        <w:rPr>
          <w:sz w:val="18"/>
          <w:szCs w:val="23"/>
        </w:rPr>
      </w:pPr>
    </w:p>
    <w:p w14:paraId="330781E2" w14:textId="77777777" w:rsidR="00892F35" w:rsidRDefault="00892F35" w:rsidP="00892F35">
      <w:pPr>
        <w:pStyle w:val="Normalnumbered"/>
        <w:numPr>
          <w:ilvl w:val="0"/>
          <w:numId w:val="0"/>
        </w:numPr>
        <w:tabs>
          <w:tab w:val="num" w:pos="2160"/>
        </w:tabs>
        <w:rPr>
          <w:szCs w:val="23"/>
        </w:rPr>
        <w:sectPr w:rsidR="00892F35" w:rsidSect="00892F35">
          <w:pgSz w:w="16838" w:h="11906" w:orient="landscape"/>
          <w:pgMar w:top="1418" w:right="1134" w:bottom="851" w:left="1134" w:header="709" w:footer="709" w:gutter="0"/>
          <w:cols w:space="708"/>
          <w:docGrid w:linePitch="360"/>
        </w:sectPr>
      </w:pPr>
    </w:p>
    <w:tbl>
      <w:tblPr>
        <w:tblpPr w:leftFromText="180" w:rightFromText="180" w:horzAnchor="margin" w:tblpY="693"/>
        <w:tblW w:w="5000" w:type="pct"/>
        <w:tblLook w:val="04A0" w:firstRow="1" w:lastRow="0" w:firstColumn="1" w:lastColumn="0" w:noHBand="0" w:noVBand="1"/>
        <w:tblCaption w:val="Appendix B - May 2012 vs Nov 2013 Reporting - Non-ATSI students: Numeracy"/>
        <w:tblDescription w:val="Data relating to May 2012 vs Nov 2013 Reporting - Non-ATSI students: Numeracy"/>
      </w:tblPr>
      <w:tblGrid>
        <w:gridCol w:w="220"/>
        <w:gridCol w:w="220"/>
        <w:gridCol w:w="799"/>
        <w:gridCol w:w="769"/>
        <w:gridCol w:w="800"/>
        <w:gridCol w:w="769"/>
        <w:gridCol w:w="800"/>
        <w:gridCol w:w="769"/>
        <w:gridCol w:w="800"/>
        <w:gridCol w:w="769"/>
        <w:gridCol w:w="800"/>
        <w:gridCol w:w="769"/>
        <w:gridCol w:w="800"/>
        <w:gridCol w:w="769"/>
      </w:tblGrid>
      <w:tr w:rsidR="00F111FB" w:rsidRPr="009A0658" w14:paraId="44A2B127" w14:textId="77777777" w:rsidTr="00EC7988">
        <w:trPr>
          <w:trHeight w:val="347"/>
        </w:trPr>
        <w:tc>
          <w:tcPr>
            <w:tcW w:w="5000" w:type="pct"/>
            <w:gridSpan w:val="14"/>
            <w:tcBorders>
              <w:top w:val="nil"/>
              <w:left w:val="nil"/>
              <w:bottom w:val="nil"/>
              <w:right w:val="nil"/>
            </w:tcBorders>
            <w:shd w:val="clear" w:color="auto" w:fill="auto"/>
            <w:noWrap/>
            <w:vAlign w:val="bottom"/>
            <w:hideMark/>
          </w:tcPr>
          <w:p w14:paraId="420E9624" w14:textId="77777777" w:rsidR="00F111FB" w:rsidRPr="009C0466" w:rsidRDefault="00F111FB" w:rsidP="00AB720F">
            <w:pPr>
              <w:spacing w:after="0" w:line="240" w:lineRule="auto"/>
              <w:rPr>
                <w:rFonts w:ascii="Corbel" w:eastAsia="Times New Roman" w:hAnsi="Corbel" w:cs="Times New Roman"/>
                <w:color w:val="000000"/>
                <w:lang w:eastAsia="en-AU"/>
              </w:rPr>
            </w:pPr>
            <w:r w:rsidRPr="002C42CF">
              <w:rPr>
                <w:rFonts w:ascii="Corbel" w:eastAsia="Times New Roman" w:hAnsi="Corbel" w:cs="Times New Roman"/>
                <w:b/>
                <w:bCs/>
                <w:color w:val="244061" w:themeColor="accent1" w:themeShade="80"/>
                <w:sz w:val="32"/>
                <w:szCs w:val="28"/>
                <w:lang w:eastAsia="en-AU"/>
              </w:rPr>
              <w:t>May 2013 vs Nov 2013 Reporting – Non-ATSI Students: Numeracy</w:t>
            </w:r>
          </w:p>
        </w:tc>
      </w:tr>
      <w:tr w:rsidR="00EC7988" w:rsidRPr="009A0658" w14:paraId="795CB4E3" w14:textId="77777777" w:rsidTr="00EC7988">
        <w:trPr>
          <w:trHeight w:val="263"/>
        </w:trPr>
        <w:tc>
          <w:tcPr>
            <w:tcW w:w="101" w:type="pct"/>
            <w:tcBorders>
              <w:top w:val="nil"/>
              <w:left w:val="nil"/>
              <w:bottom w:val="nil"/>
              <w:right w:val="nil"/>
            </w:tcBorders>
            <w:shd w:val="clear" w:color="auto" w:fill="auto"/>
            <w:noWrap/>
            <w:vAlign w:val="bottom"/>
            <w:hideMark/>
          </w:tcPr>
          <w:p w14:paraId="30730959" w14:textId="77777777" w:rsidR="00F111FB" w:rsidRPr="009A0658" w:rsidRDefault="00F111FB" w:rsidP="00AB720F">
            <w:pPr>
              <w:spacing w:after="0" w:line="240" w:lineRule="auto"/>
              <w:rPr>
                <w:rFonts w:eastAsia="Times New Roman" w:cs="Times New Roman"/>
                <w:color w:val="000000"/>
                <w:lang w:eastAsia="en-AU"/>
              </w:rPr>
            </w:pPr>
          </w:p>
        </w:tc>
        <w:tc>
          <w:tcPr>
            <w:tcW w:w="101" w:type="pct"/>
            <w:tcBorders>
              <w:top w:val="nil"/>
              <w:left w:val="nil"/>
              <w:bottom w:val="nil"/>
              <w:right w:val="nil"/>
            </w:tcBorders>
            <w:shd w:val="clear" w:color="auto" w:fill="auto"/>
            <w:noWrap/>
            <w:vAlign w:val="bottom"/>
            <w:hideMark/>
          </w:tcPr>
          <w:p w14:paraId="483A6F8D"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nil"/>
              <w:bottom w:val="nil"/>
              <w:right w:val="nil"/>
            </w:tcBorders>
            <w:shd w:val="clear" w:color="auto" w:fill="auto"/>
            <w:noWrap/>
            <w:vAlign w:val="bottom"/>
            <w:hideMark/>
          </w:tcPr>
          <w:p w14:paraId="04D6545C" w14:textId="77777777" w:rsidR="00F111FB" w:rsidRPr="009A0658" w:rsidRDefault="00F111FB" w:rsidP="00AB720F">
            <w:pPr>
              <w:spacing w:after="0" w:line="240" w:lineRule="auto"/>
              <w:rPr>
                <w:rFonts w:eastAsia="Times New Roman" w:cs="Times New Roman"/>
                <w:color w:val="000000"/>
                <w:lang w:eastAsia="en-AU"/>
              </w:rPr>
            </w:pPr>
          </w:p>
        </w:tc>
        <w:tc>
          <w:tcPr>
            <w:tcW w:w="392" w:type="pct"/>
            <w:tcBorders>
              <w:top w:val="nil"/>
              <w:left w:val="nil"/>
              <w:bottom w:val="nil"/>
              <w:right w:val="nil"/>
            </w:tcBorders>
            <w:shd w:val="clear" w:color="auto" w:fill="auto"/>
            <w:noWrap/>
            <w:vAlign w:val="bottom"/>
            <w:hideMark/>
          </w:tcPr>
          <w:p w14:paraId="2D6F029F"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nil"/>
              <w:bottom w:val="nil"/>
              <w:right w:val="nil"/>
            </w:tcBorders>
            <w:shd w:val="clear" w:color="auto" w:fill="auto"/>
            <w:noWrap/>
            <w:vAlign w:val="bottom"/>
            <w:hideMark/>
          </w:tcPr>
          <w:p w14:paraId="16C46641" w14:textId="77777777" w:rsidR="00F111FB" w:rsidRPr="009A0658" w:rsidRDefault="00F111FB" w:rsidP="00AB720F">
            <w:pPr>
              <w:spacing w:after="0" w:line="240" w:lineRule="auto"/>
              <w:rPr>
                <w:rFonts w:eastAsia="Times New Roman" w:cs="Times New Roman"/>
                <w:color w:val="000000"/>
                <w:lang w:eastAsia="en-AU"/>
              </w:rPr>
            </w:pPr>
          </w:p>
        </w:tc>
        <w:tc>
          <w:tcPr>
            <w:tcW w:w="392" w:type="pct"/>
            <w:tcBorders>
              <w:top w:val="nil"/>
              <w:left w:val="nil"/>
              <w:bottom w:val="nil"/>
              <w:right w:val="nil"/>
            </w:tcBorders>
            <w:shd w:val="clear" w:color="auto" w:fill="auto"/>
            <w:noWrap/>
            <w:vAlign w:val="bottom"/>
            <w:hideMark/>
          </w:tcPr>
          <w:p w14:paraId="079392F3"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nil"/>
              <w:bottom w:val="nil"/>
              <w:right w:val="nil"/>
            </w:tcBorders>
            <w:shd w:val="clear" w:color="auto" w:fill="auto"/>
            <w:noWrap/>
            <w:vAlign w:val="bottom"/>
            <w:hideMark/>
          </w:tcPr>
          <w:p w14:paraId="437924C2" w14:textId="77777777" w:rsidR="00F111FB" w:rsidRPr="009A0658" w:rsidRDefault="00F111FB" w:rsidP="00AB720F">
            <w:pPr>
              <w:spacing w:after="0" w:line="240" w:lineRule="auto"/>
              <w:rPr>
                <w:rFonts w:eastAsia="Times New Roman" w:cs="Times New Roman"/>
                <w:color w:val="000000"/>
                <w:lang w:eastAsia="en-AU"/>
              </w:rPr>
            </w:pPr>
          </w:p>
        </w:tc>
        <w:tc>
          <w:tcPr>
            <w:tcW w:w="392" w:type="pct"/>
            <w:tcBorders>
              <w:top w:val="nil"/>
              <w:left w:val="nil"/>
              <w:bottom w:val="nil"/>
              <w:right w:val="nil"/>
            </w:tcBorders>
            <w:shd w:val="clear" w:color="auto" w:fill="auto"/>
            <w:noWrap/>
            <w:vAlign w:val="bottom"/>
            <w:hideMark/>
          </w:tcPr>
          <w:p w14:paraId="1983EDF6"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nil"/>
              <w:bottom w:val="nil"/>
              <w:right w:val="nil"/>
            </w:tcBorders>
            <w:shd w:val="clear" w:color="auto" w:fill="auto"/>
            <w:noWrap/>
            <w:vAlign w:val="bottom"/>
            <w:hideMark/>
          </w:tcPr>
          <w:p w14:paraId="754CB4C8" w14:textId="77777777" w:rsidR="00F111FB" w:rsidRPr="009A0658" w:rsidRDefault="00F111FB" w:rsidP="00AB720F">
            <w:pPr>
              <w:spacing w:after="0" w:line="240" w:lineRule="auto"/>
              <w:rPr>
                <w:rFonts w:eastAsia="Times New Roman" w:cs="Times New Roman"/>
                <w:color w:val="000000"/>
                <w:lang w:eastAsia="en-AU"/>
              </w:rPr>
            </w:pPr>
          </w:p>
        </w:tc>
        <w:tc>
          <w:tcPr>
            <w:tcW w:w="392" w:type="pct"/>
            <w:tcBorders>
              <w:top w:val="nil"/>
              <w:left w:val="nil"/>
              <w:bottom w:val="nil"/>
              <w:right w:val="nil"/>
            </w:tcBorders>
            <w:shd w:val="clear" w:color="auto" w:fill="auto"/>
            <w:noWrap/>
            <w:vAlign w:val="bottom"/>
            <w:hideMark/>
          </w:tcPr>
          <w:p w14:paraId="1AC04243"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nil"/>
              <w:bottom w:val="nil"/>
              <w:right w:val="nil"/>
            </w:tcBorders>
            <w:shd w:val="clear" w:color="auto" w:fill="auto"/>
            <w:noWrap/>
            <w:vAlign w:val="bottom"/>
            <w:hideMark/>
          </w:tcPr>
          <w:p w14:paraId="5CBAC381" w14:textId="77777777" w:rsidR="00F111FB" w:rsidRPr="009A0658" w:rsidRDefault="00F111FB" w:rsidP="00AB720F">
            <w:pPr>
              <w:spacing w:after="0" w:line="240" w:lineRule="auto"/>
              <w:rPr>
                <w:rFonts w:eastAsia="Times New Roman" w:cs="Times New Roman"/>
                <w:color w:val="000000"/>
                <w:lang w:eastAsia="en-AU"/>
              </w:rPr>
            </w:pPr>
          </w:p>
        </w:tc>
        <w:tc>
          <w:tcPr>
            <w:tcW w:w="392" w:type="pct"/>
            <w:tcBorders>
              <w:top w:val="nil"/>
              <w:left w:val="nil"/>
              <w:bottom w:val="nil"/>
              <w:right w:val="nil"/>
            </w:tcBorders>
            <w:shd w:val="clear" w:color="auto" w:fill="auto"/>
            <w:noWrap/>
            <w:vAlign w:val="bottom"/>
            <w:hideMark/>
          </w:tcPr>
          <w:p w14:paraId="03EB0A6D"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nil"/>
              <w:bottom w:val="nil"/>
              <w:right w:val="nil"/>
            </w:tcBorders>
            <w:shd w:val="clear" w:color="auto" w:fill="auto"/>
            <w:noWrap/>
            <w:vAlign w:val="bottom"/>
            <w:hideMark/>
          </w:tcPr>
          <w:p w14:paraId="6AFBB3EA" w14:textId="77777777" w:rsidR="00F111FB" w:rsidRPr="009A0658" w:rsidRDefault="00F111FB" w:rsidP="00AB720F">
            <w:pPr>
              <w:spacing w:after="0" w:line="240" w:lineRule="auto"/>
              <w:rPr>
                <w:rFonts w:eastAsia="Times New Roman" w:cs="Times New Roman"/>
                <w:color w:val="000000"/>
                <w:lang w:eastAsia="en-AU"/>
              </w:rPr>
            </w:pPr>
          </w:p>
        </w:tc>
        <w:tc>
          <w:tcPr>
            <w:tcW w:w="392" w:type="pct"/>
            <w:tcBorders>
              <w:top w:val="nil"/>
              <w:left w:val="nil"/>
              <w:bottom w:val="nil"/>
              <w:right w:val="nil"/>
            </w:tcBorders>
            <w:shd w:val="clear" w:color="auto" w:fill="auto"/>
            <w:noWrap/>
            <w:vAlign w:val="bottom"/>
            <w:hideMark/>
          </w:tcPr>
          <w:p w14:paraId="5531FA50" w14:textId="77777777" w:rsidR="00F111FB" w:rsidRPr="009A0658" w:rsidRDefault="00F111FB" w:rsidP="00AB720F">
            <w:pPr>
              <w:spacing w:after="0" w:line="240" w:lineRule="auto"/>
              <w:rPr>
                <w:rFonts w:eastAsia="Times New Roman" w:cs="Times New Roman"/>
                <w:color w:val="000000"/>
                <w:lang w:eastAsia="en-AU"/>
              </w:rPr>
            </w:pPr>
          </w:p>
        </w:tc>
      </w:tr>
      <w:tr w:rsidR="00F111FB" w:rsidRPr="009A0658" w14:paraId="04138856" w14:textId="77777777" w:rsidTr="00EC7988">
        <w:trPr>
          <w:trHeight w:val="709"/>
        </w:trPr>
        <w:tc>
          <w:tcPr>
            <w:tcW w:w="101" w:type="pct"/>
            <w:tcBorders>
              <w:top w:val="nil"/>
              <w:left w:val="nil"/>
              <w:bottom w:val="nil"/>
              <w:right w:val="nil"/>
            </w:tcBorders>
            <w:shd w:val="clear" w:color="auto" w:fill="auto"/>
            <w:vAlign w:val="bottom"/>
            <w:hideMark/>
          </w:tcPr>
          <w:p w14:paraId="749462E5" w14:textId="77777777" w:rsidR="00F111FB" w:rsidRPr="009A0658" w:rsidRDefault="00F111FB" w:rsidP="00AB720F">
            <w:pPr>
              <w:spacing w:after="0" w:line="240" w:lineRule="auto"/>
              <w:rPr>
                <w:rFonts w:eastAsia="Times New Roman" w:cs="Times New Roman"/>
                <w:color w:val="000000"/>
                <w:lang w:eastAsia="en-AU"/>
              </w:rPr>
            </w:pPr>
          </w:p>
        </w:tc>
        <w:tc>
          <w:tcPr>
            <w:tcW w:w="101" w:type="pct"/>
            <w:tcBorders>
              <w:top w:val="nil"/>
              <w:left w:val="nil"/>
              <w:bottom w:val="nil"/>
              <w:right w:val="nil"/>
            </w:tcBorders>
            <w:shd w:val="clear" w:color="auto" w:fill="auto"/>
            <w:vAlign w:val="bottom"/>
            <w:hideMark/>
          </w:tcPr>
          <w:p w14:paraId="7BA2E3E6" w14:textId="77777777" w:rsidR="00F111FB" w:rsidRPr="009A0658" w:rsidRDefault="00F111FB" w:rsidP="00AB720F">
            <w:pPr>
              <w:spacing w:after="0" w:line="240" w:lineRule="auto"/>
              <w:rPr>
                <w:rFonts w:eastAsia="Times New Roman" w:cs="Times New Roman"/>
                <w:color w:val="000000"/>
                <w:lang w:eastAsia="en-AU"/>
              </w:rPr>
            </w:pPr>
          </w:p>
        </w:tc>
        <w:tc>
          <w:tcPr>
            <w:tcW w:w="800"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330DE05F" w14:textId="77777777" w:rsidR="00F111FB" w:rsidRPr="009A0658" w:rsidRDefault="00F111FB" w:rsidP="00AB720F">
            <w:pPr>
              <w:spacing w:after="0" w:line="240" w:lineRule="auto"/>
              <w:jc w:val="center"/>
              <w:rPr>
                <w:rFonts w:eastAsia="Times New Roman" w:cs="Times New Roman"/>
                <w:b/>
                <w:bCs/>
                <w:color w:val="000000"/>
                <w:sz w:val="20"/>
                <w:szCs w:val="20"/>
                <w:lang w:eastAsia="en-AU"/>
              </w:rPr>
            </w:pPr>
            <w:r w:rsidRPr="009A0658">
              <w:rPr>
                <w:rFonts w:eastAsia="Times New Roman" w:cs="Times New Roman"/>
                <w:b/>
                <w:bCs/>
                <w:color w:val="000000"/>
                <w:sz w:val="20"/>
                <w:szCs w:val="20"/>
                <w:lang w:eastAsia="en-AU"/>
              </w:rPr>
              <w:t>No. of students at Well above expectation</w:t>
            </w:r>
          </w:p>
        </w:tc>
        <w:tc>
          <w:tcPr>
            <w:tcW w:w="800"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3665730E" w14:textId="77777777" w:rsidR="00F111FB" w:rsidRPr="009A0658" w:rsidRDefault="00F111FB" w:rsidP="00AB720F">
            <w:pPr>
              <w:spacing w:after="0" w:line="240" w:lineRule="auto"/>
              <w:jc w:val="center"/>
              <w:rPr>
                <w:rFonts w:eastAsia="Times New Roman" w:cs="Times New Roman"/>
                <w:b/>
                <w:bCs/>
                <w:color w:val="000000"/>
                <w:sz w:val="20"/>
                <w:szCs w:val="20"/>
                <w:lang w:eastAsia="en-AU"/>
              </w:rPr>
            </w:pPr>
            <w:r w:rsidRPr="009A0658">
              <w:rPr>
                <w:rFonts w:eastAsia="Times New Roman" w:cs="Times New Roman"/>
                <w:b/>
                <w:bCs/>
                <w:color w:val="000000"/>
                <w:sz w:val="20"/>
                <w:szCs w:val="20"/>
                <w:lang w:eastAsia="en-AU"/>
              </w:rPr>
              <w:t>No</w:t>
            </w:r>
            <w:r>
              <w:rPr>
                <w:rFonts w:eastAsia="Times New Roman" w:cs="Times New Roman"/>
                <w:b/>
                <w:bCs/>
                <w:color w:val="000000"/>
                <w:sz w:val="20"/>
                <w:szCs w:val="20"/>
                <w:lang w:eastAsia="en-AU"/>
              </w:rPr>
              <w:t>.</w:t>
            </w:r>
            <w:r w:rsidRPr="009A0658">
              <w:rPr>
                <w:rFonts w:eastAsia="Times New Roman" w:cs="Times New Roman"/>
                <w:b/>
                <w:bCs/>
                <w:color w:val="000000"/>
                <w:sz w:val="20"/>
                <w:szCs w:val="20"/>
                <w:lang w:eastAsia="en-AU"/>
              </w:rPr>
              <w:t xml:space="preserve"> of students at Above expectation</w:t>
            </w:r>
          </w:p>
        </w:tc>
        <w:tc>
          <w:tcPr>
            <w:tcW w:w="800"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6CFBB20E" w14:textId="77777777" w:rsidR="00F111FB" w:rsidRPr="009A0658" w:rsidRDefault="00F111FB" w:rsidP="00AB720F">
            <w:pPr>
              <w:spacing w:after="0" w:line="240" w:lineRule="auto"/>
              <w:jc w:val="center"/>
              <w:rPr>
                <w:rFonts w:eastAsia="Times New Roman" w:cs="Times New Roman"/>
                <w:b/>
                <w:bCs/>
                <w:color w:val="000000"/>
                <w:sz w:val="20"/>
                <w:szCs w:val="20"/>
                <w:lang w:eastAsia="en-AU"/>
              </w:rPr>
            </w:pPr>
            <w:r w:rsidRPr="009A0658">
              <w:rPr>
                <w:rFonts w:eastAsia="Times New Roman" w:cs="Times New Roman"/>
                <w:b/>
                <w:bCs/>
                <w:color w:val="000000"/>
                <w:sz w:val="20"/>
                <w:szCs w:val="20"/>
                <w:lang w:eastAsia="en-AU"/>
              </w:rPr>
              <w:t>No. of students at Expectation</w:t>
            </w:r>
          </w:p>
        </w:tc>
        <w:tc>
          <w:tcPr>
            <w:tcW w:w="800"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0EEAB85A" w14:textId="77777777" w:rsidR="00F111FB" w:rsidRPr="009A0658" w:rsidRDefault="00F111FB" w:rsidP="00AB720F">
            <w:pPr>
              <w:spacing w:after="0" w:line="240" w:lineRule="auto"/>
              <w:jc w:val="center"/>
              <w:rPr>
                <w:rFonts w:eastAsia="Times New Roman" w:cs="Times New Roman"/>
                <w:b/>
                <w:bCs/>
                <w:color w:val="000000"/>
                <w:sz w:val="20"/>
                <w:szCs w:val="20"/>
                <w:lang w:eastAsia="en-AU"/>
              </w:rPr>
            </w:pPr>
            <w:r w:rsidRPr="009A0658">
              <w:rPr>
                <w:rFonts w:eastAsia="Times New Roman" w:cs="Times New Roman"/>
                <w:b/>
                <w:bCs/>
                <w:color w:val="000000"/>
                <w:sz w:val="20"/>
                <w:szCs w:val="20"/>
                <w:lang w:eastAsia="en-AU"/>
              </w:rPr>
              <w:t>No of students at Below expectation</w:t>
            </w:r>
          </w:p>
        </w:tc>
        <w:tc>
          <w:tcPr>
            <w:tcW w:w="800" w:type="pct"/>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5DAF1282" w14:textId="77777777" w:rsidR="00F111FB" w:rsidRPr="009A0658" w:rsidRDefault="00F111FB" w:rsidP="00AB720F">
            <w:pPr>
              <w:spacing w:after="0" w:line="240" w:lineRule="auto"/>
              <w:jc w:val="center"/>
              <w:rPr>
                <w:rFonts w:eastAsia="Times New Roman" w:cs="Times New Roman"/>
                <w:b/>
                <w:bCs/>
                <w:color w:val="000000"/>
                <w:sz w:val="20"/>
                <w:szCs w:val="20"/>
                <w:lang w:eastAsia="en-AU"/>
              </w:rPr>
            </w:pPr>
            <w:r w:rsidRPr="009A0658">
              <w:rPr>
                <w:rFonts w:eastAsia="Times New Roman" w:cs="Times New Roman"/>
                <w:b/>
                <w:bCs/>
                <w:color w:val="000000"/>
                <w:sz w:val="20"/>
                <w:szCs w:val="20"/>
                <w:lang w:eastAsia="en-AU"/>
              </w:rPr>
              <w:t>No. of students at Well below expectation</w:t>
            </w:r>
          </w:p>
        </w:tc>
        <w:tc>
          <w:tcPr>
            <w:tcW w:w="800" w:type="pct"/>
            <w:gridSpan w:val="2"/>
            <w:tcBorders>
              <w:top w:val="single" w:sz="8" w:space="0" w:color="auto"/>
              <w:left w:val="nil"/>
              <w:bottom w:val="single" w:sz="4" w:space="0" w:color="auto"/>
              <w:right w:val="single" w:sz="8" w:space="0" w:color="000000"/>
            </w:tcBorders>
            <w:shd w:val="clear" w:color="auto" w:fill="auto"/>
            <w:vAlign w:val="center"/>
            <w:hideMark/>
          </w:tcPr>
          <w:p w14:paraId="2065FFD0"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Totals</w:t>
            </w:r>
          </w:p>
        </w:tc>
      </w:tr>
      <w:tr w:rsidR="00EC7988" w:rsidRPr="009A0658" w14:paraId="64010434" w14:textId="77777777" w:rsidTr="00EC7988">
        <w:trPr>
          <w:trHeight w:val="278"/>
        </w:trPr>
        <w:tc>
          <w:tcPr>
            <w:tcW w:w="101" w:type="pct"/>
            <w:tcBorders>
              <w:top w:val="nil"/>
              <w:left w:val="nil"/>
              <w:bottom w:val="nil"/>
              <w:right w:val="nil"/>
            </w:tcBorders>
            <w:shd w:val="clear" w:color="auto" w:fill="auto"/>
            <w:noWrap/>
            <w:vAlign w:val="bottom"/>
            <w:hideMark/>
          </w:tcPr>
          <w:p w14:paraId="7C620070" w14:textId="77777777" w:rsidR="00F111FB" w:rsidRPr="009A0658" w:rsidRDefault="00F111FB" w:rsidP="00AB720F">
            <w:pPr>
              <w:spacing w:after="0" w:line="240" w:lineRule="auto"/>
              <w:rPr>
                <w:rFonts w:eastAsia="Times New Roman" w:cs="Times New Roman"/>
                <w:b/>
                <w:bCs/>
                <w:color w:val="000000"/>
                <w:sz w:val="20"/>
                <w:szCs w:val="20"/>
                <w:lang w:eastAsia="en-AU"/>
              </w:rPr>
            </w:pPr>
          </w:p>
        </w:tc>
        <w:tc>
          <w:tcPr>
            <w:tcW w:w="101" w:type="pct"/>
            <w:tcBorders>
              <w:top w:val="nil"/>
              <w:left w:val="nil"/>
              <w:bottom w:val="nil"/>
              <w:right w:val="nil"/>
            </w:tcBorders>
            <w:shd w:val="clear" w:color="auto" w:fill="auto"/>
            <w:noWrap/>
            <w:vAlign w:val="bottom"/>
            <w:hideMark/>
          </w:tcPr>
          <w:p w14:paraId="56B7C78A" w14:textId="77777777" w:rsidR="00F111FB" w:rsidRPr="009A0658" w:rsidRDefault="00F111FB" w:rsidP="00AB720F">
            <w:pPr>
              <w:spacing w:after="0" w:line="240" w:lineRule="auto"/>
              <w:rPr>
                <w:rFonts w:eastAsia="Times New Roman" w:cs="Times New Roman"/>
                <w:b/>
                <w:bCs/>
                <w:color w:val="000000"/>
                <w:sz w:val="20"/>
                <w:szCs w:val="20"/>
                <w:lang w:eastAsia="en-AU"/>
              </w:rPr>
            </w:pPr>
          </w:p>
        </w:tc>
        <w:tc>
          <w:tcPr>
            <w:tcW w:w="408" w:type="pct"/>
            <w:tcBorders>
              <w:top w:val="nil"/>
              <w:left w:val="single" w:sz="8" w:space="0" w:color="auto"/>
              <w:bottom w:val="single" w:sz="4" w:space="0" w:color="auto"/>
              <w:right w:val="single" w:sz="4" w:space="0" w:color="auto"/>
            </w:tcBorders>
            <w:shd w:val="clear" w:color="auto" w:fill="auto"/>
            <w:noWrap/>
            <w:vAlign w:val="bottom"/>
            <w:hideMark/>
          </w:tcPr>
          <w:p w14:paraId="636EE6E7"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May-13</w:t>
            </w:r>
          </w:p>
        </w:tc>
        <w:tc>
          <w:tcPr>
            <w:tcW w:w="392" w:type="pct"/>
            <w:tcBorders>
              <w:top w:val="nil"/>
              <w:left w:val="nil"/>
              <w:bottom w:val="single" w:sz="4" w:space="0" w:color="auto"/>
              <w:right w:val="single" w:sz="4" w:space="0" w:color="auto"/>
            </w:tcBorders>
            <w:shd w:val="clear" w:color="auto" w:fill="auto"/>
            <w:noWrap/>
            <w:vAlign w:val="bottom"/>
            <w:hideMark/>
          </w:tcPr>
          <w:p w14:paraId="309D09BB"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Nov-13</w:t>
            </w:r>
          </w:p>
        </w:tc>
        <w:tc>
          <w:tcPr>
            <w:tcW w:w="408" w:type="pct"/>
            <w:tcBorders>
              <w:top w:val="nil"/>
              <w:left w:val="single" w:sz="8" w:space="0" w:color="auto"/>
              <w:bottom w:val="single" w:sz="4" w:space="0" w:color="auto"/>
              <w:right w:val="single" w:sz="4" w:space="0" w:color="auto"/>
            </w:tcBorders>
            <w:shd w:val="clear" w:color="auto" w:fill="auto"/>
            <w:noWrap/>
            <w:vAlign w:val="bottom"/>
            <w:hideMark/>
          </w:tcPr>
          <w:p w14:paraId="138B0E4C"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May-13</w:t>
            </w:r>
          </w:p>
        </w:tc>
        <w:tc>
          <w:tcPr>
            <w:tcW w:w="392" w:type="pct"/>
            <w:tcBorders>
              <w:top w:val="nil"/>
              <w:left w:val="nil"/>
              <w:bottom w:val="single" w:sz="4" w:space="0" w:color="auto"/>
              <w:right w:val="single" w:sz="4" w:space="0" w:color="auto"/>
            </w:tcBorders>
            <w:shd w:val="clear" w:color="auto" w:fill="auto"/>
            <w:noWrap/>
            <w:vAlign w:val="bottom"/>
            <w:hideMark/>
          </w:tcPr>
          <w:p w14:paraId="58B03866"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Nov-13</w:t>
            </w:r>
          </w:p>
        </w:tc>
        <w:tc>
          <w:tcPr>
            <w:tcW w:w="408" w:type="pct"/>
            <w:tcBorders>
              <w:top w:val="nil"/>
              <w:left w:val="single" w:sz="8" w:space="0" w:color="auto"/>
              <w:bottom w:val="single" w:sz="4" w:space="0" w:color="auto"/>
              <w:right w:val="single" w:sz="4" w:space="0" w:color="auto"/>
            </w:tcBorders>
            <w:shd w:val="clear" w:color="auto" w:fill="auto"/>
            <w:noWrap/>
            <w:vAlign w:val="bottom"/>
            <w:hideMark/>
          </w:tcPr>
          <w:p w14:paraId="7B708322"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May-13</w:t>
            </w:r>
          </w:p>
        </w:tc>
        <w:tc>
          <w:tcPr>
            <w:tcW w:w="392" w:type="pct"/>
            <w:tcBorders>
              <w:top w:val="nil"/>
              <w:left w:val="nil"/>
              <w:bottom w:val="single" w:sz="4" w:space="0" w:color="auto"/>
              <w:right w:val="single" w:sz="4" w:space="0" w:color="auto"/>
            </w:tcBorders>
            <w:shd w:val="clear" w:color="auto" w:fill="auto"/>
            <w:noWrap/>
            <w:vAlign w:val="bottom"/>
            <w:hideMark/>
          </w:tcPr>
          <w:p w14:paraId="2663A6A4"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Nov-13</w:t>
            </w:r>
          </w:p>
        </w:tc>
        <w:tc>
          <w:tcPr>
            <w:tcW w:w="408" w:type="pct"/>
            <w:tcBorders>
              <w:top w:val="nil"/>
              <w:left w:val="single" w:sz="8" w:space="0" w:color="auto"/>
              <w:bottom w:val="single" w:sz="4" w:space="0" w:color="auto"/>
              <w:right w:val="single" w:sz="4" w:space="0" w:color="auto"/>
            </w:tcBorders>
            <w:shd w:val="clear" w:color="auto" w:fill="auto"/>
            <w:noWrap/>
            <w:vAlign w:val="bottom"/>
            <w:hideMark/>
          </w:tcPr>
          <w:p w14:paraId="57FC9BA5"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May-13</w:t>
            </w:r>
          </w:p>
        </w:tc>
        <w:tc>
          <w:tcPr>
            <w:tcW w:w="392" w:type="pct"/>
            <w:tcBorders>
              <w:top w:val="nil"/>
              <w:left w:val="nil"/>
              <w:bottom w:val="single" w:sz="4" w:space="0" w:color="auto"/>
              <w:right w:val="single" w:sz="4" w:space="0" w:color="auto"/>
            </w:tcBorders>
            <w:shd w:val="clear" w:color="auto" w:fill="auto"/>
            <w:noWrap/>
            <w:vAlign w:val="bottom"/>
            <w:hideMark/>
          </w:tcPr>
          <w:p w14:paraId="10EC0061"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Nov-13</w:t>
            </w:r>
          </w:p>
        </w:tc>
        <w:tc>
          <w:tcPr>
            <w:tcW w:w="408" w:type="pct"/>
            <w:tcBorders>
              <w:top w:val="nil"/>
              <w:left w:val="single" w:sz="8" w:space="0" w:color="auto"/>
              <w:bottom w:val="single" w:sz="4" w:space="0" w:color="auto"/>
              <w:right w:val="single" w:sz="4" w:space="0" w:color="auto"/>
            </w:tcBorders>
            <w:shd w:val="clear" w:color="auto" w:fill="auto"/>
            <w:noWrap/>
            <w:vAlign w:val="bottom"/>
            <w:hideMark/>
          </w:tcPr>
          <w:p w14:paraId="48D7513F"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May-13</w:t>
            </w:r>
          </w:p>
        </w:tc>
        <w:tc>
          <w:tcPr>
            <w:tcW w:w="392" w:type="pct"/>
            <w:tcBorders>
              <w:top w:val="nil"/>
              <w:left w:val="nil"/>
              <w:bottom w:val="single" w:sz="4" w:space="0" w:color="auto"/>
              <w:right w:val="single" w:sz="8" w:space="0" w:color="auto"/>
            </w:tcBorders>
            <w:shd w:val="clear" w:color="auto" w:fill="auto"/>
            <w:noWrap/>
            <w:vAlign w:val="bottom"/>
            <w:hideMark/>
          </w:tcPr>
          <w:p w14:paraId="0754A6B9"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Nov-13</w:t>
            </w:r>
          </w:p>
        </w:tc>
        <w:tc>
          <w:tcPr>
            <w:tcW w:w="408" w:type="pct"/>
            <w:tcBorders>
              <w:top w:val="nil"/>
              <w:left w:val="nil"/>
              <w:bottom w:val="single" w:sz="4" w:space="0" w:color="auto"/>
              <w:right w:val="single" w:sz="4" w:space="0" w:color="auto"/>
            </w:tcBorders>
            <w:shd w:val="clear" w:color="auto" w:fill="auto"/>
            <w:noWrap/>
            <w:vAlign w:val="bottom"/>
            <w:hideMark/>
          </w:tcPr>
          <w:p w14:paraId="558CA999"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May-13</w:t>
            </w:r>
          </w:p>
        </w:tc>
        <w:tc>
          <w:tcPr>
            <w:tcW w:w="392" w:type="pct"/>
            <w:tcBorders>
              <w:top w:val="nil"/>
              <w:left w:val="nil"/>
              <w:bottom w:val="single" w:sz="4" w:space="0" w:color="auto"/>
              <w:right w:val="single" w:sz="8" w:space="0" w:color="auto"/>
            </w:tcBorders>
            <w:shd w:val="clear" w:color="auto" w:fill="auto"/>
            <w:noWrap/>
            <w:vAlign w:val="bottom"/>
            <w:hideMark/>
          </w:tcPr>
          <w:p w14:paraId="10533ABC" w14:textId="77777777" w:rsidR="00F111FB" w:rsidRPr="009A0658" w:rsidRDefault="00F111FB" w:rsidP="00AB720F">
            <w:pPr>
              <w:spacing w:after="0" w:line="240" w:lineRule="auto"/>
              <w:jc w:val="right"/>
              <w:rPr>
                <w:rFonts w:eastAsia="Times New Roman" w:cs="Times New Roman"/>
                <w:color w:val="000000"/>
                <w:lang w:eastAsia="en-AU"/>
              </w:rPr>
            </w:pPr>
            <w:r w:rsidRPr="009A0658">
              <w:rPr>
                <w:rFonts w:eastAsia="Times New Roman" w:cs="Times New Roman"/>
                <w:color w:val="000000"/>
                <w:lang w:eastAsia="en-AU"/>
              </w:rPr>
              <w:t>Nov-13</w:t>
            </w:r>
          </w:p>
        </w:tc>
      </w:tr>
      <w:tr w:rsidR="00F111FB" w:rsidRPr="009A0658" w14:paraId="45755070" w14:textId="77777777" w:rsidTr="00EC7988">
        <w:trPr>
          <w:trHeight w:val="278"/>
        </w:trPr>
        <w:tc>
          <w:tcPr>
            <w:tcW w:w="5000" w:type="pct"/>
            <w:gridSpan w:val="14"/>
            <w:tcBorders>
              <w:top w:val="nil"/>
              <w:left w:val="nil"/>
              <w:bottom w:val="nil"/>
              <w:right w:val="single" w:sz="8" w:space="0" w:color="000000"/>
            </w:tcBorders>
            <w:shd w:val="clear" w:color="000000" w:fill="BFBFBF"/>
            <w:noWrap/>
            <w:vAlign w:val="bottom"/>
            <w:hideMark/>
          </w:tcPr>
          <w:p w14:paraId="160B2ACA" w14:textId="77777777" w:rsidR="00F111FB" w:rsidRPr="009A0658" w:rsidRDefault="00F111FB" w:rsidP="00AB720F">
            <w:pPr>
              <w:spacing w:after="0" w:line="240" w:lineRule="auto"/>
              <w:rPr>
                <w:rFonts w:eastAsia="Times New Roman" w:cs="Times New Roman"/>
                <w:b/>
                <w:bCs/>
                <w:color w:val="000000"/>
                <w:lang w:eastAsia="en-AU"/>
              </w:rPr>
            </w:pPr>
            <w:r w:rsidRPr="009A0658">
              <w:rPr>
                <w:rFonts w:eastAsia="Times New Roman" w:cs="Times New Roman"/>
                <w:b/>
                <w:bCs/>
                <w:color w:val="000000"/>
                <w:lang w:eastAsia="en-AU"/>
              </w:rPr>
              <w:t>Kindergarten</w:t>
            </w:r>
          </w:p>
        </w:tc>
      </w:tr>
      <w:tr w:rsidR="00EC7988" w:rsidRPr="009A0658" w14:paraId="781A5525" w14:textId="77777777" w:rsidTr="00EC7988">
        <w:trPr>
          <w:trHeight w:val="278"/>
        </w:trPr>
        <w:tc>
          <w:tcPr>
            <w:tcW w:w="101" w:type="pct"/>
            <w:tcBorders>
              <w:top w:val="nil"/>
              <w:left w:val="nil"/>
              <w:bottom w:val="nil"/>
              <w:right w:val="nil"/>
            </w:tcBorders>
            <w:shd w:val="clear" w:color="auto" w:fill="auto"/>
            <w:noWrap/>
            <w:vAlign w:val="bottom"/>
            <w:hideMark/>
          </w:tcPr>
          <w:p w14:paraId="409BB659"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30AF501F"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50A17C4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147</w:t>
            </w:r>
          </w:p>
        </w:tc>
        <w:tc>
          <w:tcPr>
            <w:tcW w:w="392" w:type="pct"/>
            <w:tcBorders>
              <w:top w:val="nil"/>
              <w:left w:val="nil"/>
              <w:bottom w:val="single" w:sz="4" w:space="0" w:color="auto"/>
              <w:right w:val="single" w:sz="4" w:space="0" w:color="auto"/>
            </w:tcBorders>
            <w:shd w:val="clear" w:color="auto" w:fill="EAF1DD" w:themeFill="accent3" w:themeFillTint="33"/>
            <w:noWrap/>
            <w:vAlign w:val="bottom"/>
            <w:hideMark/>
          </w:tcPr>
          <w:p w14:paraId="5E2A2A94"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322</w:t>
            </w:r>
          </w:p>
        </w:tc>
        <w:tc>
          <w:tcPr>
            <w:tcW w:w="408" w:type="pct"/>
            <w:tcBorders>
              <w:top w:val="nil"/>
              <w:left w:val="nil"/>
              <w:bottom w:val="single" w:sz="4" w:space="0" w:color="auto"/>
              <w:right w:val="single" w:sz="4" w:space="0" w:color="auto"/>
            </w:tcBorders>
            <w:shd w:val="clear" w:color="000000" w:fill="F2F2F2"/>
            <w:noWrap/>
            <w:vAlign w:val="bottom"/>
            <w:hideMark/>
          </w:tcPr>
          <w:p w14:paraId="12B047B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381</w:t>
            </w:r>
          </w:p>
        </w:tc>
        <w:tc>
          <w:tcPr>
            <w:tcW w:w="392" w:type="pct"/>
            <w:tcBorders>
              <w:top w:val="nil"/>
              <w:left w:val="nil"/>
              <w:bottom w:val="single" w:sz="4" w:space="0" w:color="auto"/>
              <w:right w:val="single" w:sz="4" w:space="0" w:color="auto"/>
            </w:tcBorders>
            <w:shd w:val="clear" w:color="000000" w:fill="EBF1DE"/>
            <w:noWrap/>
            <w:vAlign w:val="bottom"/>
            <w:hideMark/>
          </w:tcPr>
          <w:p w14:paraId="0FBCB438"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516</w:t>
            </w:r>
          </w:p>
        </w:tc>
        <w:tc>
          <w:tcPr>
            <w:tcW w:w="408" w:type="pct"/>
            <w:tcBorders>
              <w:top w:val="nil"/>
              <w:left w:val="nil"/>
              <w:bottom w:val="single" w:sz="4" w:space="0" w:color="auto"/>
              <w:right w:val="single" w:sz="4" w:space="0" w:color="auto"/>
            </w:tcBorders>
            <w:shd w:val="clear" w:color="000000" w:fill="F2F2F2"/>
            <w:noWrap/>
            <w:vAlign w:val="bottom"/>
            <w:hideMark/>
          </w:tcPr>
          <w:p w14:paraId="555A6F4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905</w:t>
            </w:r>
          </w:p>
        </w:tc>
        <w:tc>
          <w:tcPr>
            <w:tcW w:w="392" w:type="pct"/>
            <w:tcBorders>
              <w:top w:val="nil"/>
              <w:left w:val="nil"/>
              <w:bottom w:val="single" w:sz="4" w:space="0" w:color="auto"/>
              <w:right w:val="single" w:sz="4" w:space="0" w:color="auto"/>
            </w:tcBorders>
            <w:shd w:val="clear" w:color="000000" w:fill="EBF1DE"/>
            <w:noWrap/>
            <w:vAlign w:val="bottom"/>
            <w:hideMark/>
          </w:tcPr>
          <w:p w14:paraId="096CEE9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782</w:t>
            </w:r>
          </w:p>
        </w:tc>
        <w:tc>
          <w:tcPr>
            <w:tcW w:w="408" w:type="pct"/>
            <w:tcBorders>
              <w:top w:val="nil"/>
              <w:left w:val="nil"/>
              <w:bottom w:val="single" w:sz="4" w:space="0" w:color="auto"/>
              <w:right w:val="single" w:sz="4" w:space="0" w:color="auto"/>
            </w:tcBorders>
            <w:shd w:val="clear" w:color="000000" w:fill="F2F2F2"/>
            <w:noWrap/>
            <w:vAlign w:val="bottom"/>
            <w:hideMark/>
          </w:tcPr>
          <w:p w14:paraId="3308BB04"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380</w:t>
            </w:r>
          </w:p>
        </w:tc>
        <w:tc>
          <w:tcPr>
            <w:tcW w:w="392" w:type="pct"/>
            <w:tcBorders>
              <w:top w:val="nil"/>
              <w:left w:val="nil"/>
              <w:bottom w:val="single" w:sz="4" w:space="0" w:color="auto"/>
              <w:right w:val="single" w:sz="4" w:space="0" w:color="auto"/>
            </w:tcBorders>
            <w:shd w:val="clear" w:color="000000" w:fill="EBF1DE"/>
            <w:noWrap/>
            <w:vAlign w:val="bottom"/>
            <w:hideMark/>
          </w:tcPr>
          <w:p w14:paraId="70FB64D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215</w:t>
            </w:r>
          </w:p>
        </w:tc>
        <w:tc>
          <w:tcPr>
            <w:tcW w:w="408" w:type="pct"/>
            <w:tcBorders>
              <w:top w:val="nil"/>
              <w:left w:val="nil"/>
              <w:bottom w:val="single" w:sz="4" w:space="0" w:color="auto"/>
              <w:right w:val="single" w:sz="4" w:space="0" w:color="auto"/>
            </w:tcBorders>
            <w:shd w:val="clear" w:color="000000" w:fill="F2F2F2"/>
            <w:noWrap/>
            <w:vAlign w:val="bottom"/>
            <w:hideMark/>
          </w:tcPr>
          <w:p w14:paraId="77586485"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178</w:t>
            </w:r>
          </w:p>
        </w:tc>
        <w:tc>
          <w:tcPr>
            <w:tcW w:w="392" w:type="pct"/>
            <w:tcBorders>
              <w:top w:val="nil"/>
              <w:left w:val="nil"/>
              <w:bottom w:val="single" w:sz="4" w:space="0" w:color="auto"/>
              <w:right w:val="single" w:sz="4" w:space="0" w:color="auto"/>
            </w:tcBorders>
            <w:shd w:val="clear" w:color="000000" w:fill="EBF1DE"/>
            <w:noWrap/>
            <w:vAlign w:val="bottom"/>
            <w:hideMark/>
          </w:tcPr>
          <w:p w14:paraId="1515290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57</w:t>
            </w:r>
          </w:p>
        </w:tc>
        <w:tc>
          <w:tcPr>
            <w:tcW w:w="408" w:type="pct"/>
            <w:tcBorders>
              <w:top w:val="nil"/>
              <w:left w:val="nil"/>
              <w:bottom w:val="single" w:sz="4" w:space="0" w:color="auto"/>
              <w:right w:val="single" w:sz="4" w:space="0" w:color="auto"/>
            </w:tcBorders>
            <w:shd w:val="clear" w:color="000000" w:fill="F2F2F2"/>
            <w:noWrap/>
            <w:vAlign w:val="bottom"/>
            <w:hideMark/>
          </w:tcPr>
          <w:p w14:paraId="67D46608"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1991</w:t>
            </w:r>
          </w:p>
        </w:tc>
        <w:tc>
          <w:tcPr>
            <w:tcW w:w="392" w:type="pct"/>
            <w:tcBorders>
              <w:top w:val="nil"/>
              <w:left w:val="nil"/>
              <w:bottom w:val="single" w:sz="4" w:space="0" w:color="auto"/>
              <w:right w:val="single" w:sz="4" w:space="0" w:color="auto"/>
            </w:tcBorders>
            <w:shd w:val="clear" w:color="000000" w:fill="EBF1DE"/>
            <w:noWrap/>
            <w:vAlign w:val="bottom"/>
            <w:hideMark/>
          </w:tcPr>
          <w:p w14:paraId="5A5B3558"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1892</w:t>
            </w:r>
          </w:p>
        </w:tc>
      </w:tr>
      <w:tr w:rsidR="00EC7988" w:rsidRPr="009A0658" w14:paraId="0B075230" w14:textId="77777777" w:rsidTr="00EC7988">
        <w:trPr>
          <w:trHeight w:val="278"/>
        </w:trPr>
        <w:tc>
          <w:tcPr>
            <w:tcW w:w="101" w:type="pct"/>
            <w:tcBorders>
              <w:top w:val="nil"/>
              <w:left w:val="nil"/>
              <w:bottom w:val="nil"/>
              <w:right w:val="nil"/>
            </w:tcBorders>
            <w:shd w:val="clear" w:color="auto" w:fill="auto"/>
            <w:noWrap/>
            <w:vAlign w:val="bottom"/>
            <w:hideMark/>
          </w:tcPr>
          <w:p w14:paraId="25416707"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591A3150"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5CE2A5A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7%</w:t>
            </w:r>
          </w:p>
        </w:tc>
        <w:tc>
          <w:tcPr>
            <w:tcW w:w="392" w:type="pct"/>
            <w:tcBorders>
              <w:top w:val="nil"/>
              <w:left w:val="nil"/>
              <w:bottom w:val="single" w:sz="4" w:space="0" w:color="auto"/>
              <w:right w:val="single" w:sz="4" w:space="0" w:color="auto"/>
            </w:tcBorders>
            <w:shd w:val="clear" w:color="auto" w:fill="EAF1DD" w:themeFill="accent3" w:themeFillTint="33"/>
            <w:noWrap/>
            <w:vAlign w:val="bottom"/>
            <w:hideMark/>
          </w:tcPr>
          <w:p w14:paraId="7DF8C39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17%</w:t>
            </w:r>
          </w:p>
        </w:tc>
        <w:tc>
          <w:tcPr>
            <w:tcW w:w="408" w:type="pct"/>
            <w:tcBorders>
              <w:top w:val="nil"/>
              <w:left w:val="nil"/>
              <w:bottom w:val="single" w:sz="4" w:space="0" w:color="auto"/>
              <w:right w:val="single" w:sz="4" w:space="0" w:color="auto"/>
            </w:tcBorders>
            <w:shd w:val="clear" w:color="000000" w:fill="F2F2F2"/>
            <w:noWrap/>
            <w:vAlign w:val="bottom"/>
            <w:hideMark/>
          </w:tcPr>
          <w:p w14:paraId="4B754BB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19%</w:t>
            </w:r>
          </w:p>
        </w:tc>
        <w:tc>
          <w:tcPr>
            <w:tcW w:w="392" w:type="pct"/>
            <w:tcBorders>
              <w:top w:val="nil"/>
              <w:left w:val="nil"/>
              <w:bottom w:val="single" w:sz="4" w:space="0" w:color="auto"/>
              <w:right w:val="single" w:sz="4" w:space="0" w:color="auto"/>
            </w:tcBorders>
            <w:shd w:val="clear" w:color="auto" w:fill="EAF1DD" w:themeFill="accent3" w:themeFillTint="33"/>
            <w:noWrap/>
            <w:vAlign w:val="bottom"/>
            <w:hideMark/>
          </w:tcPr>
          <w:p w14:paraId="6DE71BC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27%</w:t>
            </w:r>
          </w:p>
        </w:tc>
        <w:tc>
          <w:tcPr>
            <w:tcW w:w="408" w:type="pct"/>
            <w:tcBorders>
              <w:top w:val="nil"/>
              <w:left w:val="nil"/>
              <w:bottom w:val="single" w:sz="4" w:space="0" w:color="auto"/>
              <w:right w:val="single" w:sz="4" w:space="0" w:color="auto"/>
            </w:tcBorders>
            <w:shd w:val="clear" w:color="000000" w:fill="F2F2F2"/>
            <w:noWrap/>
            <w:vAlign w:val="bottom"/>
            <w:hideMark/>
          </w:tcPr>
          <w:p w14:paraId="562168C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45%</w:t>
            </w:r>
          </w:p>
        </w:tc>
        <w:tc>
          <w:tcPr>
            <w:tcW w:w="392" w:type="pct"/>
            <w:tcBorders>
              <w:top w:val="nil"/>
              <w:left w:val="nil"/>
              <w:bottom w:val="single" w:sz="4" w:space="0" w:color="auto"/>
              <w:right w:val="single" w:sz="4" w:space="0" w:color="auto"/>
            </w:tcBorders>
            <w:shd w:val="clear" w:color="auto" w:fill="EAF1DD" w:themeFill="accent3" w:themeFillTint="33"/>
            <w:noWrap/>
            <w:vAlign w:val="bottom"/>
            <w:hideMark/>
          </w:tcPr>
          <w:p w14:paraId="5ABD58D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41%</w:t>
            </w:r>
          </w:p>
        </w:tc>
        <w:tc>
          <w:tcPr>
            <w:tcW w:w="408" w:type="pct"/>
            <w:tcBorders>
              <w:top w:val="nil"/>
              <w:left w:val="nil"/>
              <w:bottom w:val="single" w:sz="4" w:space="0" w:color="auto"/>
              <w:right w:val="single" w:sz="4" w:space="0" w:color="auto"/>
            </w:tcBorders>
            <w:shd w:val="clear" w:color="000000" w:fill="F2F2F2"/>
            <w:noWrap/>
            <w:vAlign w:val="bottom"/>
            <w:hideMark/>
          </w:tcPr>
          <w:p w14:paraId="2D06BD19"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19%</w:t>
            </w:r>
          </w:p>
        </w:tc>
        <w:tc>
          <w:tcPr>
            <w:tcW w:w="392" w:type="pct"/>
            <w:tcBorders>
              <w:top w:val="nil"/>
              <w:left w:val="nil"/>
              <w:bottom w:val="single" w:sz="4" w:space="0" w:color="auto"/>
              <w:right w:val="single" w:sz="4" w:space="0" w:color="auto"/>
            </w:tcBorders>
            <w:shd w:val="clear" w:color="auto" w:fill="EAF1DD" w:themeFill="accent3" w:themeFillTint="33"/>
            <w:noWrap/>
            <w:vAlign w:val="bottom"/>
            <w:hideMark/>
          </w:tcPr>
          <w:p w14:paraId="7691455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11%</w:t>
            </w:r>
          </w:p>
        </w:tc>
        <w:tc>
          <w:tcPr>
            <w:tcW w:w="408" w:type="pct"/>
            <w:tcBorders>
              <w:top w:val="nil"/>
              <w:left w:val="nil"/>
              <w:bottom w:val="single" w:sz="4" w:space="0" w:color="auto"/>
              <w:right w:val="single" w:sz="4" w:space="0" w:color="auto"/>
            </w:tcBorders>
            <w:shd w:val="clear" w:color="000000" w:fill="F2F2F2"/>
            <w:noWrap/>
            <w:vAlign w:val="bottom"/>
            <w:hideMark/>
          </w:tcPr>
          <w:p w14:paraId="3E1F0675"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9%</w:t>
            </w:r>
          </w:p>
        </w:tc>
        <w:tc>
          <w:tcPr>
            <w:tcW w:w="392" w:type="pct"/>
            <w:tcBorders>
              <w:top w:val="nil"/>
              <w:left w:val="nil"/>
              <w:bottom w:val="single" w:sz="4" w:space="0" w:color="auto"/>
              <w:right w:val="single" w:sz="4" w:space="0" w:color="auto"/>
            </w:tcBorders>
            <w:shd w:val="clear" w:color="auto" w:fill="EAF1DD" w:themeFill="accent3" w:themeFillTint="33"/>
            <w:noWrap/>
            <w:vAlign w:val="bottom"/>
            <w:hideMark/>
          </w:tcPr>
          <w:p w14:paraId="47479224"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w:t>
            </w:r>
          </w:p>
        </w:tc>
        <w:tc>
          <w:tcPr>
            <w:tcW w:w="408" w:type="pct"/>
            <w:tcBorders>
              <w:top w:val="nil"/>
              <w:left w:val="nil"/>
              <w:bottom w:val="single" w:sz="4" w:space="0" w:color="auto"/>
              <w:right w:val="single" w:sz="4" w:space="0" w:color="auto"/>
            </w:tcBorders>
            <w:shd w:val="clear" w:color="000000" w:fill="F2F2F2"/>
            <w:noWrap/>
            <w:vAlign w:val="bottom"/>
            <w:hideMark/>
          </w:tcPr>
          <w:p w14:paraId="1FBE4E8A"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c>
          <w:tcPr>
            <w:tcW w:w="392" w:type="pct"/>
            <w:tcBorders>
              <w:top w:val="nil"/>
              <w:left w:val="nil"/>
              <w:bottom w:val="single" w:sz="4" w:space="0" w:color="auto"/>
              <w:right w:val="single" w:sz="4" w:space="0" w:color="auto"/>
            </w:tcBorders>
            <w:shd w:val="clear" w:color="000000" w:fill="EBF1DE"/>
            <w:noWrap/>
            <w:vAlign w:val="bottom"/>
            <w:hideMark/>
          </w:tcPr>
          <w:p w14:paraId="62D7C757"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r>
      <w:tr w:rsidR="00F111FB" w:rsidRPr="009A0658" w14:paraId="26037C3B" w14:textId="77777777" w:rsidTr="00EC7988">
        <w:trPr>
          <w:trHeight w:val="278"/>
        </w:trPr>
        <w:tc>
          <w:tcPr>
            <w:tcW w:w="5000" w:type="pct"/>
            <w:gridSpan w:val="14"/>
            <w:tcBorders>
              <w:top w:val="nil"/>
              <w:left w:val="nil"/>
              <w:bottom w:val="nil"/>
              <w:right w:val="single" w:sz="8" w:space="0" w:color="000000"/>
            </w:tcBorders>
            <w:shd w:val="clear" w:color="000000" w:fill="BFBFBF"/>
            <w:noWrap/>
            <w:vAlign w:val="bottom"/>
            <w:hideMark/>
          </w:tcPr>
          <w:p w14:paraId="32E8BF66" w14:textId="77777777" w:rsidR="00F111FB" w:rsidRPr="009A0658" w:rsidRDefault="00F111FB" w:rsidP="00AB720F">
            <w:pPr>
              <w:spacing w:after="0" w:line="240" w:lineRule="auto"/>
              <w:rPr>
                <w:rFonts w:eastAsia="Times New Roman" w:cs="Times New Roman"/>
                <w:b/>
                <w:bCs/>
                <w:color w:val="000000"/>
                <w:lang w:eastAsia="en-AU"/>
              </w:rPr>
            </w:pPr>
            <w:r w:rsidRPr="009A0658">
              <w:rPr>
                <w:rFonts w:eastAsia="Times New Roman" w:cs="Times New Roman"/>
                <w:b/>
                <w:bCs/>
                <w:color w:val="000000"/>
                <w:lang w:eastAsia="en-AU"/>
              </w:rPr>
              <w:t>Year 1</w:t>
            </w:r>
          </w:p>
        </w:tc>
      </w:tr>
      <w:tr w:rsidR="00EC7988" w:rsidRPr="009A0658" w14:paraId="71D135CF" w14:textId="77777777" w:rsidTr="00EC7988">
        <w:trPr>
          <w:trHeight w:val="278"/>
        </w:trPr>
        <w:tc>
          <w:tcPr>
            <w:tcW w:w="101" w:type="pct"/>
            <w:tcBorders>
              <w:top w:val="nil"/>
              <w:left w:val="nil"/>
              <w:bottom w:val="nil"/>
              <w:right w:val="nil"/>
            </w:tcBorders>
            <w:shd w:val="clear" w:color="auto" w:fill="auto"/>
            <w:noWrap/>
            <w:vAlign w:val="bottom"/>
            <w:hideMark/>
          </w:tcPr>
          <w:p w14:paraId="6EC1A48B"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15D262C8"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432456E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213</w:t>
            </w:r>
          </w:p>
        </w:tc>
        <w:tc>
          <w:tcPr>
            <w:tcW w:w="392" w:type="pct"/>
            <w:tcBorders>
              <w:top w:val="nil"/>
              <w:left w:val="nil"/>
              <w:bottom w:val="single" w:sz="4" w:space="0" w:color="auto"/>
              <w:right w:val="single" w:sz="4" w:space="0" w:color="auto"/>
            </w:tcBorders>
            <w:shd w:val="clear" w:color="auto" w:fill="EAF1DD" w:themeFill="accent3" w:themeFillTint="33"/>
            <w:noWrap/>
            <w:vAlign w:val="bottom"/>
            <w:hideMark/>
          </w:tcPr>
          <w:p w14:paraId="64273B0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490</w:t>
            </w:r>
          </w:p>
        </w:tc>
        <w:tc>
          <w:tcPr>
            <w:tcW w:w="408" w:type="pct"/>
            <w:tcBorders>
              <w:top w:val="nil"/>
              <w:left w:val="nil"/>
              <w:bottom w:val="single" w:sz="4" w:space="0" w:color="auto"/>
              <w:right w:val="single" w:sz="4" w:space="0" w:color="auto"/>
            </w:tcBorders>
            <w:shd w:val="clear" w:color="000000" w:fill="F2F2F2"/>
            <w:noWrap/>
            <w:vAlign w:val="bottom"/>
            <w:hideMark/>
          </w:tcPr>
          <w:p w14:paraId="50115F14"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466</w:t>
            </w:r>
          </w:p>
        </w:tc>
        <w:tc>
          <w:tcPr>
            <w:tcW w:w="392" w:type="pct"/>
            <w:tcBorders>
              <w:top w:val="nil"/>
              <w:left w:val="nil"/>
              <w:bottom w:val="single" w:sz="4" w:space="0" w:color="auto"/>
              <w:right w:val="single" w:sz="4" w:space="0" w:color="auto"/>
            </w:tcBorders>
            <w:shd w:val="clear" w:color="000000" w:fill="EBF1DE"/>
            <w:noWrap/>
            <w:vAlign w:val="bottom"/>
            <w:hideMark/>
          </w:tcPr>
          <w:p w14:paraId="457957AF"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547</w:t>
            </w:r>
          </w:p>
        </w:tc>
        <w:tc>
          <w:tcPr>
            <w:tcW w:w="408" w:type="pct"/>
            <w:tcBorders>
              <w:top w:val="nil"/>
              <w:left w:val="nil"/>
              <w:bottom w:val="single" w:sz="4" w:space="0" w:color="auto"/>
              <w:right w:val="single" w:sz="4" w:space="0" w:color="auto"/>
            </w:tcBorders>
            <w:shd w:val="clear" w:color="000000" w:fill="F2F2F2"/>
            <w:noWrap/>
            <w:vAlign w:val="bottom"/>
            <w:hideMark/>
          </w:tcPr>
          <w:p w14:paraId="5B25B11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917</w:t>
            </w:r>
          </w:p>
        </w:tc>
        <w:tc>
          <w:tcPr>
            <w:tcW w:w="392" w:type="pct"/>
            <w:tcBorders>
              <w:top w:val="nil"/>
              <w:left w:val="nil"/>
              <w:bottom w:val="single" w:sz="4" w:space="0" w:color="auto"/>
              <w:right w:val="single" w:sz="4" w:space="0" w:color="auto"/>
            </w:tcBorders>
            <w:shd w:val="clear" w:color="000000" w:fill="EBF1DE"/>
            <w:noWrap/>
            <w:vAlign w:val="bottom"/>
            <w:hideMark/>
          </w:tcPr>
          <w:p w14:paraId="5008658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823</w:t>
            </w:r>
          </w:p>
        </w:tc>
        <w:tc>
          <w:tcPr>
            <w:tcW w:w="408" w:type="pct"/>
            <w:tcBorders>
              <w:top w:val="nil"/>
              <w:left w:val="nil"/>
              <w:bottom w:val="single" w:sz="4" w:space="0" w:color="auto"/>
              <w:right w:val="single" w:sz="4" w:space="0" w:color="auto"/>
            </w:tcBorders>
            <w:shd w:val="clear" w:color="000000" w:fill="F2F2F2"/>
            <w:noWrap/>
            <w:vAlign w:val="bottom"/>
            <w:hideMark/>
          </w:tcPr>
          <w:p w14:paraId="6D2BA429"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435</w:t>
            </w:r>
          </w:p>
        </w:tc>
        <w:tc>
          <w:tcPr>
            <w:tcW w:w="392" w:type="pct"/>
            <w:tcBorders>
              <w:top w:val="nil"/>
              <w:left w:val="nil"/>
              <w:bottom w:val="single" w:sz="4" w:space="0" w:color="auto"/>
              <w:right w:val="single" w:sz="4" w:space="0" w:color="auto"/>
            </w:tcBorders>
            <w:shd w:val="clear" w:color="000000" w:fill="EBF1DE"/>
            <w:noWrap/>
            <w:vAlign w:val="bottom"/>
            <w:hideMark/>
          </w:tcPr>
          <w:p w14:paraId="3E45BAF8"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256</w:t>
            </w:r>
          </w:p>
        </w:tc>
        <w:tc>
          <w:tcPr>
            <w:tcW w:w="408" w:type="pct"/>
            <w:tcBorders>
              <w:top w:val="nil"/>
              <w:left w:val="nil"/>
              <w:bottom w:val="single" w:sz="4" w:space="0" w:color="auto"/>
              <w:right w:val="single" w:sz="4" w:space="0" w:color="auto"/>
            </w:tcBorders>
            <w:shd w:val="clear" w:color="000000" w:fill="F2F2F2"/>
            <w:noWrap/>
            <w:vAlign w:val="bottom"/>
            <w:hideMark/>
          </w:tcPr>
          <w:p w14:paraId="1422A28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170</w:t>
            </w:r>
          </w:p>
        </w:tc>
        <w:tc>
          <w:tcPr>
            <w:tcW w:w="392" w:type="pct"/>
            <w:tcBorders>
              <w:top w:val="nil"/>
              <w:left w:val="nil"/>
              <w:bottom w:val="single" w:sz="4" w:space="0" w:color="auto"/>
              <w:right w:val="single" w:sz="4" w:space="0" w:color="auto"/>
            </w:tcBorders>
            <w:shd w:val="clear" w:color="000000" w:fill="EBF1DE"/>
            <w:noWrap/>
            <w:vAlign w:val="bottom"/>
            <w:hideMark/>
          </w:tcPr>
          <w:p w14:paraId="0FC1ADC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64</w:t>
            </w:r>
          </w:p>
        </w:tc>
        <w:tc>
          <w:tcPr>
            <w:tcW w:w="408" w:type="pct"/>
            <w:tcBorders>
              <w:top w:val="nil"/>
              <w:left w:val="nil"/>
              <w:bottom w:val="single" w:sz="4" w:space="0" w:color="auto"/>
              <w:right w:val="single" w:sz="4" w:space="0" w:color="auto"/>
            </w:tcBorders>
            <w:shd w:val="clear" w:color="000000" w:fill="F2F2F2"/>
            <w:noWrap/>
            <w:vAlign w:val="bottom"/>
            <w:hideMark/>
          </w:tcPr>
          <w:p w14:paraId="14343629"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2201</w:t>
            </w:r>
          </w:p>
        </w:tc>
        <w:tc>
          <w:tcPr>
            <w:tcW w:w="392" w:type="pct"/>
            <w:tcBorders>
              <w:top w:val="nil"/>
              <w:left w:val="nil"/>
              <w:bottom w:val="single" w:sz="4" w:space="0" w:color="auto"/>
              <w:right w:val="single" w:sz="4" w:space="0" w:color="auto"/>
            </w:tcBorders>
            <w:shd w:val="clear" w:color="000000" w:fill="EBF1DE"/>
            <w:noWrap/>
            <w:vAlign w:val="bottom"/>
            <w:hideMark/>
          </w:tcPr>
          <w:p w14:paraId="320E8356"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2180</w:t>
            </w:r>
          </w:p>
        </w:tc>
      </w:tr>
      <w:tr w:rsidR="00EC7988" w:rsidRPr="009A0658" w14:paraId="5EAC59B3" w14:textId="77777777" w:rsidTr="00EC7988">
        <w:trPr>
          <w:trHeight w:val="278"/>
        </w:trPr>
        <w:tc>
          <w:tcPr>
            <w:tcW w:w="101" w:type="pct"/>
            <w:tcBorders>
              <w:top w:val="nil"/>
              <w:left w:val="nil"/>
              <w:bottom w:val="nil"/>
              <w:right w:val="nil"/>
            </w:tcBorders>
            <w:shd w:val="clear" w:color="auto" w:fill="auto"/>
            <w:noWrap/>
            <w:vAlign w:val="bottom"/>
            <w:hideMark/>
          </w:tcPr>
          <w:p w14:paraId="020A2F8D"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5BCEF6AF"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2DDA75D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10%</w:t>
            </w:r>
          </w:p>
        </w:tc>
        <w:tc>
          <w:tcPr>
            <w:tcW w:w="392" w:type="pct"/>
            <w:tcBorders>
              <w:top w:val="nil"/>
              <w:left w:val="nil"/>
              <w:bottom w:val="single" w:sz="4" w:space="0" w:color="auto"/>
              <w:right w:val="single" w:sz="4" w:space="0" w:color="auto"/>
            </w:tcBorders>
            <w:shd w:val="clear" w:color="000000" w:fill="EBF1DE"/>
            <w:noWrap/>
            <w:vAlign w:val="bottom"/>
            <w:hideMark/>
          </w:tcPr>
          <w:p w14:paraId="30E7708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22%</w:t>
            </w:r>
          </w:p>
        </w:tc>
        <w:tc>
          <w:tcPr>
            <w:tcW w:w="408" w:type="pct"/>
            <w:tcBorders>
              <w:top w:val="nil"/>
              <w:left w:val="nil"/>
              <w:bottom w:val="single" w:sz="4" w:space="0" w:color="auto"/>
              <w:right w:val="single" w:sz="4" w:space="0" w:color="auto"/>
            </w:tcBorders>
            <w:shd w:val="clear" w:color="000000" w:fill="F2F2F2"/>
            <w:noWrap/>
            <w:vAlign w:val="bottom"/>
            <w:hideMark/>
          </w:tcPr>
          <w:p w14:paraId="39D5BAF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21%</w:t>
            </w:r>
          </w:p>
        </w:tc>
        <w:tc>
          <w:tcPr>
            <w:tcW w:w="392" w:type="pct"/>
            <w:tcBorders>
              <w:top w:val="nil"/>
              <w:left w:val="nil"/>
              <w:bottom w:val="single" w:sz="4" w:space="0" w:color="auto"/>
              <w:right w:val="single" w:sz="4" w:space="0" w:color="auto"/>
            </w:tcBorders>
            <w:shd w:val="clear" w:color="000000" w:fill="EBF1DE"/>
            <w:noWrap/>
            <w:vAlign w:val="bottom"/>
            <w:hideMark/>
          </w:tcPr>
          <w:p w14:paraId="5771BB1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25%</w:t>
            </w:r>
          </w:p>
        </w:tc>
        <w:tc>
          <w:tcPr>
            <w:tcW w:w="408" w:type="pct"/>
            <w:tcBorders>
              <w:top w:val="nil"/>
              <w:left w:val="nil"/>
              <w:bottom w:val="single" w:sz="4" w:space="0" w:color="auto"/>
              <w:right w:val="single" w:sz="4" w:space="0" w:color="auto"/>
            </w:tcBorders>
            <w:shd w:val="clear" w:color="000000" w:fill="F2F2F2"/>
            <w:noWrap/>
            <w:vAlign w:val="bottom"/>
            <w:hideMark/>
          </w:tcPr>
          <w:p w14:paraId="41225D4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42%</w:t>
            </w:r>
          </w:p>
        </w:tc>
        <w:tc>
          <w:tcPr>
            <w:tcW w:w="392" w:type="pct"/>
            <w:tcBorders>
              <w:top w:val="nil"/>
              <w:left w:val="nil"/>
              <w:bottom w:val="single" w:sz="4" w:space="0" w:color="auto"/>
              <w:right w:val="single" w:sz="4" w:space="0" w:color="auto"/>
            </w:tcBorders>
            <w:shd w:val="clear" w:color="000000" w:fill="EBF1DE"/>
            <w:noWrap/>
            <w:vAlign w:val="bottom"/>
            <w:hideMark/>
          </w:tcPr>
          <w:p w14:paraId="5E607DE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38%</w:t>
            </w:r>
          </w:p>
        </w:tc>
        <w:tc>
          <w:tcPr>
            <w:tcW w:w="408" w:type="pct"/>
            <w:tcBorders>
              <w:top w:val="nil"/>
              <w:left w:val="nil"/>
              <w:bottom w:val="single" w:sz="4" w:space="0" w:color="auto"/>
              <w:right w:val="single" w:sz="4" w:space="0" w:color="auto"/>
            </w:tcBorders>
            <w:shd w:val="clear" w:color="000000" w:fill="F2F2F2"/>
            <w:noWrap/>
            <w:vAlign w:val="bottom"/>
            <w:hideMark/>
          </w:tcPr>
          <w:p w14:paraId="36CAC0F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20%</w:t>
            </w:r>
          </w:p>
        </w:tc>
        <w:tc>
          <w:tcPr>
            <w:tcW w:w="392" w:type="pct"/>
            <w:tcBorders>
              <w:top w:val="nil"/>
              <w:left w:val="nil"/>
              <w:bottom w:val="single" w:sz="4" w:space="0" w:color="auto"/>
              <w:right w:val="single" w:sz="4" w:space="0" w:color="auto"/>
            </w:tcBorders>
            <w:shd w:val="clear" w:color="000000" w:fill="EBF1DE"/>
            <w:noWrap/>
            <w:vAlign w:val="bottom"/>
            <w:hideMark/>
          </w:tcPr>
          <w:p w14:paraId="1B5A7AF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12%</w:t>
            </w:r>
          </w:p>
        </w:tc>
        <w:tc>
          <w:tcPr>
            <w:tcW w:w="408" w:type="pct"/>
            <w:tcBorders>
              <w:top w:val="nil"/>
              <w:left w:val="nil"/>
              <w:bottom w:val="single" w:sz="4" w:space="0" w:color="auto"/>
              <w:right w:val="single" w:sz="4" w:space="0" w:color="auto"/>
            </w:tcBorders>
            <w:shd w:val="clear" w:color="000000" w:fill="F2F2F2"/>
            <w:noWrap/>
            <w:vAlign w:val="bottom"/>
            <w:hideMark/>
          </w:tcPr>
          <w:p w14:paraId="792CDD8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8%</w:t>
            </w:r>
          </w:p>
        </w:tc>
        <w:tc>
          <w:tcPr>
            <w:tcW w:w="392" w:type="pct"/>
            <w:tcBorders>
              <w:top w:val="nil"/>
              <w:left w:val="nil"/>
              <w:bottom w:val="single" w:sz="4" w:space="0" w:color="auto"/>
              <w:right w:val="single" w:sz="4" w:space="0" w:color="auto"/>
            </w:tcBorders>
            <w:shd w:val="clear" w:color="000000" w:fill="EBF1DE"/>
            <w:noWrap/>
            <w:vAlign w:val="bottom"/>
            <w:hideMark/>
          </w:tcPr>
          <w:p w14:paraId="493C596A"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w:t>
            </w:r>
          </w:p>
        </w:tc>
        <w:tc>
          <w:tcPr>
            <w:tcW w:w="408" w:type="pct"/>
            <w:tcBorders>
              <w:top w:val="nil"/>
              <w:left w:val="nil"/>
              <w:bottom w:val="single" w:sz="4" w:space="0" w:color="auto"/>
              <w:right w:val="single" w:sz="4" w:space="0" w:color="auto"/>
            </w:tcBorders>
            <w:shd w:val="clear" w:color="000000" w:fill="F2F2F2"/>
            <w:noWrap/>
            <w:vAlign w:val="bottom"/>
            <w:hideMark/>
          </w:tcPr>
          <w:p w14:paraId="2B3F26A1"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c>
          <w:tcPr>
            <w:tcW w:w="392" w:type="pct"/>
            <w:tcBorders>
              <w:top w:val="nil"/>
              <w:left w:val="nil"/>
              <w:bottom w:val="single" w:sz="4" w:space="0" w:color="auto"/>
              <w:right w:val="single" w:sz="4" w:space="0" w:color="auto"/>
            </w:tcBorders>
            <w:shd w:val="clear" w:color="000000" w:fill="EBF1DE"/>
            <w:noWrap/>
            <w:vAlign w:val="bottom"/>
            <w:hideMark/>
          </w:tcPr>
          <w:p w14:paraId="30B9B047"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r>
      <w:tr w:rsidR="00F111FB" w:rsidRPr="009A0658" w14:paraId="58DB3427" w14:textId="77777777" w:rsidTr="00EC7988">
        <w:trPr>
          <w:trHeight w:val="278"/>
        </w:trPr>
        <w:tc>
          <w:tcPr>
            <w:tcW w:w="5000" w:type="pct"/>
            <w:gridSpan w:val="14"/>
            <w:tcBorders>
              <w:top w:val="nil"/>
              <w:left w:val="nil"/>
              <w:bottom w:val="nil"/>
              <w:right w:val="single" w:sz="8" w:space="0" w:color="000000"/>
            </w:tcBorders>
            <w:shd w:val="clear" w:color="000000" w:fill="BFBFBF"/>
            <w:noWrap/>
            <w:vAlign w:val="bottom"/>
            <w:hideMark/>
          </w:tcPr>
          <w:p w14:paraId="14FA13ED" w14:textId="77777777" w:rsidR="00F111FB" w:rsidRPr="009A0658" w:rsidRDefault="00F111FB" w:rsidP="00AB720F">
            <w:pPr>
              <w:spacing w:after="0" w:line="240" w:lineRule="auto"/>
              <w:rPr>
                <w:rFonts w:eastAsia="Times New Roman" w:cs="Times New Roman"/>
                <w:b/>
                <w:bCs/>
                <w:color w:val="000000"/>
                <w:lang w:eastAsia="en-AU"/>
              </w:rPr>
            </w:pPr>
            <w:r w:rsidRPr="009A0658">
              <w:rPr>
                <w:rFonts w:eastAsia="Times New Roman" w:cs="Times New Roman"/>
                <w:b/>
                <w:bCs/>
                <w:color w:val="000000"/>
                <w:lang w:eastAsia="en-AU"/>
              </w:rPr>
              <w:t>Year 2</w:t>
            </w:r>
          </w:p>
        </w:tc>
      </w:tr>
      <w:tr w:rsidR="00EC7988" w:rsidRPr="009A0658" w14:paraId="4840D3FB" w14:textId="77777777" w:rsidTr="00EC7988">
        <w:trPr>
          <w:trHeight w:val="278"/>
        </w:trPr>
        <w:tc>
          <w:tcPr>
            <w:tcW w:w="101" w:type="pct"/>
            <w:tcBorders>
              <w:top w:val="nil"/>
              <w:left w:val="nil"/>
              <w:bottom w:val="nil"/>
              <w:right w:val="nil"/>
            </w:tcBorders>
            <w:shd w:val="clear" w:color="auto" w:fill="auto"/>
            <w:noWrap/>
            <w:vAlign w:val="bottom"/>
            <w:hideMark/>
          </w:tcPr>
          <w:p w14:paraId="6C6C99D3"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1D5635CE"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0F5AE6F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189</w:t>
            </w:r>
          </w:p>
        </w:tc>
        <w:tc>
          <w:tcPr>
            <w:tcW w:w="392" w:type="pct"/>
            <w:tcBorders>
              <w:top w:val="nil"/>
              <w:left w:val="nil"/>
              <w:bottom w:val="single" w:sz="4" w:space="0" w:color="auto"/>
              <w:right w:val="single" w:sz="4" w:space="0" w:color="auto"/>
            </w:tcBorders>
            <w:shd w:val="clear" w:color="000000" w:fill="EBF1DE"/>
            <w:noWrap/>
            <w:vAlign w:val="bottom"/>
            <w:hideMark/>
          </w:tcPr>
          <w:p w14:paraId="2D5A93DA"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458</w:t>
            </w:r>
          </w:p>
        </w:tc>
        <w:tc>
          <w:tcPr>
            <w:tcW w:w="408" w:type="pct"/>
            <w:tcBorders>
              <w:top w:val="nil"/>
              <w:left w:val="nil"/>
              <w:bottom w:val="single" w:sz="4" w:space="0" w:color="auto"/>
              <w:right w:val="single" w:sz="4" w:space="0" w:color="auto"/>
            </w:tcBorders>
            <w:shd w:val="clear" w:color="000000" w:fill="F2F2F2"/>
            <w:noWrap/>
            <w:vAlign w:val="bottom"/>
            <w:hideMark/>
          </w:tcPr>
          <w:p w14:paraId="06E6E60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619</w:t>
            </w:r>
          </w:p>
        </w:tc>
        <w:tc>
          <w:tcPr>
            <w:tcW w:w="392" w:type="pct"/>
            <w:tcBorders>
              <w:top w:val="nil"/>
              <w:left w:val="nil"/>
              <w:bottom w:val="single" w:sz="4" w:space="0" w:color="auto"/>
              <w:right w:val="single" w:sz="4" w:space="0" w:color="auto"/>
            </w:tcBorders>
            <w:shd w:val="clear" w:color="000000" w:fill="EBF1DE"/>
            <w:noWrap/>
            <w:vAlign w:val="bottom"/>
            <w:hideMark/>
          </w:tcPr>
          <w:p w14:paraId="6313F149"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801</w:t>
            </w:r>
          </w:p>
        </w:tc>
        <w:tc>
          <w:tcPr>
            <w:tcW w:w="408" w:type="pct"/>
            <w:tcBorders>
              <w:top w:val="nil"/>
              <w:left w:val="nil"/>
              <w:bottom w:val="single" w:sz="4" w:space="0" w:color="auto"/>
              <w:right w:val="single" w:sz="4" w:space="0" w:color="auto"/>
            </w:tcBorders>
            <w:shd w:val="clear" w:color="000000" w:fill="F2F2F2"/>
            <w:noWrap/>
            <w:vAlign w:val="bottom"/>
            <w:hideMark/>
          </w:tcPr>
          <w:p w14:paraId="0F1C6DB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1110</w:t>
            </w:r>
          </w:p>
        </w:tc>
        <w:tc>
          <w:tcPr>
            <w:tcW w:w="392" w:type="pct"/>
            <w:tcBorders>
              <w:top w:val="nil"/>
              <w:left w:val="nil"/>
              <w:bottom w:val="single" w:sz="4" w:space="0" w:color="auto"/>
              <w:right w:val="single" w:sz="4" w:space="0" w:color="auto"/>
            </w:tcBorders>
            <w:shd w:val="clear" w:color="000000" w:fill="EBF1DE"/>
            <w:noWrap/>
            <w:vAlign w:val="bottom"/>
            <w:hideMark/>
          </w:tcPr>
          <w:p w14:paraId="50A8CF8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951</w:t>
            </w:r>
          </w:p>
        </w:tc>
        <w:tc>
          <w:tcPr>
            <w:tcW w:w="408" w:type="pct"/>
            <w:tcBorders>
              <w:top w:val="nil"/>
              <w:left w:val="nil"/>
              <w:bottom w:val="single" w:sz="4" w:space="0" w:color="auto"/>
              <w:right w:val="single" w:sz="4" w:space="0" w:color="auto"/>
            </w:tcBorders>
            <w:shd w:val="clear" w:color="000000" w:fill="F2F2F2"/>
            <w:noWrap/>
            <w:vAlign w:val="bottom"/>
            <w:hideMark/>
          </w:tcPr>
          <w:p w14:paraId="772F538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628</w:t>
            </w:r>
          </w:p>
        </w:tc>
        <w:tc>
          <w:tcPr>
            <w:tcW w:w="392" w:type="pct"/>
            <w:tcBorders>
              <w:top w:val="nil"/>
              <w:left w:val="nil"/>
              <w:bottom w:val="single" w:sz="4" w:space="0" w:color="auto"/>
              <w:right w:val="single" w:sz="4" w:space="0" w:color="auto"/>
            </w:tcBorders>
            <w:shd w:val="clear" w:color="000000" w:fill="EBF1DE"/>
            <w:noWrap/>
            <w:vAlign w:val="bottom"/>
            <w:hideMark/>
          </w:tcPr>
          <w:p w14:paraId="6DA42CD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359</w:t>
            </w:r>
          </w:p>
        </w:tc>
        <w:tc>
          <w:tcPr>
            <w:tcW w:w="408" w:type="pct"/>
            <w:tcBorders>
              <w:top w:val="nil"/>
              <w:left w:val="nil"/>
              <w:bottom w:val="single" w:sz="4" w:space="0" w:color="auto"/>
              <w:right w:val="single" w:sz="4" w:space="0" w:color="auto"/>
            </w:tcBorders>
            <w:shd w:val="clear" w:color="000000" w:fill="F2F2F2"/>
            <w:noWrap/>
            <w:vAlign w:val="bottom"/>
            <w:hideMark/>
          </w:tcPr>
          <w:p w14:paraId="4E5858E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192</w:t>
            </w:r>
          </w:p>
        </w:tc>
        <w:tc>
          <w:tcPr>
            <w:tcW w:w="392" w:type="pct"/>
            <w:tcBorders>
              <w:top w:val="nil"/>
              <w:left w:val="nil"/>
              <w:bottom w:val="single" w:sz="4" w:space="0" w:color="auto"/>
              <w:right w:val="single" w:sz="4" w:space="0" w:color="auto"/>
            </w:tcBorders>
            <w:shd w:val="clear" w:color="000000" w:fill="EBF1DE"/>
            <w:noWrap/>
            <w:vAlign w:val="bottom"/>
            <w:hideMark/>
          </w:tcPr>
          <w:p w14:paraId="2E58071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102</w:t>
            </w:r>
          </w:p>
        </w:tc>
        <w:tc>
          <w:tcPr>
            <w:tcW w:w="408" w:type="pct"/>
            <w:tcBorders>
              <w:top w:val="nil"/>
              <w:left w:val="nil"/>
              <w:bottom w:val="single" w:sz="4" w:space="0" w:color="auto"/>
              <w:right w:val="single" w:sz="4" w:space="0" w:color="auto"/>
            </w:tcBorders>
            <w:shd w:val="clear" w:color="000000" w:fill="F2F2F2"/>
            <w:noWrap/>
            <w:vAlign w:val="bottom"/>
            <w:hideMark/>
          </w:tcPr>
          <w:p w14:paraId="0215B1EA"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2738</w:t>
            </w:r>
          </w:p>
        </w:tc>
        <w:tc>
          <w:tcPr>
            <w:tcW w:w="392" w:type="pct"/>
            <w:tcBorders>
              <w:top w:val="nil"/>
              <w:left w:val="nil"/>
              <w:bottom w:val="single" w:sz="4" w:space="0" w:color="auto"/>
              <w:right w:val="single" w:sz="4" w:space="0" w:color="auto"/>
            </w:tcBorders>
            <w:shd w:val="clear" w:color="000000" w:fill="EBF1DE"/>
            <w:noWrap/>
            <w:vAlign w:val="bottom"/>
            <w:hideMark/>
          </w:tcPr>
          <w:p w14:paraId="15571156"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2671</w:t>
            </w:r>
          </w:p>
        </w:tc>
      </w:tr>
      <w:tr w:rsidR="00EC7988" w:rsidRPr="009A0658" w14:paraId="11D4A21E" w14:textId="77777777" w:rsidTr="00EC7988">
        <w:trPr>
          <w:trHeight w:val="278"/>
        </w:trPr>
        <w:tc>
          <w:tcPr>
            <w:tcW w:w="101" w:type="pct"/>
            <w:tcBorders>
              <w:top w:val="nil"/>
              <w:left w:val="nil"/>
              <w:bottom w:val="nil"/>
              <w:right w:val="nil"/>
            </w:tcBorders>
            <w:shd w:val="clear" w:color="auto" w:fill="auto"/>
            <w:noWrap/>
            <w:vAlign w:val="bottom"/>
            <w:hideMark/>
          </w:tcPr>
          <w:p w14:paraId="7A111674"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7C974AE9"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5321C6B4"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7%</w:t>
            </w:r>
          </w:p>
        </w:tc>
        <w:tc>
          <w:tcPr>
            <w:tcW w:w="392" w:type="pct"/>
            <w:tcBorders>
              <w:top w:val="nil"/>
              <w:left w:val="nil"/>
              <w:bottom w:val="single" w:sz="4" w:space="0" w:color="auto"/>
              <w:right w:val="single" w:sz="4" w:space="0" w:color="auto"/>
            </w:tcBorders>
            <w:shd w:val="clear" w:color="000000" w:fill="EBF1DE"/>
            <w:noWrap/>
            <w:vAlign w:val="bottom"/>
            <w:hideMark/>
          </w:tcPr>
          <w:p w14:paraId="51D0BD2F"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17%</w:t>
            </w:r>
          </w:p>
        </w:tc>
        <w:tc>
          <w:tcPr>
            <w:tcW w:w="408" w:type="pct"/>
            <w:tcBorders>
              <w:top w:val="nil"/>
              <w:left w:val="nil"/>
              <w:bottom w:val="single" w:sz="4" w:space="0" w:color="auto"/>
              <w:right w:val="single" w:sz="4" w:space="0" w:color="auto"/>
            </w:tcBorders>
            <w:shd w:val="clear" w:color="000000" w:fill="F2F2F2"/>
            <w:noWrap/>
            <w:vAlign w:val="bottom"/>
            <w:hideMark/>
          </w:tcPr>
          <w:p w14:paraId="4FF68D17"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23%</w:t>
            </w:r>
          </w:p>
        </w:tc>
        <w:tc>
          <w:tcPr>
            <w:tcW w:w="392" w:type="pct"/>
            <w:tcBorders>
              <w:top w:val="nil"/>
              <w:left w:val="nil"/>
              <w:bottom w:val="single" w:sz="4" w:space="0" w:color="auto"/>
              <w:right w:val="single" w:sz="4" w:space="0" w:color="auto"/>
            </w:tcBorders>
            <w:shd w:val="clear" w:color="000000" w:fill="EBF1DE"/>
            <w:noWrap/>
            <w:vAlign w:val="bottom"/>
            <w:hideMark/>
          </w:tcPr>
          <w:p w14:paraId="408F7D1A"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30%</w:t>
            </w:r>
          </w:p>
        </w:tc>
        <w:tc>
          <w:tcPr>
            <w:tcW w:w="408" w:type="pct"/>
            <w:tcBorders>
              <w:top w:val="nil"/>
              <w:left w:val="nil"/>
              <w:bottom w:val="single" w:sz="4" w:space="0" w:color="auto"/>
              <w:right w:val="single" w:sz="4" w:space="0" w:color="auto"/>
            </w:tcBorders>
            <w:shd w:val="clear" w:color="000000" w:fill="F2F2F2"/>
            <w:noWrap/>
            <w:vAlign w:val="bottom"/>
            <w:hideMark/>
          </w:tcPr>
          <w:p w14:paraId="5BBF2EC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41%</w:t>
            </w:r>
          </w:p>
        </w:tc>
        <w:tc>
          <w:tcPr>
            <w:tcW w:w="392" w:type="pct"/>
            <w:tcBorders>
              <w:top w:val="nil"/>
              <w:left w:val="nil"/>
              <w:bottom w:val="single" w:sz="4" w:space="0" w:color="auto"/>
              <w:right w:val="single" w:sz="4" w:space="0" w:color="auto"/>
            </w:tcBorders>
            <w:shd w:val="clear" w:color="000000" w:fill="EBF1DE"/>
            <w:noWrap/>
            <w:vAlign w:val="bottom"/>
            <w:hideMark/>
          </w:tcPr>
          <w:p w14:paraId="50735EF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36%</w:t>
            </w:r>
          </w:p>
        </w:tc>
        <w:tc>
          <w:tcPr>
            <w:tcW w:w="408" w:type="pct"/>
            <w:tcBorders>
              <w:top w:val="nil"/>
              <w:left w:val="nil"/>
              <w:bottom w:val="single" w:sz="4" w:space="0" w:color="auto"/>
              <w:right w:val="single" w:sz="4" w:space="0" w:color="auto"/>
            </w:tcBorders>
            <w:shd w:val="clear" w:color="000000" w:fill="F2F2F2"/>
            <w:noWrap/>
            <w:vAlign w:val="bottom"/>
            <w:hideMark/>
          </w:tcPr>
          <w:p w14:paraId="750E0FA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23%</w:t>
            </w:r>
          </w:p>
        </w:tc>
        <w:tc>
          <w:tcPr>
            <w:tcW w:w="392" w:type="pct"/>
            <w:tcBorders>
              <w:top w:val="nil"/>
              <w:left w:val="nil"/>
              <w:bottom w:val="single" w:sz="4" w:space="0" w:color="auto"/>
              <w:right w:val="single" w:sz="4" w:space="0" w:color="auto"/>
            </w:tcBorders>
            <w:shd w:val="clear" w:color="000000" w:fill="EBF1DE"/>
            <w:noWrap/>
            <w:vAlign w:val="bottom"/>
            <w:hideMark/>
          </w:tcPr>
          <w:p w14:paraId="377C4EA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13%</w:t>
            </w:r>
          </w:p>
        </w:tc>
        <w:tc>
          <w:tcPr>
            <w:tcW w:w="408" w:type="pct"/>
            <w:tcBorders>
              <w:top w:val="nil"/>
              <w:left w:val="nil"/>
              <w:bottom w:val="single" w:sz="4" w:space="0" w:color="auto"/>
              <w:right w:val="single" w:sz="4" w:space="0" w:color="auto"/>
            </w:tcBorders>
            <w:shd w:val="clear" w:color="000000" w:fill="F2F2F2"/>
            <w:noWrap/>
            <w:vAlign w:val="bottom"/>
            <w:hideMark/>
          </w:tcPr>
          <w:p w14:paraId="36E2C279"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7%</w:t>
            </w:r>
          </w:p>
        </w:tc>
        <w:tc>
          <w:tcPr>
            <w:tcW w:w="392" w:type="pct"/>
            <w:tcBorders>
              <w:top w:val="nil"/>
              <w:left w:val="nil"/>
              <w:bottom w:val="single" w:sz="4" w:space="0" w:color="auto"/>
              <w:right w:val="single" w:sz="4" w:space="0" w:color="auto"/>
            </w:tcBorders>
            <w:shd w:val="clear" w:color="000000" w:fill="EBF1DE"/>
            <w:noWrap/>
            <w:vAlign w:val="bottom"/>
            <w:hideMark/>
          </w:tcPr>
          <w:p w14:paraId="344B795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w:t>
            </w:r>
          </w:p>
        </w:tc>
        <w:tc>
          <w:tcPr>
            <w:tcW w:w="408" w:type="pct"/>
            <w:tcBorders>
              <w:top w:val="nil"/>
              <w:left w:val="nil"/>
              <w:bottom w:val="single" w:sz="4" w:space="0" w:color="auto"/>
              <w:right w:val="single" w:sz="4" w:space="0" w:color="auto"/>
            </w:tcBorders>
            <w:shd w:val="clear" w:color="000000" w:fill="F2F2F2"/>
            <w:noWrap/>
            <w:vAlign w:val="bottom"/>
            <w:hideMark/>
          </w:tcPr>
          <w:p w14:paraId="4E79FEB4"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c>
          <w:tcPr>
            <w:tcW w:w="392" w:type="pct"/>
            <w:tcBorders>
              <w:top w:val="nil"/>
              <w:left w:val="nil"/>
              <w:bottom w:val="single" w:sz="4" w:space="0" w:color="auto"/>
              <w:right w:val="single" w:sz="4" w:space="0" w:color="auto"/>
            </w:tcBorders>
            <w:shd w:val="clear" w:color="000000" w:fill="EBF1DE"/>
            <w:noWrap/>
            <w:vAlign w:val="bottom"/>
            <w:hideMark/>
          </w:tcPr>
          <w:p w14:paraId="392D16E8"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r>
      <w:tr w:rsidR="00F111FB" w:rsidRPr="009A0658" w14:paraId="59281B77" w14:textId="77777777" w:rsidTr="00EC7988">
        <w:trPr>
          <w:trHeight w:val="278"/>
        </w:trPr>
        <w:tc>
          <w:tcPr>
            <w:tcW w:w="5000" w:type="pct"/>
            <w:gridSpan w:val="14"/>
            <w:tcBorders>
              <w:top w:val="nil"/>
              <w:left w:val="nil"/>
              <w:bottom w:val="nil"/>
              <w:right w:val="single" w:sz="8" w:space="0" w:color="000000"/>
            </w:tcBorders>
            <w:shd w:val="clear" w:color="000000" w:fill="BFBFBF"/>
            <w:noWrap/>
            <w:vAlign w:val="bottom"/>
            <w:hideMark/>
          </w:tcPr>
          <w:p w14:paraId="255C1897" w14:textId="77777777" w:rsidR="00F111FB" w:rsidRPr="009A0658" w:rsidRDefault="00F111FB" w:rsidP="00AB720F">
            <w:pPr>
              <w:spacing w:after="0" w:line="240" w:lineRule="auto"/>
              <w:rPr>
                <w:rFonts w:eastAsia="Times New Roman" w:cs="Times New Roman"/>
                <w:b/>
                <w:bCs/>
                <w:color w:val="000000"/>
                <w:lang w:eastAsia="en-AU"/>
              </w:rPr>
            </w:pPr>
            <w:r w:rsidRPr="009A0658">
              <w:rPr>
                <w:rFonts w:eastAsia="Times New Roman" w:cs="Times New Roman"/>
                <w:b/>
                <w:bCs/>
                <w:color w:val="000000"/>
                <w:lang w:eastAsia="en-AU"/>
              </w:rPr>
              <w:t>Year 3</w:t>
            </w:r>
          </w:p>
        </w:tc>
      </w:tr>
      <w:tr w:rsidR="00EC7988" w:rsidRPr="009A0658" w14:paraId="73F96058" w14:textId="77777777" w:rsidTr="00EC7988">
        <w:trPr>
          <w:trHeight w:val="278"/>
        </w:trPr>
        <w:tc>
          <w:tcPr>
            <w:tcW w:w="101" w:type="pct"/>
            <w:tcBorders>
              <w:top w:val="nil"/>
              <w:left w:val="nil"/>
              <w:bottom w:val="nil"/>
              <w:right w:val="nil"/>
            </w:tcBorders>
            <w:shd w:val="clear" w:color="auto" w:fill="auto"/>
            <w:noWrap/>
            <w:vAlign w:val="bottom"/>
            <w:hideMark/>
          </w:tcPr>
          <w:p w14:paraId="72B2906D"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475B8A87"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1DDE2A4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186</w:t>
            </w:r>
          </w:p>
        </w:tc>
        <w:tc>
          <w:tcPr>
            <w:tcW w:w="392" w:type="pct"/>
            <w:tcBorders>
              <w:top w:val="nil"/>
              <w:left w:val="nil"/>
              <w:bottom w:val="single" w:sz="4" w:space="0" w:color="auto"/>
              <w:right w:val="single" w:sz="4" w:space="0" w:color="auto"/>
            </w:tcBorders>
            <w:shd w:val="clear" w:color="000000" w:fill="EBF1DE"/>
            <w:noWrap/>
            <w:vAlign w:val="bottom"/>
            <w:hideMark/>
          </w:tcPr>
          <w:p w14:paraId="6F09637F"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439</w:t>
            </w:r>
          </w:p>
        </w:tc>
        <w:tc>
          <w:tcPr>
            <w:tcW w:w="408" w:type="pct"/>
            <w:tcBorders>
              <w:top w:val="nil"/>
              <w:left w:val="nil"/>
              <w:bottom w:val="single" w:sz="4" w:space="0" w:color="auto"/>
              <w:right w:val="single" w:sz="4" w:space="0" w:color="auto"/>
            </w:tcBorders>
            <w:shd w:val="clear" w:color="000000" w:fill="F2F2F2"/>
            <w:noWrap/>
            <w:vAlign w:val="bottom"/>
            <w:hideMark/>
          </w:tcPr>
          <w:p w14:paraId="563B00B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342</w:t>
            </w:r>
          </w:p>
        </w:tc>
        <w:tc>
          <w:tcPr>
            <w:tcW w:w="392" w:type="pct"/>
            <w:tcBorders>
              <w:top w:val="nil"/>
              <w:left w:val="nil"/>
              <w:bottom w:val="single" w:sz="4" w:space="0" w:color="auto"/>
              <w:right w:val="single" w:sz="4" w:space="0" w:color="auto"/>
            </w:tcBorders>
            <w:shd w:val="clear" w:color="000000" w:fill="EBF1DE"/>
            <w:noWrap/>
            <w:vAlign w:val="bottom"/>
            <w:hideMark/>
          </w:tcPr>
          <w:p w14:paraId="30963C07"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529</w:t>
            </w:r>
          </w:p>
        </w:tc>
        <w:tc>
          <w:tcPr>
            <w:tcW w:w="408" w:type="pct"/>
            <w:tcBorders>
              <w:top w:val="nil"/>
              <w:left w:val="nil"/>
              <w:bottom w:val="single" w:sz="4" w:space="0" w:color="auto"/>
              <w:right w:val="single" w:sz="4" w:space="0" w:color="auto"/>
            </w:tcBorders>
            <w:shd w:val="clear" w:color="000000" w:fill="F2F2F2"/>
            <w:noWrap/>
            <w:vAlign w:val="bottom"/>
            <w:hideMark/>
          </w:tcPr>
          <w:p w14:paraId="0E899517"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862</w:t>
            </w:r>
          </w:p>
        </w:tc>
        <w:tc>
          <w:tcPr>
            <w:tcW w:w="392" w:type="pct"/>
            <w:tcBorders>
              <w:top w:val="nil"/>
              <w:left w:val="nil"/>
              <w:bottom w:val="single" w:sz="4" w:space="0" w:color="auto"/>
              <w:right w:val="single" w:sz="4" w:space="0" w:color="auto"/>
            </w:tcBorders>
            <w:shd w:val="clear" w:color="000000" w:fill="EBF1DE"/>
            <w:noWrap/>
            <w:vAlign w:val="bottom"/>
            <w:hideMark/>
          </w:tcPr>
          <w:p w14:paraId="4F293DD7"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934</w:t>
            </w:r>
          </w:p>
        </w:tc>
        <w:tc>
          <w:tcPr>
            <w:tcW w:w="408" w:type="pct"/>
            <w:tcBorders>
              <w:top w:val="nil"/>
              <w:left w:val="nil"/>
              <w:bottom w:val="single" w:sz="4" w:space="0" w:color="auto"/>
              <w:right w:val="single" w:sz="4" w:space="0" w:color="auto"/>
            </w:tcBorders>
            <w:shd w:val="clear" w:color="000000" w:fill="F2F2F2"/>
            <w:noWrap/>
            <w:vAlign w:val="bottom"/>
            <w:hideMark/>
          </w:tcPr>
          <w:p w14:paraId="7C363A9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625</w:t>
            </w:r>
          </w:p>
        </w:tc>
        <w:tc>
          <w:tcPr>
            <w:tcW w:w="392" w:type="pct"/>
            <w:tcBorders>
              <w:top w:val="nil"/>
              <w:left w:val="nil"/>
              <w:bottom w:val="single" w:sz="4" w:space="0" w:color="auto"/>
              <w:right w:val="single" w:sz="4" w:space="0" w:color="auto"/>
            </w:tcBorders>
            <w:shd w:val="clear" w:color="000000" w:fill="EBF1DE"/>
            <w:noWrap/>
            <w:vAlign w:val="bottom"/>
            <w:hideMark/>
          </w:tcPr>
          <w:p w14:paraId="4771C83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350</w:t>
            </w:r>
          </w:p>
        </w:tc>
        <w:tc>
          <w:tcPr>
            <w:tcW w:w="408" w:type="pct"/>
            <w:tcBorders>
              <w:top w:val="nil"/>
              <w:left w:val="nil"/>
              <w:bottom w:val="single" w:sz="4" w:space="0" w:color="auto"/>
              <w:right w:val="single" w:sz="4" w:space="0" w:color="auto"/>
            </w:tcBorders>
            <w:shd w:val="clear" w:color="000000" w:fill="F2F2F2"/>
            <w:noWrap/>
            <w:vAlign w:val="bottom"/>
            <w:hideMark/>
          </w:tcPr>
          <w:p w14:paraId="731B6D8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328</w:t>
            </w:r>
          </w:p>
        </w:tc>
        <w:tc>
          <w:tcPr>
            <w:tcW w:w="392" w:type="pct"/>
            <w:tcBorders>
              <w:top w:val="nil"/>
              <w:left w:val="nil"/>
              <w:bottom w:val="single" w:sz="4" w:space="0" w:color="auto"/>
              <w:right w:val="single" w:sz="4" w:space="0" w:color="auto"/>
            </w:tcBorders>
            <w:shd w:val="clear" w:color="000000" w:fill="EBF1DE"/>
            <w:noWrap/>
            <w:vAlign w:val="bottom"/>
            <w:hideMark/>
          </w:tcPr>
          <w:p w14:paraId="7E44C12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137</w:t>
            </w:r>
          </w:p>
        </w:tc>
        <w:tc>
          <w:tcPr>
            <w:tcW w:w="408" w:type="pct"/>
            <w:tcBorders>
              <w:top w:val="nil"/>
              <w:left w:val="nil"/>
              <w:bottom w:val="single" w:sz="4" w:space="0" w:color="auto"/>
              <w:right w:val="single" w:sz="4" w:space="0" w:color="auto"/>
            </w:tcBorders>
            <w:shd w:val="clear" w:color="000000" w:fill="F2F2F2"/>
            <w:noWrap/>
            <w:vAlign w:val="bottom"/>
            <w:hideMark/>
          </w:tcPr>
          <w:p w14:paraId="2EB40151"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2343</w:t>
            </w:r>
          </w:p>
        </w:tc>
        <w:tc>
          <w:tcPr>
            <w:tcW w:w="392" w:type="pct"/>
            <w:tcBorders>
              <w:top w:val="nil"/>
              <w:left w:val="nil"/>
              <w:bottom w:val="single" w:sz="4" w:space="0" w:color="auto"/>
              <w:right w:val="single" w:sz="4" w:space="0" w:color="auto"/>
            </w:tcBorders>
            <w:shd w:val="clear" w:color="000000" w:fill="EBF1DE"/>
            <w:noWrap/>
            <w:vAlign w:val="bottom"/>
            <w:hideMark/>
          </w:tcPr>
          <w:p w14:paraId="4AA340CA"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2389</w:t>
            </w:r>
          </w:p>
        </w:tc>
      </w:tr>
      <w:tr w:rsidR="00EC7988" w:rsidRPr="009A0658" w14:paraId="0B234868" w14:textId="77777777" w:rsidTr="00EC7988">
        <w:trPr>
          <w:trHeight w:val="278"/>
        </w:trPr>
        <w:tc>
          <w:tcPr>
            <w:tcW w:w="101" w:type="pct"/>
            <w:tcBorders>
              <w:top w:val="nil"/>
              <w:left w:val="nil"/>
              <w:bottom w:val="nil"/>
              <w:right w:val="nil"/>
            </w:tcBorders>
            <w:shd w:val="clear" w:color="auto" w:fill="auto"/>
            <w:noWrap/>
            <w:vAlign w:val="bottom"/>
            <w:hideMark/>
          </w:tcPr>
          <w:p w14:paraId="40F1FD70"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1E949A11"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45E732A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8%</w:t>
            </w:r>
          </w:p>
        </w:tc>
        <w:tc>
          <w:tcPr>
            <w:tcW w:w="392" w:type="pct"/>
            <w:tcBorders>
              <w:top w:val="nil"/>
              <w:left w:val="nil"/>
              <w:bottom w:val="single" w:sz="4" w:space="0" w:color="auto"/>
              <w:right w:val="single" w:sz="4" w:space="0" w:color="auto"/>
            </w:tcBorders>
            <w:shd w:val="clear" w:color="000000" w:fill="EBF1DE"/>
            <w:noWrap/>
            <w:vAlign w:val="bottom"/>
            <w:hideMark/>
          </w:tcPr>
          <w:p w14:paraId="518E03A8"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18%</w:t>
            </w:r>
          </w:p>
        </w:tc>
        <w:tc>
          <w:tcPr>
            <w:tcW w:w="408" w:type="pct"/>
            <w:tcBorders>
              <w:top w:val="nil"/>
              <w:left w:val="nil"/>
              <w:bottom w:val="single" w:sz="4" w:space="0" w:color="auto"/>
              <w:right w:val="single" w:sz="4" w:space="0" w:color="auto"/>
            </w:tcBorders>
            <w:shd w:val="clear" w:color="000000" w:fill="F2F2F2"/>
            <w:noWrap/>
            <w:vAlign w:val="bottom"/>
            <w:hideMark/>
          </w:tcPr>
          <w:p w14:paraId="502F3493"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15%</w:t>
            </w:r>
          </w:p>
        </w:tc>
        <w:tc>
          <w:tcPr>
            <w:tcW w:w="392" w:type="pct"/>
            <w:tcBorders>
              <w:top w:val="nil"/>
              <w:left w:val="nil"/>
              <w:bottom w:val="single" w:sz="4" w:space="0" w:color="auto"/>
              <w:right w:val="single" w:sz="4" w:space="0" w:color="auto"/>
            </w:tcBorders>
            <w:shd w:val="clear" w:color="000000" w:fill="EBF1DE"/>
            <w:noWrap/>
            <w:vAlign w:val="bottom"/>
            <w:hideMark/>
          </w:tcPr>
          <w:p w14:paraId="3E00BE8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22%</w:t>
            </w:r>
          </w:p>
        </w:tc>
        <w:tc>
          <w:tcPr>
            <w:tcW w:w="408" w:type="pct"/>
            <w:tcBorders>
              <w:top w:val="nil"/>
              <w:left w:val="nil"/>
              <w:bottom w:val="single" w:sz="4" w:space="0" w:color="auto"/>
              <w:right w:val="single" w:sz="4" w:space="0" w:color="auto"/>
            </w:tcBorders>
            <w:shd w:val="clear" w:color="000000" w:fill="F2F2F2"/>
            <w:noWrap/>
            <w:vAlign w:val="bottom"/>
            <w:hideMark/>
          </w:tcPr>
          <w:p w14:paraId="3D98F8D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37%</w:t>
            </w:r>
          </w:p>
        </w:tc>
        <w:tc>
          <w:tcPr>
            <w:tcW w:w="392" w:type="pct"/>
            <w:tcBorders>
              <w:top w:val="nil"/>
              <w:left w:val="nil"/>
              <w:bottom w:val="single" w:sz="4" w:space="0" w:color="auto"/>
              <w:right w:val="single" w:sz="4" w:space="0" w:color="auto"/>
            </w:tcBorders>
            <w:shd w:val="clear" w:color="000000" w:fill="EBF1DE"/>
            <w:noWrap/>
            <w:vAlign w:val="bottom"/>
            <w:hideMark/>
          </w:tcPr>
          <w:p w14:paraId="308EF665"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39%</w:t>
            </w:r>
          </w:p>
        </w:tc>
        <w:tc>
          <w:tcPr>
            <w:tcW w:w="408" w:type="pct"/>
            <w:tcBorders>
              <w:top w:val="nil"/>
              <w:left w:val="nil"/>
              <w:bottom w:val="single" w:sz="4" w:space="0" w:color="auto"/>
              <w:right w:val="single" w:sz="4" w:space="0" w:color="auto"/>
            </w:tcBorders>
            <w:shd w:val="clear" w:color="000000" w:fill="F2F2F2"/>
            <w:noWrap/>
            <w:vAlign w:val="bottom"/>
            <w:hideMark/>
          </w:tcPr>
          <w:p w14:paraId="778F538F"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27%</w:t>
            </w:r>
          </w:p>
        </w:tc>
        <w:tc>
          <w:tcPr>
            <w:tcW w:w="392" w:type="pct"/>
            <w:tcBorders>
              <w:top w:val="nil"/>
              <w:left w:val="nil"/>
              <w:bottom w:val="single" w:sz="4" w:space="0" w:color="auto"/>
              <w:right w:val="single" w:sz="4" w:space="0" w:color="auto"/>
            </w:tcBorders>
            <w:shd w:val="clear" w:color="000000" w:fill="EBF1DE"/>
            <w:noWrap/>
            <w:vAlign w:val="bottom"/>
            <w:hideMark/>
          </w:tcPr>
          <w:p w14:paraId="5085911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15%</w:t>
            </w:r>
          </w:p>
        </w:tc>
        <w:tc>
          <w:tcPr>
            <w:tcW w:w="408" w:type="pct"/>
            <w:tcBorders>
              <w:top w:val="nil"/>
              <w:left w:val="nil"/>
              <w:bottom w:val="single" w:sz="4" w:space="0" w:color="auto"/>
              <w:right w:val="single" w:sz="4" w:space="0" w:color="auto"/>
            </w:tcBorders>
            <w:shd w:val="clear" w:color="000000" w:fill="F2F2F2"/>
            <w:noWrap/>
            <w:vAlign w:val="bottom"/>
            <w:hideMark/>
          </w:tcPr>
          <w:p w14:paraId="2F1C91E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14%</w:t>
            </w:r>
          </w:p>
        </w:tc>
        <w:tc>
          <w:tcPr>
            <w:tcW w:w="392" w:type="pct"/>
            <w:tcBorders>
              <w:top w:val="nil"/>
              <w:left w:val="nil"/>
              <w:bottom w:val="single" w:sz="4" w:space="0" w:color="auto"/>
              <w:right w:val="single" w:sz="4" w:space="0" w:color="auto"/>
            </w:tcBorders>
            <w:shd w:val="clear" w:color="000000" w:fill="EBF1DE"/>
            <w:noWrap/>
            <w:vAlign w:val="bottom"/>
            <w:hideMark/>
          </w:tcPr>
          <w:p w14:paraId="7615FD44"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w:t>
            </w:r>
          </w:p>
        </w:tc>
        <w:tc>
          <w:tcPr>
            <w:tcW w:w="408" w:type="pct"/>
            <w:tcBorders>
              <w:top w:val="nil"/>
              <w:left w:val="nil"/>
              <w:bottom w:val="single" w:sz="4" w:space="0" w:color="auto"/>
              <w:right w:val="single" w:sz="4" w:space="0" w:color="auto"/>
            </w:tcBorders>
            <w:shd w:val="clear" w:color="000000" w:fill="F2F2F2"/>
            <w:noWrap/>
            <w:vAlign w:val="bottom"/>
            <w:hideMark/>
          </w:tcPr>
          <w:p w14:paraId="44A21C4E"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c>
          <w:tcPr>
            <w:tcW w:w="392" w:type="pct"/>
            <w:tcBorders>
              <w:top w:val="nil"/>
              <w:left w:val="nil"/>
              <w:bottom w:val="single" w:sz="4" w:space="0" w:color="auto"/>
              <w:right w:val="single" w:sz="4" w:space="0" w:color="auto"/>
            </w:tcBorders>
            <w:shd w:val="clear" w:color="000000" w:fill="EBF1DE"/>
            <w:noWrap/>
            <w:vAlign w:val="bottom"/>
            <w:hideMark/>
          </w:tcPr>
          <w:p w14:paraId="1A24A6E4"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r>
      <w:tr w:rsidR="00F111FB" w:rsidRPr="009A0658" w14:paraId="297F091E" w14:textId="77777777" w:rsidTr="00EC7988">
        <w:trPr>
          <w:trHeight w:val="278"/>
        </w:trPr>
        <w:tc>
          <w:tcPr>
            <w:tcW w:w="5000" w:type="pct"/>
            <w:gridSpan w:val="14"/>
            <w:tcBorders>
              <w:top w:val="nil"/>
              <w:left w:val="nil"/>
              <w:bottom w:val="nil"/>
              <w:right w:val="single" w:sz="8" w:space="0" w:color="000000"/>
            </w:tcBorders>
            <w:shd w:val="clear" w:color="000000" w:fill="BFBFBF"/>
            <w:noWrap/>
            <w:vAlign w:val="bottom"/>
            <w:hideMark/>
          </w:tcPr>
          <w:p w14:paraId="639D6D82" w14:textId="77777777" w:rsidR="00F111FB" w:rsidRPr="009A0658" w:rsidRDefault="00F111FB" w:rsidP="00AB720F">
            <w:pPr>
              <w:spacing w:after="0" w:line="240" w:lineRule="auto"/>
              <w:rPr>
                <w:rFonts w:eastAsia="Times New Roman" w:cs="Times New Roman"/>
                <w:b/>
                <w:bCs/>
                <w:color w:val="000000"/>
                <w:lang w:eastAsia="en-AU"/>
              </w:rPr>
            </w:pPr>
            <w:r w:rsidRPr="009A0658">
              <w:rPr>
                <w:rFonts w:eastAsia="Times New Roman" w:cs="Times New Roman"/>
                <w:b/>
                <w:bCs/>
                <w:color w:val="000000"/>
                <w:lang w:eastAsia="en-AU"/>
              </w:rPr>
              <w:t>Year 4</w:t>
            </w:r>
          </w:p>
        </w:tc>
      </w:tr>
      <w:tr w:rsidR="00EC7988" w:rsidRPr="009A0658" w14:paraId="570BA3FF" w14:textId="77777777" w:rsidTr="00EC7988">
        <w:trPr>
          <w:trHeight w:val="278"/>
        </w:trPr>
        <w:tc>
          <w:tcPr>
            <w:tcW w:w="101" w:type="pct"/>
            <w:tcBorders>
              <w:top w:val="nil"/>
              <w:left w:val="nil"/>
              <w:bottom w:val="nil"/>
              <w:right w:val="nil"/>
            </w:tcBorders>
            <w:shd w:val="clear" w:color="auto" w:fill="auto"/>
            <w:noWrap/>
            <w:vAlign w:val="bottom"/>
            <w:hideMark/>
          </w:tcPr>
          <w:p w14:paraId="098D852A"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153A57C1"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7A45432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227</w:t>
            </w:r>
          </w:p>
        </w:tc>
        <w:tc>
          <w:tcPr>
            <w:tcW w:w="392" w:type="pct"/>
            <w:tcBorders>
              <w:top w:val="nil"/>
              <w:left w:val="nil"/>
              <w:bottom w:val="single" w:sz="4" w:space="0" w:color="auto"/>
              <w:right w:val="single" w:sz="4" w:space="0" w:color="auto"/>
            </w:tcBorders>
            <w:shd w:val="clear" w:color="000000" w:fill="EBF1DE"/>
            <w:noWrap/>
            <w:vAlign w:val="bottom"/>
            <w:hideMark/>
          </w:tcPr>
          <w:p w14:paraId="4E2D35C9"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446</w:t>
            </w:r>
          </w:p>
        </w:tc>
        <w:tc>
          <w:tcPr>
            <w:tcW w:w="408" w:type="pct"/>
            <w:tcBorders>
              <w:top w:val="nil"/>
              <w:left w:val="nil"/>
              <w:bottom w:val="single" w:sz="4" w:space="0" w:color="auto"/>
              <w:right w:val="single" w:sz="4" w:space="0" w:color="auto"/>
            </w:tcBorders>
            <w:shd w:val="clear" w:color="000000" w:fill="F2F2F2"/>
            <w:noWrap/>
            <w:vAlign w:val="bottom"/>
            <w:hideMark/>
          </w:tcPr>
          <w:p w14:paraId="37752FF8"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339</w:t>
            </w:r>
          </w:p>
        </w:tc>
        <w:tc>
          <w:tcPr>
            <w:tcW w:w="392" w:type="pct"/>
            <w:tcBorders>
              <w:top w:val="nil"/>
              <w:left w:val="nil"/>
              <w:bottom w:val="single" w:sz="4" w:space="0" w:color="auto"/>
              <w:right w:val="single" w:sz="4" w:space="0" w:color="auto"/>
            </w:tcBorders>
            <w:shd w:val="clear" w:color="000000" w:fill="EBF1DE"/>
            <w:noWrap/>
            <w:vAlign w:val="bottom"/>
            <w:hideMark/>
          </w:tcPr>
          <w:p w14:paraId="25BE0FA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620</w:t>
            </w:r>
          </w:p>
        </w:tc>
        <w:tc>
          <w:tcPr>
            <w:tcW w:w="408" w:type="pct"/>
            <w:tcBorders>
              <w:top w:val="nil"/>
              <w:left w:val="nil"/>
              <w:bottom w:val="single" w:sz="4" w:space="0" w:color="auto"/>
              <w:right w:val="single" w:sz="4" w:space="0" w:color="auto"/>
            </w:tcBorders>
            <w:shd w:val="clear" w:color="000000" w:fill="F2F2F2"/>
            <w:noWrap/>
            <w:vAlign w:val="bottom"/>
            <w:hideMark/>
          </w:tcPr>
          <w:p w14:paraId="076BCD0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824</w:t>
            </w:r>
          </w:p>
        </w:tc>
        <w:tc>
          <w:tcPr>
            <w:tcW w:w="392" w:type="pct"/>
            <w:tcBorders>
              <w:top w:val="nil"/>
              <w:left w:val="nil"/>
              <w:bottom w:val="single" w:sz="4" w:space="0" w:color="auto"/>
              <w:right w:val="single" w:sz="4" w:space="0" w:color="auto"/>
            </w:tcBorders>
            <w:shd w:val="clear" w:color="000000" w:fill="EBF1DE"/>
            <w:noWrap/>
            <w:vAlign w:val="bottom"/>
            <w:hideMark/>
          </w:tcPr>
          <w:p w14:paraId="4DA5E22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1086</w:t>
            </w:r>
          </w:p>
        </w:tc>
        <w:tc>
          <w:tcPr>
            <w:tcW w:w="408" w:type="pct"/>
            <w:tcBorders>
              <w:top w:val="nil"/>
              <w:left w:val="nil"/>
              <w:bottom w:val="single" w:sz="4" w:space="0" w:color="auto"/>
              <w:right w:val="single" w:sz="4" w:space="0" w:color="auto"/>
            </w:tcBorders>
            <w:shd w:val="clear" w:color="000000" w:fill="F2F2F2"/>
            <w:noWrap/>
            <w:vAlign w:val="bottom"/>
            <w:hideMark/>
          </w:tcPr>
          <w:p w14:paraId="6FE10299"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698</w:t>
            </w:r>
          </w:p>
        </w:tc>
        <w:tc>
          <w:tcPr>
            <w:tcW w:w="392" w:type="pct"/>
            <w:tcBorders>
              <w:top w:val="nil"/>
              <w:left w:val="nil"/>
              <w:bottom w:val="single" w:sz="4" w:space="0" w:color="auto"/>
              <w:right w:val="single" w:sz="4" w:space="0" w:color="auto"/>
            </w:tcBorders>
            <w:shd w:val="clear" w:color="000000" w:fill="EBF1DE"/>
            <w:noWrap/>
            <w:vAlign w:val="bottom"/>
            <w:hideMark/>
          </w:tcPr>
          <w:p w14:paraId="262D9607"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608</w:t>
            </w:r>
          </w:p>
        </w:tc>
        <w:tc>
          <w:tcPr>
            <w:tcW w:w="408" w:type="pct"/>
            <w:tcBorders>
              <w:top w:val="nil"/>
              <w:left w:val="nil"/>
              <w:bottom w:val="single" w:sz="4" w:space="0" w:color="auto"/>
              <w:right w:val="single" w:sz="4" w:space="0" w:color="auto"/>
            </w:tcBorders>
            <w:shd w:val="clear" w:color="000000" w:fill="F2F2F2"/>
            <w:noWrap/>
            <w:vAlign w:val="bottom"/>
            <w:hideMark/>
          </w:tcPr>
          <w:p w14:paraId="3DE15A7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819</w:t>
            </w:r>
          </w:p>
        </w:tc>
        <w:tc>
          <w:tcPr>
            <w:tcW w:w="392" w:type="pct"/>
            <w:tcBorders>
              <w:top w:val="nil"/>
              <w:left w:val="nil"/>
              <w:bottom w:val="single" w:sz="4" w:space="0" w:color="auto"/>
              <w:right w:val="single" w:sz="4" w:space="0" w:color="auto"/>
            </w:tcBorders>
            <w:shd w:val="clear" w:color="000000" w:fill="EBF1DE"/>
            <w:noWrap/>
            <w:vAlign w:val="bottom"/>
            <w:hideMark/>
          </w:tcPr>
          <w:p w14:paraId="09596659"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209</w:t>
            </w:r>
          </w:p>
        </w:tc>
        <w:tc>
          <w:tcPr>
            <w:tcW w:w="408" w:type="pct"/>
            <w:tcBorders>
              <w:top w:val="nil"/>
              <w:left w:val="nil"/>
              <w:bottom w:val="single" w:sz="4" w:space="0" w:color="auto"/>
              <w:right w:val="single" w:sz="4" w:space="0" w:color="auto"/>
            </w:tcBorders>
            <w:shd w:val="clear" w:color="000000" w:fill="F2F2F2"/>
            <w:noWrap/>
            <w:vAlign w:val="bottom"/>
            <w:hideMark/>
          </w:tcPr>
          <w:p w14:paraId="45B81E40"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2907</w:t>
            </w:r>
          </w:p>
        </w:tc>
        <w:tc>
          <w:tcPr>
            <w:tcW w:w="392" w:type="pct"/>
            <w:tcBorders>
              <w:top w:val="nil"/>
              <w:left w:val="nil"/>
              <w:bottom w:val="single" w:sz="4" w:space="0" w:color="auto"/>
              <w:right w:val="single" w:sz="4" w:space="0" w:color="auto"/>
            </w:tcBorders>
            <w:shd w:val="clear" w:color="000000" w:fill="EBF1DE"/>
            <w:noWrap/>
            <w:vAlign w:val="bottom"/>
            <w:hideMark/>
          </w:tcPr>
          <w:p w14:paraId="436D66C0"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2969</w:t>
            </w:r>
          </w:p>
        </w:tc>
      </w:tr>
      <w:tr w:rsidR="00EC7988" w:rsidRPr="009A0658" w14:paraId="0F6D1E48" w14:textId="77777777" w:rsidTr="00EC7988">
        <w:trPr>
          <w:trHeight w:val="278"/>
        </w:trPr>
        <w:tc>
          <w:tcPr>
            <w:tcW w:w="101" w:type="pct"/>
            <w:tcBorders>
              <w:top w:val="nil"/>
              <w:left w:val="nil"/>
              <w:bottom w:val="nil"/>
              <w:right w:val="nil"/>
            </w:tcBorders>
            <w:shd w:val="clear" w:color="auto" w:fill="auto"/>
            <w:noWrap/>
            <w:vAlign w:val="bottom"/>
            <w:hideMark/>
          </w:tcPr>
          <w:p w14:paraId="749F5C14"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209C616E"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2A527DA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8%</w:t>
            </w:r>
          </w:p>
        </w:tc>
        <w:tc>
          <w:tcPr>
            <w:tcW w:w="392" w:type="pct"/>
            <w:tcBorders>
              <w:top w:val="nil"/>
              <w:left w:val="nil"/>
              <w:bottom w:val="single" w:sz="4" w:space="0" w:color="auto"/>
              <w:right w:val="single" w:sz="4" w:space="0" w:color="auto"/>
            </w:tcBorders>
            <w:shd w:val="clear" w:color="000000" w:fill="EBF1DE"/>
            <w:noWrap/>
            <w:vAlign w:val="bottom"/>
            <w:hideMark/>
          </w:tcPr>
          <w:p w14:paraId="39ABF89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15%</w:t>
            </w:r>
          </w:p>
        </w:tc>
        <w:tc>
          <w:tcPr>
            <w:tcW w:w="408" w:type="pct"/>
            <w:tcBorders>
              <w:top w:val="nil"/>
              <w:left w:val="nil"/>
              <w:bottom w:val="single" w:sz="4" w:space="0" w:color="auto"/>
              <w:right w:val="single" w:sz="4" w:space="0" w:color="auto"/>
            </w:tcBorders>
            <w:shd w:val="clear" w:color="000000" w:fill="F2F2F2"/>
            <w:noWrap/>
            <w:vAlign w:val="bottom"/>
            <w:hideMark/>
          </w:tcPr>
          <w:p w14:paraId="156D83A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12%</w:t>
            </w:r>
          </w:p>
        </w:tc>
        <w:tc>
          <w:tcPr>
            <w:tcW w:w="392" w:type="pct"/>
            <w:tcBorders>
              <w:top w:val="nil"/>
              <w:left w:val="nil"/>
              <w:bottom w:val="single" w:sz="4" w:space="0" w:color="auto"/>
              <w:right w:val="single" w:sz="4" w:space="0" w:color="auto"/>
            </w:tcBorders>
            <w:shd w:val="clear" w:color="000000" w:fill="EBF1DE"/>
            <w:noWrap/>
            <w:vAlign w:val="bottom"/>
            <w:hideMark/>
          </w:tcPr>
          <w:p w14:paraId="2560E86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21%</w:t>
            </w:r>
          </w:p>
        </w:tc>
        <w:tc>
          <w:tcPr>
            <w:tcW w:w="408" w:type="pct"/>
            <w:tcBorders>
              <w:top w:val="nil"/>
              <w:left w:val="nil"/>
              <w:bottom w:val="single" w:sz="4" w:space="0" w:color="auto"/>
              <w:right w:val="single" w:sz="4" w:space="0" w:color="auto"/>
            </w:tcBorders>
            <w:shd w:val="clear" w:color="000000" w:fill="F2F2F2"/>
            <w:noWrap/>
            <w:vAlign w:val="bottom"/>
            <w:hideMark/>
          </w:tcPr>
          <w:p w14:paraId="11C1650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28%</w:t>
            </w:r>
          </w:p>
        </w:tc>
        <w:tc>
          <w:tcPr>
            <w:tcW w:w="392" w:type="pct"/>
            <w:tcBorders>
              <w:top w:val="nil"/>
              <w:left w:val="nil"/>
              <w:bottom w:val="single" w:sz="4" w:space="0" w:color="auto"/>
              <w:right w:val="single" w:sz="4" w:space="0" w:color="auto"/>
            </w:tcBorders>
            <w:shd w:val="clear" w:color="000000" w:fill="EBF1DE"/>
            <w:noWrap/>
            <w:vAlign w:val="bottom"/>
            <w:hideMark/>
          </w:tcPr>
          <w:p w14:paraId="434CB52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37%</w:t>
            </w:r>
          </w:p>
        </w:tc>
        <w:tc>
          <w:tcPr>
            <w:tcW w:w="408" w:type="pct"/>
            <w:tcBorders>
              <w:top w:val="nil"/>
              <w:left w:val="nil"/>
              <w:bottom w:val="single" w:sz="4" w:space="0" w:color="auto"/>
              <w:right w:val="single" w:sz="4" w:space="0" w:color="auto"/>
            </w:tcBorders>
            <w:shd w:val="clear" w:color="000000" w:fill="F2F2F2"/>
            <w:noWrap/>
            <w:vAlign w:val="bottom"/>
            <w:hideMark/>
          </w:tcPr>
          <w:p w14:paraId="70CF42B5"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24%</w:t>
            </w:r>
          </w:p>
        </w:tc>
        <w:tc>
          <w:tcPr>
            <w:tcW w:w="392" w:type="pct"/>
            <w:tcBorders>
              <w:top w:val="nil"/>
              <w:left w:val="nil"/>
              <w:bottom w:val="single" w:sz="4" w:space="0" w:color="auto"/>
              <w:right w:val="single" w:sz="4" w:space="0" w:color="auto"/>
            </w:tcBorders>
            <w:shd w:val="clear" w:color="000000" w:fill="EBF1DE"/>
            <w:noWrap/>
            <w:vAlign w:val="bottom"/>
            <w:hideMark/>
          </w:tcPr>
          <w:p w14:paraId="5A3EFEE8"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20%</w:t>
            </w:r>
          </w:p>
        </w:tc>
        <w:tc>
          <w:tcPr>
            <w:tcW w:w="408" w:type="pct"/>
            <w:tcBorders>
              <w:top w:val="nil"/>
              <w:left w:val="nil"/>
              <w:bottom w:val="single" w:sz="4" w:space="0" w:color="auto"/>
              <w:right w:val="single" w:sz="4" w:space="0" w:color="auto"/>
            </w:tcBorders>
            <w:shd w:val="clear" w:color="000000" w:fill="F2F2F2"/>
            <w:noWrap/>
            <w:vAlign w:val="bottom"/>
            <w:hideMark/>
          </w:tcPr>
          <w:p w14:paraId="3DC5EC83"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28%</w:t>
            </w:r>
          </w:p>
        </w:tc>
        <w:tc>
          <w:tcPr>
            <w:tcW w:w="392" w:type="pct"/>
            <w:tcBorders>
              <w:top w:val="nil"/>
              <w:left w:val="nil"/>
              <w:bottom w:val="single" w:sz="4" w:space="0" w:color="auto"/>
              <w:right w:val="single" w:sz="4" w:space="0" w:color="auto"/>
            </w:tcBorders>
            <w:shd w:val="clear" w:color="000000" w:fill="EBF1DE"/>
            <w:noWrap/>
            <w:vAlign w:val="bottom"/>
            <w:hideMark/>
          </w:tcPr>
          <w:p w14:paraId="6D0F3C7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7%</w:t>
            </w:r>
          </w:p>
        </w:tc>
        <w:tc>
          <w:tcPr>
            <w:tcW w:w="408" w:type="pct"/>
            <w:tcBorders>
              <w:top w:val="nil"/>
              <w:left w:val="nil"/>
              <w:bottom w:val="single" w:sz="4" w:space="0" w:color="auto"/>
              <w:right w:val="single" w:sz="4" w:space="0" w:color="auto"/>
            </w:tcBorders>
            <w:shd w:val="clear" w:color="000000" w:fill="F2F2F2"/>
            <w:noWrap/>
            <w:vAlign w:val="bottom"/>
            <w:hideMark/>
          </w:tcPr>
          <w:p w14:paraId="7C8EDFF7"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c>
          <w:tcPr>
            <w:tcW w:w="392" w:type="pct"/>
            <w:tcBorders>
              <w:top w:val="nil"/>
              <w:left w:val="nil"/>
              <w:bottom w:val="single" w:sz="4" w:space="0" w:color="auto"/>
              <w:right w:val="single" w:sz="4" w:space="0" w:color="auto"/>
            </w:tcBorders>
            <w:shd w:val="clear" w:color="000000" w:fill="EBF1DE"/>
            <w:noWrap/>
            <w:vAlign w:val="bottom"/>
            <w:hideMark/>
          </w:tcPr>
          <w:p w14:paraId="1032FEFE"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r>
      <w:tr w:rsidR="00F111FB" w:rsidRPr="009A0658" w14:paraId="00414AAB" w14:textId="77777777" w:rsidTr="00EC7988">
        <w:trPr>
          <w:trHeight w:val="278"/>
        </w:trPr>
        <w:tc>
          <w:tcPr>
            <w:tcW w:w="5000" w:type="pct"/>
            <w:gridSpan w:val="14"/>
            <w:tcBorders>
              <w:top w:val="nil"/>
              <w:left w:val="nil"/>
              <w:bottom w:val="nil"/>
              <w:right w:val="single" w:sz="8" w:space="0" w:color="000000"/>
            </w:tcBorders>
            <w:shd w:val="clear" w:color="000000" w:fill="BFBFBF"/>
            <w:noWrap/>
            <w:vAlign w:val="bottom"/>
            <w:hideMark/>
          </w:tcPr>
          <w:p w14:paraId="682F78FC" w14:textId="77777777" w:rsidR="00F111FB" w:rsidRPr="009A0658" w:rsidRDefault="00F111FB" w:rsidP="00AB720F">
            <w:pPr>
              <w:spacing w:after="0" w:line="240" w:lineRule="auto"/>
              <w:rPr>
                <w:rFonts w:eastAsia="Times New Roman" w:cs="Times New Roman"/>
                <w:b/>
                <w:bCs/>
                <w:color w:val="000000"/>
                <w:lang w:eastAsia="en-AU"/>
              </w:rPr>
            </w:pPr>
            <w:r w:rsidRPr="009A0658">
              <w:rPr>
                <w:rFonts w:eastAsia="Times New Roman" w:cs="Times New Roman"/>
                <w:b/>
                <w:bCs/>
                <w:color w:val="000000"/>
                <w:lang w:eastAsia="en-AU"/>
              </w:rPr>
              <w:t>Year 5</w:t>
            </w:r>
          </w:p>
        </w:tc>
      </w:tr>
      <w:tr w:rsidR="00EC7988" w:rsidRPr="009A0658" w14:paraId="14381C83" w14:textId="77777777" w:rsidTr="00EC7988">
        <w:trPr>
          <w:trHeight w:val="278"/>
        </w:trPr>
        <w:tc>
          <w:tcPr>
            <w:tcW w:w="101" w:type="pct"/>
            <w:tcBorders>
              <w:top w:val="nil"/>
              <w:left w:val="nil"/>
              <w:bottom w:val="nil"/>
              <w:right w:val="nil"/>
            </w:tcBorders>
            <w:shd w:val="clear" w:color="auto" w:fill="auto"/>
            <w:noWrap/>
            <w:vAlign w:val="bottom"/>
            <w:hideMark/>
          </w:tcPr>
          <w:p w14:paraId="63DA43E8"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476C078E"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166AA68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165</w:t>
            </w:r>
          </w:p>
        </w:tc>
        <w:tc>
          <w:tcPr>
            <w:tcW w:w="392" w:type="pct"/>
            <w:tcBorders>
              <w:top w:val="nil"/>
              <w:left w:val="nil"/>
              <w:bottom w:val="single" w:sz="4" w:space="0" w:color="auto"/>
              <w:right w:val="single" w:sz="4" w:space="0" w:color="auto"/>
            </w:tcBorders>
            <w:shd w:val="clear" w:color="000000" w:fill="EBF1DE"/>
            <w:noWrap/>
            <w:vAlign w:val="bottom"/>
            <w:hideMark/>
          </w:tcPr>
          <w:p w14:paraId="14828D7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302</w:t>
            </w:r>
          </w:p>
        </w:tc>
        <w:tc>
          <w:tcPr>
            <w:tcW w:w="408" w:type="pct"/>
            <w:tcBorders>
              <w:top w:val="nil"/>
              <w:left w:val="nil"/>
              <w:bottom w:val="single" w:sz="4" w:space="0" w:color="auto"/>
              <w:right w:val="single" w:sz="4" w:space="0" w:color="auto"/>
            </w:tcBorders>
            <w:shd w:val="clear" w:color="000000" w:fill="F2F2F2"/>
            <w:noWrap/>
            <w:vAlign w:val="bottom"/>
            <w:hideMark/>
          </w:tcPr>
          <w:p w14:paraId="6F7ABA17"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295</w:t>
            </w:r>
          </w:p>
        </w:tc>
        <w:tc>
          <w:tcPr>
            <w:tcW w:w="392" w:type="pct"/>
            <w:tcBorders>
              <w:top w:val="nil"/>
              <w:left w:val="nil"/>
              <w:bottom w:val="single" w:sz="4" w:space="0" w:color="auto"/>
              <w:right w:val="single" w:sz="4" w:space="0" w:color="auto"/>
            </w:tcBorders>
            <w:shd w:val="clear" w:color="000000" w:fill="EBF1DE"/>
            <w:noWrap/>
            <w:vAlign w:val="bottom"/>
            <w:hideMark/>
          </w:tcPr>
          <w:p w14:paraId="524201B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459</w:t>
            </w:r>
          </w:p>
        </w:tc>
        <w:tc>
          <w:tcPr>
            <w:tcW w:w="408" w:type="pct"/>
            <w:tcBorders>
              <w:top w:val="nil"/>
              <w:left w:val="nil"/>
              <w:bottom w:val="single" w:sz="4" w:space="0" w:color="auto"/>
              <w:right w:val="single" w:sz="4" w:space="0" w:color="auto"/>
            </w:tcBorders>
            <w:shd w:val="clear" w:color="000000" w:fill="F2F2F2"/>
            <w:noWrap/>
            <w:vAlign w:val="bottom"/>
            <w:hideMark/>
          </w:tcPr>
          <w:p w14:paraId="4948789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840</w:t>
            </w:r>
          </w:p>
        </w:tc>
        <w:tc>
          <w:tcPr>
            <w:tcW w:w="392" w:type="pct"/>
            <w:tcBorders>
              <w:top w:val="nil"/>
              <w:left w:val="nil"/>
              <w:bottom w:val="single" w:sz="4" w:space="0" w:color="auto"/>
              <w:right w:val="single" w:sz="4" w:space="0" w:color="auto"/>
            </w:tcBorders>
            <w:shd w:val="clear" w:color="000000" w:fill="EBF1DE"/>
            <w:noWrap/>
            <w:vAlign w:val="bottom"/>
            <w:hideMark/>
          </w:tcPr>
          <w:p w14:paraId="7C47DC2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977</w:t>
            </w:r>
          </w:p>
        </w:tc>
        <w:tc>
          <w:tcPr>
            <w:tcW w:w="408" w:type="pct"/>
            <w:tcBorders>
              <w:top w:val="nil"/>
              <w:left w:val="nil"/>
              <w:bottom w:val="single" w:sz="4" w:space="0" w:color="auto"/>
              <w:right w:val="single" w:sz="4" w:space="0" w:color="auto"/>
            </w:tcBorders>
            <w:shd w:val="clear" w:color="000000" w:fill="F2F2F2"/>
            <w:noWrap/>
            <w:vAlign w:val="bottom"/>
            <w:hideMark/>
          </w:tcPr>
          <w:p w14:paraId="6BD68C94"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462</w:t>
            </w:r>
          </w:p>
        </w:tc>
        <w:tc>
          <w:tcPr>
            <w:tcW w:w="392" w:type="pct"/>
            <w:tcBorders>
              <w:top w:val="nil"/>
              <w:left w:val="nil"/>
              <w:bottom w:val="single" w:sz="4" w:space="0" w:color="auto"/>
              <w:right w:val="single" w:sz="4" w:space="0" w:color="auto"/>
            </w:tcBorders>
            <w:shd w:val="clear" w:color="000000" w:fill="EBF1DE"/>
            <w:noWrap/>
            <w:vAlign w:val="bottom"/>
            <w:hideMark/>
          </w:tcPr>
          <w:p w14:paraId="20DBE8B4"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433</w:t>
            </w:r>
          </w:p>
        </w:tc>
        <w:tc>
          <w:tcPr>
            <w:tcW w:w="408" w:type="pct"/>
            <w:tcBorders>
              <w:top w:val="nil"/>
              <w:left w:val="nil"/>
              <w:bottom w:val="single" w:sz="4" w:space="0" w:color="auto"/>
              <w:right w:val="single" w:sz="4" w:space="0" w:color="auto"/>
            </w:tcBorders>
            <w:shd w:val="clear" w:color="000000" w:fill="F2F2F2"/>
            <w:noWrap/>
            <w:vAlign w:val="bottom"/>
            <w:hideMark/>
          </w:tcPr>
          <w:p w14:paraId="2F7AFA43"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596</w:t>
            </w:r>
          </w:p>
        </w:tc>
        <w:tc>
          <w:tcPr>
            <w:tcW w:w="392" w:type="pct"/>
            <w:tcBorders>
              <w:top w:val="nil"/>
              <w:left w:val="nil"/>
              <w:bottom w:val="single" w:sz="4" w:space="0" w:color="auto"/>
              <w:right w:val="single" w:sz="4" w:space="0" w:color="auto"/>
            </w:tcBorders>
            <w:shd w:val="clear" w:color="000000" w:fill="EBF1DE"/>
            <w:noWrap/>
            <w:vAlign w:val="bottom"/>
            <w:hideMark/>
          </w:tcPr>
          <w:p w14:paraId="1BDFB103"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129</w:t>
            </w:r>
          </w:p>
        </w:tc>
        <w:tc>
          <w:tcPr>
            <w:tcW w:w="408" w:type="pct"/>
            <w:tcBorders>
              <w:top w:val="nil"/>
              <w:left w:val="nil"/>
              <w:bottom w:val="single" w:sz="4" w:space="0" w:color="auto"/>
              <w:right w:val="single" w:sz="4" w:space="0" w:color="auto"/>
            </w:tcBorders>
            <w:shd w:val="clear" w:color="000000" w:fill="F2F2F2"/>
            <w:noWrap/>
            <w:vAlign w:val="bottom"/>
            <w:hideMark/>
          </w:tcPr>
          <w:p w14:paraId="6F967D4E"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2358</w:t>
            </w:r>
          </w:p>
        </w:tc>
        <w:tc>
          <w:tcPr>
            <w:tcW w:w="392" w:type="pct"/>
            <w:tcBorders>
              <w:top w:val="nil"/>
              <w:left w:val="nil"/>
              <w:bottom w:val="single" w:sz="4" w:space="0" w:color="auto"/>
              <w:right w:val="single" w:sz="4" w:space="0" w:color="auto"/>
            </w:tcBorders>
            <w:shd w:val="clear" w:color="000000" w:fill="EBF1DE"/>
            <w:noWrap/>
            <w:vAlign w:val="bottom"/>
            <w:hideMark/>
          </w:tcPr>
          <w:p w14:paraId="7B520288"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2300</w:t>
            </w:r>
          </w:p>
        </w:tc>
      </w:tr>
      <w:tr w:rsidR="00EC7988" w:rsidRPr="009A0658" w14:paraId="199E4119" w14:textId="77777777" w:rsidTr="00EC7988">
        <w:trPr>
          <w:trHeight w:val="278"/>
        </w:trPr>
        <w:tc>
          <w:tcPr>
            <w:tcW w:w="101" w:type="pct"/>
            <w:tcBorders>
              <w:top w:val="nil"/>
              <w:left w:val="nil"/>
              <w:bottom w:val="nil"/>
              <w:right w:val="nil"/>
            </w:tcBorders>
            <w:shd w:val="clear" w:color="auto" w:fill="auto"/>
            <w:noWrap/>
            <w:vAlign w:val="bottom"/>
            <w:hideMark/>
          </w:tcPr>
          <w:p w14:paraId="47AA7FDE"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72F83CEA"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3845D1F9"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7%</w:t>
            </w:r>
          </w:p>
        </w:tc>
        <w:tc>
          <w:tcPr>
            <w:tcW w:w="392" w:type="pct"/>
            <w:tcBorders>
              <w:top w:val="nil"/>
              <w:left w:val="nil"/>
              <w:bottom w:val="single" w:sz="4" w:space="0" w:color="auto"/>
              <w:right w:val="single" w:sz="4" w:space="0" w:color="auto"/>
            </w:tcBorders>
            <w:shd w:val="clear" w:color="000000" w:fill="EBF1DE"/>
            <w:noWrap/>
            <w:vAlign w:val="bottom"/>
            <w:hideMark/>
          </w:tcPr>
          <w:p w14:paraId="699505C3"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13%</w:t>
            </w:r>
          </w:p>
        </w:tc>
        <w:tc>
          <w:tcPr>
            <w:tcW w:w="408" w:type="pct"/>
            <w:tcBorders>
              <w:top w:val="nil"/>
              <w:left w:val="nil"/>
              <w:bottom w:val="single" w:sz="4" w:space="0" w:color="auto"/>
              <w:right w:val="single" w:sz="4" w:space="0" w:color="auto"/>
            </w:tcBorders>
            <w:shd w:val="clear" w:color="000000" w:fill="F2F2F2"/>
            <w:noWrap/>
            <w:vAlign w:val="bottom"/>
            <w:hideMark/>
          </w:tcPr>
          <w:p w14:paraId="150AEE8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13%</w:t>
            </w:r>
          </w:p>
        </w:tc>
        <w:tc>
          <w:tcPr>
            <w:tcW w:w="392" w:type="pct"/>
            <w:tcBorders>
              <w:top w:val="nil"/>
              <w:left w:val="nil"/>
              <w:bottom w:val="single" w:sz="4" w:space="0" w:color="auto"/>
              <w:right w:val="single" w:sz="4" w:space="0" w:color="auto"/>
            </w:tcBorders>
            <w:shd w:val="clear" w:color="000000" w:fill="EBF1DE"/>
            <w:noWrap/>
            <w:vAlign w:val="bottom"/>
            <w:hideMark/>
          </w:tcPr>
          <w:p w14:paraId="5F6E292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20%</w:t>
            </w:r>
          </w:p>
        </w:tc>
        <w:tc>
          <w:tcPr>
            <w:tcW w:w="408" w:type="pct"/>
            <w:tcBorders>
              <w:top w:val="nil"/>
              <w:left w:val="nil"/>
              <w:bottom w:val="single" w:sz="4" w:space="0" w:color="auto"/>
              <w:right w:val="single" w:sz="4" w:space="0" w:color="auto"/>
            </w:tcBorders>
            <w:shd w:val="clear" w:color="000000" w:fill="F2F2F2"/>
            <w:noWrap/>
            <w:vAlign w:val="bottom"/>
            <w:hideMark/>
          </w:tcPr>
          <w:p w14:paraId="202CC0A4"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36%</w:t>
            </w:r>
          </w:p>
        </w:tc>
        <w:tc>
          <w:tcPr>
            <w:tcW w:w="392" w:type="pct"/>
            <w:tcBorders>
              <w:top w:val="nil"/>
              <w:left w:val="nil"/>
              <w:bottom w:val="single" w:sz="4" w:space="0" w:color="auto"/>
              <w:right w:val="single" w:sz="4" w:space="0" w:color="auto"/>
            </w:tcBorders>
            <w:shd w:val="clear" w:color="000000" w:fill="EBF1DE"/>
            <w:noWrap/>
            <w:vAlign w:val="bottom"/>
            <w:hideMark/>
          </w:tcPr>
          <w:p w14:paraId="6FE70B6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42%</w:t>
            </w:r>
          </w:p>
        </w:tc>
        <w:tc>
          <w:tcPr>
            <w:tcW w:w="408" w:type="pct"/>
            <w:tcBorders>
              <w:top w:val="nil"/>
              <w:left w:val="nil"/>
              <w:bottom w:val="single" w:sz="4" w:space="0" w:color="auto"/>
              <w:right w:val="single" w:sz="4" w:space="0" w:color="auto"/>
            </w:tcBorders>
            <w:shd w:val="clear" w:color="000000" w:fill="F2F2F2"/>
            <w:noWrap/>
            <w:vAlign w:val="bottom"/>
            <w:hideMark/>
          </w:tcPr>
          <w:p w14:paraId="0DAD2E43"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20%</w:t>
            </w:r>
          </w:p>
        </w:tc>
        <w:tc>
          <w:tcPr>
            <w:tcW w:w="392" w:type="pct"/>
            <w:tcBorders>
              <w:top w:val="nil"/>
              <w:left w:val="nil"/>
              <w:bottom w:val="single" w:sz="4" w:space="0" w:color="auto"/>
              <w:right w:val="single" w:sz="4" w:space="0" w:color="auto"/>
            </w:tcBorders>
            <w:shd w:val="clear" w:color="000000" w:fill="EBF1DE"/>
            <w:noWrap/>
            <w:vAlign w:val="bottom"/>
            <w:hideMark/>
          </w:tcPr>
          <w:p w14:paraId="47D46A8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19%</w:t>
            </w:r>
          </w:p>
        </w:tc>
        <w:tc>
          <w:tcPr>
            <w:tcW w:w="408" w:type="pct"/>
            <w:tcBorders>
              <w:top w:val="nil"/>
              <w:left w:val="nil"/>
              <w:bottom w:val="single" w:sz="4" w:space="0" w:color="auto"/>
              <w:right w:val="single" w:sz="4" w:space="0" w:color="auto"/>
            </w:tcBorders>
            <w:shd w:val="clear" w:color="000000" w:fill="F2F2F2"/>
            <w:noWrap/>
            <w:vAlign w:val="bottom"/>
            <w:hideMark/>
          </w:tcPr>
          <w:p w14:paraId="3B077AA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25%</w:t>
            </w:r>
          </w:p>
        </w:tc>
        <w:tc>
          <w:tcPr>
            <w:tcW w:w="392" w:type="pct"/>
            <w:tcBorders>
              <w:top w:val="nil"/>
              <w:left w:val="nil"/>
              <w:bottom w:val="single" w:sz="4" w:space="0" w:color="auto"/>
              <w:right w:val="single" w:sz="4" w:space="0" w:color="auto"/>
            </w:tcBorders>
            <w:shd w:val="clear" w:color="000000" w:fill="EBF1DE"/>
            <w:noWrap/>
            <w:vAlign w:val="bottom"/>
            <w:hideMark/>
          </w:tcPr>
          <w:p w14:paraId="28F87E88"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w:t>
            </w:r>
          </w:p>
        </w:tc>
        <w:tc>
          <w:tcPr>
            <w:tcW w:w="408" w:type="pct"/>
            <w:tcBorders>
              <w:top w:val="nil"/>
              <w:left w:val="nil"/>
              <w:bottom w:val="single" w:sz="4" w:space="0" w:color="auto"/>
              <w:right w:val="single" w:sz="4" w:space="0" w:color="auto"/>
            </w:tcBorders>
            <w:shd w:val="clear" w:color="000000" w:fill="F2F2F2"/>
            <w:noWrap/>
            <w:vAlign w:val="bottom"/>
            <w:hideMark/>
          </w:tcPr>
          <w:p w14:paraId="601AED8A"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c>
          <w:tcPr>
            <w:tcW w:w="392" w:type="pct"/>
            <w:tcBorders>
              <w:top w:val="nil"/>
              <w:left w:val="nil"/>
              <w:bottom w:val="single" w:sz="4" w:space="0" w:color="auto"/>
              <w:right w:val="single" w:sz="4" w:space="0" w:color="auto"/>
            </w:tcBorders>
            <w:shd w:val="clear" w:color="000000" w:fill="EBF1DE"/>
            <w:noWrap/>
            <w:vAlign w:val="bottom"/>
            <w:hideMark/>
          </w:tcPr>
          <w:p w14:paraId="0417A193"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r>
      <w:tr w:rsidR="00F111FB" w:rsidRPr="009A0658" w14:paraId="54036A16" w14:textId="77777777" w:rsidTr="00EC7988">
        <w:trPr>
          <w:trHeight w:val="278"/>
        </w:trPr>
        <w:tc>
          <w:tcPr>
            <w:tcW w:w="5000" w:type="pct"/>
            <w:gridSpan w:val="14"/>
            <w:tcBorders>
              <w:top w:val="nil"/>
              <w:left w:val="nil"/>
              <w:bottom w:val="nil"/>
              <w:right w:val="single" w:sz="8" w:space="0" w:color="000000"/>
            </w:tcBorders>
            <w:shd w:val="clear" w:color="000000" w:fill="BFBFBF"/>
            <w:noWrap/>
            <w:vAlign w:val="bottom"/>
            <w:hideMark/>
          </w:tcPr>
          <w:p w14:paraId="67341480" w14:textId="77777777" w:rsidR="00F111FB" w:rsidRPr="009A0658" w:rsidRDefault="00F111FB" w:rsidP="00AB720F">
            <w:pPr>
              <w:spacing w:after="0" w:line="240" w:lineRule="auto"/>
              <w:rPr>
                <w:rFonts w:eastAsia="Times New Roman" w:cs="Times New Roman"/>
                <w:b/>
                <w:bCs/>
                <w:color w:val="000000"/>
                <w:lang w:eastAsia="en-AU"/>
              </w:rPr>
            </w:pPr>
            <w:r w:rsidRPr="009A0658">
              <w:rPr>
                <w:rFonts w:eastAsia="Times New Roman" w:cs="Times New Roman"/>
                <w:b/>
                <w:bCs/>
                <w:color w:val="000000"/>
                <w:lang w:eastAsia="en-AU"/>
              </w:rPr>
              <w:t>Year 6</w:t>
            </w:r>
          </w:p>
        </w:tc>
      </w:tr>
      <w:tr w:rsidR="00EC7988" w:rsidRPr="009A0658" w14:paraId="7E37D73E" w14:textId="77777777" w:rsidTr="00EC7988">
        <w:trPr>
          <w:trHeight w:val="278"/>
        </w:trPr>
        <w:tc>
          <w:tcPr>
            <w:tcW w:w="101" w:type="pct"/>
            <w:tcBorders>
              <w:top w:val="nil"/>
              <w:left w:val="nil"/>
              <w:bottom w:val="nil"/>
              <w:right w:val="nil"/>
            </w:tcBorders>
            <w:shd w:val="clear" w:color="auto" w:fill="auto"/>
            <w:noWrap/>
            <w:vAlign w:val="bottom"/>
            <w:hideMark/>
          </w:tcPr>
          <w:p w14:paraId="2209A3F0"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66E2EEC6"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2AEF11C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151</w:t>
            </w:r>
          </w:p>
        </w:tc>
        <w:tc>
          <w:tcPr>
            <w:tcW w:w="392" w:type="pct"/>
            <w:tcBorders>
              <w:top w:val="nil"/>
              <w:left w:val="nil"/>
              <w:bottom w:val="single" w:sz="4" w:space="0" w:color="auto"/>
              <w:right w:val="single" w:sz="4" w:space="0" w:color="auto"/>
            </w:tcBorders>
            <w:shd w:val="clear" w:color="000000" w:fill="EBF1DE"/>
            <w:noWrap/>
            <w:vAlign w:val="bottom"/>
            <w:hideMark/>
          </w:tcPr>
          <w:p w14:paraId="308AA038"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322</w:t>
            </w:r>
          </w:p>
        </w:tc>
        <w:tc>
          <w:tcPr>
            <w:tcW w:w="408" w:type="pct"/>
            <w:tcBorders>
              <w:top w:val="nil"/>
              <w:left w:val="nil"/>
              <w:bottom w:val="single" w:sz="4" w:space="0" w:color="auto"/>
              <w:right w:val="single" w:sz="4" w:space="0" w:color="auto"/>
            </w:tcBorders>
            <w:shd w:val="clear" w:color="000000" w:fill="F2F2F2"/>
            <w:noWrap/>
            <w:vAlign w:val="bottom"/>
            <w:hideMark/>
          </w:tcPr>
          <w:p w14:paraId="51314767"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395</w:t>
            </w:r>
          </w:p>
        </w:tc>
        <w:tc>
          <w:tcPr>
            <w:tcW w:w="392" w:type="pct"/>
            <w:tcBorders>
              <w:top w:val="nil"/>
              <w:left w:val="nil"/>
              <w:bottom w:val="single" w:sz="4" w:space="0" w:color="auto"/>
              <w:right w:val="single" w:sz="4" w:space="0" w:color="auto"/>
            </w:tcBorders>
            <w:shd w:val="clear" w:color="000000" w:fill="EBF1DE"/>
            <w:noWrap/>
            <w:vAlign w:val="bottom"/>
            <w:hideMark/>
          </w:tcPr>
          <w:p w14:paraId="6A8D2A0F"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520</w:t>
            </w:r>
          </w:p>
        </w:tc>
        <w:tc>
          <w:tcPr>
            <w:tcW w:w="408" w:type="pct"/>
            <w:tcBorders>
              <w:top w:val="nil"/>
              <w:left w:val="nil"/>
              <w:bottom w:val="single" w:sz="4" w:space="0" w:color="auto"/>
              <w:right w:val="single" w:sz="4" w:space="0" w:color="auto"/>
            </w:tcBorders>
            <w:shd w:val="clear" w:color="000000" w:fill="F2F2F2"/>
            <w:noWrap/>
            <w:vAlign w:val="bottom"/>
            <w:hideMark/>
          </w:tcPr>
          <w:p w14:paraId="44937404"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751</w:t>
            </w:r>
          </w:p>
        </w:tc>
        <w:tc>
          <w:tcPr>
            <w:tcW w:w="392" w:type="pct"/>
            <w:tcBorders>
              <w:top w:val="nil"/>
              <w:left w:val="nil"/>
              <w:bottom w:val="single" w:sz="4" w:space="0" w:color="auto"/>
              <w:right w:val="single" w:sz="4" w:space="0" w:color="auto"/>
            </w:tcBorders>
            <w:shd w:val="clear" w:color="000000" w:fill="EBF1DE"/>
            <w:noWrap/>
            <w:vAlign w:val="bottom"/>
            <w:hideMark/>
          </w:tcPr>
          <w:p w14:paraId="67D68CE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1025</w:t>
            </w:r>
          </w:p>
        </w:tc>
        <w:tc>
          <w:tcPr>
            <w:tcW w:w="408" w:type="pct"/>
            <w:tcBorders>
              <w:top w:val="nil"/>
              <w:left w:val="nil"/>
              <w:bottom w:val="single" w:sz="4" w:space="0" w:color="auto"/>
              <w:right w:val="single" w:sz="4" w:space="0" w:color="auto"/>
            </w:tcBorders>
            <w:shd w:val="clear" w:color="000000" w:fill="F2F2F2"/>
            <w:noWrap/>
            <w:vAlign w:val="bottom"/>
            <w:hideMark/>
          </w:tcPr>
          <w:p w14:paraId="2CE75BE5"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585</w:t>
            </w:r>
          </w:p>
        </w:tc>
        <w:tc>
          <w:tcPr>
            <w:tcW w:w="392" w:type="pct"/>
            <w:tcBorders>
              <w:top w:val="nil"/>
              <w:left w:val="nil"/>
              <w:bottom w:val="single" w:sz="4" w:space="0" w:color="auto"/>
              <w:right w:val="single" w:sz="4" w:space="0" w:color="auto"/>
            </w:tcBorders>
            <w:shd w:val="clear" w:color="000000" w:fill="EBF1DE"/>
            <w:noWrap/>
            <w:vAlign w:val="bottom"/>
            <w:hideMark/>
          </w:tcPr>
          <w:p w14:paraId="42BD36F5"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467</w:t>
            </w:r>
          </w:p>
        </w:tc>
        <w:tc>
          <w:tcPr>
            <w:tcW w:w="408" w:type="pct"/>
            <w:tcBorders>
              <w:top w:val="nil"/>
              <w:left w:val="nil"/>
              <w:bottom w:val="single" w:sz="4" w:space="0" w:color="auto"/>
              <w:right w:val="single" w:sz="4" w:space="0" w:color="auto"/>
            </w:tcBorders>
            <w:shd w:val="clear" w:color="000000" w:fill="F2F2F2"/>
            <w:noWrap/>
            <w:vAlign w:val="bottom"/>
            <w:hideMark/>
          </w:tcPr>
          <w:p w14:paraId="6FF23BE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673</w:t>
            </w:r>
          </w:p>
        </w:tc>
        <w:tc>
          <w:tcPr>
            <w:tcW w:w="392" w:type="pct"/>
            <w:tcBorders>
              <w:top w:val="nil"/>
              <w:left w:val="nil"/>
              <w:bottom w:val="single" w:sz="4" w:space="0" w:color="auto"/>
              <w:right w:val="single" w:sz="4" w:space="0" w:color="auto"/>
            </w:tcBorders>
            <w:shd w:val="clear" w:color="000000" w:fill="EBF1DE"/>
            <w:noWrap/>
            <w:vAlign w:val="bottom"/>
            <w:hideMark/>
          </w:tcPr>
          <w:p w14:paraId="3AF00FA3"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170</w:t>
            </w:r>
          </w:p>
        </w:tc>
        <w:tc>
          <w:tcPr>
            <w:tcW w:w="408" w:type="pct"/>
            <w:tcBorders>
              <w:top w:val="nil"/>
              <w:left w:val="nil"/>
              <w:bottom w:val="single" w:sz="4" w:space="0" w:color="auto"/>
              <w:right w:val="single" w:sz="4" w:space="0" w:color="auto"/>
            </w:tcBorders>
            <w:shd w:val="clear" w:color="000000" w:fill="F2F2F2"/>
            <w:noWrap/>
            <w:vAlign w:val="bottom"/>
            <w:hideMark/>
          </w:tcPr>
          <w:p w14:paraId="2694C572"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2555</w:t>
            </w:r>
          </w:p>
        </w:tc>
        <w:tc>
          <w:tcPr>
            <w:tcW w:w="392" w:type="pct"/>
            <w:tcBorders>
              <w:top w:val="nil"/>
              <w:left w:val="nil"/>
              <w:bottom w:val="single" w:sz="4" w:space="0" w:color="auto"/>
              <w:right w:val="single" w:sz="4" w:space="0" w:color="auto"/>
            </w:tcBorders>
            <w:shd w:val="clear" w:color="000000" w:fill="EBF1DE"/>
            <w:noWrap/>
            <w:vAlign w:val="bottom"/>
            <w:hideMark/>
          </w:tcPr>
          <w:p w14:paraId="3467691A"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2504</w:t>
            </w:r>
          </w:p>
        </w:tc>
      </w:tr>
      <w:tr w:rsidR="00EC7988" w:rsidRPr="009A0658" w14:paraId="6CABBBA5" w14:textId="77777777" w:rsidTr="00EC7988">
        <w:trPr>
          <w:trHeight w:val="278"/>
        </w:trPr>
        <w:tc>
          <w:tcPr>
            <w:tcW w:w="101" w:type="pct"/>
            <w:tcBorders>
              <w:top w:val="nil"/>
              <w:left w:val="nil"/>
              <w:bottom w:val="nil"/>
              <w:right w:val="nil"/>
            </w:tcBorders>
            <w:shd w:val="clear" w:color="auto" w:fill="auto"/>
            <w:noWrap/>
            <w:vAlign w:val="bottom"/>
            <w:hideMark/>
          </w:tcPr>
          <w:p w14:paraId="3F496CB2"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7EDBB636"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4DEA35B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w:t>
            </w:r>
          </w:p>
        </w:tc>
        <w:tc>
          <w:tcPr>
            <w:tcW w:w="392" w:type="pct"/>
            <w:tcBorders>
              <w:top w:val="nil"/>
              <w:left w:val="nil"/>
              <w:bottom w:val="single" w:sz="4" w:space="0" w:color="auto"/>
              <w:right w:val="single" w:sz="4" w:space="0" w:color="auto"/>
            </w:tcBorders>
            <w:shd w:val="clear" w:color="000000" w:fill="EBF1DE"/>
            <w:noWrap/>
            <w:vAlign w:val="bottom"/>
            <w:hideMark/>
          </w:tcPr>
          <w:p w14:paraId="2D1CAB3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13%</w:t>
            </w:r>
          </w:p>
        </w:tc>
        <w:tc>
          <w:tcPr>
            <w:tcW w:w="408" w:type="pct"/>
            <w:tcBorders>
              <w:top w:val="nil"/>
              <w:left w:val="nil"/>
              <w:bottom w:val="single" w:sz="4" w:space="0" w:color="auto"/>
              <w:right w:val="single" w:sz="4" w:space="0" w:color="auto"/>
            </w:tcBorders>
            <w:shd w:val="clear" w:color="000000" w:fill="F2F2F2"/>
            <w:noWrap/>
            <w:vAlign w:val="bottom"/>
            <w:hideMark/>
          </w:tcPr>
          <w:p w14:paraId="3FE22E9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15%</w:t>
            </w:r>
          </w:p>
        </w:tc>
        <w:tc>
          <w:tcPr>
            <w:tcW w:w="392" w:type="pct"/>
            <w:tcBorders>
              <w:top w:val="nil"/>
              <w:left w:val="nil"/>
              <w:bottom w:val="single" w:sz="4" w:space="0" w:color="auto"/>
              <w:right w:val="single" w:sz="4" w:space="0" w:color="auto"/>
            </w:tcBorders>
            <w:shd w:val="clear" w:color="000000" w:fill="EBF1DE"/>
            <w:noWrap/>
            <w:vAlign w:val="bottom"/>
            <w:hideMark/>
          </w:tcPr>
          <w:p w14:paraId="6322DC47"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21%</w:t>
            </w:r>
          </w:p>
        </w:tc>
        <w:tc>
          <w:tcPr>
            <w:tcW w:w="408" w:type="pct"/>
            <w:tcBorders>
              <w:top w:val="nil"/>
              <w:left w:val="nil"/>
              <w:bottom w:val="single" w:sz="4" w:space="0" w:color="auto"/>
              <w:right w:val="single" w:sz="4" w:space="0" w:color="auto"/>
            </w:tcBorders>
            <w:shd w:val="clear" w:color="000000" w:fill="F2F2F2"/>
            <w:noWrap/>
            <w:vAlign w:val="bottom"/>
            <w:hideMark/>
          </w:tcPr>
          <w:p w14:paraId="4B69862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29%</w:t>
            </w:r>
          </w:p>
        </w:tc>
        <w:tc>
          <w:tcPr>
            <w:tcW w:w="392" w:type="pct"/>
            <w:tcBorders>
              <w:top w:val="nil"/>
              <w:left w:val="nil"/>
              <w:bottom w:val="single" w:sz="4" w:space="0" w:color="auto"/>
              <w:right w:val="single" w:sz="4" w:space="0" w:color="auto"/>
            </w:tcBorders>
            <w:shd w:val="clear" w:color="000000" w:fill="EBF1DE"/>
            <w:noWrap/>
            <w:vAlign w:val="bottom"/>
            <w:hideMark/>
          </w:tcPr>
          <w:p w14:paraId="2A4D6C4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41%</w:t>
            </w:r>
          </w:p>
        </w:tc>
        <w:tc>
          <w:tcPr>
            <w:tcW w:w="408" w:type="pct"/>
            <w:tcBorders>
              <w:top w:val="nil"/>
              <w:left w:val="nil"/>
              <w:bottom w:val="single" w:sz="4" w:space="0" w:color="auto"/>
              <w:right w:val="single" w:sz="4" w:space="0" w:color="auto"/>
            </w:tcBorders>
            <w:shd w:val="clear" w:color="000000" w:fill="F2F2F2"/>
            <w:noWrap/>
            <w:vAlign w:val="bottom"/>
            <w:hideMark/>
          </w:tcPr>
          <w:p w14:paraId="773EAF69"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23%</w:t>
            </w:r>
          </w:p>
        </w:tc>
        <w:tc>
          <w:tcPr>
            <w:tcW w:w="392" w:type="pct"/>
            <w:tcBorders>
              <w:top w:val="nil"/>
              <w:left w:val="nil"/>
              <w:bottom w:val="single" w:sz="4" w:space="0" w:color="auto"/>
              <w:right w:val="single" w:sz="4" w:space="0" w:color="auto"/>
            </w:tcBorders>
            <w:shd w:val="clear" w:color="000000" w:fill="EBF1DE"/>
            <w:noWrap/>
            <w:vAlign w:val="bottom"/>
            <w:hideMark/>
          </w:tcPr>
          <w:p w14:paraId="3ADC3905"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19%</w:t>
            </w:r>
          </w:p>
        </w:tc>
        <w:tc>
          <w:tcPr>
            <w:tcW w:w="408" w:type="pct"/>
            <w:tcBorders>
              <w:top w:val="nil"/>
              <w:left w:val="nil"/>
              <w:bottom w:val="single" w:sz="4" w:space="0" w:color="auto"/>
              <w:right w:val="single" w:sz="4" w:space="0" w:color="auto"/>
            </w:tcBorders>
            <w:shd w:val="clear" w:color="000000" w:fill="F2F2F2"/>
            <w:noWrap/>
            <w:vAlign w:val="bottom"/>
            <w:hideMark/>
          </w:tcPr>
          <w:p w14:paraId="2D84419F"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26%</w:t>
            </w:r>
          </w:p>
        </w:tc>
        <w:tc>
          <w:tcPr>
            <w:tcW w:w="392" w:type="pct"/>
            <w:tcBorders>
              <w:top w:val="nil"/>
              <w:left w:val="nil"/>
              <w:bottom w:val="single" w:sz="4" w:space="0" w:color="auto"/>
              <w:right w:val="single" w:sz="4" w:space="0" w:color="auto"/>
            </w:tcBorders>
            <w:shd w:val="clear" w:color="000000" w:fill="EBF1DE"/>
            <w:noWrap/>
            <w:vAlign w:val="bottom"/>
            <w:hideMark/>
          </w:tcPr>
          <w:p w14:paraId="45D62B35"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7%</w:t>
            </w:r>
          </w:p>
        </w:tc>
        <w:tc>
          <w:tcPr>
            <w:tcW w:w="408" w:type="pct"/>
            <w:tcBorders>
              <w:top w:val="nil"/>
              <w:left w:val="nil"/>
              <w:bottom w:val="single" w:sz="4" w:space="0" w:color="auto"/>
              <w:right w:val="single" w:sz="4" w:space="0" w:color="auto"/>
            </w:tcBorders>
            <w:shd w:val="clear" w:color="000000" w:fill="F2F2F2"/>
            <w:noWrap/>
            <w:vAlign w:val="bottom"/>
            <w:hideMark/>
          </w:tcPr>
          <w:p w14:paraId="44445DCE"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c>
          <w:tcPr>
            <w:tcW w:w="392" w:type="pct"/>
            <w:tcBorders>
              <w:top w:val="nil"/>
              <w:left w:val="nil"/>
              <w:bottom w:val="single" w:sz="4" w:space="0" w:color="auto"/>
              <w:right w:val="single" w:sz="4" w:space="0" w:color="auto"/>
            </w:tcBorders>
            <w:shd w:val="clear" w:color="000000" w:fill="EBF1DE"/>
            <w:noWrap/>
            <w:vAlign w:val="bottom"/>
            <w:hideMark/>
          </w:tcPr>
          <w:p w14:paraId="0DCF819A"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r>
      <w:tr w:rsidR="00F111FB" w:rsidRPr="009A0658" w14:paraId="32D49BC7" w14:textId="77777777" w:rsidTr="00EC7988">
        <w:trPr>
          <w:trHeight w:val="278"/>
        </w:trPr>
        <w:tc>
          <w:tcPr>
            <w:tcW w:w="5000" w:type="pct"/>
            <w:gridSpan w:val="14"/>
            <w:tcBorders>
              <w:top w:val="nil"/>
              <w:left w:val="nil"/>
              <w:bottom w:val="nil"/>
              <w:right w:val="single" w:sz="8" w:space="0" w:color="000000"/>
            </w:tcBorders>
            <w:shd w:val="clear" w:color="000000" w:fill="BFBFBF"/>
            <w:noWrap/>
            <w:vAlign w:val="bottom"/>
            <w:hideMark/>
          </w:tcPr>
          <w:p w14:paraId="134AACD1" w14:textId="77777777" w:rsidR="00F111FB" w:rsidRPr="009A0658" w:rsidRDefault="00F111FB" w:rsidP="00AB720F">
            <w:pPr>
              <w:spacing w:after="0" w:line="240" w:lineRule="auto"/>
              <w:rPr>
                <w:rFonts w:eastAsia="Times New Roman" w:cs="Times New Roman"/>
                <w:b/>
                <w:bCs/>
                <w:color w:val="000000"/>
                <w:lang w:eastAsia="en-AU"/>
              </w:rPr>
            </w:pPr>
            <w:r w:rsidRPr="009A0658">
              <w:rPr>
                <w:rFonts w:eastAsia="Times New Roman" w:cs="Times New Roman"/>
                <w:b/>
                <w:bCs/>
                <w:color w:val="000000"/>
                <w:lang w:eastAsia="en-AU"/>
              </w:rPr>
              <w:t>Year 7</w:t>
            </w:r>
          </w:p>
        </w:tc>
      </w:tr>
      <w:tr w:rsidR="00EC7988" w:rsidRPr="009A0658" w14:paraId="77BFBABA" w14:textId="77777777" w:rsidTr="00EC7988">
        <w:trPr>
          <w:trHeight w:val="278"/>
        </w:trPr>
        <w:tc>
          <w:tcPr>
            <w:tcW w:w="101" w:type="pct"/>
            <w:tcBorders>
              <w:top w:val="nil"/>
              <w:left w:val="nil"/>
              <w:bottom w:val="nil"/>
              <w:right w:val="nil"/>
            </w:tcBorders>
            <w:shd w:val="clear" w:color="auto" w:fill="auto"/>
            <w:noWrap/>
            <w:vAlign w:val="bottom"/>
            <w:hideMark/>
          </w:tcPr>
          <w:p w14:paraId="2168F092"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51E1CB42"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5E3F81F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226</w:t>
            </w:r>
          </w:p>
        </w:tc>
        <w:tc>
          <w:tcPr>
            <w:tcW w:w="392" w:type="pct"/>
            <w:tcBorders>
              <w:top w:val="nil"/>
              <w:left w:val="nil"/>
              <w:bottom w:val="single" w:sz="4" w:space="0" w:color="auto"/>
              <w:right w:val="single" w:sz="4" w:space="0" w:color="auto"/>
            </w:tcBorders>
            <w:shd w:val="clear" w:color="000000" w:fill="EBF1DE"/>
            <w:noWrap/>
            <w:vAlign w:val="bottom"/>
            <w:hideMark/>
          </w:tcPr>
          <w:p w14:paraId="456A86A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337</w:t>
            </w:r>
          </w:p>
        </w:tc>
        <w:tc>
          <w:tcPr>
            <w:tcW w:w="408" w:type="pct"/>
            <w:tcBorders>
              <w:top w:val="nil"/>
              <w:left w:val="nil"/>
              <w:bottom w:val="single" w:sz="4" w:space="0" w:color="auto"/>
              <w:right w:val="single" w:sz="4" w:space="0" w:color="auto"/>
            </w:tcBorders>
            <w:shd w:val="clear" w:color="000000" w:fill="F2F2F2"/>
            <w:noWrap/>
            <w:vAlign w:val="bottom"/>
            <w:hideMark/>
          </w:tcPr>
          <w:p w14:paraId="22BD646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367</w:t>
            </w:r>
          </w:p>
        </w:tc>
        <w:tc>
          <w:tcPr>
            <w:tcW w:w="392" w:type="pct"/>
            <w:tcBorders>
              <w:top w:val="nil"/>
              <w:left w:val="nil"/>
              <w:bottom w:val="single" w:sz="4" w:space="0" w:color="auto"/>
              <w:right w:val="single" w:sz="4" w:space="0" w:color="auto"/>
            </w:tcBorders>
            <w:shd w:val="clear" w:color="000000" w:fill="EBF1DE"/>
            <w:noWrap/>
            <w:vAlign w:val="bottom"/>
            <w:hideMark/>
          </w:tcPr>
          <w:p w14:paraId="56C291AC"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540</w:t>
            </w:r>
          </w:p>
        </w:tc>
        <w:tc>
          <w:tcPr>
            <w:tcW w:w="408" w:type="pct"/>
            <w:tcBorders>
              <w:top w:val="nil"/>
              <w:left w:val="nil"/>
              <w:bottom w:val="single" w:sz="4" w:space="0" w:color="auto"/>
              <w:right w:val="single" w:sz="4" w:space="0" w:color="auto"/>
            </w:tcBorders>
            <w:shd w:val="clear" w:color="000000" w:fill="F2F2F2"/>
            <w:noWrap/>
            <w:vAlign w:val="bottom"/>
            <w:hideMark/>
          </w:tcPr>
          <w:p w14:paraId="015B58C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618</w:t>
            </w:r>
          </w:p>
        </w:tc>
        <w:tc>
          <w:tcPr>
            <w:tcW w:w="392" w:type="pct"/>
            <w:tcBorders>
              <w:top w:val="nil"/>
              <w:left w:val="nil"/>
              <w:bottom w:val="single" w:sz="4" w:space="0" w:color="auto"/>
              <w:right w:val="single" w:sz="4" w:space="0" w:color="auto"/>
            </w:tcBorders>
            <w:shd w:val="clear" w:color="000000" w:fill="EBF1DE"/>
            <w:noWrap/>
            <w:vAlign w:val="bottom"/>
            <w:hideMark/>
          </w:tcPr>
          <w:p w14:paraId="286A070A"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678</w:t>
            </w:r>
          </w:p>
        </w:tc>
        <w:tc>
          <w:tcPr>
            <w:tcW w:w="408" w:type="pct"/>
            <w:tcBorders>
              <w:top w:val="nil"/>
              <w:left w:val="nil"/>
              <w:bottom w:val="single" w:sz="4" w:space="0" w:color="auto"/>
              <w:right w:val="single" w:sz="4" w:space="0" w:color="auto"/>
            </w:tcBorders>
            <w:shd w:val="clear" w:color="000000" w:fill="F2F2F2"/>
            <w:noWrap/>
            <w:vAlign w:val="bottom"/>
            <w:hideMark/>
          </w:tcPr>
          <w:p w14:paraId="069CD35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897</w:t>
            </w:r>
          </w:p>
        </w:tc>
        <w:tc>
          <w:tcPr>
            <w:tcW w:w="392" w:type="pct"/>
            <w:tcBorders>
              <w:top w:val="nil"/>
              <w:left w:val="nil"/>
              <w:bottom w:val="single" w:sz="4" w:space="0" w:color="auto"/>
              <w:right w:val="single" w:sz="4" w:space="0" w:color="auto"/>
            </w:tcBorders>
            <w:shd w:val="clear" w:color="000000" w:fill="EBF1DE"/>
            <w:noWrap/>
            <w:vAlign w:val="bottom"/>
            <w:hideMark/>
          </w:tcPr>
          <w:p w14:paraId="496390BF"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549</w:t>
            </w:r>
          </w:p>
        </w:tc>
        <w:tc>
          <w:tcPr>
            <w:tcW w:w="408" w:type="pct"/>
            <w:tcBorders>
              <w:top w:val="nil"/>
              <w:left w:val="nil"/>
              <w:bottom w:val="single" w:sz="4" w:space="0" w:color="auto"/>
              <w:right w:val="single" w:sz="4" w:space="0" w:color="auto"/>
            </w:tcBorders>
            <w:shd w:val="clear" w:color="000000" w:fill="F2F2F2"/>
            <w:noWrap/>
            <w:vAlign w:val="bottom"/>
            <w:hideMark/>
          </w:tcPr>
          <w:p w14:paraId="0BB4C81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601</w:t>
            </w:r>
          </w:p>
        </w:tc>
        <w:tc>
          <w:tcPr>
            <w:tcW w:w="392" w:type="pct"/>
            <w:tcBorders>
              <w:top w:val="nil"/>
              <w:left w:val="nil"/>
              <w:bottom w:val="single" w:sz="4" w:space="0" w:color="auto"/>
              <w:right w:val="single" w:sz="4" w:space="0" w:color="auto"/>
            </w:tcBorders>
            <w:shd w:val="clear" w:color="000000" w:fill="EBF1DE"/>
            <w:noWrap/>
            <w:vAlign w:val="bottom"/>
            <w:hideMark/>
          </w:tcPr>
          <w:p w14:paraId="316BF9B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306</w:t>
            </w:r>
          </w:p>
        </w:tc>
        <w:tc>
          <w:tcPr>
            <w:tcW w:w="408" w:type="pct"/>
            <w:tcBorders>
              <w:top w:val="nil"/>
              <w:left w:val="nil"/>
              <w:bottom w:val="single" w:sz="4" w:space="0" w:color="auto"/>
              <w:right w:val="single" w:sz="4" w:space="0" w:color="auto"/>
            </w:tcBorders>
            <w:shd w:val="clear" w:color="000000" w:fill="F2F2F2"/>
            <w:noWrap/>
            <w:vAlign w:val="bottom"/>
            <w:hideMark/>
          </w:tcPr>
          <w:p w14:paraId="1657842D"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2709</w:t>
            </w:r>
          </w:p>
        </w:tc>
        <w:tc>
          <w:tcPr>
            <w:tcW w:w="392" w:type="pct"/>
            <w:tcBorders>
              <w:top w:val="nil"/>
              <w:left w:val="nil"/>
              <w:bottom w:val="single" w:sz="4" w:space="0" w:color="auto"/>
              <w:right w:val="single" w:sz="4" w:space="0" w:color="auto"/>
            </w:tcBorders>
            <w:shd w:val="clear" w:color="000000" w:fill="EBF1DE"/>
            <w:noWrap/>
            <w:vAlign w:val="bottom"/>
            <w:hideMark/>
          </w:tcPr>
          <w:p w14:paraId="367669A5"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2410</w:t>
            </w:r>
          </w:p>
        </w:tc>
      </w:tr>
      <w:tr w:rsidR="00EC7988" w:rsidRPr="009A0658" w14:paraId="70630176" w14:textId="77777777" w:rsidTr="00EC7988">
        <w:trPr>
          <w:trHeight w:val="278"/>
        </w:trPr>
        <w:tc>
          <w:tcPr>
            <w:tcW w:w="101" w:type="pct"/>
            <w:tcBorders>
              <w:top w:val="nil"/>
              <w:left w:val="nil"/>
              <w:bottom w:val="nil"/>
              <w:right w:val="nil"/>
            </w:tcBorders>
            <w:shd w:val="clear" w:color="auto" w:fill="auto"/>
            <w:noWrap/>
            <w:vAlign w:val="bottom"/>
            <w:hideMark/>
          </w:tcPr>
          <w:p w14:paraId="116B5EF8" w14:textId="77777777" w:rsidR="00F111FB" w:rsidRPr="009A0658" w:rsidRDefault="00F111FB" w:rsidP="00AB720F">
            <w:pPr>
              <w:spacing w:after="0" w:line="240" w:lineRule="auto"/>
              <w:rPr>
                <w:rFonts w:eastAsia="Times New Roman" w:cs="Times New Roman"/>
                <w:b/>
                <w:bCs/>
                <w:color w:val="000000"/>
                <w:lang w:eastAsia="en-AU"/>
              </w:rPr>
            </w:pPr>
          </w:p>
        </w:tc>
        <w:tc>
          <w:tcPr>
            <w:tcW w:w="101" w:type="pct"/>
            <w:tcBorders>
              <w:top w:val="nil"/>
              <w:left w:val="nil"/>
              <w:bottom w:val="nil"/>
              <w:right w:val="nil"/>
            </w:tcBorders>
            <w:shd w:val="clear" w:color="auto" w:fill="auto"/>
            <w:noWrap/>
            <w:vAlign w:val="bottom"/>
            <w:hideMark/>
          </w:tcPr>
          <w:p w14:paraId="5F270B10"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77E03CC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8%</w:t>
            </w:r>
          </w:p>
        </w:tc>
        <w:tc>
          <w:tcPr>
            <w:tcW w:w="392" w:type="pct"/>
            <w:tcBorders>
              <w:top w:val="nil"/>
              <w:left w:val="nil"/>
              <w:bottom w:val="single" w:sz="4" w:space="0" w:color="auto"/>
              <w:right w:val="single" w:sz="4" w:space="0" w:color="auto"/>
            </w:tcBorders>
            <w:shd w:val="clear" w:color="000000" w:fill="EBF1DE"/>
            <w:noWrap/>
            <w:vAlign w:val="bottom"/>
            <w:hideMark/>
          </w:tcPr>
          <w:p w14:paraId="7088819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14%</w:t>
            </w:r>
          </w:p>
        </w:tc>
        <w:tc>
          <w:tcPr>
            <w:tcW w:w="408" w:type="pct"/>
            <w:tcBorders>
              <w:top w:val="nil"/>
              <w:left w:val="nil"/>
              <w:bottom w:val="single" w:sz="4" w:space="0" w:color="auto"/>
              <w:right w:val="single" w:sz="4" w:space="0" w:color="auto"/>
            </w:tcBorders>
            <w:shd w:val="clear" w:color="000000" w:fill="F2F2F2"/>
            <w:noWrap/>
            <w:vAlign w:val="bottom"/>
            <w:hideMark/>
          </w:tcPr>
          <w:p w14:paraId="3FDFB1C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14%</w:t>
            </w:r>
          </w:p>
        </w:tc>
        <w:tc>
          <w:tcPr>
            <w:tcW w:w="392" w:type="pct"/>
            <w:tcBorders>
              <w:top w:val="nil"/>
              <w:left w:val="nil"/>
              <w:bottom w:val="single" w:sz="4" w:space="0" w:color="auto"/>
              <w:right w:val="single" w:sz="4" w:space="0" w:color="auto"/>
            </w:tcBorders>
            <w:shd w:val="clear" w:color="000000" w:fill="EBF1DE"/>
            <w:noWrap/>
            <w:vAlign w:val="bottom"/>
            <w:hideMark/>
          </w:tcPr>
          <w:p w14:paraId="03B4F7B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22%</w:t>
            </w:r>
          </w:p>
        </w:tc>
        <w:tc>
          <w:tcPr>
            <w:tcW w:w="408" w:type="pct"/>
            <w:tcBorders>
              <w:top w:val="nil"/>
              <w:left w:val="nil"/>
              <w:bottom w:val="single" w:sz="4" w:space="0" w:color="auto"/>
              <w:right w:val="single" w:sz="4" w:space="0" w:color="auto"/>
            </w:tcBorders>
            <w:shd w:val="clear" w:color="000000" w:fill="F2F2F2"/>
            <w:noWrap/>
            <w:vAlign w:val="bottom"/>
            <w:hideMark/>
          </w:tcPr>
          <w:p w14:paraId="5090E793"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23%</w:t>
            </w:r>
          </w:p>
        </w:tc>
        <w:tc>
          <w:tcPr>
            <w:tcW w:w="392" w:type="pct"/>
            <w:tcBorders>
              <w:top w:val="nil"/>
              <w:left w:val="nil"/>
              <w:bottom w:val="single" w:sz="4" w:space="0" w:color="auto"/>
              <w:right w:val="single" w:sz="4" w:space="0" w:color="auto"/>
            </w:tcBorders>
            <w:shd w:val="clear" w:color="000000" w:fill="EBF1DE"/>
            <w:noWrap/>
            <w:vAlign w:val="bottom"/>
            <w:hideMark/>
          </w:tcPr>
          <w:p w14:paraId="6210CB0A"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28%</w:t>
            </w:r>
          </w:p>
        </w:tc>
        <w:tc>
          <w:tcPr>
            <w:tcW w:w="408" w:type="pct"/>
            <w:tcBorders>
              <w:top w:val="nil"/>
              <w:left w:val="nil"/>
              <w:bottom w:val="single" w:sz="4" w:space="0" w:color="auto"/>
              <w:right w:val="single" w:sz="4" w:space="0" w:color="auto"/>
            </w:tcBorders>
            <w:shd w:val="clear" w:color="000000" w:fill="F2F2F2"/>
            <w:noWrap/>
            <w:vAlign w:val="bottom"/>
            <w:hideMark/>
          </w:tcPr>
          <w:p w14:paraId="394A3A44"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33%</w:t>
            </w:r>
          </w:p>
        </w:tc>
        <w:tc>
          <w:tcPr>
            <w:tcW w:w="392" w:type="pct"/>
            <w:tcBorders>
              <w:top w:val="nil"/>
              <w:left w:val="nil"/>
              <w:bottom w:val="single" w:sz="4" w:space="0" w:color="auto"/>
              <w:right w:val="single" w:sz="4" w:space="0" w:color="auto"/>
            </w:tcBorders>
            <w:shd w:val="clear" w:color="000000" w:fill="EBF1DE"/>
            <w:noWrap/>
            <w:vAlign w:val="bottom"/>
            <w:hideMark/>
          </w:tcPr>
          <w:p w14:paraId="6FAA114D"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23%</w:t>
            </w:r>
          </w:p>
        </w:tc>
        <w:tc>
          <w:tcPr>
            <w:tcW w:w="408" w:type="pct"/>
            <w:tcBorders>
              <w:top w:val="nil"/>
              <w:left w:val="nil"/>
              <w:bottom w:val="single" w:sz="4" w:space="0" w:color="auto"/>
              <w:right w:val="single" w:sz="4" w:space="0" w:color="auto"/>
            </w:tcBorders>
            <w:shd w:val="clear" w:color="000000" w:fill="F2F2F2"/>
            <w:noWrap/>
            <w:vAlign w:val="bottom"/>
            <w:hideMark/>
          </w:tcPr>
          <w:p w14:paraId="6A66A59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22%</w:t>
            </w:r>
          </w:p>
        </w:tc>
        <w:tc>
          <w:tcPr>
            <w:tcW w:w="392" w:type="pct"/>
            <w:tcBorders>
              <w:top w:val="nil"/>
              <w:left w:val="nil"/>
              <w:bottom w:val="single" w:sz="4" w:space="0" w:color="auto"/>
              <w:right w:val="single" w:sz="4" w:space="0" w:color="auto"/>
            </w:tcBorders>
            <w:shd w:val="clear" w:color="000000" w:fill="EBF1DE"/>
            <w:noWrap/>
            <w:vAlign w:val="bottom"/>
            <w:hideMark/>
          </w:tcPr>
          <w:p w14:paraId="7EEA8968"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13%</w:t>
            </w:r>
          </w:p>
        </w:tc>
        <w:tc>
          <w:tcPr>
            <w:tcW w:w="408" w:type="pct"/>
            <w:tcBorders>
              <w:top w:val="nil"/>
              <w:left w:val="nil"/>
              <w:bottom w:val="single" w:sz="4" w:space="0" w:color="auto"/>
              <w:right w:val="single" w:sz="4" w:space="0" w:color="auto"/>
            </w:tcBorders>
            <w:shd w:val="clear" w:color="000000" w:fill="F2F2F2"/>
            <w:noWrap/>
            <w:vAlign w:val="bottom"/>
            <w:hideMark/>
          </w:tcPr>
          <w:p w14:paraId="06A663E7"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c>
          <w:tcPr>
            <w:tcW w:w="392" w:type="pct"/>
            <w:tcBorders>
              <w:top w:val="nil"/>
              <w:left w:val="nil"/>
              <w:bottom w:val="single" w:sz="4" w:space="0" w:color="auto"/>
              <w:right w:val="single" w:sz="4" w:space="0" w:color="auto"/>
            </w:tcBorders>
            <w:shd w:val="clear" w:color="000000" w:fill="EBF1DE"/>
            <w:noWrap/>
            <w:vAlign w:val="bottom"/>
            <w:hideMark/>
          </w:tcPr>
          <w:p w14:paraId="385357FB"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r>
      <w:tr w:rsidR="00F111FB" w:rsidRPr="009A0658" w14:paraId="159CB7D3" w14:textId="77777777" w:rsidTr="00EC7988">
        <w:trPr>
          <w:trHeight w:val="278"/>
        </w:trPr>
        <w:tc>
          <w:tcPr>
            <w:tcW w:w="5000" w:type="pct"/>
            <w:gridSpan w:val="14"/>
            <w:tcBorders>
              <w:top w:val="nil"/>
              <w:left w:val="nil"/>
              <w:bottom w:val="nil"/>
              <w:right w:val="single" w:sz="8" w:space="0" w:color="000000"/>
            </w:tcBorders>
            <w:shd w:val="clear" w:color="000000" w:fill="BFBFBF"/>
            <w:noWrap/>
            <w:vAlign w:val="bottom"/>
            <w:hideMark/>
          </w:tcPr>
          <w:p w14:paraId="213BFE6F" w14:textId="77777777" w:rsidR="00F111FB" w:rsidRPr="009A0658" w:rsidRDefault="00F111FB" w:rsidP="00AB720F">
            <w:pPr>
              <w:spacing w:after="0" w:line="240" w:lineRule="auto"/>
              <w:rPr>
                <w:rFonts w:eastAsia="Times New Roman" w:cs="Times New Roman"/>
                <w:b/>
                <w:bCs/>
                <w:color w:val="000000"/>
                <w:lang w:eastAsia="en-AU"/>
              </w:rPr>
            </w:pPr>
            <w:r w:rsidRPr="009A0658">
              <w:rPr>
                <w:rFonts w:eastAsia="Times New Roman" w:cs="Times New Roman"/>
                <w:b/>
                <w:bCs/>
                <w:color w:val="000000"/>
                <w:lang w:eastAsia="en-AU"/>
              </w:rPr>
              <w:t>Year 8</w:t>
            </w:r>
          </w:p>
        </w:tc>
      </w:tr>
      <w:tr w:rsidR="00EC7988" w:rsidRPr="009A0658" w14:paraId="2DF1F3EF" w14:textId="77777777" w:rsidTr="00EC7988">
        <w:trPr>
          <w:trHeight w:val="278"/>
        </w:trPr>
        <w:tc>
          <w:tcPr>
            <w:tcW w:w="101" w:type="pct"/>
            <w:tcBorders>
              <w:top w:val="nil"/>
              <w:left w:val="nil"/>
              <w:bottom w:val="nil"/>
              <w:right w:val="nil"/>
            </w:tcBorders>
            <w:shd w:val="clear" w:color="auto" w:fill="auto"/>
            <w:noWrap/>
            <w:vAlign w:val="bottom"/>
            <w:hideMark/>
          </w:tcPr>
          <w:p w14:paraId="3844E8C7" w14:textId="77777777" w:rsidR="00F111FB" w:rsidRPr="009A0658" w:rsidRDefault="00F111FB" w:rsidP="00AB720F">
            <w:pPr>
              <w:spacing w:after="0" w:line="240" w:lineRule="auto"/>
              <w:rPr>
                <w:rFonts w:eastAsia="Times New Roman" w:cs="Times New Roman"/>
                <w:color w:val="000000"/>
                <w:lang w:eastAsia="en-AU"/>
              </w:rPr>
            </w:pPr>
          </w:p>
        </w:tc>
        <w:tc>
          <w:tcPr>
            <w:tcW w:w="101" w:type="pct"/>
            <w:tcBorders>
              <w:top w:val="nil"/>
              <w:left w:val="nil"/>
              <w:bottom w:val="nil"/>
              <w:right w:val="nil"/>
            </w:tcBorders>
            <w:shd w:val="clear" w:color="auto" w:fill="auto"/>
            <w:noWrap/>
            <w:vAlign w:val="bottom"/>
            <w:hideMark/>
          </w:tcPr>
          <w:p w14:paraId="46A2ECF0"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73689A7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183</w:t>
            </w:r>
          </w:p>
        </w:tc>
        <w:tc>
          <w:tcPr>
            <w:tcW w:w="392" w:type="pct"/>
            <w:tcBorders>
              <w:top w:val="nil"/>
              <w:left w:val="nil"/>
              <w:bottom w:val="single" w:sz="4" w:space="0" w:color="auto"/>
              <w:right w:val="single" w:sz="4" w:space="0" w:color="auto"/>
            </w:tcBorders>
            <w:shd w:val="clear" w:color="000000" w:fill="EBF1DE"/>
            <w:noWrap/>
            <w:vAlign w:val="bottom"/>
            <w:hideMark/>
          </w:tcPr>
          <w:p w14:paraId="0EF9A01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336</w:t>
            </w:r>
          </w:p>
        </w:tc>
        <w:tc>
          <w:tcPr>
            <w:tcW w:w="408" w:type="pct"/>
            <w:tcBorders>
              <w:top w:val="nil"/>
              <w:left w:val="nil"/>
              <w:bottom w:val="single" w:sz="4" w:space="0" w:color="auto"/>
              <w:right w:val="single" w:sz="4" w:space="0" w:color="auto"/>
            </w:tcBorders>
            <w:shd w:val="clear" w:color="000000" w:fill="F2F2F2"/>
            <w:noWrap/>
            <w:vAlign w:val="bottom"/>
            <w:hideMark/>
          </w:tcPr>
          <w:p w14:paraId="197E7CE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358</w:t>
            </w:r>
          </w:p>
        </w:tc>
        <w:tc>
          <w:tcPr>
            <w:tcW w:w="392" w:type="pct"/>
            <w:tcBorders>
              <w:top w:val="nil"/>
              <w:left w:val="nil"/>
              <w:bottom w:val="single" w:sz="4" w:space="0" w:color="auto"/>
              <w:right w:val="single" w:sz="4" w:space="0" w:color="auto"/>
            </w:tcBorders>
            <w:shd w:val="clear" w:color="000000" w:fill="EBF1DE"/>
            <w:noWrap/>
            <w:vAlign w:val="bottom"/>
            <w:hideMark/>
          </w:tcPr>
          <w:p w14:paraId="248968E8"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578</w:t>
            </w:r>
          </w:p>
        </w:tc>
        <w:tc>
          <w:tcPr>
            <w:tcW w:w="408" w:type="pct"/>
            <w:tcBorders>
              <w:top w:val="nil"/>
              <w:left w:val="nil"/>
              <w:bottom w:val="single" w:sz="4" w:space="0" w:color="auto"/>
              <w:right w:val="single" w:sz="4" w:space="0" w:color="auto"/>
            </w:tcBorders>
            <w:shd w:val="clear" w:color="000000" w:fill="F2F2F2"/>
            <w:noWrap/>
            <w:vAlign w:val="bottom"/>
            <w:hideMark/>
          </w:tcPr>
          <w:p w14:paraId="468A435A"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685</w:t>
            </w:r>
          </w:p>
        </w:tc>
        <w:tc>
          <w:tcPr>
            <w:tcW w:w="392" w:type="pct"/>
            <w:tcBorders>
              <w:top w:val="nil"/>
              <w:left w:val="nil"/>
              <w:bottom w:val="single" w:sz="4" w:space="0" w:color="auto"/>
              <w:right w:val="single" w:sz="4" w:space="0" w:color="auto"/>
            </w:tcBorders>
            <w:shd w:val="clear" w:color="000000" w:fill="EBF1DE"/>
            <w:noWrap/>
            <w:vAlign w:val="bottom"/>
            <w:hideMark/>
          </w:tcPr>
          <w:p w14:paraId="4146C0F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781</w:t>
            </w:r>
          </w:p>
        </w:tc>
        <w:tc>
          <w:tcPr>
            <w:tcW w:w="408" w:type="pct"/>
            <w:tcBorders>
              <w:top w:val="nil"/>
              <w:left w:val="nil"/>
              <w:bottom w:val="single" w:sz="4" w:space="0" w:color="auto"/>
              <w:right w:val="single" w:sz="4" w:space="0" w:color="auto"/>
            </w:tcBorders>
            <w:shd w:val="clear" w:color="000000" w:fill="F2F2F2"/>
            <w:noWrap/>
            <w:vAlign w:val="bottom"/>
            <w:hideMark/>
          </w:tcPr>
          <w:p w14:paraId="5264B0F2"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996</w:t>
            </w:r>
          </w:p>
        </w:tc>
        <w:tc>
          <w:tcPr>
            <w:tcW w:w="392" w:type="pct"/>
            <w:tcBorders>
              <w:top w:val="nil"/>
              <w:left w:val="nil"/>
              <w:bottom w:val="single" w:sz="4" w:space="0" w:color="auto"/>
              <w:right w:val="single" w:sz="4" w:space="0" w:color="auto"/>
            </w:tcBorders>
            <w:shd w:val="clear" w:color="000000" w:fill="EBF1DE"/>
            <w:noWrap/>
            <w:vAlign w:val="bottom"/>
            <w:hideMark/>
          </w:tcPr>
          <w:p w14:paraId="7BE5141E"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648</w:t>
            </w:r>
          </w:p>
        </w:tc>
        <w:tc>
          <w:tcPr>
            <w:tcW w:w="408" w:type="pct"/>
            <w:tcBorders>
              <w:top w:val="nil"/>
              <w:left w:val="nil"/>
              <w:bottom w:val="single" w:sz="4" w:space="0" w:color="auto"/>
              <w:right w:val="single" w:sz="4" w:space="0" w:color="auto"/>
            </w:tcBorders>
            <w:shd w:val="clear" w:color="000000" w:fill="F2F2F2"/>
            <w:noWrap/>
            <w:vAlign w:val="bottom"/>
            <w:hideMark/>
          </w:tcPr>
          <w:p w14:paraId="1E41CBCB"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695</w:t>
            </w:r>
          </w:p>
        </w:tc>
        <w:tc>
          <w:tcPr>
            <w:tcW w:w="392" w:type="pct"/>
            <w:tcBorders>
              <w:top w:val="nil"/>
              <w:left w:val="nil"/>
              <w:bottom w:val="single" w:sz="4" w:space="0" w:color="auto"/>
              <w:right w:val="single" w:sz="4" w:space="0" w:color="auto"/>
            </w:tcBorders>
            <w:shd w:val="clear" w:color="000000" w:fill="EBF1DE"/>
            <w:noWrap/>
            <w:vAlign w:val="bottom"/>
            <w:hideMark/>
          </w:tcPr>
          <w:p w14:paraId="5D33FF30"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291</w:t>
            </w:r>
          </w:p>
        </w:tc>
        <w:tc>
          <w:tcPr>
            <w:tcW w:w="408" w:type="pct"/>
            <w:tcBorders>
              <w:top w:val="nil"/>
              <w:left w:val="nil"/>
              <w:bottom w:val="single" w:sz="4" w:space="0" w:color="auto"/>
              <w:right w:val="single" w:sz="4" w:space="0" w:color="auto"/>
            </w:tcBorders>
            <w:shd w:val="clear" w:color="000000" w:fill="F2F2F2"/>
            <w:noWrap/>
            <w:vAlign w:val="bottom"/>
            <w:hideMark/>
          </w:tcPr>
          <w:p w14:paraId="2ED1C97A"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2917</w:t>
            </w:r>
          </w:p>
        </w:tc>
        <w:tc>
          <w:tcPr>
            <w:tcW w:w="392" w:type="pct"/>
            <w:tcBorders>
              <w:top w:val="nil"/>
              <w:left w:val="nil"/>
              <w:bottom w:val="single" w:sz="4" w:space="0" w:color="auto"/>
              <w:right w:val="single" w:sz="4" w:space="0" w:color="auto"/>
            </w:tcBorders>
            <w:shd w:val="clear" w:color="000000" w:fill="EBF1DE"/>
            <w:noWrap/>
            <w:vAlign w:val="bottom"/>
            <w:hideMark/>
          </w:tcPr>
          <w:p w14:paraId="412B1C85"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2634</w:t>
            </w:r>
          </w:p>
        </w:tc>
      </w:tr>
      <w:tr w:rsidR="00EC7988" w:rsidRPr="009A0658" w14:paraId="7C93F91D" w14:textId="77777777" w:rsidTr="00EC7988">
        <w:trPr>
          <w:trHeight w:val="278"/>
        </w:trPr>
        <w:tc>
          <w:tcPr>
            <w:tcW w:w="101" w:type="pct"/>
            <w:tcBorders>
              <w:top w:val="nil"/>
              <w:left w:val="nil"/>
              <w:bottom w:val="nil"/>
              <w:right w:val="nil"/>
            </w:tcBorders>
            <w:shd w:val="clear" w:color="auto" w:fill="auto"/>
            <w:noWrap/>
            <w:vAlign w:val="bottom"/>
            <w:hideMark/>
          </w:tcPr>
          <w:p w14:paraId="3627D498" w14:textId="77777777" w:rsidR="00F111FB" w:rsidRPr="009A0658" w:rsidRDefault="00F111FB" w:rsidP="00AB720F">
            <w:pPr>
              <w:spacing w:after="0" w:line="240" w:lineRule="auto"/>
              <w:rPr>
                <w:rFonts w:eastAsia="Times New Roman" w:cs="Times New Roman"/>
                <w:color w:val="000000"/>
                <w:lang w:eastAsia="en-AU"/>
              </w:rPr>
            </w:pPr>
          </w:p>
        </w:tc>
        <w:tc>
          <w:tcPr>
            <w:tcW w:w="101" w:type="pct"/>
            <w:tcBorders>
              <w:top w:val="nil"/>
              <w:left w:val="nil"/>
              <w:bottom w:val="nil"/>
              <w:right w:val="nil"/>
            </w:tcBorders>
            <w:shd w:val="clear" w:color="auto" w:fill="auto"/>
            <w:noWrap/>
            <w:vAlign w:val="bottom"/>
            <w:hideMark/>
          </w:tcPr>
          <w:p w14:paraId="31138A9C" w14:textId="77777777" w:rsidR="00F111FB" w:rsidRPr="009A0658" w:rsidRDefault="00F111FB" w:rsidP="00AB720F">
            <w:pPr>
              <w:spacing w:after="0" w:line="240" w:lineRule="auto"/>
              <w:rPr>
                <w:rFonts w:eastAsia="Times New Roman" w:cs="Times New Roman"/>
                <w:color w:val="000000"/>
                <w:lang w:eastAsia="en-AU"/>
              </w:rPr>
            </w:pPr>
          </w:p>
        </w:tc>
        <w:tc>
          <w:tcPr>
            <w:tcW w:w="408" w:type="pct"/>
            <w:tcBorders>
              <w:top w:val="nil"/>
              <w:left w:val="single" w:sz="4" w:space="0" w:color="auto"/>
              <w:bottom w:val="single" w:sz="4" w:space="0" w:color="auto"/>
              <w:right w:val="single" w:sz="4" w:space="0" w:color="auto"/>
            </w:tcBorders>
            <w:shd w:val="clear" w:color="000000" w:fill="F2F2F2"/>
            <w:noWrap/>
            <w:vAlign w:val="bottom"/>
            <w:hideMark/>
          </w:tcPr>
          <w:p w14:paraId="55B94FC6"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6%</w:t>
            </w:r>
          </w:p>
        </w:tc>
        <w:tc>
          <w:tcPr>
            <w:tcW w:w="392" w:type="pct"/>
            <w:tcBorders>
              <w:top w:val="nil"/>
              <w:left w:val="nil"/>
              <w:bottom w:val="single" w:sz="4" w:space="0" w:color="auto"/>
              <w:right w:val="single" w:sz="4" w:space="0" w:color="auto"/>
            </w:tcBorders>
            <w:shd w:val="clear" w:color="000000" w:fill="EBF1DE"/>
            <w:noWrap/>
            <w:vAlign w:val="bottom"/>
            <w:hideMark/>
          </w:tcPr>
          <w:p w14:paraId="4136353F"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13%</w:t>
            </w:r>
          </w:p>
        </w:tc>
        <w:tc>
          <w:tcPr>
            <w:tcW w:w="408" w:type="pct"/>
            <w:tcBorders>
              <w:top w:val="nil"/>
              <w:left w:val="nil"/>
              <w:bottom w:val="single" w:sz="4" w:space="0" w:color="auto"/>
              <w:right w:val="single" w:sz="4" w:space="0" w:color="auto"/>
            </w:tcBorders>
            <w:shd w:val="clear" w:color="000000" w:fill="F2F2F2"/>
            <w:noWrap/>
            <w:vAlign w:val="bottom"/>
            <w:hideMark/>
          </w:tcPr>
          <w:p w14:paraId="57A5955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12%</w:t>
            </w:r>
          </w:p>
        </w:tc>
        <w:tc>
          <w:tcPr>
            <w:tcW w:w="392" w:type="pct"/>
            <w:tcBorders>
              <w:top w:val="nil"/>
              <w:left w:val="nil"/>
              <w:bottom w:val="single" w:sz="4" w:space="0" w:color="auto"/>
              <w:right w:val="single" w:sz="4" w:space="0" w:color="auto"/>
            </w:tcBorders>
            <w:shd w:val="clear" w:color="000000" w:fill="EBF1DE"/>
            <w:noWrap/>
            <w:vAlign w:val="bottom"/>
            <w:hideMark/>
          </w:tcPr>
          <w:p w14:paraId="065E1FB1"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22%</w:t>
            </w:r>
          </w:p>
        </w:tc>
        <w:tc>
          <w:tcPr>
            <w:tcW w:w="408" w:type="pct"/>
            <w:tcBorders>
              <w:top w:val="nil"/>
              <w:left w:val="nil"/>
              <w:bottom w:val="single" w:sz="4" w:space="0" w:color="auto"/>
              <w:right w:val="single" w:sz="4" w:space="0" w:color="auto"/>
            </w:tcBorders>
            <w:shd w:val="clear" w:color="000000" w:fill="F2F2F2"/>
            <w:noWrap/>
            <w:vAlign w:val="bottom"/>
            <w:hideMark/>
          </w:tcPr>
          <w:p w14:paraId="63F285EA"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23%</w:t>
            </w:r>
          </w:p>
        </w:tc>
        <w:tc>
          <w:tcPr>
            <w:tcW w:w="392" w:type="pct"/>
            <w:tcBorders>
              <w:top w:val="nil"/>
              <w:left w:val="nil"/>
              <w:bottom w:val="single" w:sz="4" w:space="0" w:color="auto"/>
              <w:right w:val="single" w:sz="4" w:space="0" w:color="auto"/>
            </w:tcBorders>
            <w:shd w:val="clear" w:color="000000" w:fill="EBF1DE"/>
            <w:noWrap/>
            <w:vAlign w:val="bottom"/>
            <w:hideMark/>
          </w:tcPr>
          <w:p w14:paraId="6A08602F"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30%</w:t>
            </w:r>
          </w:p>
        </w:tc>
        <w:tc>
          <w:tcPr>
            <w:tcW w:w="408" w:type="pct"/>
            <w:tcBorders>
              <w:top w:val="nil"/>
              <w:left w:val="nil"/>
              <w:bottom w:val="single" w:sz="4" w:space="0" w:color="auto"/>
              <w:right w:val="single" w:sz="4" w:space="0" w:color="auto"/>
            </w:tcBorders>
            <w:shd w:val="clear" w:color="000000" w:fill="F2F2F2"/>
            <w:noWrap/>
            <w:vAlign w:val="bottom"/>
            <w:hideMark/>
          </w:tcPr>
          <w:p w14:paraId="5E5EE6C8"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34%</w:t>
            </w:r>
          </w:p>
        </w:tc>
        <w:tc>
          <w:tcPr>
            <w:tcW w:w="392" w:type="pct"/>
            <w:tcBorders>
              <w:top w:val="nil"/>
              <w:left w:val="nil"/>
              <w:bottom w:val="single" w:sz="4" w:space="0" w:color="auto"/>
              <w:right w:val="single" w:sz="4" w:space="0" w:color="auto"/>
            </w:tcBorders>
            <w:shd w:val="clear" w:color="000000" w:fill="EBF1DE"/>
            <w:noWrap/>
            <w:vAlign w:val="bottom"/>
            <w:hideMark/>
          </w:tcPr>
          <w:p w14:paraId="79C85C39"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25%</w:t>
            </w:r>
          </w:p>
        </w:tc>
        <w:tc>
          <w:tcPr>
            <w:tcW w:w="408" w:type="pct"/>
            <w:tcBorders>
              <w:top w:val="nil"/>
              <w:left w:val="nil"/>
              <w:bottom w:val="single" w:sz="4" w:space="0" w:color="auto"/>
              <w:right w:val="single" w:sz="4" w:space="0" w:color="auto"/>
            </w:tcBorders>
            <w:shd w:val="clear" w:color="000000" w:fill="F2F2F2"/>
            <w:noWrap/>
            <w:vAlign w:val="bottom"/>
            <w:hideMark/>
          </w:tcPr>
          <w:p w14:paraId="1686E12F"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24%</w:t>
            </w:r>
          </w:p>
        </w:tc>
        <w:tc>
          <w:tcPr>
            <w:tcW w:w="392" w:type="pct"/>
            <w:tcBorders>
              <w:top w:val="nil"/>
              <w:left w:val="nil"/>
              <w:bottom w:val="single" w:sz="4" w:space="0" w:color="auto"/>
              <w:right w:val="single" w:sz="4" w:space="0" w:color="auto"/>
            </w:tcBorders>
            <w:shd w:val="clear" w:color="000000" w:fill="EBF1DE"/>
            <w:noWrap/>
            <w:vAlign w:val="bottom"/>
            <w:hideMark/>
          </w:tcPr>
          <w:p w14:paraId="4F797FE5" w14:textId="77777777" w:rsidR="00F111FB" w:rsidRPr="009A0658" w:rsidRDefault="00F111FB" w:rsidP="00AB720F">
            <w:pPr>
              <w:spacing w:after="0" w:line="240" w:lineRule="auto"/>
              <w:jc w:val="center"/>
              <w:rPr>
                <w:rFonts w:eastAsia="Times New Roman" w:cs="Times New Roman"/>
                <w:color w:val="000000"/>
                <w:lang w:eastAsia="en-AU"/>
              </w:rPr>
            </w:pPr>
            <w:r w:rsidRPr="009A0658">
              <w:rPr>
                <w:rFonts w:eastAsia="Times New Roman" w:cs="Times New Roman"/>
                <w:color w:val="000000"/>
                <w:lang w:eastAsia="en-AU"/>
              </w:rPr>
              <w:t>11%</w:t>
            </w:r>
          </w:p>
        </w:tc>
        <w:tc>
          <w:tcPr>
            <w:tcW w:w="408" w:type="pct"/>
            <w:tcBorders>
              <w:top w:val="nil"/>
              <w:left w:val="nil"/>
              <w:bottom w:val="single" w:sz="4" w:space="0" w:color="auto"/>
              <w:right w:val="single" w:sz="4" w:space="0" w:color="auto"/>
            </w:tcBorders>
            <w:shd w:val="clear" w:color="000000" w:fill="F2F2F2"/>
            <w:noWrap/>
            <w:vAlign w:val="bottom"/>
            <w:hideMark/>
          </w:tcPr>
          <w:p w14:paraId="032C5A66"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c>
          <w:tcPr>
            <w:tcW w:w="392" w:type="pct"/>
            <w:tcBorders>
              <w:top w:val="nil"/>
              <w:left w:val="nil"/>
              <w:bottom w:val="single" w:sz="4" w:space="0" w:color="auto"/>
              <w:right w:val="single" w:sz="4" w:space="0" w:color="auto"/>
            </w:tcBorders>
            <w:shd w:val="clear" w:color="000000" w:fill="EBF1DE"/>
            <w:noWrap/>
            <w:vAlign w:val="bottom"/>
            <w:hideMark/>
          </w:tcPr>
          <w:p w14:paraId="5794A53D" w14:textId="77777777" w:rsidR="00F111FB" w:rsidRPr="009A0658" w:rsidRDefault="00F111FB" w:rsidP="00AB720F">
            <w:pPr>
              <w:spacing w:after="0" w:line="240" w:lineRule="auto"/>
              <w:jc w:val="center"/>
              <w:rPr>
                <w:rFonts w:eastAsia="Times New Roman" w:cs="Times New Roman"/>
                <w:b/>
                <w:bCs/>
                <w:color w:val="000000"/>
                <w:lang w:eastAsia="en-AU"/>
              </w:rPr>
            </w:pPr>
            <w:r w:rsidRPr="009A0658">
              <w:rPr>
                <w:rFonts w:eastAsia="Times New Roman" w:cs="Times New Roman"/>
                <w:b/>
                <w:bCs/>
                <w:color w:val="000000"/>
                <w:lang w:eastAsia="en-AU"/>
              </w:rPr>
              <w:t> </w:t>
            </w:r>
          </w:p>
        </w:tc>
      </w:tr>
    </w:tbl>
    <w:p w14:paraId="53C8CA37" w14:textId="77777777" w:rsidR="00892F35" w:rsidRPr="00AB720F" w:rsidRDefault="00AB720F" w:rsidP="00120A97">
      <w:pPr>
        <w:pStyle w:val="Heading3"/>
      </w:pPr>
      <w:r>
        <w:t>Appendix B</w:t>
      </w:r>
    </w:p>
    <w:p w14:paraId="50782E68" w14:textId="77777777" w:rsidR="00D03868" w:rsidRDefault="00D03868" w:rsidP="00120A97">
      <w:pPr>
        <w:pStyle w:val="Normalnumbered"/>
        <w:numPr>
          <w:ilvl w:val="0"/>
          <w:numId w:val="0"/>
        </w:numPr>
        <w:tabs>
          <w:tab w:val="num" w:pos="2160"/>
        </w:tabs>
        <w:rPr>
          <w:b/>
          <w:color w:val="244061" w:themeColor="accent1" w:themeShade="80"/>
          <w:sz w:val="28"/>
          <w:szCs w:val="23"/>
        </w:rPr>
      </w:pPr>
    </w:p>
    <w:tbl>
      <w:tblPr>
        <w:tblpPr w:leftFromText="180" w:rightFromText="180" w:vertAnchor="text" w:horzAnchor="margin" w:tblpY="584"/>
        <w:tblW w:w="5000" w:type="pct"/>
        <w:tblLook w:val="04A0" w:firstRow="1" w:lastRow="0" w:firstColumn="1" w:lastColumn="0" w:noHBand="0" w:noVBand="1"/>
        <w:tblCaption w:val="Appendix B - May 2012 vs Nov 2013 Reporting - Non-ATSI students: Literacy"/>
        <w:tblDescription w:val="Data relating to May 2012 vs Nov 2013 Reporting - Non-ATSI students: Literacy"/>
      </w:tblPr>
      <w:tblGrid>
        <w:gridCol w:w="220"/>
        <w:gridCol w:w="220"/>
        <w:gridCol w:w="799"/>
        <w:gridCol w:w="769"/>
        <w:gridCol w:w="800"/>
        <w:gridCol w:w="769"/>
        <w:gridCol w:w="800"/>
        <w:gridCol w:w="769"/>
        <w:gridCol w:w="800"/>
        <w:gridCol w:w="769"/>
        <w:gridCol w:w="800"/>
        <w:gridCol w:w="769"/>
        <w:gridCol w:w="800"/>
        <w:gridCol w:w="769"/>
      </w:tblGrid>
      <w:tr w:rsidR="00F111FB" w:rsidRPr="0016698E" w14:paraId="167FE151" w14:textId="77777777" w:rsidTr="00AB720F">
        <w:trPr>
          <w:trHeight w:val="530"/>
        </w:trPr>
        <w:tc>
          <w:tcPr>
            <w:tcW w:w="5000" w:type="pct"/>
            <w:gridSpan w:val="14"/>
            <w:tcBorders>
              <w:top w:val="nil"/>
              <w:left w:val="nil"/>
              <w:bottom w:val="nil"/>
              <w:right w:val="nil"/>
            </w:tcBorders>
            <w:shd w:val="clear" w:color="auto" w:fill="auto"/>
            <w:noWrap/>
            <w:vAlign w:val="bottom"/>
            <w:hideMark/>
          </w:tcPr>
          <w:p w14:paraId="32237D04" w14:textId="77777777" w:rsidR="00F111FB" w:rsidRPr="0016698E" w:rsidRDefault="00F111FB" w:rsidP="00AB720F">
            <w:pPr>
              <w:spacing w:after="0" w:line="240" w:lineRule="auto"/>
              <w:rPr>
                <w:rFonts w:eastAsia="Times New Roman" w:cs="Times New Roman"/>
                <w:color w:val="000000"/>
                <w:lang w:eastAsia="en-AU"/>
              </w:rPr>
            </w:pPr>
            <w:r w:rsidRPr="002C42CF">
              <w:rPr>
                <w:rFonts w:ascii="Corbel" w:eastAsia="Times New Roman" w:hAnsi="Corbel" w:cs="Times New Roman"/>
                <w:b/>
                <w:bCs/>
                <w:color w:val="244061" w:themeColor="accent1" w:themeShade="80"/>
                <w:sz w:val="32"/>
                <w:szCs w:val="28"/>
                <w:lang w:eastAsia="en-AU"/>
              </w:rPr>
              <w:t>May 2013 vs Nov 2013 Reporting – Non-ATSI Students</w:t>
            </w:r>
            <w:r>
              <w:rPr>
                <w:rFonts w:ascii="Corbel" w:eastAsia="Times New Roman" w:hAnsi="Corbel" w:cs="Times New Roman"/>
                <w:b/>
                <w:bCs/>
                <w:color w:val="244061" w:themeColor="accent1" w:themeShade="80"/>
                <w:sz w:val="32"/>
                <w:szCs w:val="28"/>
                <w:lang w:eastAsia="en-AU"/>
              </w:rPr>
              <w:t>: Literacy</w:t>
            </w:r>
          </w:p>
        </w:tc>
      </w:tr>
      <w:tr w:rsidR="00620352" w:rsidRPr="0016698E" w14:paraId="00423DE2" w14:textId="77777777" w:rsidTr="00620352">
        <w:trPr>
          <w:trHeight w:val="328"/>
        </w:trPr>
        <w:tc>
          <w:tcPr>
            <w:tcW w:w="5000" w:type="pct"/>
            <w:gridSpan w:val="14"/>
            <w:tcBorders>
              <w:top w:val="nil"/>
              <w:left w:val="nil"/>
              <w:bottom w:val="nil"/>
              <w:right w:val="nil"/>
            </w:tcBorders>
            <w:shd w:val="clear" w:color="auto" w:fill="auto"/>
            <w:noWrap/>
            <w:vAlign w:val="bottom"/>
          </w:tcPr>
          <w:p w14:paraId="02227DD6" w14:textId="77777777" w:rsidR="00620352" w:rsidRPr="002C42CF" w:rsidRDefault="00620352" w:rsidP="00AB720F">
            <w:pPr>
              <w:spacing w:after="0" w:line="240" w:lineRule="auto"/>
              <w:rPr>
                <w:rFonts w:ascii="Corbel" w:eastAsia="Times New Roman" w:hAnsi="Corbel" w:cs="Times New Roman"/>
                <w:b/>
                <w:bCs/>
                <w:color w:val="244061" w:themeColor="accent1" w:themeShade="80"/>
                <w:sz w:val="32"/>
                <w:szCs w:val="28"/>
                <w:lang w:eastAsia="en-AU"/>
              </w:rPr>
            </w:pPr>
          </w:p>
        </w:tc>
      </w:tr>
      <w:tr w:rsidR="00F111FB" w:rsidRPr="0016698E" w14:paraId="5A58F14C" w14:textId="77777777" w:rsidTr="00AB720F">
        <w:trPr>
          <w:trHeight w:val="629"/>
        </w:trPr>
        <w:tc>
          <w:tcPr>
            <w:tcW w:w="112" w:type="pct"/>
            <w:tcBorders>
              <w:top w:val="nil"/>
              <w:left w:val="nil"/>
              <w:bottom w:val="nil"/>
              <w:right w:val="nil"/>
            </w:tcBorders>
            <w:shd w:val="clear" w:color="auto" w:fill="auto"/>
            <w:noWrap/>
            <w:vAlign w:val="bottom"/>
            <w:hideMark/>
          </w:tcPr>
          <w:p w14:paraId="42F39241" w14:textId="77777777" w:rsidR="00F111FB" w:rsidRPr="0016698E" w:rsidRDefault="00F111FB" w:rsidP="00AB720F">
            <w:pPr>
              <w:spacing w:after="0" w:line="240" w:lineRule="auto"/>
              <w:rPr>
                <w:rFonts w:eastAsia="Times New Roman" w:cs="Times New Roman"/>
                <w:b/>
                <w:bCs/>
                <w:color w:val="000000"/>
                <w:sz w:val="20"/>
                <w:szCs w:val="20"/>
                <w:lang w:eastAsia="en-AU"/>
              </w:rPr>
            </w:pPr>
          </w:p>
        </w:tc>
        <w:tc>
          <w:tcPr>
            <w:tcW w:w="112" w:type="pct"/>
            <w:tcBorders>
              <w:top w:val="nil"/>
              <w:left w:val="nil"/>
              <w:bottom w:val="nil"/>
              <w:right w:val="nil"/>
            </w:tcBorders>
            <w:shd w:val="clear" w:color="auto" w:fill="auto"/>
            <w:noWrap/>
            <w:vAlign w:val="bottom"/>
            <w:hideMark/>
          </w:tcPr>
          <w:p w14:paraId="153E9970" w14:textId="77777777" w:rsidR="00F111FB" w:rsidRPr="0016698E" w:rsidRDefault="00F111FB" w:rsidP="00AB720F">
            <w:pPr>
              <w:spacing w:after="0" w:line="240" w:lineRule="auto"/>
              <w:rPr>
                <w:rFonts w:eastAsia="Times New Roman" w:cs="Times New Roman"/>
                <w:b/>
                <w:bCs/>
                <w:color w:val="000000"/>
                <w:sz w:val="20"/>
                <w:szCs w:val="20"/>
                <w:lang w:eastAsia="en-AU"/>
              </w:rPr>
            </w:pP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1D911EA7" w14:textId="77777777" w:rsidR="00F111FB" w:rsidRPr="0016698E" w:rsidRDefault="00F111FB" w:rsidP="00AB720F">
            <w:pPr>
              <w:spacing w:after="0" w:line="240" w:lineRule="auto"/>
              <w:jc w:val="center"/>
              <w:rPr>
                <w:rFonts w:eastAsia="Times New Roman" w:cs="Times New Roman"/>
                <w:b/>
                <w:bCs/>
                <w:color w:val="000000"/>
                <w:sz w:val="20"/>
                <w:szCs w:val="20"/>
                <w:lang w:eastAsia="en-AU"/>
              </w:rPr>
            </w:pPr>
            <w:r w:rsidRPr="0016698E">
              <w:rPr>
                <w:rFonts w:eastAsia="Times New Roman" w:cs="Times New Roman"/>
                <w:b/>
                <w:bCs/>
                <w:color w:val="000000"/>
                <w:sz w:val="20"/>
                <w:szCs w:val="20"/>
                <w:lang w:eastAsia="en-AU"/>
              </w:rPr>
              <w:t>No. of students at Well above expectation</w:t>
            </w: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6351B2A6" w14:textId="77777777" w:rsidR="00F111FB" w:rsidRPr="0016698E" w:rsidRDefault="00F111FB" w:rsidP="00AB720F">
            <w:pPr>
              <w:spacing w:after="0" w:line="240" w:lineRule="auto"/>
              <w:jc w:val="center"/>
              <w:rPr>
                <w:rFonts w:eastAsia="Times New Roman" w:cs="Times New Roman"/>
                <w:b/>
                <w:bCs/>
                <w:color w:val="000000"/>
                <w:sz w:val="20"/>
                <w:szCs w:val="20"/>
                <w:lang w:eastAsia="en-AU"/>
              </w:rPr>
            </w:pPr>
            <w:r w:rsidRPr="0016698E">
              <w:rPr>
                <w:rFonts w:eastAsia="Times New Roman" w:cs="Times New Roman"/>
                <w:b/>
                <w:bCs/>
                <w:color w:val="000000"/>
                <w:sz w:val="20"/>
                <w:szCs w:val="20"/>
                <w:lang w:eastAsia="en-AU"/>
              </w:rPr>
              <w:t>No</w:t>
            </w:r>
            <w:r>
              <w:rPr>
                <w:rFonts w:eastAsia="Times New Roman" w:cs="Times New Roman"/>
                <w:b/>
                <w:bCs/>
                <w:color w:val="000000"/>
                <w:sz w:val="20"/>
                <w:szCs w:val="20"/>
                <w:lang w:eastAsia="en-AU"/>
              </w:rPr>
              <w:t>.</w:t>
            </w:r>
            <w:r w:rsidRPr="0016698E">
              <w:rPr>
                <w:rFonts w:eastAsia="Times New Roman" w:cs="Times New Roman"/>
                <w:b/>
                <w:bCs/>
                <w:color w:val="000000"/>
                <w:sz w:val="20"/>
                <w:szCs w:val="20"/>
                <w:lang w:eastAsia="en-AU"/>
              </w:rPr>
              <w:t xml:space="preserve"> of students at Above expectation</w:t>
            </w: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503F7D2B" w14:textId="77777777" w:rsidR="00F111FB" w:rsidRPr="0016698E" w:rsidRDefault="00F111FB" w:rsidP="00AB720F">
            <w:pPr>
              <w:spacing w:after="0" w:line="240" w:lineRule="auto"/>
              <w:jc w:val="center"/>
              <w:rPr>
                <w:rFonts w:eastAsia="Times New Roman" w:cs="Times New Roman"/>
                <w:b/>
                <w:bCs/>
                <w:color w:val="000000"/>
                <w:sz w:val="20"/>
                <w:szCs w:val="20"/>
                <w:lang w:eastAsia="en-AU"/>
              </w:rPr>
            </w:pPr>
            <w:r w:rsidRPr="0016698E">
              <w:rPr>
                <w:rFonts w:eastAsia="Times New Roman" w:cs="Times New Roman"/>
                <w:b/>
                <w:bCs/>
                <w:color w:val="000000"/>
                <w:sz w:val="20"/>
                <w:szCs w:val="20"/>
                <w:lang w:eastAsia="en-AU"/>
              </w:rPr>
              <w:t>No. of students at Expectation</w:t>
            </w: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2EB1C5EB" w14:textId="77777777" w:rsidR="00F111FB" w:rsidRPr="0016698E" w:rsidRDefault="00F111FB" w:rsidP="00AB720F">
            <w:pPr>
              <w:spacing w:after="0" w:line="240" w:lineRule="auto"/>
              <w:jc w:val="center"/>
              <w:rPr>
                <w:rFonts w:eastAsia="Times New Roman" w:cs="Times New Roman"/>
                <w:b/>
                <w:bCs/>
                <w:color w:val="000000"/>
                <w:sz w:val="20"/>
                <w:szCs w:val="20"/>
                <w:lang w:eastAsia="en-AU"/>
              </w:rPr>
            </w:pPr>
            <w:r w:rsidRPr="0016698E">
              <w:rPr>
                <w:rFonts w:eastAsia="Times New Roman" w:cs="Times New Roman"/>
                <w:b/>
                <w:bCs/>
                <w:color w:val="000000"/>
                <w:sz w:val="20"/>
                <w:szCs w:val="20"/>
                <w:lang w:eastAsia="en-AU"/>
              </w:rPr>
              <w:t>No of students at Below expectation</w:t>
            </w:r>
          </w:p>
        </w:tc>
        <w:tc>
          <w:tcPr>
            <w:tcW w:w="796" w:type="pct"/>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7502A667" w14:textId="77777777" w:rsidR="00F111FB" w:rsidRPr="0016698E" w:rsidRDefault="00F111FB" w:rsidP="00AB720F">
            <w:pPr>
              <w:spacing w:after="0" w:line="240" w:lineRule="auto"/>
              <w:jc w:val="center"/>
              <w:rPr>
                <w:rFonts w:eastAsia="Times New Roman" w:cs="Times New Roman"/>
                <w:b/>
                <w:bCs/>
                <w:color w:val="000000"/>
                <w:sz w:val="20"/>
                <w:szCs w:val="20"/>
                <w:lang w:eastAsia="en-AU"/>
              </w:rPr>
            </w:pPr>
            <w:r w:rsidRPr="0016698E">
              <w:rPr>
                <w:rFonts w:eastAsia="Times New Roman" w:cs="Times New Roman"/>
                <w:b/>
                <w:bCs/>
                <w:color w:val="000000"/>
                <w:sz w:val="20"/>
                <w:szCs w:val="20"/>
                <w:lang w:eastAsia="en-AU"/>
              </w:rPr>
              <w:t>No. of students at Well below expectation</w:t>
            </w:r>
          </w:p>
        </w:tc>
        <w:tc>
          <w:tcPr>
            <w:tcW w:w="796" w:type="pct"/>
            <w:gridSpan w:val="2"/>
            <w:tcBorders>
              <w:top w:val="single" w:sz="8" w:space="0" w:color="auto"/>
              <w:left w:val="nil"/>
              <w:bottom w:val="single" w:sz="4" w:space="0" w:color="auto"/>
              <w:right w:val="single" w:sz="8" w:space="0" w:color="000000"/>
            </w:tcBorders>
            <w:shd w:val="clear" w:color="000000" w:fill="FFFFFF"/>
            <w:vAlign w:val="center"/>
            <w:hideMark/>
          </w:tcPr>
          <w:p w14:paraId="01B6BC0D" w14:textId="77777777" w:rsidR="00F111FB" w:rsidRPr="0016698E" w:rsidRDefault="00F111FB" w:rsidP="00AB720F">
            <w:pPr>
              <w:spacing w:after="0" w:line="240" w:lineRule="auto"/>
              <w:jc w:val="center"/>
              <w:rPr>
                <w:rFonts w:eastAsia="Times New Roman" w:cs="Times New Roman"/>
                <w:b/>
                <w:bCs/>
                <w:color w:val="000000"/>
                <w:sz w:val="20"/>
                <w:szCs w:val="20"/>
                <w:lang w:eastAsia="en-AU"/>
              </w:rPr>
            </w:pPr>
            <w:r w:rsidRPr="0016698E">
              <w:rPr>
                <w:rFonts w:eastAsia="Times New Roman" w:cs="Times New Roman"/>
                <w:b/>
                <w:bCs/>
                <w:color w:val="000000"/>
                <w:sz w:val="20"/>
                <w:szCs w:val="20"/>
                <w:lang w:eastAsia="en-AU"/>
              </w:rPr>
              <w:t>Totals</w:t>
            </w:r>
          </w:p>
        </w:tc>
      </w:tr>
      <w:tr w:rsidR="00F111FB" w:rsidRPr="0016698E" w14:paraId="67AEB9C5" w14:textId="77777777" w:rsidTr="00AB720F">
        <w:trPr>
          <w:trHeight w:val="247"/>
        </w:trPr>
        <w:tc>
          <w:tcPr>
            <w:tcW w:w="112" w:type="pct"/>
            <w:tcBorders>
              <w:top w:val="nil"/>
              <w:left w:val="nil"/>
              <w:bottom w:val="nil"/>
              <w:right w:val="nil"/>
            </w:tcBorders>
            <w:shd w:val="clear" w:color="auto" w:fill="auto"/>
            <w:noWrap/>
            <w:vAlign w:val="bottom"/>
            <w:hideMark/>
          </w:tcPr>
          <w:p w14:paraId="212DE1C1" w14:textId="77777777" w:rsidR="00F111FB" w:rsidRPr="0016698E" w:rsidRDefault="00F111FB" w:rsidP="00AB720F">
            <w:pPr>
              <w:spacing w:after="0" w:line="240" w:lineRule="auto"/>
              <w:rPr>
                <w:rFonts w:eastAsia="Times New Roman" w:cs="Times New Roman"/>
                <w:color w:val="000000"/>
                <w:lang w:eastAsia="en-AU"/>
              </w:rPr>
            </w:pPr>
          </w:p>
        </w:tc>
        <w:tc>
          <w:tcPr>
            <w:tcW w:w="112" w:type="pct"/>
            <w:tcBorders>
              <w:top w:val="nil"/>
              <w:left w:val="nil"/>
              <w:bottom w:val="nil"/>
              <w:right w:val="nil"/>
            </w:tcBorders>
            <w:shd w:val="clear" w:color="auto" w:fill="auto"/>
            <w:noWrap/>
            <w:vAlign w:val="bottom"/>
            <w:hideMark/>
          </w:tcPr>
          <w:p w14:paraId="783A7E3B"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8" w:space="0" w:color="auto"/>
              <w:bottom w:val="single" w:sz="4" w:space="0" w:color="auto"/>
              <w:right w:val="single" w:sz="4" w:space="0" w:color="auto"/>
            </w:tcBorders>
            <w:shd w:val="clear" w:color="auto" w:fill="auto"/>
            <w:noWrap/>
            <w:vAlign w:val="bottom"/>
            <w:hideMark/>
          </w:tcPr>
          <w:p w14:paraId="77098475"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432B736A"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74F78D89"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57FDAD6A"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39F2A409"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2C8BAFA8"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05DE9754"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47601615"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4C3BEFAE"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May-13</w:t>
            </w:r>
          </w:p>
        </w:tc>
        <w:tc>
          <w:tcPr>
            <w:tcW w:w="390" w:type="pct"/>
            <w:tcBorders>
              <w:top w:val="nil"/>
              <w:left w:val="nil"/>
              <w:bottom w:val="single" w:sz="4" w:space="0" w:color="auto"/>
              <w:right w:val="single" w:sz="8" w:space="0" w:color="auto"/>
            </w:tcBorders>
            <w:shd w:val="clear" w:color="auto" w:fill="auto"/>
            <w:noWrap/>
            <w:vAlign w:val="bottom"/>
            <w:hideMark/>
          </w:tcPr>
          <w:p w14:paraId="3266CE10"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Nov-13</w:t>
            </w:r>
          </w:p>
        </w:tc>
        <w:tc>
          <w:tcPr>
            <w:tcW w:w="406" w:type="pct"/>
            <w:tcBorders>
              <w:top w:val="nil"/>
              <w:left w:val="nil"/>
              <w:bottom w:val="single" w:sz="4" w:space="0" w:color="auto"/>
              <w:right w:val="single" w:sz="4" w:space="0" w:color="auto"/>
            </w:tcBorders>
            <w:shd w:val="clear" w:color="auto" w:fill="auto"/>
            <w:noWrap/>
            <w:vAlign w:val="bottom"/>
            <w:hideMark/>
          </w:tcPr>
          <w:p w14:paraId="2CFC0C36"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May-13</w:t>
            </w:r>
          </w:p>
        </w:tc>
        <w:tc>
          <w:tcPr>
            <w:tcW w:w="390" w:type="pct"/>
            <w:tcBorders>
              <w:top w:val="nil"/>
              <w:left w:val="nil"/>
              <w:bottom w:val="single" w:sz="4" w:space="0" w:color="auto"/>
              <w:right w:val="single" w:sz="8" w:space="0" w:color="auto"/>
            </w:tcBorders>
            <w:shd w:val="clear" w:color="auto" w:fill="auto"/>
            <w:noWrap/>
            <w:vAlign w:val="bottom"/>
            <w:hideMark/>
          </w:tcPr>
          <w:p w14:paraId="5C6D49A2" w14:textId="77777777" w:rsidR="00F111FB" w:rsidRPr="0016698E" w:rsidRDefault="00F111FB" w:rsidP="00AB720F">
            <w:pPr>
              <w:spacing w:after="0" w:line="240" w:lineRule="auto"/>
              <w:jc w:val="right"/>
              <w:rPr>
                <w:rFonts w:eastAsia="Times New Roman" w:cs="Times New Roman"/>
                <w:color w:val="000000"/>
                <w:lang w:eastAsia="en-AU"/>
              </w:rPr>
            </w:pPr>
            <w:r w:rsidRPr="0016698E">
              <w:rPr>
                <w:rFonts w:eastAsia="Times New Roman" w:cs="Times New Roman"/>
                <w:color w:val="000000"/>
                <w:lang w:eastAsia="en-AU"/>
              </w:rPr>
              <w:t>Nov-13</w:t>
            </w:r>
          </w:p>
        </w:tc>
      </w:tr>
      <w:tr w:rsidR="00F111FB" w:rsidRPr="0016698E" w14:paraId="340E2C8C" w14:textId="77777777" w:rsidTr="00AB720F">
        <w:trPr>
          <w:trHeight w:val="247"/>
        </w:trPr>
        <w:tc>
          <w:tcPr>
            <w:tcW w:w="5000" w:type="pct"/>
            <w:gridSpan w:val="14"/>
            <w:tcBorders>
              <w:top w:val="nil"/>
              <w:left w:val="nil"/>
              <w:bottom w:val="nil"/>
              <w:right w:val="single" w:sz="8" w:space="0" w:color="000000"/>
            </w:tcBorders>
            <w:shd w:val="clear" w:color="000000" w:fill="BFBFBF"/>
            <w:noWrap/>
            <w:vAlign w:val="bottom"/>
            <w:hideMark/>
          </w:tcPr>
          <w:p w14:paraId="3519A650" w14:textId="77777777" w:rsidR="00F111FB" w:rsidRPr="0016698E" w:rsidRDefault="00F111FB" w:rsidP="00AB720F">
            <w:pPr>
              <w:spacing w:after="0" w:line="240" w:lineRule="auto"/>
              <w:rPr>
                <w:rFonts w:eastAsia="Times New Roman" w:cs="Times New Roman"/>
                <w:b/>
                <w:bCs/>
                <w:color w:val="000000"/>
                <w:lang w:eastAsia="en-AU"/>
              </w:rPr>
            </w:pPr>
            <w:r w:rsidRPr="0016698E">
              <w:rPr>
                <w:rFonts w:eastAsia="Times New Roman" w:cs="Times New Roman"/>
                <w:b/>
                <w:bCs/>
                <w:color w:val="000000"/>
                <w:lang w:eastAsia="en-AU"/>
              </w:rPr>
              <w:t>Kindergarten</w:t>
            </w:r>
          </w:p>
        </w:tc>
      </w:tr>
      <w:tr w:rsidR="00F111FB" w:rsidRPr="0016698E" w14:paraId="34CA9500" w14:textId="77777777" w:rsidTr="00AB720F">
        <w:trPr>
          <w:trHeight w:val="247"/>
        </w:trPr>
        <w:tc>
          <w:tcPr>
            <w:tcW w:w="112" w:type="pct"/>
            <w:tcBorders>
              <w:top w:val="nil"/>
              <w:left w:val="nil"/>
              <w:bottom w:val="nil"/>
              <w:right w:val="nil"/>
            </w:tcBorders>
            <w:shd w:val="clear" w:color="auto" w:fill="auto"/>
            <w:noWrap/>
            <w:vAlign w:val="bottom"/>
            <w:hideMark/>
          </w:tcPr>
          <w:p w14:paraId="1ECFB667"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21954218"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761560C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161</w:t>
            </w:r>
          </w:p>
        </w:tc>
        <w:tc>
          <w:tcPr>
            <w:tcW w:w="390" w:type="pct"/>
            <w:tcBorders>
              <w:top w:val="nil"/>
              <w:left w:val="nil"/>
              <w:bottom w:val="single" w:sz="4" w:space="0" w:color="auto"/>
              <w:right w:val="single" w:sz="4" w:space="0" w:color="auto"/>
            </w:tcBorders>
            <w:shd w:val="clear" w:color="000000" w:fill="FDE9D9"/>
            <w:noWrap/>
            <w:vAlign w:val="bottom"/>
            <w:hideMark/>
          </w:tcPr>
          <w:p w14:paraId="2D2F2FE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452</w:t>
            </w:r>
          </w:p>
        </w:tc>
        <w:tc>
          <w:tcPr>
            <w:tcW w:w="406" w:type="pct"/>
            <w:tcBorders>
              <w:top w:val="nil"/>
              <w:left w:val="nil"/>
              <w:bottom w:val="single" w:sz="4" w:space="0" w:color="auto"/>
              <w:right w:val="single" w:sz="4" w:space="0" w:color="auto"/>
            </w:tcBorders>
            <w:shd w:val="clear" w:color="000000" w:fill="F2F2F2"/>
            <w:noWrap/>
            <w:vAlign w:val="bottom"/>
            <w:hideMark/>
          </w:tcPr>
          <w:p w14:paraId="064E6B6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729</w:t>
            </w:r>
          </w:p>
        </w:tc>
        <w:tc>
          <w:tcPr>
            <w:tcW w:w="390" w:type="pct"/>
            <w:tcBorders>
              <w:top w:val="nil"/>
              <w:left w:val="nil"/>
              <w:bottom w:val="single" w:sz="4" w:space="0" w:color="auto"/>
              <w:right w:val="single" w:sz="4" w:space="0" w:color="auto"/>
            </w:tcBorders>
            <w:shd w:val="clear" w:color="000000" w:fill="FDE9D9"/>
            <w:noWrap/>
            <w:vAlign w:val="bottom"/>
            <w:hideMark/>
          </w:tcPr>
          <w:p w14:paraId="097AC26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1070</w:t>
            </w:r>
          </w:p>
        </w:tc>
        <w:tc>
          <w:tcPr>
            <w:tcW w:w="406" w:type="pct"/>
            <w:tcBorders>
              <w:top w:val="nil"/>
              <w:left w:val="nil"/>
              <w:bottom w:val="single" w:sz="4" w:space="0" w:color="auto"/>
              <w:right w:val="single" w:sz="4" w:space="0" w:color="auto"/>
            </w:tcBorders>
            <w:shd w:val="clear" w:color="000000" w:fill="F2F2F2"/>
            <w:noWrap/>
            <w:vAlign w:val="bottom"/>
            <w:hideMark/>
          </w:tcPr>
          <w:p w14:paraId="4581CD67"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2333</w:t>
            </w:r>
          </w:p>
        </w:tc>
        <w:tc>
          <w:tcPr>
            <w:tcW w:w="390" w:type="pct"/>
            <w:tcBorders>
              <w:top w:val="nil"/>
              <w:left w:val="nil"/>
              <w:bottom w:val="single" w:sz="4" w:space="0" w:color="auto"/>
              <w:right w:val="single" w:sz="4" w:space="0" w:color="auto"/>
            </w:tcBorders>
            <w:shd w:val="clear" w:color="000000" w:fill="FDE9D9"/>
            <w:noWrap/>
            <w:vAlign w:val="bottom"/>
            <w:hideMark/>
          </w:tcPr>
          <w:p w14:paraId="1FB1C14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1819</w:t>
            </w:r>
          </w:p>
        </w:tc>
        <w:tc>
          <w:tcPr>
            <w:tcW w:w="406" w:type="pct"/>
            <w:tcBorders>
              <w:top w:val="nil"/>
              <w:left w:val="nil"/>
              <w:bottom w:val="single" w:sz="4" w:space="0" w:color="auto"/>
              <w:right w:val="single" w:sz="4" w:space="0" w:color="auto"/>
            </w:tcBorders>
            <w:shd w:val="clear" w:color="000000" w:fill="F2F2F2"/>
            <w:noWrap/>
            <w:vAlign w:val="bottom"/>
            <w:hideMark/>
          </w:tcPr>
          <w:p w14:paraId="0150D15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1732</w:t>
            </w:r>
          </w:p>
        </w:tc>
        <w:tc>
          <w:tcPr>
            <w:tcW w:w="390" w:type="pct"/>
            <w:tcBorders>
              <w:top w:val="nil"/>
              <w:left w:val="nil"/>
              <w:bottom w:val="single" w:sz="4" w:space="0" w:color="auto"/>
              <w:right w:val="single" w:sz="4" w:space="0" w:color="auto"/>
            </w:tcBorders>
            <w:shd w:val="clear" w:color="000000" w:fill="FDE9D9"/>
            <w:noWrap/>
            <w:vAlign w:val="bottom"/>
            <w:hideMark/>
          </w:tcPr>
          <w:p w14:paraId="147B6C1E"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1035</w:t>
            </w:r>
          </w:p>
        </w:tc>
        <w:tc>
          <w:tcPr>
            <w:tcW w:w="406" w:type="pct"/>
            <w:tcBorders>
              <w:top w:val="nil"/>
              <w:left w:val="nil"/>
              <w:bottom w:val="single" w:sz="4" w:space="0" w:color="auto"/>
              <w:right w:val="single" w:sz="4" w:space="0" w:color="auto"/>
            </w:tcBorders>
            <w:shd w:val="clear" w:color="000000" w:fill="F2F2F2"/>
            <w:noWrap/>
            <w:vAlign w:val="bottom"/>
            <w:hideMark/>
          </w:tcPr>
          <w:p w14:paraId="5DEF8441"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681</w:t>
            </w:r>
          </w:p>
        </w:tc>
        <w:tc>
          <w:tcPr>
            <w:tcW w:w="390" w:type="pct"/>
            <w:tcBorders>
              <w:top w:val="nil"/>
              <w:left w:val="nil"/>
              <w:bottom w:val="single" w:sz="4" w:space="0" w:color="auto"/>
              <w:right w:val="single" w:sz="4" w:space="0" w:color="auto"/>
            </w:tcBorders>
            <w:shd w:val="clear" w:color="000000" w:fill="FDE9D9"/>
            <w:noWrap/>
            <w:vAlign w:val="bottom"/>
            <w:hideMark/>
          </w:tcPr>
          <w:p w14:paraId="48B1904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452</w:t>
            </w:r>
          </w:p>
        </w:tc>
        <w:tc>
          <w:tcPr>
            <w:tcW w:w="406" w:type="pct"/>
            <w:tcBorders>
              <w:top w:val="nil"/>
              <w:left w:val="nil"/>
              <w:bottom w:val="single" w:sz="4" w:space="0" w:color="auto"/>
              <w:right w:val="single" w:sz="4" w:space="0" w:color="auto"/>
            </w:tcBorders>
            <w:shd w:val="clear" w:color="000000" w:fill="F2F2F2"/>
            <w:noWrap/>
            <w:vAlign w:val="bottom"/>
            <w:hideMark/>
          </w:tcPr>
          <w:p w14:paraId="5EF91A6F"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5636</w:t>
            </w:r>
          </w:p>
        </w:tc>
        <w:tc>
          <w:tcPr>
            <w:tcW w:w="390" w:type="pct"/>
            <w:tcBorders>
              <w:top w:val="nil"/>
              <w:left w:val="nil"/>
              <w:bottom w:val="single" w:sz="4" w:space="0" w:color="auto"/>
              <w:right w:val="single" w:sz="4" w:space="0" w:color="auto"/>
            </w:tcBorders>
            <w:shd w:val="clear" w:color="000000" w:fill="FDE9D9"/>
            <w:noWrap/>
            <w:vAlign w:val="bottom"/>
            <w:hideMark/>
          </w:tcPr>
          <w:p w14:paraId="1577ECF8"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4828</w:t>
            </w:r>
          </w:p>
        </w:tc>
      </w:tr>
      <w:tr w:rsidR="00F111FB" w:rsidRPr="0016698E" w14:paraId="6008A27F" w14:textId="77777777" w:rsidTr="00AB720F">
        <w:trPr>
          <w:trHeight w:val="247"/>
        </w:trPr>
        <w:tc>
          <w:tcPr>
            <w:tcW w:w="112" w:type="pct"/>
            <w:tcBorders>
              <w:top w:val="nil"/>
              <w:left w:val="nil"/>
              <w:bottom w:val="nil"/>
              <w:right w:val="nil"/>
            </w:tcBorders>
            <w:shd w:val="clear" w:color="auto" w:fill="auto"/>
            <w:noWrap/>
            <w:vAlign w:val="bottom"/>
            <w:hideMark/>
          </w:tcPr>
          <w:p w14:paraId="5AC2EF99"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036EAF2E"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48432F1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w:t>
            </w:r>
          </w:p>
        </w:tc>
        <w:tc>
          <w:tcPr>
            <w:tcW w:w="390" w:type="pct"/>
            <w:tcBorders>
              <w:top w:val="nil"/>
              <w:left w:val="nil"/>
              <w:bottom w:val="single" w:sz="4" w:space="0" w:color="auto"/>
              <w:right w:val="single" w:sz="4" w:space="0" w:color="auto"/>
            </w:tcBorders>
            <w:shd w:val="clear" w:color="000000" w:fill="FDE9D9"/>
            <w:noWrap/>
            <w:vAlign w:val="bottom"/>
            <w:hideMark/>
          </w:tcPr>
          <w:p w14:paraId="54721B62"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9%</w:t>
            </w:r>
          </w:p>
        </w:tc>
        <w:tc>
          <w:tcPr>
            <w:tcW w:w="406" w:type="pct"/>
            <w:tcBorders>
              <w:top w:val="nil"/>
              <w:left w:val="nil"/>
              <w:bottom w:val="single" w:sz="4" w:space="0" w:color="auto"/>
              <w:right w:val="single" w:sz="4" w:space="0" w:color="auto"/>
            </w:tcBorders>
            <w:shd w:val="clear" w:color="000000" w:fill="F2F2F2"/>
            <w:noWrap/>
            <w:vAlign w:val="bottom"/>
            <w:hideMark/>
          </w:tcPr>
          <w:p w14:paraId="389167E0"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13%</w:t>
            </w:r>
          </w:p>
        </w:tc>
        <w:tc>
          <w:tcPr>
            <w:tcW w:w="390" w:type="pct"/>
            <w:tcBorders>
              <w:top w:val="nil"/>
              <w:left w:val="nil"/>
              <w:bottom w:val="single" w:sz="4" w:space="0" w:color="auto"/>
              <w:right w:val="single" w:sz="4" w:space="0" w:color="auto"/>
            </w:tcBorders>
            <w:shd w:val="clear" w:color="000000" w:fill="FDE9D9"/>
            <w:noWrap/>
            <w:vAlign w:val="bottom"/>
            <w:hideMark/>
          </w:tcPr>
          <w:p w14:paraId="3D4ADE1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22%</w:t>
            </w:r>
          </w:p>
        </w:tc>
        <w:tc>
          <w:tcPr>
            <w:tcW w:w="406" w:type="pct"/>
            <w:tcBorders>
              <w:top w:val="nil"/>
              <w:left w:val="nil"/>
              <w:bottom w:val="single" w:sz="4" w:space="0" w:color="auto"/>
              <w:right w:val="single" w:sz="4" w:space="0" w:color="auto"/>
            </w:tcBorders>
            <w:shd w:val="clear" w:color="000000" w:fill="F2F2F2"/>
            <w:noWrap/>
            <w:vAlign w:val="bottom"/>
            <w:hideMark/>
          </w:tcPr>
          <w:p w14:paraId="7C36A012"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41%</w:t>
            </w:r>
          </w:p>
        </w:tc>
        <w:tc>
          <w:tcPr>
            <w:tcW w:w="390" w:type="pct"/>
            <w:tcBorders>
              <w:top w:val="nil"/>
              <w:left w:val="nil"/>
              <w:bottom w:val="single" w:sz="4" w:space="0" w:color="auto"/>
              <w:right w:val="single" w:sz="4" w:space="0" w:color="auto"/>
            </w:tcBorders>
            <w:shd w:val="clear" w:color="000000" w:fill="FDE9D9"/>
            <w:noWrap/>
            <w:vAlign w:val="bottom"/>
            <w:hideMark/>
          </w:tcPr>
          <w:p w14:paraId="56A7C79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38%</w:t>
            </w:r>
          </w:p>
        </w:tc>
        <w:tc>
          <w:tcPr>
            <w:tcW w:w="406" w:type="pct"/>
            <w:tcBorders>
              <w:top w:val="nil"/>
              <w:left w:val="nil"/>
              <w:bottom w:val="single" w:sz="4" w:space="0" w:color="auto"/>
              <w:right w:val="single" w:sz="4" w:space="0" w:color="auto"/>
            </w:tcBorders>
            <w:shd w:val="clear" w:color="000000" w:fill="F2F2F2"/>
            <w:noWrap/>
            <w:vAlign w:val="bottom"/>
            <w:hideMark/>
          </w:tcPr>
          <w:p w14:paraId="7DA0481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31%</w:t>
            </w:r>
          </w:p>
        </w:tc>
        <w:tc>
          <w:tcPr>
            <w:tcW w:w="390" w:type="pct"/>
            <w:tcBorders>
              <w:top w:val="nil"/>
              <w:left w:val="nil"/>
              <w:bottom w:val="single" w:sz="4" w:space="0" w:color="auto"/>
              <w:right w:val="single" w:sz="4" w:space="0" w:color="auto"/>
            </w:tcBorders>
            <w:shd w:val="clear" w:color="000000" w:fill="FDE9D9"/>
            <w:noWrap/>
            <w:vAlign w:val="bottom"/>
            <w:hideMark/>
          </w:tcPr>
          <w:p w14:paraId="08FB6817"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21%</w:t>
            </w:r>
          </w:p>
        </w:tc>
        <w:tc>
          <w:tcPr>
            <w:tcW w:w="406" w:type="pct"/>
            <w:tcBorders>
              <w:top w:val="nil"/>
              <w:left w:val="nil"/>
              <w:bottom w:val="single" w:sz="4" w:space="0" w:color="auto"/>
              <w:right w:val="single" w:sz="4" w:space="0" w:color="auto"/>
            </w:tcBorders>
            <w:shd w:val="clear" w:color="000000" w:fill="F2F2F2"/>
            <w:noWrap/>
            <w:vAlign w:val="bottom"/>
            <w:hideMark/>
          </w:tcPr>
          <w:p w14:paraId="2FD4EF08"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12%</w:t>
            </w:r>
          </w:p>
        </w:tc>
        <w:tc>
          <w:tcPr>
            <w:tcW w:w="390" w:type="pct"/>
            <w:tcBorders>
              <w:top w:val="nil"/>
              <w:left w:val="nil"/>
              <w:bottom w:val="single" w:sz="4" w:space="0" w:color="auto"/>
              <w:right w:val="single" w:sz="4" w:space="0" w:color="auto"/>
            </w:tcBorders>
            <w:shd w:val="clear" w:color="000000" w:fill="FDE9D9"/>
            <w:noWrap/>
            <w:vAlign w:val="bottom"/>
            <w:hideMark/>
          </w:tcPr>
          <w:p w14:paraId="16E2D3F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9%</w:t>
            </w:r>
          </w:p>
        </w:tc>
        <w:tc>
          <w:tcPr>
            <w:tcW w:w="406" w:type="pct"/>
            <w:tcBorders>
              <w:top w:val="nil"/>
              <w:left w:val="nil"/>
              <w:bottom w:val="single" w:sz="4" w:space="0" w:color="auto"/>
              <w:right w:val="single" w:sz="4" w:space="0" w:color="auto"/>
            </w:tcBorders>
            <w:shd w:val="clear" w:color="000000" w:fill="F2F2F2"/>
            <w:noWrap/>
            <w:vAlign w:val="bottom"/>
            <w:hideMark/>
          </w:tcPr>
          <w:p w14:paraId="16EB285E"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56784C01"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r>
      <w:tr w:rsidR="00F111FB" w:rsidRPr="0016698E" w14:paraId="55D05484" w14:textId="77777777" w:rsidTr="00AB720F">
        <w:trPr>
          <w:trHeight w:val="247"/>
        </w:trPr>
        <w:tc>
          <w:tcPr>
            <w:tcW w:w="5000" w:type="pct"/>
            <w:gridSpan w:val="14"/>
            <w:tcBorders>
              <w:top w:val="nil"/>
              <w:left w:val="nil"/>
              <w:bottom w:val="nil"/>
              <w:right w:val="single" w:sz="8" w:space="0" w:color="000000"/>
            </w:tcBorders>
            <w:shd w:val="clear" w:color="000000" w:fill="BFBFBF"/>
            <w:noWrap/>
            <w:vAlign w:val="bottom"/>
            <w:hideMark/>
          </w:tcPr>
          <w:p w14:paraId="464EBDB3" w14:textId="77777777" w:rsidR="00F111FB" w:rsidRPr="0016698E" w:rsidRDefault="00F111FB" w:rsidP="00AB720F">
            <w:pPr>
              <w:spacing w:after="0" w:line="240" w:lineRule="auto"/>
              <w:rPr>
                <w:rFonts w:eastAsia="Times New Roman" w:cs="Times New Roman"/>
                <w:b/>
                <w:bCs/>
                <w:color w:val="000000"/>
                <w:lang w:eastAsia="en-AU"/>
              </w:rPr>
            </w:pPr>
            <w:r w:rsidRPr="0016698E">
              <w:rPr>
                <w:rFonts w:eastAsia="Times New Roman" w:cs="Times New Roman"/>
                <w:b/>
                <w:bCs/>
                <w:color w:val="000000"/>
                <w:lang w:eastAsia="en-AU"/>
              </w:rPr>
              <w:t>Year 1</w:t>
            </w:r>
          </w:p>
        </w:tc>
      </w:tr>
      <w:tr w:rsidR="00F111FB" w:rsidRPr="0016698E" w14:paraId="7755856A" w14:textId="77777777" w:rsidTr="00AB720F">
        <w:trPr>
          <w:trHeight w:val="247"/>
        </w:trPr>
        <w:tc>
          <w:tcPr>
            <w:tcW w:w="112" w:type="pct"/>
            <w:tcBorders>
              <w:top w:val="nil"/>
              <w:left w:val="nil"/>
              <w:bottom w:val="nil"/>
              <w:right w:val="nil"/>
            </w:tcBorders>
            <w:shd w:val="clear" w:color="auto" w:fill="auto"/>
            <w:noWrap/>
            <w:vAlign w:val="bottom"/>
            <w:hideMark/>
          </w:tcPr>
          <w:p w14:paraId="344739A6"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2B7B6C26"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38F0B54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464</w:t>
            </w:r>
          </w:p>
        </w:tc>
        <w:tc>
          <w:tcPr>
            <w:tcW w:w="390" w:type="pct"/>
            <w:tcBorders>
              <w:top w:val="nil"/>
              <w:left w:val="nil"/>
              <w:bottom w:val="single" w:sz="4" w:space="0" w:color="auto"/>
              <w:right w:val="single" w:sz="4" w:space="0" w:color="auto"/>
            </w:tcBorders>
            <w:shd w:val="clear" w:color="000000" w:fill="FDE9D9"/>
            <w:noWrap/>
            <w:vAlign w:val="bottom"/>
            <w:hideMark/>
          </w:tcPr>
          <w:p w14:paraId="0567964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660</w:t>
            </w:r>
          </w:p>
        </w:tc>
        <w:tc>
          <w:tcPr>
            <w:tcW w:w="406" w:type="pct"/>
            <w:tcBorders>
              <w:top w:val="nil"/>
              <w:left w:val="nil"/>
              <w:bottom w:val="single" w:sz="4" w:space="0" w:color="auto"/>
              <w:right w:val="single" w:sz="4" w:space="0" w:color="auto"/>
            </w:tcBorders>
            <w:shd w:val="clear" w:color="000000" w:fill="F2F2F2"/>
            <w:noWrap/>
            <w:vAlign w:val="bottom"/>
            <w:hideMark/>
          </w:tcPr>
          <w:p w14:paraId="71FDC736"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998</w:t>
            </w:r>
          </w:p>
        </w:tc>
        <w:tc>
          <w:tcPr>
            <w:tcW w:w="390" w:type="pct"/>
            <w:tcBorders>
              <w:top w:val="nil"/>
              <w:left w:val="nil"/>
              <w:bottom w:val="single" w:sz="4" w:space="0" w:color="auto"/>
              <w:right w:val="single" w:sz="4" w:space="0" w:color="auto"/>
            </w:tcBorders>
            <w:shd w:val="clear" w:color="000000" w:fill="FDE9D9"/>
            <w:noWrap/>
            <w:vAlign w:val="bottom"/>
            <w:hideMark/>
          </w:tcPr>
          <w:p w14:paraId="2FD0482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1072</w:t>
            </w:r>
          </w:p>
        </w:tc>
        <w:tc>
          <w:tcPr>
            <w:tcW w:w="406" w:type="pct"/>
            <w:tcBorders>
              <w:top w:val="nil"/>
              <w:left w:val="nil"/>
              <w:bottom w:val="single" w:sz="4" w:space="0" w:color="auto"/>
              <w:right w:val="single" w:sz="4" w:space="0" w:color="auto"/>
            </w:tcBorders>
            <w:shd w:val="clear" w:color="000000" w:fill="F2F2F2"/>
            <w:noWrap/>
            <w:vAlign w:val="bottom"/>
            <w:hideMark/>
          </w:tcPr>
          <w:p w14:paraId="646C921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2041</w:t>
            </w:r>
          </w:p>
        </w:tc>
        <w:tc>
          <w:tcPr>
            <w:tcW w:w="390" w:type="pct"/>
            <w:tcBorders>
              <w:top w:val="nil"/>
              <w:left w:val="nil"/>
              <w:bottom w:val="single" w:sz="4" w:space="0" w:color="auto"/>
              <w:right w:val="single" w:sz="4" w:space="0" w:color="auto"/>
            </w:tcBorders>
            <w:shd w:val="clear" w:color="000000" w:fill="FDE9D9"/>
            <w:noWrap/>
            <w:vAlign w:val="bottom"/>
            <w:hideMark/>
          </w:tcPr>
          <w:p w14:paraId="342CCC8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1920</w:t>
            </w:r>
          </w:p>
        </w:tc>
        <w:tc>
          <w:tcPr>
            <w:tcW w:w="406" w:type="pct"/>
            <w:tcBorders>
              <w:top w:val="nil"/>
              <w:left w:val="nil"/>
              <w:bottom w:val="single" w:sz="4" w:space="0" w:color="auto"/>
              <w:right w:val="single" w:sz="4" w:space="0" w:color="auto"/>
            </w:tcBorders>
            <w:shd w:val="clear" w:color="000000" w:fill="F2F2F2"/>
            <w:noWrap/>
            <w:vAlign w:val="bottom"/>
            <w:hideMark/>
          </w:tcPr>
          <w:p w14:paraId="35B01B6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1476</w:t>
            </w:r>
          </w:p>
        </w:tc>
        <w:tc>
          <w:tcPr>
            <w:tcW w:w="390" w:type="pct"/>
            <w:tcBorders>
              <w:top w:val="nil"/>
              <w:left w:val="nil"/>
              <w:bottom w:val="single" w:sz="4" w:space="0" w:color="auto"/>
              <w:right w:val="single" w:sz="4" w:space="0" w:color="auto"/>
            </w:tcBorders>
            <w:shd w:val="clear" w:color="000000" w:fill="FDE9D9"/>
            <w:noWrap/>
            <w:vAlign w:val="bottom"/>
            <w:hideMark/>
          </w:tcPr>
          <w:p w14:paraId="40184AF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1010</w:t>
            </w:r>
          </w:p>
        </w:tc>
        <w:tc>
          <w:tcPr>
            <w:tcW w:w="406" w:type="pct"/>
            <w:tcBorders>
              <w:top w:val="nil"/>
              <w:left w:val="nil"/>
              <w:bottom w:val="single" w:sz="4" w:space="0" w:color="auto"/>
              <w:right w:val="single" w:sz="4" w:space="0" w:color="auto"/>
            </w:tcBorders>
            <w:shd w:val="clear" w:color="000000" w:fill="F2F2F2"/>
            <w:noWrap/>
            <w:vAlign w:val="bottom"/>
            <w:hideMark/>
          </w:tcPr>
          <w:p w14:paraId="7F017617"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963</w:t>
            </w:r>
          </w:p>
        </w:tc>
        <w:tc>
          <w:tcPr>
            <w:tcW w:w="390" w:type="pct"/>
            <w:tcBorders>
              <w:top w:val="nil"/>
              <w:left w:val="nil"/>
              <w:bottom w:val="single" w:sz="4" w:space="0" w:color="auto"/>
              <w:right w:val="single" w:sz="4" w:space="0" w:color="auto"/>
            </w:tcBorders>
            <w:shd w:val="clear" w:color="000000" w:fill="FDE9D9"/>
            <w:noWrap/>
            <w:vAlign w:val="bottom"/>
            <w:hideMark/>
          </w:tcPr>
          <w:p w14:paraId="761C5AA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513</w:t>
            </w:r>
          </w:p>
        </w:tc>
        <w:tc>
          <w:tcPr>
            <w:tcW w:w="406" w:type="pct"/>
            <w:tcBorders>
              <w:top w:val="nil"/>
              <w:left w:val="nil"/>
              <w:bottom w:val="single" w:sz="4" w:space="0" w:color="auto"/>
              <w:right w:val="single" w:sz="4" w:space="0" w:color="auto"/>
            </w:tcBorders>
            <w:shd w:val="clear" w:color="000000" w:fill="F2F2F2"/>
            <w:noWrap/>
            <w:vAlign w:val="bottom"/>
            <w:hideMark/>
          </w:tcPr>
          <w:p w14:paraId="38CF5E50"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5942</w:t>
            </w:r>
          </w:p>
        </w:tc>
        <w:tc>
          <w:tcPr>
            <w:tcW w:w="390" w:type="pct"/>
            <w:tcBorders>
              <w:top w:val="nil"/>
              <w:left w:val="nil"/>
              <w:bottom w:val="single" w:sz="4" w:space="0" w:color="auto"/>
              <w:right w:val="single" w:sz="4" w:space="0" w:color="auto"/>
            </w:tcBorders>
            <w:shd w:val="clear" w:color="000000" w:fill="FDE9D9"/>
            <w:noWrap/>
            <w:vAlign w:val="bottom"/>
            <w:hideMark/>
          </w:tcPr>
          <w:p w14:paraId="0661F736"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5175</w:t>
            </w:r>
          </w:p>
        </w:tc>
      </w:tr>
      <w:tr w:rsidR="00F111FB" w:rsidRPr="0016698E" w14:paraId="53AD21CC" w14:textId="77777777" w:rsidTr="00AB720F">
        <w:trPr>
          <w:trHeight w:val="247"/>
        </w:trPr>
        <w:tc>
          <w:tcPr>
            <w:tcW w:w="112" w:type="pct"/>
            <w:tcBorders>
              <w:top w:val="nil"/>
              <w:left w:val="nil"/>
              <w:bottom w:val="nil"/>
              <w:right w:val="nil"/>
            </w:tcBorders>
            <w:shd w:val="clear" w:color="auto" w:fill="auto"/>
            <w:noWrap/>
            <w:vAlign w:val="bottom"/>
            <w:hideMark/>
          </w:tcPr>
          <w:p w14:paraId="26EC398E"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4F68D4C7"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03B7A81E"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8%</w:t>
            </w:r>
          </w:p>
        </w:tc>
        <w:tc>
          <w:tcPr>
            <w:tcW w:w="390" w:type="pct"/>
            <w:tcBorders>
              <w:top w:val="nil"/>
              <w:left w:val="nil"/>
              <w:bottom w:val="single" w:sz="4" w:space="0" w:color="auto"/>
              <w:right w:val="single" w:sz="4" w:space="0" w:color="auto"/>
            </w:tcBorders>
            <w:shd w:val="clear" w:color="000000" w:fill="FDE9D9"/>
            <w:noWrap/>
            <w:vAlign w:val="bottom"/>
            <w:hideMark/>
          </w:tcPr>
          <w:p w14:paraId="37B947D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13%</w:t>
            </w:r>
          </w:p>
        </w:tc>
        <w:tc>
          <w:tcPr>
            <w:tcW w:w="406" w:type="pct"/>
            <w:tcBorders>
              <w:top w:val="nil"/>
              <w:left w:val="nil"/>
              <w:bottom w:val="single" w:sz="4" w:space="0" w:color="auto"/>
              <w:right w:val="single" w:sz="4" w:space="0" w:color="auto"/>
            </w:tcBorders>
            <w:shd w:val="clear" w:color="000000" w:fill="F2F2F2"/>
            <w:noWrap/>
            <w:vAlign w:val="bottom"/>
            <w:hideMark/>
          </w:tcPr>
          <w:p w14:paraId="5A06AF44"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17%</w:t>
            </w:r>
          </w:p>
        </w:tc>
        <w:tc>
          <w:tcPr>
            <w:tcW w:w="390" w:type="pct"/>
            <w:tcBorders>
              <w:top w:val="nil"/>
              <w:left w:val="nil"/>
              <w:bottom w:val="single" w:sz="4" w:space="0" w:color="auto"/>
              <w:right w:val="single" w:sz="4" w:space="0" w:color="auto"/>
            </w:tcBorders>
            <w:shd w:val="clear" w:color="000000" w:fill="FDE9D9"/>
            <w:noWrap/>
            <w:vAlign w:val="bottom"/>
            <w:hideMark/>
          </w:tcPr>
          <w:p w14:paraId="4D7EB691"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21%</w:t>
            </w:r>
          </w:p>
        </w:tc>
        <w:tc>
          <w:tcPr>
            <w:tcW w:w="406" w:type="pct"/>
            <w:tcBorders>
              <w:top w:val="nil"/>
              <w:left w:val="nil"/>
              <w:bottom w:val="single" w:sz="4" w:space="0" w:color="auto"/>
              <w:right w:val="single" w:sz="4" w:space="0" w:color="auto"/>
            </w:tcBorders>
            <w:shd w:val="clear" w:color="000000" w:fill="F2F2F2"/>
            <w:noWrap/>
            <w:vAlign w:val="bottom"/>
            <w:hideMark/>
          </w:tcPr>
          <w:p w14:paraId="112EC3FA"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34%</w:t>
            </w:r>
          </w:p>
        </w:tc>
        <w:tc>
          <w:tcPr>
            <w:tcW w:w="390" w:type="pct"/>
            <w:tcBorders>
              <w:top w:val="nil"/>
              <w:left w:val="nil"/>
              <w:bottom w:val="single" w:sz="4" w:space="0" w:color="auto"/>
              <w:right w:val="single" w:sz="4" w:space="0" w:color="auto"/>
            </w:tcBorders>
            <w:shd w:val="clear" w:color="000000" w:fill="FDE9D9"/>
            <w:noWrap/>
            <w:vAlign w:val="bottom"/>
            <w:hideMark/>
          </w:tcPr>
          <w:p w14:paraId="4A21057E"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37%</w:t>
            </w:r>
          </w:p>
        </w:tc>
        <w:tc>
          <w:tcPr>
            <w:tcW w:w="406" w:type="pct"/>
            <w:tcBorders>
              <w:top w:val="nil"/>
              <w:left w:val="nil"/>
              <w:bottom w:val="single" w:sz="4" w:space="0" w:color="auto"/>
              <w:right w:val="single" w:sz="4" w:space="0" w:color="auto"/>
            </w:tcBorders>
            <w:shd w:val="clear" w:color="000000" w:fill="F2F2F2"/>
            <w:noWrap/>
            <w:vAlign w:val="bottom"/>
            <w:hideMark/>
          </w:tcPr>
          <w:p w14:paraId="6FDC8B0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25%</w:t>
            </w:r>
          </w:p>
        </w:tc>
        <w:tc>
          <w:tcPr>
            <w:tcW w:w="390" w:type="pct"/>
            <w:tcBorders>
              <w:top w:val="nil"/>
              <w:left w:val="nil"/>
              <w:bottom w:val="single" w:sz="4" w:space="0" w:color="auto"/>
              <w:right w:val="single" w:sz="4" w:space="0" w:color="auto"/>
            </w:tcBorders>
            <w:shd w:val="clear" w:color="000000" w:fill="FDE9D9"/>
            <w:noWrap/>
            <w:vAlign w:val="bottom"/>
            <w:hideMark/>
          </w:tcPr>
          <w:p w14:paraId="7ACED76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20%</w:t>
            </w:r>
          </w:p>
        </w:tc>
        <w:tc>
          <w:tcPr>
            <w:tcW w:w="406" w:type="pct"/>
            <w:tcBorders>
              <w:top w:val="nil"/>
              <w:left w:val="nil"/>
              <w:bottom w:val="single" w:sz="4" w:space="0" w:color="auto"/>
              <w:right w:val="single" w:sz="4" w:space="0" w:color="auto"/>
            </w:tcBorders>
            <w:shd w:val="clear" w:color="000000" w:fill="F2F2F2"/>
            <w:noWrap/>
            <w:vAlign w:val="bottom"/>
            <w:hideMark/>
          </w:tcPr>
          <w:p w14:paraId="6C2B2D8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16%</w:t>
            </w:r>
          </w:p>
        </w:tc>
        <w:tc>
          <w:tcPr>
            <w:tcW w:w="390" w:type="pct"/>
            <w:tcBorders>
              <w:top w:val="nil"/>
              <w:left w:val="nil"/>
              <w:bottom w:val="single" w:sz="4" w:space="0" w:color="auto"/>
              <w:right w:val="single" w:sz="4" w:space="0" w:color="auto"/>
            </w:tcBorders>
            <w:shd w:val="clear" w:color="000000" w:fill="FDE9D9"/>
            <w:noWrap/>
            <w:vAlign w:val="bottom"/>
            <w:hideMark/>
          </w:tcPr>
          <w:p w14:paraId="4F7DEE5A"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w:t>
            </w:r>
          </w:p>
        </w:tc>
        <w:tc>
          <w:tcPr>
            <w:tcW w:w="406" w:type="pct"/>
            <w:tcBorders>
              <w:top w:val="nil"/>
              <w:left w:val="nil"/>
              <w:bottom w:val="single" w:sz="4" w:space="0" w:color="auto"/>
              <w:right w:val="single" w:sz="4" w:space="0" w:color="auto"/>
            </w:tcBorders>
            <w:shd w:val="clear" w:color="000000" w:fill="F2F2F2"/>
            <w:noWrap/>
            <w:vAlign w:val="bottom"/>
            <w:hideMark/>
          </w:tcPr>
          <w:p w14:paraId="2D2DE4F6"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54B58B48"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r>
      <w:tr w:rsidR="00F111FB" w:rsidRPr="0016698E" w14:paraId="0E75ABD7" w14:textId="77777777" w:rsidTr="00AB720F">
        <w:trPr>
          <w:trHeight w:val="247"/>
        </w:trPr>
        <w:tc>
          <w:tcPr>
            <w:tcW w:w="5000" w:type="pct"/>
            <w:gridSpan w:val="14"/>
            <w:tcBorders>
              <w:top w:val="nil"/>
              <w:left w:val="nil"/>
              <w:bottom w:val="nil"/>
              <w:right w:val="single" w:sz="8" w:space="0" w:color="000000"/>
            </w:tcBorders>
            <w:shd w:val="clear" w:color="000000" w:fill="BFBFBF"/>
            <w:noWrap/>
            <w:vAlign w:val="bottom"/>
            <w:hideMark/>
          </w:tcPr>
          <w:p w14:paraId="33F66461" w14:textId="77777777" w:rsidR="00F111FB" w:rsidRPr="0016698E" w:rsidRDefault="00F111FB" w:rsidP="00AB720F">
            <w:pPr>
              <w:spacing w:after="0" w:line="240" w:lineRule="auto"/>
              <w:rPr>
                <w:rFonts w:eastAsia="Times New Roman" w:cs="Times New Roman"/>
                <w:b/>
                <w:bCs/>
                <w:color w:val="000000"/>
                <w:lang w:eastAsia="en-AU"/>
              </w:rPr>
            </w:pPr>
            <w:r w:rsidRPr="0016698E">
              <w:rPr>
                <w:rFonts w:eastAsia="Times New Roman" w:cs="Times New Roman"/>
                <w:b/>
                <w:bCs/>
                <w:color w:val="000000"/>
                <w:lang w:eastAsia="en-AU"/>
              </w:rPr>
              <w:t>Year 2</w:t>
            </w:r>
          </w:p>
        </w:tc>
      </w:tr>
      <w:tr w:rsidR="00F111FB" w:rsidRPr="0016698E" w14:paraId="0E75F650" w14:textId="77777777" w:rsidTr="00AB720F">
        <w:trPr>
          <w:trHeight w:val="247"/>
        </w:trPr>
        <w:tc>
          <w:tcPr>
            <w:tcW w:w="112" w:type="pct"/>
            <w:tcBorders>
              <w:top w:val="nil"/>
              <w:left w:val="nil"/>
              <w:bottom w:val="nil"/>
              <w:right w:val="nil"/>
            </w:tcBorders>
            <w:shd w:val="clear" w:color="auto" w:fill="auto"/>
            <w:noWrap/>
            <w:vAlign w:val="bottom"/>
            <w:hideMark/>
          </w:tcPr>
          <w:p w14:paraId="534E1F56"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771503F9"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7C46709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486</w:t>
            </w:r>
          </w:p>
        </w:tc>
        <w:tc>
          <w:tcPr>
            <w:tcW w:w="390" w:type="pct"/>
            <w:tcBorders>
              <w:top w:val="nil"/>
              <w:left w:val="nil"/>
              <w:bottom w:val="single" w:sz="4" w:space="0" w:color="auto"/>
              <w:right w:val="single" w:sz="4" w:space="0" w:color="auto"/>
            </w:tcBorders>
            <w:shd w:val="clear" w:color="000000" w:fill="FDE9D9"/>
            <w:noWrap/>
            <w:vAlign w:val="bottom"/>
            <w:hideMark/>
          </w:tcPr>
          <w:p w14:paraId="3559A0D4"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509</w:t>
            </w:r>
          </w:p>
        </w:tc>
        <w:tc>
          <w:tcPr>
            <w:tcW w:w="406" w:type="pct"/>
            <w:tcBorders>
              <w:top w:val="nil"/>
              <w:left w:val="nil"/>
              <w:bottom w:val="single" w:sz="4" w:space="0" w:color="auto"/>
              <w:right w:val="single" w:sz="4" w:space="0" w:color="auto"/>
            </w:tcBorders>
            <w:shd w:val="clear" w:color="000000" w:fill="F2F2F2"/>
            <w:noWrap/>
            <w:vAlign w:val="bottom"/>
            <w:hideMark/>
          </w:tcPr>
          <w:p w14:paraId="4A7BAE5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1086</w:t>
            </w:r>
          </w:p>
        </w:tc>
        <w:tc>
          <w:tcPr>
            <w:tcW w:w="390" w:type="pct"/>
            <w:tcBorders>
              <w:top w:val="nil"/>
              <w:left w:val="nil"/>
              <w:bottom w:val="single" w:sz="4" w:space="0" w:color="auto"/>
              <w:right w:val="single" w:sz="4" w:space="0" w:color="auto"/>
            </w:tcBorders>
            <w:shd w:val="clear" w:color="000000" w:fill="FDE9D9"/>
            <w:noWrap/>
            <w:vAlign w:val="bottom"/>
            <w:hideMark/>
          </w:tcPr>
          <w:p w14:paraId="05DD45B0"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1013</w:t>
            </w:r>
          </w:p>
        </w:tc>
        <w:tc>
          <w:tcPr>
            <w:tcW w:w="406" w:type="pct"/>
            <w:tcBorders>
              <w:top w:val="nil"/>
              <w:left w:val="nil"/>
              <w:bottom w:val="single" w:sz="4" w:space="0" w:color="auto"/>
              <w:right w:val="single" w:sz="4" w:space="0" w:color="auto"/>
            </w:tcBorders>
            <w:shd w:val="clear" w:color="000000" w:fill="F2F2F2"/>
            <w:noWrap/>
            <w:vAlign w:val="bottom"/>
            <w:hideMark/>
          </w:tcPr>
          <w:p w14:paraId="14C715E1"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2140</w:t>
            </w:r>
          </w:p>
        </w:tc>
        <w:tc>
          <w:tcPr>
            <w:tcW w:w="390" w:type="pct"/>
            <w:tcBorders>
              <w:top w:val="nil"/>
              <w:left w:val="nil"/>
              <w:bottom w:val="single" w:sz="4" w:space="0" w:color="auto"/>
              <w:right w:val="single" w:sz="4" w:space="0" w:color="auto"/>
            </w:tcBorders>
            <w:shd w:val="clear" w:color="000000" w:fill="FDE9D9"/>
            <w:noWrap/>
            <w:vAlign w:val="bottom"/>
            <w:hideMark/>
          </w:tcPr>
          <w:p w14:paraId="349F214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1946</w:t>
            </w:r>
          </w:p>
        </w:tc>
        <w:tc>
          <w:tcPr>
            <w:tcW w:w="406" w:type="pct"/>
            <w:tcBorders>
              <w:top w:val="nil"/>
              <w:left w:val="nil"/>
              <w:bottom w:val="single" w:sz="4" w:space="0" w:color="auto"/>
              <w:right w:val="single" w:sz="4" w:space="0" w:color="auto"/>
            </w:tcBorders>
            <w:shd w:val="clear" w:color="000000" w:fill="F2F2F2"/>
            <w:noWrap/>
            <w:vAlign w:val="bottom"/>
            <w:hideMark/>
          </w:tcPr>
          <w:p w14:paraId="57CC2750"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1568</w:t>
            </w:r>
          </w:p>
        </w:tc>
        <w:tc>
          <w:tcPr>
            <w:tcW w:w="390" w:type="pct"/>
            <w:tcBorders>
              <w:top w:val="nil"/>
              <w:left w:val="nil"/>
              <w:bottom w:val="single" w:sz="4" w:space="0" w:color="auto"/>
              <w:right w:val="single" w:sz="4" w:space="0" w:color="auto"/>
            </w:tcBorders>
            <w:shd w:val="clear" w:color="000000" w:fill="FDE9D9"/>
            <w:noWrap/>
            <w:vAlign w:val="bottom"/>
            <w:hideMark/>
          </w:tcPr>
          <w:p w14:paraId="4E0CFA5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1108</w:t>
            </w:r>
          </w:p>
        </w:tc>
        <w:tc>
          <w:tcPr>
            <w:tcW w:w="406" w:type="pct"/>
            <w:tcBorders>
              <w:top w:val="nil"/>
              <w:left w:val="nil"/>
              <w:bottom w:val="single" w:sz="4" w:space="0" w:color="auto"/>
              <w:right w:val="single" w:sz="4" w:space="0" w:color="auto"/>
            </w:tcBorders>
            <w:shd w:val="clear" w:color="000000" w:fill="F2F2F2"/>
            <w:noWrap/>
            <w:vAlign w:val="bottom"/>
            <w:hideMark/>
          </w:tcPr>
          <w:p w14:paraId="62EC79A6"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1042</w:t>
            </w:r>
          </w:p>
        </w:tc>
        <w:tc>
          <w:tcPr>
            <w:tcW w:w="390" w:type="pct"/>
            <w:tcBorders>
              <w:top w:val="nil"/>
              <w:left w:val="nil"/>
              <w:bottom w:val="single" w:sz="4" w:space="0" w:color="auto"/>
              <w:right w:val="single" w:sz="4" w:space="0" w:color="auto"/>
            </w:tcBorders>
            <w:shd w:val="clear" w:color="000000" w:fill="FDE9D9"/>
            <w:noWrap/>
            <w:vAlign w:val="bottom"/>
            <w:hideMark/>
          </w:tcPr>
          <w:p w14:paraId="2503CF4A"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859</w:t>
            </w:r>
          </w:p>
        </w:tc>
        <w:tc>
          <w:tcPr>
            <w:tcW w:w="406" w:type="pct"/>
            <w:tcBorders>
              <w:top w:val="nil"/>
              <w:left w:val="nil"/>
              <w:bottom w:val="single" w:sz="4" w:space="0" w:color="auto"/>
              <w:right w:val="single" w:sz="4" w:space="0" w:color="auto"/>
            </w:tcBorders>
            <w:shd w:val="clear" w:color="000000" w:fill="F2F2F2"/>
            <w:noWrap/>
            <w:vAlign w:val="bottom"/>
            <w:hideMark/>
          </w:tcPr>
          <w:p w14:paraId="1E3418A3"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6322</w:t>
            </w:r>
          </w:p>
        </w:tc>
        <w:tc>
          <w:tcPr>
            <w:tcW w:w="390" w:type="pct"/>
            <w:tcBorders>
              <w:top w:val="nil"/>
              <w:left w:val="nil"/>
              <w:bottom w:val="single" w:sz="4" w:space="0" w:color="auto"/>
              <w:right w:val="single" w:sz="4" w:space="0" w:color="auto"/>
            </w:tcBorders>
            <w:shd w:val="clear" w:color="000000" w:fill="FDE9D9"/>
            <w:noWrap/>
            <w:vAlign w:val="bottom"/>
            <w:hideMark/>
          </w:tcPr>
          <w:p w14:paraId="4FA1D505"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5435</w:t>
            </w:r>
          </w:p>
        </w:tc>
      </w:tr>
      <w:tr w:rsidR="00F111FB" w:rsidRPr="0016698E" w14:paraId="0BE66822" w14:textId="77777777" w:rsidTr="00AB720F">
        <w:trPr>
          <w:trHeight w:val="247"/>
        </w:trPr>
        <w:tc>
          <w:tcPr>
            <w:tcW w:w="112" w:type="pct"/>
            <w:tcBorders>
              <w:top w:val="nil"/>
              <w:left w:val="nil"/>
              <w:bottom w:val="nil"/>
              <w:right w:val="nil"/>
            </w:tcBorders>
            <w:shd w:val="clear" w:color="auto" w:fill="auto"/>
            <w:noWrap/>
            <w:vAlign w:val="bottom"/>
            <w:hideMark/>
          </w:tcPr>
          <w:p w14:paraId="5E771834"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19E86520"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037C3520"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8%</w:t>
            </w:r>
          </w:p>
        </w:tc>
        <w:tc>
          <w:tcPr>
            <w:tcW w:w="390" w:type="pct"/>
            <w:tcBorders>
              <w:top w:val="nil"/>
              <w:left w:val="nil"/>
              <w:bottom w:val="single" w:sz="4" w:space="0" w:color="auto"/>
              <w:right w:val="single" w:sz="4" w:space="0" w:color="auto"/>
            </w:tcBorders>
            <w:shd w:val="clear" w:color="000000" w:fill="FDE9D9"/>
            <w:noWrap/>
            <w:vAlign w:val="bottom"/>
            <w:hideMark/>
          </w:tcPr>
          <w:p w14:paraId="4F0EBE74"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9%</w:t>
            </w:r>
          </w:p>
        </w:tc>
        <w:tc>
          <w:tcPr>
            <w:tcW w:w="406" w:type="pct"/>
            <w:tcBorders>
              <w:top w:val="nil"/>
              <w:left w:val="nil"/>
              <w:bottom w:val="single" w:sz="4" w:space="0" w:color="auto"/>
              <w:right w:val="single" w:sz="4" w:space="0" w:color="auto"/>
            </w:tcBorders>
            <w:shd w:val="clear" w:color="000000" w:fill="F2F2F2"/>
            <w:noWrap/>
            <w:vAlign w:val="bottom"/>
            <w:hideMark/>
          </w:tcPr>
          <w:p w14:paraId="03AD39F7"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17%</w:t>
            </w:r>
          </w:p>
        </w:tc>
        <w:tc>
          <w:tcPr>
            <w:tcW w:w="390" w:type="pct"/>
            <w:tcBorders>
              <w:top w:val="nil"/>
              <w:left w:val="nil"/>
              <w:bottom w:val="single" w:sz="4" w:space="0" w:color="auto"/>
              <w:right w:val="single" w:sz="4" w:space="0" w:color="auto"/>
            </w:tcBorders>
            <w:shd w:val="clear" w:color="000000" w:fill="FDE9D9"/>
            <w:noWrap/>
            <w:vAlign w:val="bottom"/>
            <w:hideMark/>
          </w:tcPr>
          <w:p w14:paraId="279579B2"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19%</w:t>
            </w:r>
          </w:p>
        </w:tc>
        <w:tc>
          <w:tcPr>
            <w:tcW w:w="406" w:type="pct"/>
            <w:tcBorders>
              <w:top w:val="nil"/>
              <w:left w:val="nil"/>
              <w:bottom w:val="single" w:sz="4" w:space="0" w:color="auto"/>
              <w:right w:val="single" w:sz="4" w:space="0" w:color="auto"/>
            </w:tcBorders>
            <w:shd w:val="clear" w:color="000000" w:fill="F2F2F2"/>
            <w:noWrap/>
            <w:vAlign w:val="bottom"/>
            <w:hideMark/>
          </w:tcPr>
          <w:p w14:paraId="2C6A67A6"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34%</w:t>
            </w:r>
          </w:p>
        </w:tc>
        <w:tc>
          <w:tcPr>
            <w:tcW w:w="390" w:type="pct"/>
            <w:tcBorders>
              <w:top w:val="nil"/>
              <w:left w:val="nil"/>
              <w:bottom w:val="single" w:sz="4" w:space="0" w:color="auto"/>
              <w:right w:val="single" w:sz="4" w:space="0" w:color="auto"/>
            </w:tcBorders>
            <w:shd w:val="clear" w:color="000000" w:fill="FDE9D9"/>
            <w:noWrap/>
            <w:vAlign w:val="bottom"/>
            <w:hideMark/>
          </w:tcPr>
          <w:p w14:paraId="091717C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36%</w:t>
            </w:r>
          </w:p>
        </w:tc>
        <w:tc>
          <w:tcPr>
            <w:tcW w:w="406" w:type="pct"/>
            <w:tcBorders>
              <w:top w:val="nil"/>
              <w:left w:val="nil"/>
              <w:bottom w:val="single" w:sz="4" w:space="0" w:color="auto"/>
              <w:right w:val="single" w:sz="4" w:space="0" w:color="auto"/>
            </w:tcBorders>
            <w:shd w:val="clear" w:color="000000" w:fill="F2F2F2"/>
            <w:noWrap/>
            <w:vAlign w:val="bottom"/>
            <w:hideMark/>
          </w:tcPr>
          <w:p w14:paraId="55F92522"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25%</w:t>
            </w:r>
          </w:p>
        </w:tc>
        <w:tc>
          <w:tcPr>
            <w:tcW w:w="390" w:type="pct"/>
            <w:tcBorders>
              <w:top w:val="nil"/>
              <w:left w:val="nil"/>
              <w:bottom w:val="single" w:sz="4" w:space="0" w:color="auto"/>
              <w:right w:val="single" w:sz="4" w:space="0" w:color="auto"/>
            </w:tcBorders>
            <w:shd w:val="clear" w:color="000000" w:fill="FDE9D9"/>
            <w:noWrap/>
            <w:vAlign w:val="bottom"/>
            <w:hideMark/>
          </w:tcPr>
          <w:p w14:paraId="5212676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20%</w:t>
            </w:r>
          </w:p>
        </w:tc>
        <w:tc>
          <w:tcPr>
            <w:tcW w:w="406" w:type="pct"/>
            <w:tcBorders>
              <w:top w:val="nil"/>
              <w:left w:val="nil"/>
              <w:bottom w:val="single" w:sz="4" w:space="0" w:color="auto"/>
              <w:right w:val="single" w:sz="4" w:space="0" w:color="auto"/>
            </w:tcBorders>
            <w:shd w:val="clear" w:color="000000" w:fill="F2F2F2"/>
            <w:noWrap/>
            <w:vAlign w:val="bottom"/>
            <w:hideMark/>
          </w:tcPr>
          <w:p w14:paraId="2715193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16.5%</w:t>
            </w:r>
          </w:p>
        </w:tc>
        <w:tc>
          <w:tcPr>
            <w:tcW w:w="390" w:type="pct"/>
            <w:tcBorders>
              <w:top w:val="nil"/>
              <w:left w:val="nil"/>
              <w:bottom w:val="single" w:sz="4" w:space="0" w:color="auto"/>
              <w:right w:val="single" w:sz="4" w:space="0" w:color="auto"/>
            </w:tcBorders>
            <w:shd w:val="clear" w:color="000000" w:fill="FDE9D9"/>
            <w:noWrap/>
            <w:vAlign w:val="bottom"/>
            <w:hideMark/>
          </w:tcPr>
          <w:p w14:paraId="6F75C53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15.8%</w:t>
            </w:r>
          </w:p>
        </w:tc>
        <w:tc>
          <w:tcPr>
            <w:tcW w:w="406" w:type="pct"/>
            <w:tcBorders>
              <w:top w:val="nil"/>
              <w:left w:val="nil"/>
              <w:bottom w:val="single" w:sz="4" w:space="0" w:color="auto"/>
              <w:right w:val="single" w:sz="4" w:space="0" w:color="auto"/>
            </w:tcBorders>
            <w:shd w:val="clear" w:color="000000" w:fill="F2F2F2"/>
            <w:noWrap/>
            <w:vAlign w:val="bottom"/>
            <w:hideMark/>
          </w:tcPr>
          <w:p w14:paraId="141BFEEA"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110F1D5E"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r>
      <w:tr w:rsidR="00F111FB" w:rsidRPr="0016698E" w14:paraId="1EFC431F" w14:textId="77777777" w:rsidTr="00AB720F">
        <w:trPr>
          <w:trHeight w:val="247"/>
        </w:trPr>
        <w:tc>
          <w:tcPr>
            <w:tcW w:w="5000" w:type="pct"/>
            <w:gridSpan w:val="14"/>
            <w:tcBorders>
              <w:top w:val="nil"/>
              <w:left w:val="nil"/>
              <w:bottom w:val="nil"/>
              <w:right w:val="single" w:sz="8" w:space="0" w:color="000000"/>
            </w:tcBorders>
            <w:shd w:val="clear" w:color="000000" w:fill="BFBFBF"/>
            <w:noWrap/>
            <w:vAlign w:val="bottom"/>
            <w:hideMark/>
          </w:tcPr>
          <w:p w14:paraId="213590AF" w14:textId="77777777" w:rsidR="00F111FB" w:rsidRPr="0016698E" w:rsidRDefault="00F111FB" w:rsidP="00AB720F">
            <w:pPr>
              <w:spacing w:after="0" w:line="240" w:lineRule="auto"/>
              <w:rPr>
                <w:rFonts w:eastAsia="Times New Roman" w:cs="Times New Roman"/>
                <w:b/>
                <w:bCs/>
                <w:color w:val="000000"/>
                <w:lang w:eastAsia="en-AU"/>
              </w:rPr>
            </w:pPr>
            <w:r w:rsidRPr="0016698E">
              <w:rPr>
                <w:rFonts w:eastAsia="Times New Roman" w:cs="Times New Roman"/>
                <w:b/>
                <w:bCs/>
                <w:color w:val="000000"/>
                <w:lang w:eastAsia="en-AU"/>
              </w:rPr>
              <w:t>Year 3</w:t>
            </w:r>
          </w:p>
        </w:tc>
      </w:tr>
      <w:tr w:rsidR="00F111FB" w:rsidRPr="0016698E" w14:paraId="0551E180" w14:textId="77777777" w:rsidTr="00AB720F">
        <w:trPr>
          <w:trHeight w:val="247"/>
        </w:trPr>
        <w:tc>
          <w:tcPr>
            <w:tcW w:w="112" w:type="pct"/>
            <w:tcBorders>
              <w:top w:val="nil"/>
              <w:left w:val="nil"/>
              <w:bottom w:val="nil"/>
              <w:right w:val="nil"/>
            </w:tcBorders>
            <w:shd w:val="clear" w:color="auto" w:fill="auto"/>
            <w:noWrap/>
            <w:vAlign w:val="bottom"/>
            <w:hideMark/>
          </w:tcPr>
          <w:p w14:paraId="4EA7C2EB"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14ED963A"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79A8F546"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275</w:t>
            </w:r>
          </w:p>
        </w:tc>
        <w:tc>
          <w:tcPr>
            <w:tcW w:w="390" w:type="pct"/>
            <w:tcBorders>
              <w:top w:val="nil"/>
              <w:left w:val="nil"/>
              <w:bottom w:val="single" w:sz="4" w:space="0" w:color="auto"/>
              <w:right w:val="single" w:sz="4" w:space="0" w:color="auto"/>
            </w:tcBorders>
            <w:shd w:val="clear" w:color="000000" w:fill="FDE9D9"/>
            <w:noWrap/>
            <w:vAlign w:val="bottom"/>
            <w:hideMark/>
          </w:tcPr>
          <w:p w14:paraId="61D6863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351</w:t>
            </w:r>
          </w:p>
        </w:tc>
        <w:tc>
          <w:tcPr>
            <w:tcW w:w="406" w:type="pct"/>
            <w:tcBorders>
              <w:top w:val="nil"/>
              <w:left w:val="nil"/>
              <w:bottom w:val="single" w:sz="4" w:space="0" w:color="auto"/>
              <w:right w:val="single" w:sz="4" w:space="0" w:color="auto"/>
            </w:tcBorders>
            <w:shd w:val="clear" w:color="000000" w:fill="F2F2F2"/>
            <w:noWrap/>
            <w:vAlign w:val="bottom"/>
            <w:hideMark/>
          </w:tcPr>
          <w:p w14:paraId="7DE7317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814</w:t>
            </w:r>
          </w:p>
        </w:tc>
        <w:tc>
          <w:tcPr>
            <w:tcW w:w="390" w:type="pct"/>
            <w:tcBorders>
              <w:top w:val="nil"/>
              <w:left w:val="nil"/>
              <w:bottom w:val="single" w:sz="4" w:space="0" w:color="auto"/>
              <w:right w:val="single" w:sz="4" w:space="0" w:color="auto"/>
            </w:tcBorders>
            <w:shd w:val="clear" w:color="000000" w:fill="FDE9D9"/>
            <w:noWrap/>
            <w:vAlign w:val="bottom"/>
            <w:hideMark/>
          </w:tcPr>
          <w:p w14:paraId="29615B07"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943</w:t>
            </w:r>
          </w:p>
        </w:tc>
        <w:tc>
          <w:tcPr>
            <w:tcW w:w="406" w:type="pct"/>
            <w:tcBorders>
              <w:top w:val="nil"/>
              <w:left w:val="nil"/>
              <w:bottom w:val="single" w:sz="4" w:space="0" w:color="auto"/>
              <w:right w:val="single" w:sz="4" w:space="0" w:color="auto"/>
            </w:tcBorders>
            <w:shd w:val="clear" w:color="000000" w:fill="F2F2F2"/>
            <w:noWrap/>
            <w:vAlign w:val="bottom"/>
            <w:hideMark/>
          </w:tcPr>
          <w:p w14:paraId="16EDE96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2117</w:t>
            </w:r>
          </w:p>
        </w:tc>
        <w:tc>
          <w:tcPr>
            <w:tcW w:w="390" w:type="pct"/>
            <w:tcBorders>
              <w:top w:val="nil"/>
              <w:left w:val="nil"/>
              <w:bottom w:val="single" w:sz="4" w:space="0" w:color="auto"/>
              <w:right w:val="single" w:sz="4" w:space="0" w:color="auto"/>
            </w:tcBorders>
            <w:shd w:val="clear" w:color="000000" w:fill="FDE9D9"/>
            <w:noWrap/>
            <w:vAlign w:val="bottom"/>
            <w:hideMark/>
          </w:tcPr>
          <w:p w14:paraId="401F96F7"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2275</w:t>
            </w:r>
          </w:p>
        </w:tc>
        <w:tc>
          <w:tcPr>
            <w:tcW w:w="406" w:type="pct"/>
            <w:tcBorders>
              <w:top w:val="nil"/>
              <w:left w:val="nil"/>
              <w:bottom w:val="single" w:sz="4" w:space="0" w:color="auto"/>
              <w:right w:val="single" w:sz="4" w:space="0" w:color="auto"/>
            </w:tcBorders>
            <w:shd w:val="clear" w:color="000000" w:fill="F2F2F2"/>
            <w:noWrap/>
            <w:vAlign w:val="bottom"/>
            <w:hideMark/>
          </w:tcPr>
          <w:p w14:paraId="16EF6251"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1682</w:t>
            </w:r>
          </w:p>
        </w:tc>
        <w:tc>
          <w:tcPr>
            <w:tcW w:w="390" w:type="pct"/>
            <w:tcBorders>
              <w:top w:val="nil"/>
              <w:left w:val="nil"/>
              <w:bottom w:val="single" w:sz="4" w:space="0" w:color="auto"/>
              <w:right w:val="single" w:sz="4" w:space="0" w:color="auto"/>
            </w:tcBorders>
            <w:shd w:val="clear" w:color="000000" w:fill="FDE9D9"/>
            <w:noWrap/>
            <w:vAlign w:val="bottom"/>
            <w:hideMark/>
          </w:tcPr>
          <w:p w14:paraId="789B7612"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1153</w:t>
            </w:r>
          </w:p>
        </w:tc>
        <w:tc>
          <w:tcPr>
            <w:tcW w:w="406" w:type="pct"/>
            <w:tcBorders>
              <w:top w:val="nil"/>
              <w:left w:val="nil"/>
              <w:bottom w:val="single" w:sz="4" w:space="0" w:color="auto"/>
              <w:right w:val="single" w:sz="4" w:space="0" w:color="auto"/>
            </w:tcBorders>
            <w:shd w:val="clear" w:color="000000" w:fill="F2F2F2"/>
            <w:noWrap/>
            <w:vAlign w:val="bottom"/>
            <w:hideMark/>
          </w:tcPr>
          <w:p w14:paraId="7F0D76AA"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1468</w:t>
            </w:r>
          </w:p>
        </w:tc>
        <w:tc>
          <w:tcPr>
            <w:tcW w:w="390" w:type="pct"/>
            <w:tcBorders>
              <w:top w:val="nil"/>
              <w:left w:val="nil"/>
              <w:bottom w:val="single" w:sz="4" w:space="0" w:color="auto"/>
              <w:right w:val="single" w:sz="4" w:space="0" w:color="auto"/>
            </w:tcBorders>
            <w:shd w:val="clear" w:color="000000" w:fill="FDE9D9"/>
            <w:noWrap/>
            <w:vAlign w:val="bottom"/>
            <w:hideMark/>
          </w:tcPr>
          <w:p w14:paraId="428E47C7"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703</w:t>
            </w:r>
          </w:p>
        </w:tc>
        <w:tc>
          <w:tcPr>
            <w:tcW w:w="406" w:type="pct"/>
            <w:tcBorders>
              <w:top w:val="nil"/>
              <w:left w:val="nil"/>
              <w:bottom w:val="single" w:sz="4" w:space="0" w:color="auto"/>
              <w:right w:val="single" w:sz="4" w:space="0" w:color="auto"/>
            </w:tcBorders>
            <w:shd w:val="clear" w:color="000000" w:fill="F2F2F2"/>
            <w:noWrap/>
            <w:vAlign w:val="bottom"/>
            <w:hideMark/>
          </w:tcPr>
          <w:p w14:paraId="6764660C"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6356</w:t>
            </w:r>
          </w:p>
        </w:tc>
        <w:tc>
          <w:tcPr>
            <w:tcW w:w="390" w:type="pct"/>
            <w:tcBorders>
              <w:top w:val="nil"/>
              <w:left w:val="nil"/>
              <w:bottom w:val="single" w:sz="4" w:space="0" w:color="auto"/>
              <w:right w:val="single" w:sz="4" w:space="0" w:color="auto"/>
            </w:tcBorders>
            <w:shd w:val="clear" w:color="000000" w:fill="FDE9D9"/>
            <w:noWrap/>
            <w:vAlign w:val="bottom"/>
            <w:hideMark/>
          </w:tcPr>
          <w:p w14:paraId="11ABC283"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5425</w:t>
            </w:r>
          </w:p>
        </w:tc>
      </w:tr>
      <w:tr w:rsidR="00F111FB" w:rsidRPr="0016698E" w14:paraId="3DF38B7E" w14:textId="77777777" w:rsidTr="00AB720F">
        <w:trPr>
          <w:trHeight w:val="247"/>
        </w:trPr>
        <w:tc>
          <w:tcPr>
            <w:tcW w:w="112" w:type="pct"/>
            <w:tcBorders>
              <w:top w:val="nil"/>
              <w:left w:val="nil"/>
              <w:bottom w:val="nil"/>
              <w:right w:val="nil"/>
            </w:tcBorders>
            <w:shd w:val="clear" w:color="auto" w:fill="auto"/>
            <w:noWrap/>
            <w:vAlign w:val="bottom"/>
            <w:hideMark/>
          </w:tcPr>
          <w:p w14:paraId="3144B109"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33486F53"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7CE3A0C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w:t>
            </w:r>
          </w:p>
        </w:tc>
        <w:tc>
          <w:tcPr>
            <w:tcW w:w="390" w:type="pct"/>
            <w:tcBorders>
              <w:top w:val="nil"/>
              <w:left w:val="nil"/>
              <w:bottom w:val="single" w:sz="4" w:space="0" w:color="auto"/>
              <w:right w:val="single" w:sz="4" w:space="0" w:color="auto"/>
            </w:tcBorders>
            <w:shd w:val="clear" w:color="000000" w:fill="FDE9D9"/>
            <w:noWrap/>
            <w:vAlign w:val="bottom"/>
            <w:hideMark/>
          </w:tcPr>
          <w:p w14:paraId="439D275A"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6%</w:t>
            </w:r>
          </w:p>
        </w:tc>
        <w:tc>
          <w:tcPr>
            <w:tcW w:w="406" w:type="pct"/>
            <w:tcBorders>
              <w:top w:val="nil"/>
              <w:left w:val="nil"/>
              <w:bottom w:val="single" w:sz="4" w:space="0" w:color="auto"/>
              <w:right w:val="single" w:sz="4" w:space="0" w:color="auto"/>
            </w:tcBorders>
            <w:shd w:val="clear" w:color="000000" w:fill="F2F2F2"/>
            <w:noWrap/>
            <w:vAlign w:val="bottom"/>
            <w:hideMark/>
          </w:tcPr>
          <w:p w14:paraId="7EFB6EC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13%</w:t>
            </w:r>
          </w:p>
        </w:tc>
        <w:tc>
          <w:tcPr>
            <w:tcW w:w="390" w:type="pct"/>
            <w:tcBorders>
              <w:top w:val="nil"/>
              <w:left w:val="nil"/>
              <w:bottom w:val="single" w:sz="4" w:space="0" w:color="auto"/>
              <w:right w:val="single" w:sz="4" w:space="0" w:color="auto"/>
            </w:tcBorders>
            <w:shd w:val="clear" w:color="000000" w:fill="FDE9D9"/>
            <w:noWrap/>
            <w:vAlign w:val="bottom"/>
            <w:hideMark/>
          </w:tcPr>
          <w:p w14:paraId="0ED696C7"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17%</w:t>
            </w:r>
          </w:p>
        </w:tc>
        <w:tc>
          <w:tcPr>
            <w:tcW w:w="406" w:type="pct"/>
            <w:tcBorders>
              <w:top w:val="nil"/>
              <w:left w:val="nil"/>
              <w:bottom w:val="single" w:sz="4" w:space="0" w:color="auto"/>
              <w:right w:val="single" w:sz="4" w:space="0" w:color="auto"/>
            </w:tcBorders>
            <w:shd w:val="clear" w:color="000000" w:fill="F2F2F2"/>
            <w:noWrap/>
            <w:vAlign w:val="bottom"/>
            <w:hideMark/>
          </w:tcPr>
          <w:p w14:paraId="5962FDC6"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33%</w:t>
            </w:r>
          </w:p>
        </w:tc>
        <w:tc>
          <w:tcPr>
            <w:tcW w:w="390" w:type="pct"/>
            <w:tcBorders>
              <w:top w:val="nil"/>
              <w:left w:val="nil"/>
              <w:bottom w:val="single" w:sz="4" w:space="0" w:color="auto"/>
              <w:right w:val="single" w:sz="4" w:space="0" w:color="auto"/>
            </w:tcBorders>
            <w:shd w:val="clear" w:color="000000" w:fill="FDE9D9"/>
            <w:noWrap/>
            <w:vAlign w:val="bottom"/>
            <w:hideMark/>
          </w:tcPr>
          <w:p w14:paraId="45AE7896"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42%</w:t>
            </w:r>
          </w:p>
        </w:tc>
        <w:tc>
          <w:tcPr>
            <w:tcW w:w="406" w:type="pct"/>
            <w:tcBorders>
              <w:top w:val="nil"/>
              <w:left w:val="nil"/>
              <w:bottom w:val="single" w:sz="4" w:space="0" w:color="auto"/>
              <w:right w:val="single" w:sz="4" w:space="0" w:color="auto"/>
            </w:tcBorders>
            <w:shd w:val="clear" w:color="000000" w:fill="F2F2F2"/>
            <w:noWrap/>
            <w:vAlign w:val="bottom"/>
            <w:hideMark/>
          </w:tcPr>
          <w:p w14:paraId="5154DC4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26%</w:t>
            </w:r>
          </w:p>
        </w:tc>
        <w:tc>
          <w:tcPr>
            <w:tcW w:w="390" w:type="pct"/>
            <w:tcBorders>
              <w:top w:val="nil"/>
              <w:left w:val="nil"/>
              <w:bottom w:val="single" w:sz="4" w:space="0" w:color="auto"/>
              <w:right w:val="single" w:sz="4" w:space="0" w:color="auto"/>
            </w:tcBorders>
            <w:shd w:val="clear" w:color="000000" w:fill="FDE9D9"/>
            <w:noWrap/>
            <w:vAlign w:val="bottom"/>
            <w:hideMark/>
          </w:tcPr>
          <w:p w14:paraId="3F94263A"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21%</w:t>
            </w:r>
          </w:p>
        </w:tc>
        <w:tc>
          <w:tcPr>
            <w:tcW w:w="406" w:type="pct"/>
            <w:tcBorders>
              <w:top w:val="nil"/>
              <w:left w:val="nil"/>
              <w:bottom w:val="single" w:sz="4" w:space="0" w:color="auto"/>
              <w:right w:val="single" w:sz="4" w:space="0" w:color="auto"/>
            </w:tcBorders>
            <w:shd w:val="clear" w:color="000000" w:fill="F2F2F2"/>
            <w:noWrap/>
            <w:vAlign w:val="bottom"/>
            <w:hideMark/>
          </w:tcPr>
          <w:p w14:paraId="318B580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23%</w:t>
            </w:r>
          </w:p>
        </w:tc>
        <w:tc>
          <w:tcPr>
            <w:tcW w:w="390" w:type="pct"/>
            <w:tcBorders>
              <w:top w:val="nil"/>
              <w:left w:val="nil"/>
              <w:bottom w:val="single" w:sz="4" w:space="0" w:color="auto"/>
              <w:right w:val="single" w:sz="4" w:space="0" w:color="auto"/>
            </w:tcBorders>
            <w:shd w:val="clear" w:color="000000" w:fill="FDE9D9"/>
            <w:noWrap/>
            <w:vAlign w:val="bottom"/>
            <w:hideMark/>
          </w:tcPr>
          <w:p w14:paraId="49BC35DE"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13%</w:t>
            </w:r>
          </w:p>
        </w:tc>
        <w:tc>
          <w:tcPr>
            <w:tcW w:w="406" w:type="pct"/>
            <w:tcBorders>
              <w:top w:val="nil"/>
              <w:left w:val="nil"/>
              <w:bottom w:val="single" w:sz="4" w:space="0" w:color="auto"/>
              <w:right w:val="single" w:sz="4" w:space="0" w:color="auto"/>
            </w:tcBorders>
            <w:shd w:val="clear" w:color="000000" w:fill="F2F2F2"/>
            <w:noWrap/>
            <w:vAlign w:val="bottom"/>
            <w:hideMark/>
          </w:tcPr>
          <w:p w14:paraId="546B6A20"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37D33DB8"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r>
      <w:tr w:rsidR="00F111FB" w:rsidRPr="0016698E" w14:paraId="52C00525" w14:textId="77777777" w:rsidTr="00AB720F">
        <w:trPr>
          <w:trHeight w:val="247"/>
        </w:trPr>
        <w:tc>
          <w:tcPr>
            <w:tcW w:w="5000" w:type="pct"/>
            <w:gridSpan w:val="14"/>
            <w:tcBorders>
              <w:top w:val="nil"/>
              <w:left w:val="nil"/>
              <w:bottom w:val="nil"/>
              <w:right w:val="single" w:sz="8" w:space="0" w:color="000000"/>
            </w:tcBorders>
            <w:shd w:val="clear" w:color="000000" w:fill="BFBFBF"/>
            <w:noWrap/>
            <w:vAlign w:val="bottom"/>
            <w:hideMark/>
          </w:tcPr>
          <w:p w14:paraId="433B3DD6" w14:textId="77777777" w:rsidR="00F111FB" w:rsidRPr="0016698E" w:rsidRDefault="00F111FB" w:rsidP="00AB720F">
            <w:pPr>
              <w:spacing w:after="0" w:line="240" w:lineRule="auto"/>
              <w:rPr>
                <w:rFonts w:eastAsia="Times New Roman" w:cs="Times New Roman"/>
                <w:b/>
                <w:bCs/>
                <w:color w:val="000000"/>
                <w:lang w:eastAsia="en-AU"/>
              </w:rPr>
            </w:pPr>
            <w:r w:rsidRPr="0016698E">
              <w:rPr>
                <w:rFonts w:eastAsia="Times New Roman" w:cs="Times New Roman"/>
                <w:b/>
                <w:bCs/>
                <w:color w:val="000000"/>
                <w:lang w:eastAsia="en-AU"/>
              </w:rPr>
              <w:t>Year 4</w:t>
            </w:r>
          </w:p>
        </w:tc>
      </w:tr>
      <w:tr w:rsidR="00F111FB" w:rsidRPr="0016698E" w14:paraId="5FB0100D" w14:textId="77777777" w:rsidTr="00AB720F">
        <w:trPr>
          <w:trHeight w:val="247"/>
        </w:trPr>
        <w:tc>
          <w:tcPr>
            <w:tcW w:w="112" w:type="pct"/>
            <w:tcBorders>
              <w:top w:val="nil"/>
              <w:left w:val="nil"/>
              <w:bottom w:val="nil"/>
              <w:right w:val="nil"/>
            </w:tcBorders>
            <w:shd w:val="clear" w:color="auto" w:fill="auto"/>
            <w:noWrap/>
            <w:vAlign w:val="bottom"/>
            <w:hideMark/>
          </w:tcPr>
          <w:p w14:paraId="2B924472"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25588163"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4F6880B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271</w:t>
            </w:r>
          </w:p>
        </w:tc>
        <w:tc>
          <w:tcPr>
            <w:tcW w:w="390" w:type="pct"/>
            <w:tcBorders>
              <w:top w:val="nil"/>
              <w:left w:val="nil"/>
              <w:bottom w:val="single" w:sz="4" w:space="0" w:color="auto"/>
              <w:right w:val="single" w:sz="4" w:space="0" w:color="auto"/>
            </w:tcBorders>
            <w:shd w:val="clear" w:color="000000" w:fill="FDE9D9"/>
            <w:noWrap/>
            <w:vAlign w:val="bottom"/>
            <w:hideMark/>
          </w:tcPr>
          <w:p w14:paraId="771FC154"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341</w:t>
            </w:r>
          </w:p>
        </w:tc>
        <w:tc>
          <w:tcPr>
            <w:tcW w:w="406" w:type="pct"/>
            <w:tcBorders>
              <w:top w:val="nil"/>
              <w:left w:val="nil"/>
              <w:bottom w:val="single" w:sz="4" w:space="0" w:color="auto"/>
              <w:right w:val="single" w:sz="4" w:space="0" w:color="auto"/>
            </w:tcBorders>
            <w:shd w:val="clear" w:color="000000" w:fill="F2F2F2"/>
            <w:noWrap/>
            <w:vAlign w:val="bottom"/>
            <w:hideMark/>
          </w:tcPr>
          <w:p w14:paraId="1848983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853</w:t>
            </w:r>
          </w:p>
        </w:tc>
        <w:tc>
          <w:tcPr>
            <w:tcW w:w="390" w:type="pct"/>
            <w:tcBorders>
              <w:top w:val="nil"/>
              <w:left w:val="nil"/>
              <w:bottom w:val="single" w:sz="4" w:space="0" w:color="auto"/>
              <w:right w:val="single" w:sz="4" w:space="0" w:color="auto"/>
            </w:tcBorders>
            <w:shd w:val="clear" w:color="000000" w:fill="FDE9D9"/>
            <w:noWrap/>
            <w:vAlign w:val="bottom"/>
            <w:hideMark/>
          </w:tcPr>
          <w:p w14:paraId="34047AF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980</w:t>
            </w:r>
          </w:p>
        </w:tc>
        <w:tc>
          <w:tcPr>
            <w:tcW w:w="406" w:type="pct"/>
            <w:tcBorders>
              <w:top w:val="nil"/>
              <w:left w:val="nil"/>
              <w:bottom w:val="single" w:sz="4" w:space="0" w:color="auto"/>
              <w:right w:val="single" w:sz="4" w:space="0" w:color="auto"/>
            </w:tcBorders>
            <w:shd w:val="clear" w:color="000000" w:fill="F2F2F2"/>
            <w:noWrap/>
            <w:vAlign w:val="bottom"/>
            <w:hideMark/>
          </w:tcPr>
          <w:p w14:paraId="2AEEB27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2226</w:t>
            </w:r>
          </w:p>
        </w:tc>
        <w:tc>
          <w:tcPr>
            <w:tcW w:w="390" w:type="pct"/>
            <w:tcBorders>
              <w:top w:val="nil"/>
              <w:left w:val="nil"/>
              <w:bottom w:val="single" w:sz="4" w:space="0" w:color="auto"/>
              <w:right w:val="single" w:sz="4" w:space="0" w:color="auto"/>
            </w:tcBorders>
            <w:shd w:val="clear" w:color="000000" w:fill="FDE9D9"/>
            <w:noWrap/>
            <w:vAlign w:val="bottom"/>
            <w:hideMark/>
          </w:tcPr>
          <w:p w14:paraId="224183C8"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2063</w:t>
            </w:r>
          </w:p>
        </w:tc>
        <w:tc>
          <w:tcPr>
            <w:tcW w:w="406" w:type="pct"/>
            <w:tcBorders>
              <w:top w:val="nil"/>
              <w:left w:val="nil"/>
              <w:bottom w:val="single" w:sz="4" w:space="0" w:color="auto"/>
              <w:right w:val="single" w:sz="4" w:space="0" w:color="auto"/>
            </w:tcBorders>
            <w:shd w:val="clear" w:color="000000" w:fill="F2F2F2"/>
            <w:noWrap/>
            <w:vAlign w:val="bottom"/>
            <w:hideMark/>
          </w:tcPr>
          <w:p w14:paraId="46694F7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1510</w:t>
            </w:r>
          </w:p>
        </w:tc>
        <w:tc>
          <w:tcPr>
            <w:tcW w:w="390" w:type="pct"/>
            <w:tcBorders>
              <w:top w:val="nil"/>
              <w:left w:val="nil"/>
              <w:bottom w:val="single" w:sz="4" w:space="0" w:color="auto"/>
              <w:right w:val="single" w:sz="4" w:space="0" w:color="auto"/>
            </w:tcBorders>
            <w:shd w:val="clear" w:color="000000" w:fill="FDE9D9"/>
            <w:noWrap/>
            <w:vAlign w:val="bottom"/>
            <w:hideMark/>
          </w:tcPr>
          <w:p w14:paraId="511B8BA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1112</w:t>
            </w:r>
          </w:p>
        </w:tc>
        <w:tc>
          <w:tcPr>
            <w:tcW w:w="406" w:type="pct"/>
            <w:tcBorders>
              <w:top w:val="nil"/>
              <w:left w:val="nil"/>
              <w:bottom w:val="single" w:sz="4" w:space="0" w:color="auto"/>
              <w:right w:val="single" w:sz="4" w:space="0" w:color="auto"/>
            </w:tcBorders>
            <w:shd w:val="clear" w:color="000000" w:fill="F2F2F2"/>
            <w:noWrap/>
            <w:vAlign w:val="bottom"/>
            <w:hideMark/>
          </w:tcPr>
          <w:p w14:paraId="28CA9C88"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1141</w:t>
            </w:r>
          </w:p>
        </w:tc>
        <w:tc>
          <w:tcPr>
            <w:tcW w:w="390" w:type="pct"/>
            <w:tcBorders>
              <w:top w:val="nil"/>
              <w:left w:val="nil"/>
              <w:bottom w:val="single" w:sz="4" w:space="0" w:color="auto"/>
              <w:right w:val="single" w:sz="4" w:space="0" w:color="auto"/>
            </w:tcBorders>
            <w:shd w:val="clear" w:color="000000" w:fill="FDE9D9"/>
            <w:noWrap/>
            <w:vAlign w:val="bottom"/>
            <w:hideMark/>
          </w:tcPr>
          <w:p w14:paraId="7FE3CCB8"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613</w:t>
            </w:r>
          </w:p>
        </w:tc>
        <w:tc>
          <w:tcPr>
            <w:tcW w:w="406" w:type="pct"/>
            <w:tcBorders>
              <w:top w:val="nil"/>
              <w:left w:val="nil"/>
              <w:bottom w:val="single" w:sz="4" w:space="0" w:color="auto"/>
              <w:right w:val="single" w:sz="4" w:space="0" w:color="auto"/>
            </w:tcBorders>
            <w:shd w:val="clear" w:color="000000" w:fill="F2F2F2"/>
            <w:noWrap/>
            <w:vAlign w:val="bottom"/>
            <w:hideMark/>
          </w:tcPr>
          <w:p w14:paraId="61319B57"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6001</w:t>
            </w:r>
          </w:p>
        </w:tc>
        <w:tc>
          <w:tcPr>
            <w:tcW w:w="390" w:type="pct"/>
            <w:tcBorders>
              <w:top w:val="nil"/>
              <w:left w:val="nil"/>
              <w:bottom w:val="single" w:sz="4" w:space="0" w:color="auto"/>
              <w:right w:val="single" w:sz="8" w:space="0" w:color="auto"/>
            </w:tcBorders>
            <w:shd w:val="clear" w:color="000000" w:fill="FDE9D9"/>
            <w:noWrap/>
            <w:vAlign w:val="bottom"/>
            <w:hideMark/>
          </w:tcPr>
          <w:p w14:paraId="4721330B"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5109</w:t>
            </w:r>
          </w:p>
        </w:tc>
      </w:tr>
      <w:tr w:rsidR="00F111FB" w:rsidRPr="0016698E" w14:paraId="1A21A122" w14:textId="77777777" w:rsidTr="00AB720F">
        <w:trPr>
          <w:trHeight w:val="247"/>
        </w:trPr>
        <w:tc>
          <w:tcPr>
            <w:tcW w:w="112" w:type="pct"/>
            <w:tcBorders>
              <w:top w:val="nil"/>
              <w:left w:val="nil"/>
              <w:bottom w:val="nil"/>
              <w:right w:val="nil"/>
            </w:tcBorders>
            <w:shd w:val="clear" w:color="auto" w:fill="auto"/>
            <w:noWrap/>
            <w:vAlign w:val="bottom"/>
            <w:hideMark/>
          </w:tcPr>
          <w:p w14:paraId="0064A183"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2F94C973"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7A0116B8"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5%</w:t>
            </w:r>
          </w:p>
        </w:tc>
        <w:tc>
          <w:tcPr>
            <w:tcW w:w="390" w:type="pct"/>
            <w:tcBorders>
              <w:top w:val="nil"/>
              <w:left w:val="nil"/>
              <w:bottom w:val="single" w:sz="4" w:space="0" w:color="auto"/>
              <w:right w:val="single" w:sz="4" w:space="0" w:color="auto"/>
            </w:tcBorders>
            <w:shd w:val="clear" w:color="000000" w:fill="FDE9D9"/>
            <w:noWrap/>
            <w:vAlign w:val="bottom"/>
            <w:hideMark/>
          </w:tcPr>
          <w:p w14:paraId="16D1862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7%</w:t>
            </w:r>
          </w:p>
        </w:tc>
        <w:tc>
          <w:tcPr>
            <w:tcW w:w="406" w:type="pct"/>
            <w:tcBorders>
              <w:top w:val="nil"/>
              <w:left w:val="nil"/>
              <w:bottom w:val="single" w:sz="4" w:space="0" w:color="auto"/>
              <w:right w:val="single" w:sz="4" w:space="0" w:color="auto"/>
            </w:tcBorders>
            <w:shd w:val="clear" w:color="000000" w:fill="F2F2F2"/>
            <w:noWrap/>
            <w:vAlign w:val="bottom"/>
            <w:hideMark/>
          </w:tcPr>
          <w:p w14:paraId="7F157DEE"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14%</w:t>
            </w:r>
          </w:p>
        </w:tc>
        <w:tc>
          <w:tcPr>
            <w:tcW w:w="390" w:type="pct"/>
            <w:tcBorders>
              <w:top w:val="nil"/>
              <w:left w:val="nil"/>
              <w:bottom w:val="single" w:sz="4" w:space="0" w:color="auto"/>
              <w:right w:val="single" w:sz="4" w:space="0" w:color="auto"/>
            </w:tcBorders>
            <w:shd w:val="clear" w:color="000000" w:fill="FDE9D9"/>
            <w:noWrap/>
            <w:vAlign w:val="bottom"/>
            <w:hideMark/>
          </w:tcPr>
          <w:p w14:paraId="768D10E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19%</w:t>
            </w:r>
          </w:p>
        </w:tc>
        <w:tc>
          <w:tcPr>
            <w:tcW w:w="406" w:type="pct"/>
            <w:tcBorders>
              <w:top w:val="nil"/>
              <w:left w:val="nil"/>
              <w:bottom w:val="single" w:sz="4" w:space="0" w:color="auto"/>
              <w:right w:val="single" w:sz="4" w:space="0" w:color="auto"/>
            </w:tcBorders>
            <w:shd w:val="clear" w:color="000000" w:fill="F2F2F2"/>
            <w:noWrap/>
            <w:vAlign w:val="bottom"/>
            <w:hideMark/>
          </w:tcPr>
          <w:p w14:paraId="1CCDD75E"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37%</w:t>
            </w:r>
          </w:p>
        </w:tc>
        <w:tc>
          <w:tcPr>
            <w:tcW w:w="390" w:type="pct"/>
            <w:tcBorders>
              <w:top w:val="nil"/>
              <w:left w:val="nil"/>
              <w:bottom w:val="single" w:sz="4" w:space="0" w:color="auto"/>
              <w:right w:val="single" w:sz="4" w:space="0" w:color="auto"/>
            </w:tcBorders>
            <w:shd w:val="clear" w:color="000000" w:fill="F2F2F2"/>
            <w:noWrap/>
            <w:vAlign w:val="bottom"/>
            <w:hideMark/>
          </w:tcPr>
          <w:p w14:paraId="1FCBF137"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40%</w:t>
            </w:r>
          </w:p>
        </w:tc>
        <w:tc>
          <w:tcPr>
            <w:tcW w:w="406" w:type="pct"/>
            <w:tcBorders>
              <w:top w:val="nil"/>
              <w:left w:val="nil"/>
              <w:bottom w:val="single" w:sz="4" w:space="0" w:color="auto"/>
              <w:right w:val="single" w:sz="4" w:space="0" w:color="auto"/>
            </w:tcBorders>
            <w:shd w:val="clear" w:color="000000" w:fill="F2F2F2"/>
            <w:noWrap/>
            <w:vAlign w:val="bottom"/>
            <w:hideMark/>
          </w:tcPr>
          <w:p w14:paraId="6DF18A11"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25%</w:t>
            </w:r>
          </w:p>
        </w:tc>
        <w:tc>
          <w:tcPr>
            <w:tcW w:w="390" w:type="pct"/>
            <w:tcBorders>
              <w:top w:val="nil"/>
              <w:left w:val="nil"/>
              <w:bottom w:val="single" w:sz="4" w:space="0" w:color="auto"/>
              <w:right w:val="single" w:sz="4" w:space="0" w:color="auto"/>
            </w:tcBorders>
            <w:shd w:val="clear" w:color="000000" w:fill="FDE9D9"/>
            <w:noWrap/>
            <w:vAlign w:val="bottom"/>
            <w:hideMark/>
          </w:tcPr>
          <w:p w14:paraId="664AAC21"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22%</w:t>
            </w:r>
          </w:p>
        </w:tc>
        <w:tc>
          <w:tcPr>
            <w:tcW w:w="406" w:type="pct"/>
            <w:tcBorders>
              <w:top w:val="nil"/>
              <w:left w:val="nil"/>
              <w:bottom w:val="single" w:sz="4" w:space="0" w:color="auto"/>
              <w:right w:val="single" w:sz="4" w:space="0" w:color="auto"/>
            </w:tcBorders>
            <w:shd w:val="clear" w:color="000000" w:fill="F2F2F2"/>
            <w:noWrap/>
            <w:vAlign w:val="bottom"/>
            <w:hideMark/>
          </w:tcPr>
          <w:p w14:paraId="59BA54D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19%</w:t>
            </w:r>
          </w:p>
        </w:tc>
        <w:tc>
          <w:tcPr>
            <w:tcW w:w="390" w:type="pct"/>
            <w:tcBorders>
              <w:top w:val="nil"/>
              <w:left w:val="nil"/>
              <w:bottom w:val="single" w:sz="4" w:space="0" w:color="auto"/>
              <w:right w:val="single" w:sz="4" w:space="0" w:color="auto"/>
            </w:tcBorders>
            <w:shd w:val="clear" w:color="000000" w:fill="FDE9D9"/>
            <w:noWrap/>
            <w:vAlign w:val="bottom"/>
            <w:hideMark/>
          </w:tcPr>
          <w:p w14:paraId="5C568B2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12%</w:t>
            </w:r>
          </w:p>
        </w:tc>
        <w:tc>
          <w:tcPr>
            <w:tcW w:w="406" w:type="pct"/>
            <w:tcBorders>
              <w:top w:val="nil"/>
              <w:left w:val="nil"/>
              <w:bottom w:val="single" w:sz="4" w:space="0" w:color="auto"/>
              <w:right w:val="single" w:sz="4" w:space="0" w:color="auto"/>
            </w:tcBorders>
            <w:shd w:val="clear" w:color="000000" w:fill="F2F2F2"/>
            <w:noWrap/>
            <w:vAlign w:val="bottom"/>
            <w:hideMark/>
          </w:tcPr>
          <w:p w14:paraId="7F266F4C"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c>
          <w:tcPr>
            <w:tcW w:w="390" w:type="pct"/>
            <w:tcBorders>
              <w:top w:val="nil"/>
              <w:left w:val="nil"/>
              <w:bottom w:val="single" w:sz="4" w:space="0" w:color="auto"/>
              <w:right w:val="single" w:sz="8" w:space="0" w:color="auto"/>
            </w:tcBorders>
            <w:shd w:val="clear" w:color="000000" w:fill="FDE9D9"/>
            <w:noWrap/>
            <w:vAlign w:val="bottom"/>
            <w:hideMark/>
          </w:tcPr>
          <w:p w14:paraId="0088C607"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r>
      <w:tr w:rsidR="00F111FB" w:rsidRPr="0016698E" w14:paraId="0F2BC61C" w14:textId="77777777" w:rsidTr="00AB720F">
        <w:trPr>
          <w:trHeight w:val="247"/>
        </w:trPr>
        <w:tc>
          <w:tcPr>
            <w:tcW w:w="5000" w:type="pct"/>
            <w:gridSpan w:val="14"/>
            <w:tcBorders>
              <w:top w:val="nil"/>
              <w:left w:val="nil"/>
              <w:bottom w:val="nil"/>
              <w:right w:val="single" w:sz="8" w:space="0" w:color="000000"/>
            </w:tcBorders>
            <w:shd w:val="clear" w:color="000000" w:fill="BFBFBF"/>
            <w:noWrap/>
            <w:vAlign w:val="bottom"/>
            <w:hideMark/>
          </w:tcPr>
          <w:p w14:paraId="172F5DBC" w14:textId="77777777" w:rsidR="00F111FB" w:rsidRPr="0016698E" w:rsidRDefault="00F111FB" w:rsidP="00AB720F">
            <w:pPr>
              <w:spacing w:after="0" w:line="240" w:lineRule="auto"/>
              <w:rPr>
                <w:rFonts w:eastAsia="Times New Roman" w:cs="Times New Roman"/>
                <w:b/>
                <w:bCs/>
                <w:color w:val="000000"/>
                <w:lang w:eastAsia="en-AU"/>
              </w:rPr>
            </w:pPr>
            <w:r w:rsidRPr="0016698E">
              <w:rPr>
                <w:rFonts w:eastAsia="Times New Roman" w:cs="Times New Roman"/>
                <w:b/>
                <w:bCs/>
                <w:color w:val="000000"/>
                <w:lang w:eastAsia="en-AU"/>
              </w:rPr>
              <w:t>Year 5</w:t>
            </w:r>
          </w:p>
        </w:tc>
      </w:tr>
      <w:tr w:rsidR="00F111FB" w:rsidRPr="0016698E" w14:paraId="584C6897" w14:textId="77777777" w:rsidTr="00AB720F">
        <w:trPr>
          <w:trHeight w:val="247"/>
        </w:trPr>
        <w:tc>
          <w:tcPr>
            <w:tcW w:w="112" w:type="pct"/>
            <w:tcBorders>
              <w:top w:val="nil"/>
              <w:left w:val="nil"/>
              <w:bottom w:val="nil"/>
              <w:right w:val="nil"/>
            </w:tcBorders>
            <w:shd w:val="clear" w:color="auto" w:fill="auto"/>
            <w:noWrap/>
            <w:vAlign w:val="bottom"/>
            <w:hideMark/>
          </w:tcPr>
          <w:p w14:paraId="1D5BE2F9"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691F2E87"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6C48DED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271</w:t>
            </w:r>
          </w:p>
        </w:tc>
        <w:tc>
          <w:tcPr>
            <w:tcW w:w="390" w:type="pct"/>
            <w:tcBorders>
              <w:top w:val="nil"/>
              <w:left w:val="nil"/>
              <w:bottom w:val="single" w:sz="4" w:space="0" w:color="auto"/>
              <w:right w:val="single" w:sz="4" w:space="0" w:color="auto"/>
            </w:tcBorders>
            <w:shd w:val="clear" w:color="000000" w:fill="FDE9D9"/>
            <w:noWrap/>
            <w:vAlign w:val="bottom"/>
            <w:hideMark/>
          </w:tcPr>
          <w:p w14:paraId="429A1F4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302</w:t>
            </w:r>
          </w:p>
        </w:tc>
        <w:tc>
          <w:tcPr>
            <w:tcW w:w="406" w:type="pct"/>
            <w:tcBorders>
              <w:top w:val="nil"/>
              <w:left w:val="nil"/>
              <w:bottom w:val="single" w:sz="4" w:space="0" w:color="auto"/>
              <w:right w:val="single" w:sz="4" w:space="0" w:color="auto"/>
            </w:tcBorders>
            <w:shd w:val="clear" w:color="000000" w:fill="F2F2F2"/>
            <w:noWrap/>
            <w:vAlign w:val="bottom"/>
            <w:hideMark/>
          </w:tcPr>
          <w:p w14:paraId="2DAE7E66"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843</w:t>
            </w:r>
          </w:p>
        </w:tc>
        <w:tc>
          <w:tcPr>
            <w:tcW w:w="390" w:type="pct"/>
            <w:tcBorders>
              <w:top w:val="nil"/>
              <w:left w:val="nil"/>
              <w:bottom w:val="single" w:sz="4" w:space="0" w:color="auto"/>
              <w:right w:val="single" w:sz="4" w:space="0" w:color="auto"/>
            </w:tcBorders>
            <w:shd w:val="clear" w:color="000000" w:fill="FDE9D9"/>
            <w:noWrap/>
            <w:vAlign w:val="bottom"/>
            <w:hideMark/>
          </w:tcPr>
          <w:p w14:paraId="1A33CADA"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877</w:t>
            </w:r>
          </w:p>
        </w:tc>
        <w:tc>
          <w:tcPr>
            <w:tcW w:w="406" w:type="pct"/>
            <w:tcBorders>
              <w:top w:val="nil"/>
              <w:left w:val="nil"/>
              <w:bottom w:val="single" w:sz="4" w:space="0" w:color="auto"/>
              <w:right w:val="single" w:sz="4" w:space="0" w:color="auto"/>
            </w:tcBorders>
            <w:shd w:val="clear" w:color="000000" w:fill="F2F2F2"/>
            <w:noWrap/>
            <w:vAlign w:val="bottom"/>
            <w:hideMark/>
          </w:tcPr>
          <w:p w14:paraId="4FF9BEB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2151</w:t>
            </w:r>
          </w:p>
        </w:tc>
        <w:tc>
          <w:tcPr>
            <w:tcW w:w="390" w:type="pct"/>
            <w:tcBorders>
              <w:top w:val="nil"/>
              <w:left w:val="nil"/>
              <w:bottom w:val="single" w:sz="4" w:space="0" w:color="auto"/>
              <w:right w:val="single" w:sz="4" w:space="0" w:color="auto"/>
            </w:tcBorders>
            <w:shd w:val="clear" w:color="000000" w:fill="FDE9D9"/>
            <w:noWrap/>
            <w:vAlign w:val="bottom"/>
            <w:hideMark/>
          </w:tcPr>
          <w:p w14:paraId="3B169B8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1974</w:t>
            </w:r>
          </w:p>
        </w:tc>
        <w:tc>
          <w:tcPr>
            <w:tcW w:w="406" w:type="pct"/>
            <w:tcBorders>
              <w:top w:val="nil"/>
              <w:left w:val="nil"/>
              <w:bottom w:val="single" w:sz="4" w:space="0" w:color="auto"/>
              <w:right w:val="single" w:sz="4" w:space="0" w:color="auto"/>
            </w:tcBorders>
            <w:shd w:val="clear" w:color="000000" w:fill="F2F2F2"/>
            <w:noWrap/>
            <w:vAlign w:val="bottom"/>
            <w:hideMark/>
          </w:tcPr>
          <w:p w14:paraId="6D590EC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1408</w:t>
            </w:r>
          </w:p>
        </w:tc>
        <w:tc>
          <w:tcPr>
            <w:tcW w:w="390" w:type="pct"/>
            <w:tcBorders>
              <w:top w:val="nil"/>
              <w:left w:val="nil"/>
              <w:bottom w:val="single" w:sz="4" w:space="0" w:color="auto"/>
              <w:right w:val="single" w:sz="4" w:space="0" w:color="auto"/>
            </w:tcBorders>
            <w:shd w:val="clear" w:color="000000" w:fill="FDE9D9"/>
            <w:noWrap/>
            <w:vAlign w:val="bottom"/>
            <w:hideMark/>
          </w:tcPr>
          <w:p w14:paraId="0C9839B1"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1061</w:t>
            </w:r>
          </w:p>
        </w:tc>
        <w:tc>
          <w:tcPr>
            <w:tcW w:w="406" w:type="pct"/>
            <w:tcBorders>
              <w:top w:val="nil"/>
              <w:left w:val="nil"/>
              <w:bottom w:val="single" w:sz="4" w:space="0" w:color="auto"/>
              <w:right w:val="single" w:sz="4" w:space="0" w:color="auto"/>
            </w:tcBorders>
            <w:shd w:val="clear" w:color="000000" w:fill="F2F2F2"/>
            <w:noWrap/>
            <w:vAlign w:val="bottom"/>
            <w:hideMark/>
          </w:tcPr>
          <w:p w14:paraId="46E9EFA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1037</w:t>
            </w:r>
          </w:p>
        </w:tc>
        <w:tc>
          <w:tcPr>
            <w:tcW w:w="390" w:type="pct"/>
            <w:tcBorders>
              <w:top w:val="nil"/>
              <w:left w:val="nil"/>
              <w:bottom w:val="single" w:sz="4" w:space="0" w:color="auto"/>
              <w:right w:val="single" w:sz="4" w:space="0" w:color="auto"/>
            </w:tcBorders>
            <w:shd w:val="clear" w:color="000000" w:fill="FDE9D9"/>
            <w:noWrap/>
            <w:vAlign w:val="bottom"/>
            <w:hideMark/>
          </w:tcPr>
          <w:p w14:paraId="179C986A"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694</w:t>
            </w:r>
          </w:p>
        </w:tc>
        <w:tc>
          <w:tcPr>
            <w:tcW w:w="406" w:type="pct"/>
            <w:tcBorders>
              <w:top w:val="nil"/>
              <w:left w:val="nil"/>
              <w:bottom w:val="single" w:sz="4" w:space="0" w:color="auto"/>
              <w:right w:val="single" w:sz="4" w:space="0" w:color="auto"/>
            </w:tcBorders>
            <w:shd w:val="clear" w:color="000000" w:fill="F2F2F2"/>
            <w:noWrap/>
            <w:vAlign w:val="bottom"/>
            <w:hideMark/>
          </w:tcPr>
          <w:p w14:paraId="6D8FE8CE"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5710</w:t>
            </w:r>
          </w:p>
        </w:tc>
        <w:tc>
          <w:tcPr>
            <w:tcW w:w="390" w:type="pct"/>
            <w:tcBorders>
              <w:top w:val="nil"/>
              <w:left w:val="nil"/>
              <w:bottom w:val="single" w:sz="4" w:space="0" w:color="auto"/>
              <w:right w:val="single" w:sz="4" w:space="0" w:color="auto"/>
            </w:tcBorders>
            <w:shd w:val="clear" w:color="000000" w:fill="FDE9D9"/>
            <w:noWrap/>
            <w:vAlign w:val="bottom"/>
            <w:hideMark/>
          </w:tcPr>
          <w:p w14:paraId="44E31FEC"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4908</w:t>
            </w:r>
          </w:p>
        </w:tc>
      </w:tr>
      <w:tr w:rsidR="00F111FB" w:rsidRPr="0016698E" w14:paraId="47DEE23A" w14:textId="77777777" w:rsidTr="00AB720F">
        <w:trPr>
          <w:trHeight w:val="247"/>
        </w:trPr>
        <w:tc>
          <w:tcPr>
            <w:tcW w:w="112" w:type="pct"/>
            <w:tcBorders>
              <w:top w:val="nil"/>
              <w:left w:val="nil"/>
              <w:bottom w:val="nil"/>
              <w:right w:val="nil"/>
            </w:tcBorders>
            <w:shd w:val="clear" w:color="auto" w:fill="auto"/>
            <w:noWrap/>
            <w:vAlign w:val="bottom"/>
            <w:hideMark/>
          </w:tcPr>
          <w:p w14:paraId="06554A1E"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11090B89"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230C47C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5%</w:t>
            </w:r>
          </w:p>
        </w:tc>
        <w:tc>
          <w:tcPr>
            <w:tcW w:w="390" w:type="pct"/>
            <w:tcBorders>
              <w:top w:val="nil"/>
              <w:left w:val="nil"/>
              <w:bottom w:val="single" w:sz="4" w:space="0" w:color="auto"/>
              <w:right w:val="single" w:sz="4" w:space="0" w:color="auto"/>
            </w:tcBorders>
            <w:shd w:val="clear" w:color="000000" w:fill="FDE9D9"/>
            <w:noWrap/>
            <w:vAlign w:val="bottom"/>
            <w:hideMark/>
          </w:tcPr>
          <w:p w14:paraId="292B9D27"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6%</w:t>
            </w:r>
          </w:p>
        </w:tc>
        <w:tc>
          <w:tcPr>
            <w:tcW w:w="406" w:type="pct"/>
            <w:tcBorders>
              <w:top w:val="nil"/>
              <w:left w:val="nil"/>
              <w:bottom w:val="single" w:sz="4" w:space="0" w:color="auto"/>
              <w:right w:val="single" w:sz="4" w:space="0" w:color="auto"/>
            </w:tcBorders>
            <w:shd w:val="clear" w:color="000000" w:fill="F2F2F2"/>
            <w:noWrap/>
            <w:vAlign w:val="bottom"/>
            <w:hideMark/>
          </w:tcPr>
          <w:p w14:paraId="0938A98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15%</w:t>
            </w:r>
          </w:p>
        </w:tc>
        <w:tc>
          <w:tcPr>
            <w:tcW w:w="390" w:type="pct"/>
            <w:tcBorders>
              <w:top w:val="nil"/>
              <w:left w:val="nil"/>
              <w:bottom w:val="single" w:sz="4" w:space="0" w:color="auto"/>
              <w:right w:val="single" w:sz="4" w:space="0" w:color="auto"/>
            </w:tcBorders>
            <w:shd w:val="clear" w:color="000000" w:fill="FDE9D9"/>
            <w:noWrap/>
            <w:vAlign w:val="bottom"/>
            <w:hideMark/>
          </w:tcPr>
          <w:p w14:paraId="5DCD4B88"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18%</w:t>
            </w:r>
          </w:p>
        </w:tc>
        <w:tc>
          <w:tcPr>
            <w:tcW w:w="406" w:type="pct"/>
            <w:tcBorders>
              <w:top w:val="nil"/>
              <w:left w:val="nil"/>
              <w:bottom w:val="single" w:sz="4" w:space="0" w:color="auto"/>
              <w:right w:val="single" w:sz="4" w:space="0" w:color="auto"/>
            </w:tcBorders>
            <w:shd w:val="clear" w:color="000000" w:fill="F2F2F2"/>
            <w:noWrap/>
            <w:vAlign w:val="bottom"/>
            <w:hideMark/>
          </w:tcPr>
          <w:p w14:paraId="27D77AE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38%</w:t>
            </w:r>
          </w:p>
        </w:tc>
        <w:tc>
          <w:tcPr>
            <w:tcW w:w="390" w:type="pct"/>
            <w:tcBorders>
              <w:top w:val="nil"/>
              <w:left w:val="nil"/>
              <w:bottom w:val="single" w:sz="4" w:space="0" w:color="auto"/>
              <w:right w:val="single" w:sz="4" w:space="0" w:color="auto"/>
            </w:tcBorders>
            <w:shd w:val="clear" w:color="000000" w:fill="FDE9D9"/>
            <w:noWrap/>
            <w:vAlign w:val="bottom"/>
            <w:hideMark/>
          </w:tcPr>
          <w:p w14:paraId="10937366"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40%</w:t>
            </w:r>
          </w:p>
        </w:tc>
        <w:tc>
          <w:tcPr>
            <w:tcW w:w="406" w:type="pct"/>
            <w:tcBorders>
              <w:top w:val="nil"/>
              <w:left w:val="nil"/>
              <w:bottom w:val="single" w:sz="4" w:space="0" w:color="auto"/>
              <w:right w:val="single" w:sz="4" w:space="0" w:color="auto"/>
            </w:tcBorders>
            <w:shd w:val="clear" w:color="000000" w:fill="F2F2F2"/>
            <w:noWrap/>
            <w:vAlign w:val="bottom"/>
            <w:hideMark/>
          </w:tcPr>
          <w:p w14:paraId="03BEC45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25%</w:t>
            </w:r>
          </w:p>
        </w:tc>
        <w:tc>
          <w:tcPr>
            <w:tcW w:w="390" w:type="pct"/>
            <w:tcBorders>
              <w:top w:val="nil"/>
              <w:left w:val="nil"/>
              <w:bottom w:val="single" w:sz="4" w:space="0" w:color="auto"/>
              <w:right w:val="single" w:sz="4" w:space="0" w:color="auto"/>
            </w:tcBorders>
            <w:shd w:val="clear" w:color="000000" w:fill="FDE9D9"/>
            <w:noWrap/>
            <w:vAlign w:val="bottom"/>
            <w:hideMark/>
          </w:tcPr>
          <w:p w14:paraId="487FA8A8"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22%</w:t>
            </w:r>
          </w:p>
        </w:tc>
        <w:tc>
          <w:tcPr>
            <w:tcW w:w="406" w:type="pct"/>
            <w:tcBorders>
              <w:top w:val="nil"/>
              <w:left w:val="nil"/>
              <w:bottom w:val="single" w:sz="4" w:space="0" w:color="auto"/>
              <w:right w:val="single" w:sz="4" w:space="0" w:color="auto"/>
            </w:tcBorders>
            <w:shd w:val="clear" w:color="000000" w:fill="F2F2F2"/>
            <w:noWrap/>
            <w:vAlign w:val="bottom"/>
            <w:hideMark/>
          </w:tcPr>
          <w:p w14:paraId="6476077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18%</w:t>
            </w:r>
          </w:p>
        </w:tc>
        <w:tc>
          <w:tcPr>
            <w:tcW w:w="390" w:type="pct"/>
            <w:tcBorders>
              <w:top w:val="nil"/>
              <w:left w:val="nil"/>
              <w:bottom w:val="single" w:sz="4" w:space="0" w:color="auto"/>
              <w:right w:val="single" w:sz="4" w:space="0" w:color="auto"/>
            </w:tcBorders>
            <w:shd w:val="clear" w:color="000000" w:fill="FDE9D9"/>
            <w:noWrap/>
            <w:vAlign w:val="bottom"/>
            <w:hideMark/>
          </w:tcPr>
          <w:p w14:paraId="1F08BF7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14%</w:t>
            </w:r>
          </w:p>
        </w:tc>
        <w:tc>
          <w:tcPr>
            <w:tcW w:w="406" w:type="pct"/>
            <w:tcBorders>
              <w:top w:val="nil"/>
              <w:left w:val="nil"/>
              <w:bottom w:val="single" w:sz="4" w:space="0" w:color="auto"/>
              <w:right w:val="single" w:sz="4" w:space="0" w:color="auto"/>
            </w:tcBorders>
            <w:shd w:val="clear" w:color="000000" w:fill="F2F2F2"/>
            <w:noWrap/>
            <w:vAlign w:val="bottom"/>
            <w:hideMark/>
          </w:tcPr>
          <w:p w14:paraId="2DA6E9CA"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7763B9E1"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r>
      <w:tr w:rsidR="00F111FB" w:rsidRPr="0016698E" w14:paraId="3C445CBB" w14:textId="77777777" w:rsidTr="00AB720F">
        <w:trPr>
          <w:trHeight w:val="247"/>
        </w:trPr>
        <w:tc>
          <w:tcPr>
            <w:tcW w:w="5000" w:type="pct"/>
            <w:gridSpan w:val="14"/>
            <w:tcBorders>
              <w:top w:val="nil"/>
              <w:left w:val="nil"/>
              <w:bottom w:val="nil"/>
              <w:right w:val="single" w:sz="8" w:space="0" w:color="000000"/>
            </w:tcBorders>
            <w:shd w:val="clear" w:color="000000" w:fill="BFBFBF"/>
            <w:noWrap/>
            <w:vAlign w:val="bottom"/>
            <w:hideMark/>
          </w:tcPr>
          <w:p w14:paraId="4C999DB7" w14:textId="77777777" w:rsidR="00F111FB" w:rsidRPr="0016698E" w:rsidRDefault="00F111FB" w:rsidP="00AB720F">
            <w:pPr>
              <w:spacing w:after="0" w:line="240" w:lineRule="auto"/>
              <w:rPr>
                <w:rFonts w:eastAsia="Times New Roman" w:cs="Times New Roman"/>
                <w:b/>
                <w:bCs/>
                <w:color w:val="000000"/>
                <w:lang w:eastAsia="en-AU"/>
              </w:rPr>
            </w:pPr>
            <w:r w:rsidRPr="0016698E">
              <w:rPr>
                <w:rFonts w:eastAsia="Times New Roman" w:cs="Times New Roman"/>
                <w:b/>
                <w:bCs/>
                <w:color w:val="000000"/>
                <w:lang w:eastAsia="en-AU"/>
              </w:rPr>
              <w:t>Year 6</w:t>
            </w:r>
          </w:p>
        </w:tc>
      </w:tr>
      <w:tr w:rsidR="00F111FB" w:rsidRPr="0016698E" w14:paraId="1E055F39" w14:textId="77777777" w:rsidTr="00AB720F">
        <w:trPr>
          <w:trHeight w:val="247"/>
        </w:trPr>
        <w:tc>
          <w:tcPr>
            <w:tcW w:w="112" w:type="pct"/>
            <w:tcBorders>
              <w:top w:val="nil"/>
              <w:left w:val="nil"/>
              <w:bottom w:val="nil"/>
              <w:right w:val="nil"/>
            </w:tcBorders>
            <w:shd w:val="clear" w:color="auto" w:fill="auto"/>
            <w:noWrap/>
            <w:vAlign w:val="bottom"/>
            <w:hideMark/>
          </w:tcPr>
          <w:p w14:paraId="25A65750"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797068AF"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686CEC7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266</w:t>
            </w:r>
          </w:p>
        </w:tc>
        <w:tc>
          <w:tcPr>
            <w:tcW w:w="390" w:type="pct"/>
            <w:tcBorders>
              <w:top w:val="nil"/>
              <w:left w:val="nil"/>
              <w:bottom w:val="single" w:sz="4" w:space="0" w:color="auto"/>
              <w:right w:val="single" w:sz="4" w:space="0" w:color="auto"/>
            </w:tcBorders>
            <w:shd w:val="clear" w:color="000000" w:fill="FDE9D9"/>
            <w:noWrap/>
            <w:vAlign w:val="bottom"/>
            <w:hideMark/>
          </w:tcPr>
          <w:p w14:paraId="35B9A5C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295</w:t>
            </w:r>
          </w:p>
        </w:tc>
        <w:tc>
          <w:tcPr>
            <w:tcW w:w="406" w:type="pct"/>
            <w:tcBorders>
              <w:top w:val="nil"/>
              <w:left w:val="nil"/>
              <w:bottom w:val="single" w:sz="4" w:space="0" w:color="auto"/>
              <w:right w:val="single" w:sz="4" w:space="0" w:color="auto"/>
            </w:tcBorders>
            <w:shd w:val="clear" w:color="000000" w:fill="F2F2F2"/>
            <w:noWrap/>
            <w:vAlign w:val="bottom"/>
            <w:hideMark/>
          </w:tcPr>
          <w:p w14:paraId="2E19440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812</w:t>
            </w:r>
          </w:p>
        </w:tc>
        <w:tc>
          <w:tcPr>
            <w:tcW w:w="390" w:type="pct"/>
            <w:tcBorders>
              <w:top w:val="nil"/>
              <w:left w:val="nil"/>
              <w:bottom w:val="single" w:sz="4" w:space="0" w:color="auto"/>
              <w:right w:val="single" w:sz="4" w:space="0" w:color="auto"/>
            </w:tcBorders>
            <w:shd w:val="clear" w:color="000000" w:fill="FDE9D9"/>
            <w:noWrap/>
            <w:vAlign w:val="bottom"/>
            <w:hideMark/>
          </w:tcPr>
          <w:p w14:paraId="1A542CC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931</w:t>
            </w:r>
          </w:p>
        </w:tc>
        <w:tc>
          <w:tcPr>
            <w:tcW w:w="406" w:type="pct"/>
            <w:tcBorders>
              <w:top w:val="nil"/>
              <w:left w:val="nil"/>
              <w:bottom w:val="single" w:sz="4" w:space="0" w:color="auto"/>
              <w:right w:val="single" w:sz="4" w:space="0" w:color="auto"/>
            </w:tcBorders>
            <w:shd w:val="clear" w:color="000000" w:fill="F2F2F2"/>
            <w:noWrap/>
            <w:vAlign w:val="bottom"/>
            <w:hideMark/>
          </w:tcPr>
          <w:p w14:paraId="2A47369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2188</w:t>
            </w:r>
          </w:p>
        </w:tc>
        <w:tc>
          <w:tcPr>
            <w:tcW w:w="390" w:type="pct"/>
            <w:tcBorders>
              <w:top w:val="nil"/>
              <w:left w:val="nil"/>
              <w:bottom w:val="single" w:sz="4" w:space="0" w:color="auto"/>
              <w:right w:val="single" w:sz="4" w:space="0" w:color="auto"/>
            </w:tcBorders>
            <w:shd w:val="clear" w:color="000000" w:fill="FDE9D9"/>
            <w:noWrap/>
            <w:vAlign w:val="bottom"/>
            <w:hideMark/>
          </w:tcPr>
          <w:p w14:paraId="09055C2E"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1958</w:t>
            </w:r>
          </w:p>
        </w:tc>
        <w:tc>
          <w:tcPr>
            <w:tcW w:w="406" w:type="pct"/>
            <w:tcBorders>
              <w:top w:val="nil"/>
              <w:left w:val="nil"/>
              <w:bottom w:val="single" w:sz="4" w:space="0" w:color="auto"/>
              <w:right w:val="single" w:sz="4" w:space="0" w:color="auto"/>
            </w:tcBorders>
            <w:shd w:val="clear" w:color="000000" w:fill="F2F2F2"/>
            <w:noWrap/>
            <w:vAlign w:val="bottom"/>
            <w:hideMark/>
          </w:tcPr>
          <w:p w14:paraId="2DADFBB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1469</w:t>
            </w:r>
          </w:p>
        </w:tc>
        <w:tc>
          <w:tcPr>
            <w:tcW w:w="390" w:type="pct"/>
            <w:tcBorders>
              <w:top w:val="nil"/>
              <w:left w:val="nil"/>
              <w:bottom w:val="single" w:sz="4" w:space="0" w:color="auto"/>
              <w:right w:val="single" w:sz="4" w:space="0" w:color="auto"/>
            </w:tcBorders>
            <w:shd w:val="clear" w:color="000000" w:fill="FDE9D9"/>
            <w:noWrap/>
            <w:vAlign w:val="bottom"/>
            <w:hideMark/>
          </w:tcPr>
          <w:p w14:paraId="069EA5BA"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1018</w:t>
            </w:r>
          </w:p>
        </w:tc>
        <w:tc>
          <w:tcPr>
            <w:tcW w:w="406" w:type="pct"/>
            <w:tcBorders>
              <w:top w:val="nil"/>
              <w:left w:val="nil"/>
              <w:bottom w:val="single" w:sz="4" w:space="0" w:color="auto"/>
              <w:right w:val="single" w:sz="4" w:space="0" w:color="auto"/>
            </w:tcBorders>
            <w:shd w:val="clear" w:color="000000" w:fill="F2F2F2"/>
            <w:noWrap/>
            <w:vAlign w:val="bottom"/>
            <w:hideMark/>
          </w:tcPr>
          <w:p w14:paraId="0F4888E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1038</w:t>
            </w:r>
          </w:p>
        </w:tc>
        <w:tc>
          <w:tcPr>
            <w:tcW w:w="390" w:type="pct"/>
            <w:tcBorders>
              <w:top w:val="nil"/>
              <w:left w:val="nil"/>
              <w:bottom w:val="single" w:sz="4" w:space="0" w:color="auto"/>
              <w:right w:val="single" w:sz="4" w:space="0" w:color="auto"/>
            </w:tcBorders>
            <w:shd w:val="clear" w:color="000000" w:fill="FDE9D9"/>
            <w:noWrap/>
            <w:vAlign w:val="bottom"/>
            <w:hideMark/>
          </w:tcPr>
          <w:p w14:paraId="6CB9699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647</w:t>
            </w:r>
          </w:p>
        </w:tc>
        <w:tc>
          <w:tcPr>
            <w:tcW w:w="406" w:type="pct"/>
            <w:tcBorders>
              <w:top w:val="nil"/>
              <w:left w:val="nil"/>
              <w:bottom w:val="single" w:sz="4" w:space="0" w:color="auto"/>
              <w:right w:val="single" w:sz="4" w:space="0" w:color="auto"/>
            </w:tcBorders>
            <w:shd w:val="clear" w:color="000000" w:fill="F2F2F2"/>
            <w:noWrap/>
            <w:vAlign w:val="bottom"/>
            <w:hideMark/>
          </w:tcPr>
          <w:p w14:paraId="2015F931"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5773</w:t>
            </w:r>
          </w:p>
        </w:tc>
        <w:tc>
          <w:tcPr>
            <w:tcW w:w="390" w:type="pct"/>
            <w:tcBorders>
              <w:top w:val="nil"/>
              <w:left w:val="nil"/>
              <w:bottom w:val="single" w:sz="4" w:space="0" w:color="auto"/>
              <w:right w:val="single" w:sz="4" w:space="0" w:color="auto"/>
            </w:tcBorders>
            <w:shd w:val="clear" w:color="000000" w:fill="FDE9D9"/>
            <w:noWrap/>
            <w:vAlign w:val="bottom"/>
            <w:hideMark/>
          </w:tcPr>
          <w:p w14:paraId="06058D2B"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4849</w:t>
            </w:r>
          </w:p>
        </w:tc>
      </w:tr>
      <w:tr w:rsidR="00F111FB" w:rsidRPr="0016698E" w14:paraId="729191BA" w14:textId="77777777" w:rsidTr="00AB720F">
        <w:trPr>
          <w:trHeight w:val="247"/>
        </w:trPr>
        <w:tc>
          <w:tcPr>
            <w:tcW w:w="112" w:type="pct"/>
            <w:tcBorders>
              <w:top w:val="nil"/>
              <w:left w:val="nil"/>
              <w:bottom w:val="nil"/>
              <w:right w:val="nil"/>
            </w:tcBorders>
            <w:shd w:val="clear" w:color="auto" w:fill="auto"/>
            <w:noWrap/>
            <w:vAlign w:val="bottom"/>
            <w:hideMark/>
          </w:tcPr>
          <w:p w14:paraId="4F22D4D0"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064B17DE"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09DF4D22"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5%</w:t>
            </w:r>
          </w:p>
        </w:tc>
        <w:tc>
          <w:tcPr>
            <w:tcW w:w="390" w:type="pct"/>
            <w:tcBorders>
              <w:top w:val="nil"/>
              <w:left w:val="nil"/>
              <w:bottom w:val="single" w:sz="4" w:space="0" w:color="auto"/>
              <w:right w:val="single" w:sz="4" w:space="0" w:color="auto"/>
            </w:tcBorders>
            <w:shd w:val="clear" w:color="000000" w:fill="FDE9D9"/>
            <w:noWrap/>
            <w:vAlign w:val="bottom"/>
            <w:hideMark/>
          </w:tcPr>
          <w:p w14:paraId="569ECEA4"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6%</w:t>
            </w:r>
          </w:p>
        </w:tc>
        <w:tc>
          <w:tcPr>
            <w:tcW w:w="406" w:type="pct"/>
            <w:tcBorders>
              <w:top w:val="nil"/>
              <w:left w:val="nil"/>
              <w:bottom w:val="single" w:sz="4" w:space="0" w:color="auto"/>
              <w:right w:val="single" w:sz="4" w:space="0" w:color="auto"/>
            </w:tcBorders>
            <w:shd w:val="clear" w:color="000000" w:fill="F2F2F2"/>
            <w:noWrap/>
            <w:vAlign w:val="bottom"/>
            <w:hideMark/>
          </w:tcPr>
          <w:p w14:paraId="256A59B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14%</w:t>
            </w:r>
          </w:p>
        </w:tc>
        <w:tc>
          <w:tcPr>
            <w:tcW w:w="390" w:type="pct"/>
            <w:tcBorders>
              <w:top w:val="nil"/>
              <w:left w:val="nil"/>
              <w:bottom w:val="single" w:sz="4" w:space="0" w:color="auto"/>
              <w:right w:val="single" w:sz="4" w:space="0" w:color="auto"/>
            </w:tcBorders>
            <w:shd w:val="clear" w:color="000000" w:fill="FDE9D9"/>
            <w:noWrap/>
            <w:vAlign w:val="bottom"/>
            <w:hideMark/>
          </w:tcPr>
          <w:p w14:paraId="7C01CB00"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19%</w:t>
            </w:r>
          </w:p>
        </w:tc>
        <w:tc>
          <w:tcPr>
            <w:tcW w:w="406" w:type="pct"/>
            <w:tcBorders>
              <w:top w:val="nil"/>
              <w:left w:val="nil"/>
              <w:bottom w:val="single" w:sz="4" w:space="0" w:color="auto"/>
              <w:right w:val="single" w:sz="4" w:space="0" w:color="auto"/>
            </w:tcBorders>
            <w:shd w:val="clear" w:color="000000" w:fill="F2F2F2"/>
            <w:noWrap/>
            <w:vAlign w:val="bottom"/>
            <w:hideMark/>
          </w:tcPr>
          <w:p w14:paraId="6BD5BE4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38%</w:t>
            </w:r>
          </w:p>
        </w:tc>
        <w:tc>
          <w:tcPr>
            <w:tcW w:w="390" w:type="pct"/>
            <w:tcBorders>
              <w:top w:val="nil"/>
              <w:left w:val="nil"/>
              <w:bottom w:val="single" w:sz="4" w:space="0" w:color="auto"/>
              <w:right w:val="single" w:sz="4" w:space="0" w:color="auto"/>
            </w:tcBorders>
            <w:shd w:val="clear" w:color="000000" w:fill="FDE9D9"/>
            <w:noWrap/>
            <w:vAlign w:val="bottom"/>
            <w:hideMark/>
          </w:tcPr>
          <w:p w14:paraId="01F28132"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40%</w:t>
            </w:r>
          </w:p>
        </w:tc>
        <w:tc>
          <w:tcPr>
            <w:tcW w:w="406" w:type="pct"/>
            <w:tcBorders>
              <w:top w:val="nil"/>
              <w:left w:val="nil"/>
              <w:bottom w:val="single" w:sz="4" w:space="0" w:color="auto"/>
              <w:right w:val="single" w:sz="4" w:space="0" w:color="auto"/>
            </w:tcBorders>
            <w:shd w:val="clear" w:color="000000" w:fill="F2F2F2"/>
            <w:noWrap/>
            <w:vAlign w:val="bottom"/>
            <w:hideMark/>
          </w:tcPr>
          <w:p w14:paraId="4F52F9F6"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25%</w:t>
            </w:r>
          </w:p>
        </w:tc>
        <w:tc>
          <w:tcPr>
            <w:tcW w:w="390" w:type="pct"/>
            <w:tcBorders>
              <w:top w:val="nil"/>
              <w:left w:val="nil"/>
              <w:bottom w:val="single" w:sz="4" w:space="0" w:color="auto"/>
              <w:right w:val="single" w:sz="4" w:space="0" w:color="auto"/>
            </w:tcBorders>
            <w:shd w:val="clear" w:color="000000" w:fill="FDE9D9"/>
            <w:noWrap/>
            <w:vAlign w:val="bottom"/>
            <w:hideMark/>
          </w:tcPr>
          <w:p w14:paraId="3D4C1EF2"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21%</w:t>
            </w:r>
          </w:p>
        </w:tc>
        <w:tc>
          <w:tcPr>
            <w:tcW w:w="406" w:type="pct"/>
            <w:tcBorders>
              <w:top w:val="nil"/>
              <w:left w:val="nil"/>
              <w:bottom w:val="single" w:sz="4" w:space="0" w:color="auto"/>
              <w:right w:val="single" w:sz="4" w:space="0" w:color="auto"/>
            </w:tcBorders>
            <w:shd w:val="clear" w:color="000000" w:fill="F2F2F2"/>
            <w:noWrap/>
            <w:vAlign w:val="bottom"/>
            <w:hideMark/>
          </w:tcPr>
          <w:p w14:paraId="2C4C0CD2"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18%</w:t>
            </w:r>
          </w:p>
        </w:tc>
        <w:tc>
          <w:tcPr>
            <w:tcW w:w="390" w:type="pct"/>
            <w:tcBorders>
              <w:top w:val="nil"/>
              <w:left w:val="nil"/>
              <w:bottom w:val="single" w:sz="4" w:space="0" w:color="auto"/>
              <w:right w:val="single" w:sz="4" w:space="0" w:color="auto"/>
            </w:tcBorders>
            <w:shd w:val="clear" w:color="000000" w:fill="FDE9D9"/>
            <w:noWrap/>
            <w:vAlign w:val="bottom"/>
            <w:hideMark/>
          </w:tcPr>
          <w:p w14:paraId="7C94A522"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13%</w:t>
            </w:r>
          </w:p>
        </w:tc>
        <w:tc>
          <w:tcPr>
            <w:tcW w:w="406" w:type="pct"/>
            <w:tcBorders>
              <w:top w:val="nil"/>
              <w:left w:val="nil"/>
              <w:bottom w:val="single" w:sz="4" w:space="0" w:color="auto"/>
              <w:right w:val="single" w:sz="4" w:space="0" w:color="auto"/>
            </w:tcBorders>
            <w:shd w:val="clear" w:color="000000" w:fill="F2F2F2"/>
            <w:noWrap/>
            <w:vAlign w:val="bottom"/>
            <w:hideMark/>
          </w:tcPr>
          <w:p w14:paraId="6D90092D"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49BCFF0E"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r>
      <w:tr w:rsidR="00F111FB" w:rsidRPr="0016698E" w14:paraId="233F133B" w14:textId="77777777" w:rsidTr="00AB720F">
        <w:trPr>
          <w:trHeight w:val="247"/>
        </w:trPr>
        <w:tc>
          <w:tcPr>
            <w:tcW w:w="5000" w:type="pct"/>
            <w:gridSpan w:val="14"/>
            <w:tcBorders>
              <w:top w:val="nil"/>
              <w:left w:val="nil"/>
              <w:bottom w:val="nil"/>
              <w:right w:val="single" w:sz="8" w:space="0" w:color="000000"/>
            </w:tcBorders>
            <w:shd w:val="clear" w:color="000000" w:fill="BFBFBF"/>
            <w:noWrap/>
            <w:vAlign w:val="bottom"/>
            <w:hideMark/>
          </w:tcPr>
          <w:p w14:paraId="55907E03" w14:textId="77777777" w:rsidR="00F111FB" w:rsidRPr="0016698E" w:rsidRDefault="00F111FB" w:rsidP="00AB720F">
            <w:pPr>
              <w:spacing w:after="0" w:line="240" w:lineRule="auto"/>
              <w:rPr>
                <w:rFonts w:eastAsia="Times New Roman" w:cs="Times New Roman"/>
                <w:b/>
                <w:bCs/>
                <w:color w:val="000000"/>
                <w:lang w:eastAsia="en-AU"/>
              </w:rPr>
            </w:pPr>
            <w:r w:rsidRPr="0016698E">
              <w:rPr>
                <w:rFonts w:eastAsia="Times New Roman" w:cs="Times New Roman"/>
                <w:b/>
                <w:bCs/>
                <w:color w:val="000000"/>
                <w:lang w:eastAsia="en-AU"/>
              </w:rPr>
              <w:t>Year 7</w:t>
            </w:r>
          </w:p>
        </w:tc>
      </w:tr>
      <w:tr w:rsidR="00F111FB" w:rsidRPr="0016698E" w14:paraId="433FF536" w14:textId="77777777" w:rsidTr="00AB720F">
        <w:trPr>
          <w:trHeight w:val="247"/>
        </w:trPr>
        <w:tc>
          <w:tcPr>
            <w:tcW w:w="112" w:type="pct"/>
            <w:tcBorders>
              <w:top w:val="nil"/>
              <w:left w:val="nil"/>
              <w:bottom w:val="nil"/>
              <w:right w:val="nil"/>
            </w:tcBorders>
            <w:shd w:val="clear" w:color="auto" w:fill="auto"/>
            <w:noWrap/>
            <w:vAlign w:val="bottom"/>
            <w:hideMark/>
          </w:tcPr>
          <w:p w14:paraId="45D1859E"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11FFC74F"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1C8DCB10"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353</w:t>
            </w:r>
          </w:p>
        </w:tc>
        <w:tc>
          <w:tcPr>
            <w:tcW w:w="390" w:type="pct"/>
            <w:tcBorders>
              <w:top w:val="nil"/>
              <w:left w:val="nil"/>
              <w:bottom w:val="single" w:sz="4" w:space="0" w:color="auto"/>
              <w:right w:val="single" w:sz="4" w:space="0" w:color="auto"/>
            </w:tcBorders>
            <w:shd w:val="clear" w:color="000000" w:fill="FDE9D9"/>
            <w:noWrap/>
            <w:vAlign w:val="bottom"/>
            <w:hideMark/>
          </w:tcPr>
          <w:p w14:paraId="06B3E27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547</w:t>
            </w:r>
          </w:p>
        </w:tc>
        <w:tc>
          <w:tcPr>
            <w:tcW w:w="406" w:type="pct"/>
            <w:tcBorders>
              <w:top w:val="nil"/>
              <w:left w:val="nil"/>
              <w:bottom w:val="single" w:sz="4" w:space="0" w:color="auto"/>
              <w:right w:val="single" w:sz="4" w:space="0" w:color="auto"/>
            </w:tcBorders>
            <w:shd w:val="clear" w:color="000000" w:fill="F2F2F2"/>
            <w:noWrap/>
            <w:vAlign w:val="bottom"/>
            <w:hideMark/>
          </w:tcPr>
          <w:p w14:paraId="3E044EF7"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1279</w:t>
            </w:r>
          </w:p>
        </w:tc>
        <w:tc>
          <w:tcPr>
            <w:tcW w:w="390" w:type="pct"/>
            <w:tcBorders>
              <w:top w:val="nil"/>
              <w:left w:val="nil"/>
              <w:bottom w:val="single" w:sz="4" w:space="0" w:color="auto"/>
              <w:right w:val="single" w:sz="4" w:space="0" w:color="auto"/>
            </w:tcBorders>
            <w:shd w:val="clear" w:color="000000" w:fill="FDE9D9"/>
            <w:noWrap/>
            <w:vAlign w:val="bottom"/>
            <w:hideMark/>
          </w:tcPr>
          <w:p w14:paraId="4656421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1563</w:t>
            </w:r>
          </w:p>
        </w:tc>
        <w:tc>
          <w:tcPr>
            <w:tcW w:w="406" w:type="pct"/>
            <w:tcBorders>
              <w:top w:val="nil"/>
              <w:left w:val="nil"/>
              <w:bottom w:val="single" w:sz="4" w:space="0" w:color="auto"/>
              <w:right w:val="single" w:sz="4" w:space="0" w:color="auto"/>
            </w:tcBorders>
            <w:shd w:val="clear" w:color="000000" w:fill="F2F2F2"/>
            <w:noWrap/>
            <w:vAlign w:val="bottom"/>
            <w:hideMark/>
          </w:tcPr>
          <w:p w14:paraId="7632E09E"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3692</w:t>
            </w:r>
          </w:p>
        </w:tc>
        <w:tc>
          <w:tcPr>
            <w:tcW w:w="390" w:type="pct"/>
            <w:tcBorders>
              <w:top w:val="nil"/>
              <w:left w:val="nil"/>
              <w:bottom w:val="single" w:sz="4" w:space="0" w:color="auto"/>
              <w:right w:val="single" w:sz="4" w:space="0" w:color="auto"/>
            </w:tcBorders>
            <w:shd w:val="clear" w:color="000000" w:fill="FDE9D9"/>
            <w:noWrap/>
            <w:vAlign w:val="bottom"/>
            <w:hideMark/>
          </w:tcPr>
          <w:p w14:paraId="18E0134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3278</w:t>
            </w:r>
          </w:p>
        </w:tc>
        <w:tc>
          <w:tcPr>
            <w:tcW w:w="406" w:type="pct"/>
            <w:tcBorders>
              <w:top w:val="nil"/>
              <w:left w:val="nil"/>
              <w:bottom w:val="single" w:sz="4" w:space="0" w:color="auto"/>
              <w:right w:val="single" w:sz="4" w:space="0" w:color="auto"/>
            </w:tcBorders>
            <w:shd w:val="clear" w:color="000000" w:fill="F2F2F2"/>
            <w:noWrap/>
            <w:vAlign w:val="bottom"/>
            <w:hideMark/>
          </w:tcPr>
          <w:p w14:paraId="675114D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2912</w:t>
            </w:r>
          </w:p>
        </w:tc>
        <w:tc>
          <w:tcPr>
            <w:tcW w:w="390" w:type="pct"/>
            <w:tcBorders>
              <w:top w:val="nil"/>
              <w:left w:val="nil"/>
              <w:bottom w:val="single" w:sz="4" w:space="0" w:color="auto"/>
              <w:right w:val="single" w:sz="4" w:space="0" w:color="auto"/>
            </w:tcBorders>
            <w:shd w:val="clear" w:color="000000" w:fill="FDE9D9"/>
            <w:noWrap/>
            <w:vAlign w:val="bottom"/>
            <w:hideMark/>
          </w:tcPr>
          <w:p w14:paraId="2C9A3C5A"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2530</w:t>
            </w:r>
          </w:p>
        </w:tc>
        <w:tc>
          <w:tcPr>
            <w:tcW w:w="406" w:type="pct"/>
            <w:tcBorders>
              <w:top w:val="nil"/>
              <w:left w:val="nil"/>
              <w:bottom w:val="single" w:sz="4" w:space="0" w:color="auto"/>
              <w:right w:val="single" w:sz="4" w:space="0" w:color="auto"/>
            </w:tcBorders>
            <w:shd w:val="clear" w:color="000000" w:fill="F2F2F2"/>
            <w:noWrap/>
            <w:vAlign w:val="bottom"/>
            <w:hideMark/>
          </w:tcPr>
          <w:p w14:paraId="340A08E9"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2991</w:t>
            </w:r>
          </w:p>
        </w:tc>
        <w:tc>
          <w:tcPr>
            <w:tcW w:w="390" w:type="pct"/>
            <w:tcBorders>
              <w:top w:val="nil"/>
              <w:left w:val="nil"/>
              <w:bottom w:val="single" w:sz="4" w:space="0" w:color="auto"/>
              <w:right w:val="single" w:sz="4" w:space="0" w:color="auto"/>
            </w:tcBorders>
            <w:shd w:val="clear" w:color="000000" w:fill="FDE9D9"/>
            <w:noWrap/>
            <w:vAlign w:val="bottom"/>
            <w:hideMark/>
          </w:tcPr>
          <w:p w14:paraId="00049FA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2008</w:t>
            </w:r>
          </w:p>
        </w:tc>
        <w:tc>
          <w:tcPr>
            <w:tcW w:w="406" w:type="pct"/>
            <w:tcBorders>
              <w:top w:val="nil"/>
              <w:left w:val="nil"/>
              <w:bottom w:val="single" w:sz="4" w:space="0" w:color="auto"/>
              <w:right w:val="single" w:sz="4" w:space="0" w:color="auto"/>
            </w:tcBorders>
            <w:shd w:val="clear" w:color="000000" w:fill="F2F2F2"/>
            <w:noWrap/>
            <w:vAlign w:val="bottom"/>
            <w:hideMark/>
          </w:tcPr>
          <w:p w14:paraId="4C6E58D5"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11227</w:t>
            </w:r>
          </w:p>
        </w:tc>
        <w:tc>
          <w:tcPr>
            <w:tcW w:w="390" w:type="pct"/>
            <w:tcBorders>
              <w:top w:val="nil"/>
              <w:left w:val="nil"/>
              <w:bottom w:val="single" w:sz="4" w:space="0" w:color="auto"/>
              <w:right w:val="single" w:sz="4" w:space="0" w:color="auto"/>
            </w:tcBorders>
            <w:shd w:val="clear" w:color="000000" w:fill="FDE9D9"/>
            <w:noWrap/>
            <w:vAlign w:val="bottom"/>
            <w:hideMark/>
          </w:tcPr>
          <w:p w14:paraId="4052CAEE"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9926</w:t>
            </w:r>
          </w:p>
        </w:tc>
      </w:tr>
      <w:tr w:rsidR="00F111FB" w:rsidRPr="0016698E" w14:paraId="2EEE642D" w14:textId="77777777" w:rsidTr="00AB720F">
        <w:trPr>
          <w:trHeight w:val="247"/>
        </w:trPr>
        <w:tc>
          <w:tcPr>
            <w:tcW w:w="112" w:type="pct"/>
            <w:tcBorders>
              <w:top w:val="nil"/>
              <w:left w:val="nil"/>
              <w:bottom w:val="nil"/>
              <w:right w:val="nil"/>
            </w:tcBorders>
            <w:shd w:val="clear" w:color="auto" w:fill="auto"/>
            <w:noWrap/>
            <w:vAlign w:val="bottom"/>
            <w:hideMark/>
          </w:tcPr>
          <w:p w14:paraId="07AEEFEA" w14:textId="77777777" w:rsidR="00F111FB" w:rsidRPr="0016698E" w:rsidRDefault="00F111FB" w:rsidP="00AB720F">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5D368892"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10223B7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w:t>
            </w:r>
          </w:p>
        </w:tc>
        <w:tc>
          <w:tcPr>
            <w:tcW w:w="390" w:type="pct"/>
            <w:tcBorders>
              <w:top w:val="nil"/>
              <w:left w:val="nil"/>
              <w:bottom w:val="single" w:sz="4" w:space="0" w:color="auto"/>
              <w:right w:val="single" w:sz="4" w:space="0" w:color="auto"/>
            </w:tcBorders>
            <w:shd w:val="clear" w:color="000000" w:fill="FDE9D9"/>
            <w:noWrap/>
            <w:vAlign w:val="bottom"/>
            <w:hideMark/>
          </w:tcPr>
          <w:p w14:paraId="0C4FB8F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6%</w:t>
            </w:r>
          </w:p>
        </w:tc>
        <w:tc>
          <w:tcPr>
            <w:tcW w:w="406" w:type="pct"/>
            <w:tcBorders>
              <w:top w:val="nil"/>
              <w:left w:val="nil"/>
              <w:bottom w:val="single" w:sz="4" w:space="0" w:color="auto"/>
              <w:right w:val="single" w:sz="4" w:space="0" w:color="auto"/>
            </w:tcBorders>
            <w:shd w:val="clear" w:color="000000" w:fill="F2F2F2"/>
            <w:noWrap/>
            <w:vAlign w:val="bottom"/>
            <w:hideMark/>
          </w:tcPr>
          <w:p w14:paraId="6978B8A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11%</w:t>
            </w:r>
          </w:p>
        </w:tc>
        <w:tc>
          <w:tcPr>
            <w:tcW w:w="390" w:type="pct"/>
            <w:tcBorders>
              <w:top w:val="nil"/>
              <w:left w:val="nil"/>
              <w:bottom w:val="single" w:sz="4" w:space="0" w:color="auto"/>
              <w:right w:val="single" w:sz="4" w:space="0" w:color="auto"/>
            </w:tcBorders>
            <w:shd w:val="clear" w:color="000000" w:fill="FDE9D9"/>
            <w:noWrap/>
            <w:vAlign w:val="bottom"/>
            <w:hideMark/>
          </w:tcPr>
          <w:p w14:paraId="57517480"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16%</w:t>
            </w:r>
          </w:p>
        </w:tc>
        <w:tc>
          <w:tcPr>
            <w:tcW w:w="406" w:type="pct"/>
            <w:tcBorders>
              <w:top w:val="nil"/>
              <w:left w:val="nil"/>
              <w:bottom w:val="single" w:sz="4" w:space="0" w:color="auto"/>
              <w:right w:val="single" w:sz="4" w:space="0" w:color="auto"/>
            </w:tcBorders>
            <w:shd w:val="clear" w:color="000000" w:fill="F2F2F2"/>
            <w:noWrap/>
            <w:vAlign w:val="bottom"/>
            <w:hideMark/>
          </w:tcPr>
          <w:p w14:paraId="6AEF406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33%</w:t>
            </w:r>
          </w:p>
        </w:tc>
        <w:tc>
          <w:tcPr>
            <w:tcW w:w="390" w:type="pct"/>
            <w:tcBorders>
              <w:top w:val="nil"/>
              <w:left w:val="nil"/>
              <w:bottom w:val="single" w:sz="4" w:space="0" w:color="auto"/>
              <w:right w:val="single" w:sz="4" w:space="0" w:color="auto"/>
            </w:tcBorders>
            <w:shd w:val="clear" w:color="000000" w:fill="FDE9D9"/>
            <w:noWrap/>
            <w:vAlign w:val="bottom"/>
            <w:hideMark/>
          </w:tcPr>
          <w:p w14:paraId="7787349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33%</w:t>
            </w:r>
          </w:p>
        </w:tc>
        <w:tc>
          <w:tcPr>
            <w:tcW w:w="406" w:type="pct"/>
            <w:tcBorders>
              <w:top w:val="nil"/>
              <w:left w:val="nil"/>
              <w:bottom w:val="single" w:sz="4" w:space="0" w:color="auto"/>
              <w:right w:val="single" w:sz="4" w:space="0" w:color="auto"/>
            </w:tcBorders>
            <w:shd w:val="clear" w:color="000000" w:fill="F2F2F2"/>
            <w:noWrap/>
            <w:vAlign w:val="bottom"/>
            <w:hideMark/>
          </w:tcPr>
          <w:p w14:paraId="18FA7308"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26%</w:t>
            </w:r>
          </w:p>
        </w:tc>
        <w:tc>
          <w:tcPr>
            <w:tcW w:w="390" w:type="pct"/>
            <w:tcBorders>
              <w:top w:val="nil"/>
              <w:left w:val="nil"/>
              <w:bottom w:val="single" w:sz="4" w:space="0" w:color="auto"/>
              <w:right w:val="single" w:sz="4" w:space="0" w:color="auto"/>
            </w:tcBorders>
            <w:shd w:val="clear" w:color="000000" w:fill="FDE9D9"/>
            <w:noWrap/>
            <w:vAlign w:val="bottom"/>
            <w:hideMark/>
          </w:tcPr>
          <w:p w14:paraId="5B1BC77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25%</w:t>
            </w:r>
          </w:p>
        </w:tc>
        <w:tc>
          <w:tcPr>
            <w:tcW w:w="406" w:type="pct"/>
            <w:tcBorders>
              <w:top w:val="nil"/>
              <w:left w:val="nil"/>
              <w:bottom w:val="single" w:sz="4" w:space="0" w:color="auto"/>
              <w:right w:val="single" w:sz="4" w:space="0" w:color="auto"/>
            </w:tcBorders>
            <w:shd w:val="clear" w:color="000000" w:fill="F2F2F2"/>
            <w:noWrap/>
            <w:vAlign w:val="bottom"/>
            <w:hideMark/>
          </w:tcPr>
          <w:p w14:paraId="53BFAD44"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27%</w:t>
            </w:r>
          </w:p>
        </w:tc>
        <w:tc>
          <w:tcPr>
            <w:tcW w:w="390" w:type="pct"/>
            <w:tcBorders>
              <w:top w:val="nil"/>
              <w:left w:val="nil"/>
              <w:bottom w:val="single" w:sz="4" w:space="0" w:color="auto"/>
              <w:right w:val="single" w:sz="4" w:space="0" w:color="auto"/>
            </w:tcBorders>
            <w:shd w:val="clear" w:color="000000" w:fill="FDE9D9"/>
            <w:noWrap/>
            <w:vAlign w:val="bottom"/>
            <w:hideMark/>
          </w:tcPr>
          <w:p w14:paraId="7B66FAC4"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20%</w:t>
            </w:r>
          </w:p>
        </w:tc>
        <w:tc>
          <w:tcPr>
            <w:tcW w:w="406" w:type="pct"/>
            <w:tcBorders>
              <w:top w:val="nil"/>
              <w:left w:val="nil"/>
              <w:bottom w:val="single" w:sz="4" w:space="0" w:color="auto"/>
              <w:right w:val="single" w:sz="4" w:space="0" w:color="auto"/>
            </w:tcBorders>
            <w:shd w:val="clear" w:color="000000" w:fill="F2F2F2"/>
            <w:noWrap/>
            <w:vAlign w:val="bottom"/>
            <w:hideMark/>
          </w:tcPr>
          <w:p w14:paraId="38AF3514"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34940E1E" w14:textId="77777777" w:rsidR="00F111FB" w:rsidRPr="0016698E" w:rsidRDefault="00F111FB" w:rsidP="00AB720F">
            <w:pPr>
              <w:spacing w:after="0" w:line="240" w:lineRule="auto"/>
              <w:jc w:val="center"/>
              <w:rPr>
                <w:rFonts w:eastAsia="Times New Roman" w:cs="Times New Roman"/>
                <w:b/>
                <w:bCs/>
                <w:color w:val="000000"/>
                <w:lang w:eastAsia="en-AU"/>
              </w:rPr>
            </w:pPr>
            <w:r w:rsidRPr="0016698E">
              <w:rPr>
                <w:rFonts w:eastAsia="Times New Roman" w:cs="Times New Roman"/>
                <w:b/>
                <w:bCs/>
                <w:color w:val="000000"/>
                <w:lang w:eastAsia="en-AU"/>
              </w:rPr>
              <w:t> </w:t>
            </w:r>
          </w:p>
        </w:tc>
      </w:tr>
      <w:tr w:rsidR="00F111FB" w:rsidRPr="0016698E" w14:paraId="4A05B5AF" w14:textId="77777777" w:rsidTr="00AB720F">
        <w:trPr>
          <w:trHeight w:val="247"/>
        </w:trPr>
        <w:tc>
          <w:tcPr>
            <w:tcW w:w="5000" w:type="pct"/>
            <w:gridSpan w:val="14"/>
            <w:tcBorders>
              <w:top w:val="nil"/>
              <w:left w:val="nil"/>
              <w:bottom w:val="nil"/>
              <w:right w:val="single" w:sz="8" w:space="0" w:color="000000"/>
            </w:tcBorders>
            <w:shd w:val="clear" w:color="000000" w:fill="BFBFBF"/>
            <w:noWrap/>
            <w:vAlign w:val="bottom"/>
            <w:hideMark/>
          </w:tcPr>
          <w:p w14:paraId="0A85CC92" w14:textId="77777777" w:rsidR="00F111FB" w:rsidRPr="0016698E" w:rsidRDefault="00F111FB" w:rsidP="00AB720F">
            <w:pPr>
              <w:spacing w:after="0" w:line="240" w:lineRule="auto"/>
              <w:rPr>
                <w:rFonts w:eastAsia="Times New Roman" w:cs="Times New Roman"/>
                <w:b/>
                <w:bCs/>
                <w:color w:val="000000"/>
                <w:lang w:eastAsia="en-AU"/>
              </w:rPr>
            </w:pPr>
            <w:r w:rsidRPr="0016698E">
              <w:rPr>
                <w:rFonts w:eastAsia="Times New Roman" w:cs="Times New Roman"/>
                <w:b/>
                <w:bCs/>
                <w:color w:val="000000"/>
                <w:lang w:eastAsia="en-AU"/>
              </w:rPr>
              <w:t>Year 8</w:t>
            </w:r>
          </w:p>
        </w:tc>
      </w:tr>
      <w:tr w:rsidR="00F111FB" w:rsidRPr="0016698E" w14:paraId="00D782D3" w14:textId="77777777" w:rsidTr="00AB720F">
        <w:trPr>
          <w:trHeight w:val="247"/>
        </w:trPr>
        <w:tc>
          <w:tcPr>
            <w:tcW w:w="112" w:type="pct"/>
            <w:tcBorders>
              <w:top w:val="nil"/>
              <w:left w:val="nil"/>
              <w:bottom w:val="nil"/>
              <w:right w:val="nil"/>
            </w:tcBorders>
            <w:shd w:val="clear" w:color="auto" w:fill="auto"/>
            <w:noWrap/>
            <w:vAlign w:val="bottom"/>
            <w:hideMark/>
          </w:tcPr>
          <w:p w14:paraId="5817E0B3" w14:textId="77777777" w:rsidR="00F111FB" w:rsidRPr="0016698E" w:rsidRDefault="00F111FB" w:rsidP="00AB720F">
            <w:pPr>
              <w:spacing w:after="0" w:line="240" w:lineRule="auto"/>
              <w:rPr>
                <w:rFonts w:eastAsia="Times New Roman" w:cs="Times New Roman"/>
                <w:color w:val="000000"/>
                <w:lang w:eastAsia="en-AU"/>
              </w:rPr>
            </w:pPr>
          </w:p>
        </w:tc>
        <w:tc>
          <w:tcPr>
            <w:tcW w:w="112" w:type="pct"/>
            <w:tcBorders>
              <w:top w:val="nil"/>
              <w:left w:val="nil"/>
              <w:bottom w:val="nil"/>
              <w:right w:val="nil"/>
            </w:tcBorders>
            <w:shd w:val="clear" w:color="auto" w:fill="auto"/>
            <w:noWrap/>
            <w:vAlign w:val="bottom"/>
            <w:hideMark/>
          </w:tcPr>
          <w:p w14:paraId="271422F9"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8" w:space="0" w:color="auto"/>
              <w:bottom w:val="single" w:sz="4" w:space="0" w:color="auto"/>
              <w:right w:val="single" w:sz="4" w:space="0" w:color="auto"/>
            </w:tcBorders>
            <w:shd w:val="clear" w:color="auto" w:fill="F2F2F2" w:themeFill="background1" w:themeFillShade="F2"/>
            <w:noWrap/>
            <w:vAlign w:val="bottom"/>
            <w:hideMark/>
          </w:tcPr>
          <w:p w14:paraId="4A8E6C2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423</w:t>
            </w:r>
          </w:p>
        </w:tc>
        <w:tc>
          <w:tcPr>
            <w:tcW w:w="390" w:type="pct"/>
            <w:tcBorders>
              <w:top w:val="nil"/>
              <w:left w:val="nil"/>
              <w:bottom w:val="single" w:sz="4" w:space="0" w:color="auto"/>
              <w:right w:val="single" w:sz="4" w:space="0" w:color="auto"/>
            </w:tcBorders>
            <w:shd w:val="clear" w:color="000000" w:fill="FDE9D9"/>
            <w:noWrap/>
            <w:vAlign w:val="bottom"/>
            <w:hideMark/>
          </w:tcPr>
          <w:p w14:paraId="54D892E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586</w:t>
            </w:r>
          </w:p>
        </w:tc>
        <w:tc>
          <w:tcPr>
            <w:tcW w:w="406" w:type="pct"/>
            <w:tcBorders>
              <w:top w:val="nil"/>
              <w:left w:val="single" w:sz="8" w:space="0" w:color="auto"/>
              <w:bottom w:val="single" w:sz="4" w:space="0" w:color="auto"/>
              <w:right w:val="single" w:sz="4" w:space="0" w:color="auto"/>
            </w:tcBorders>
            <w:shd w:val="clear" w:color="000000" w:fill="F2F2F2"/>
            <w:noWrap/>
            <w:vAlign w:val="bottom"/>
            <w:hideMark/>
          </w:tcPr>
          <w:p w14:paraId="138957C1"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1420</w:t>
            </w:r>
          </w:p>
        </w:tc>
        <w:tc>
          <w:tcPr>
            <w:tcW w:w="390" w:type="pct"/>
            <w:tcBorders>
              <w:top w:val="nil"/>
              <w:left w:val="nil"/>
              <w:bottom w:val="single" w:sz="4" w:space="0" w:color="auto"/>
              <w:right w:val="single" w:sz="4" w:space="0" w:color="auto"/>
            </w:tcBorders>
            <w:shd w:val="clear" w:color="000000" w:fill="FDE9D9"/>
            <w:noWrap/>
            <w:vAlign w:val="bottom"/>
            <w:hideMark/>
          </w:tcPr>
          <w:p w14:paraId="16F84FCC"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1491</w:t>
            </w:r>
          </w:p>
        </w:tc>
        <w:tc>
          <w:tcPr>
            <w:tcW w:w="406" w:type="pct"/>
            <w:tcBorders>
              <w:top w:val="nil"/>
              <w:left w:val="single" w:sz="8" w:space="0" w:color="auto"/>
              <w:bottom w:val="single" w:sz="4" w:space="0" w:color="auto"/>
              <w:right w:val="single" w:sz="4" w:space="0" w:color="auto"/>
            </w:tcBorders>
            <w:shd w:val="clear" w:color="000000" w:fill="F2F2F2"/>
            <w:noWrap/>
            <w:vAlign w:val="bottom"/>
            <w:hideMark/>
          </w:tcPr>
          <w:p w14:paraId="4F19FFE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3708</w:t>
            </w:r>
          </w:p>
        </w:tc>
        <w:tc>
          <w:tcPr>
            <w:tcW w:w="390" w:type="pct"/>
            <w:tcBorders>
              <w:top w:val="nil"/>
              <w:left w:val="nil"/>
              <w:bottom w:val="single" w:sz="4" w:space="0" w:color="auto"/>
              <w:right w:val="single" w:sz="4" w:space="0" w:color="auto"/>
            </w:tcBorders>
            <w:shd w:val="clear" w:color="000000" w:fill="FDE9D9"/>
            <w:noWrap/>
            <w:vAlign w:val="bottom"/>
            <w:hideMark/>
          </w:tcPr>
          <w:p w14:paraId="337C177E"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3312</w:t>
            </w:r>
          </w:p>
        </w:tc>
        <w:tc>
          <w:tcPr>
            <w:tcW w:w="406" w:type="pct"/>
            <w:tcBorders>
              <w:top w:val="nil"/>
              <w:left w:val="single" w:sz="8" w:space="0" w:color="auto"/>
              <w:bottom w:val="single" w:sz="4" w:space="0" w:color="auto"/>
              <w:right w:val="single" w:sz="4" w:space="0" w:color="auto"/>
            </w:tcBorders>
            <w:shd w:val="clear" w:color="000000" w:fill="F2F2F2"/>
            <w:noWrap/>
            <w:vAlign w:val="bottom"/>
            <w:hideMark/>
          </w:tcPr>
          <w:p w14:paraId="3A9E01EF"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3193</w:t>
            </w:r>
          </w:p>
        </w:tc>
        <w:tc>
          <w:tcPr>
            <w:tcW w:w="390" w:type="pct"/>
            <w:tcBorders>
              <w:top w:val="nil"/>
              <w:left w:val="nil"/>
              <w:bottom w:val="single" w:sz="4" w:space="0" w:color="auto"/>
              <w:right w:val="single" w:sz="4" w:space="0" w:color="auto"/>
            </w:tcBorders>
            <w:shd w:val="clear" w:color="000000" w:fill="FDE9D9"/>
            <w:noWrap/>
            <w:vAlign w:val="bottom"/>
            <w:hideMark/>
          </w:tcPr>
          <w:p w14:paraId="5ABCFA66"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2589</w:t>
            </w:r>
          </w:p>
        </w:tc>
        <w:tc>
          <w:tcPr>
            <w:tcW w:w="406" w:type="pct"/>
            <w:tcBorders>
              <w:top w:val="nil"/>
              <w:left w:val="single" w:sz="8" w:space="0" w:color="auto"/>
              <w:bottom w:val="single" w:sz="4" w:space="0" w:color="auto"/>
              <w:right w:val="single" w:sz="4" w:space="0" w:color="auto"/>
            </w:tcBorders>
            <w:shd w:val="clear" w:color="000000" w:fill="F2F2F2"/>
            <w:noWrap/>
            <w:vAlign w:val="bottom"/>
            <w:hideMark/>
          </w:tcPr>
          <w:p w14:paraId="1EDF0D5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3186</w:t>
            </w:r>
          </w:p>
        </w:tc>
        <w:tc>
          <w:tcPr>
            <w:tcW w:w="390" w:type="pct"/>
            <w:tcBorders>
              <w:top w:val="nil"/>
              <w:left w:val="nil"/>
              <w:bottom w:val="single" w:sz="4" w:space="0" w:color="auto"/>
              <w:right w:val="single" w:sz="8" w:space="0" w:color="auto"/>
            </w:tcBorders>
            <w:shd w:val="clear" w:color="000000" w:fill="FDE9D9"/>
            <w:noWrap/>
            <w:vAlign w:val="bottom"/>
            <w:hideMark/>
          </w:tcPr>
          <w:p w14:paraId="6E0EDCB3"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2316</w:t>
            </w:r>
          </w:p>
        </w:tc>
        <w:tc>
          <w:tcPr>
            <w:tcW w:w="406" w:type="pct"/>
            <w:tcBorders>
              <w:top w:val="nil"/>
              <w:left w:val="nil"/>
              <w:bottom w:val="single" w:sz="4" w:space="0" w:color="auto"/>
              <w:right w:val="single" w:sz="4" w:space="0" w:color="auto"/>
            </w:tcBorders>
            <w:shd w:val="clear" w:color="000000" w:fill="F2F2F2"/>
            <w:noWrap/>
            <w:vAlign w:val="bottom"/>
            <w:hideMark/>
          </w:tcPr>
          <w:p w14:paraId="4B35BE08" w14:textId="77777777" w:rsidR="00F111FB" w:rsidRPr="00C77F07" w:rsidRDefault="00F111FB" w:rsidP="00AB720F">
            <w:pPr>
              <w:spacing w:after="0" w:line="240" w:lineRule="auto"/>
              <w:jc w:val="center"/>
              <w:rPr>
                <w:rFonts w:eastAsia="Times New Roman" w:cs="Times New Roman"/>
                <w:b/>
                <w:bCs/>
                <w:color w:val="000000"/>
                <w:sz w:val="21"/>
                <w:szCs w:val="21"/>
                <w:lang w:eastAsia="en-AU"/>
              </w:rPr>
            </w:pPr>
            <w:r w:rsidRPr="00C77F07">
              <w:rPr>
                <w:rFonts w:eastAsia="Times New Roman" w:cs="Times New Roman"/>
                <w:b/>
                <w:bCs/>
                <w:color w:val="000000"/>
                <w:sz w:val="21"/>
                <w:szCs w:val="21"/>
                <w:lang w:eastAsia="en-AU"/>
              </w:rPr>
              <w:t>11930</w:t>
            </w:r>
          </w:p>
        </w:tc>
        <w:tc>
          <w:tcPr>
            <w:tcW w:w="390" w:type="pct"/>
            <w:tcBorders>
              <w:top w:val="nil"/>
              <w:left w:val="nil"/>
              <w:bottom w:val="single" w:sz="4" w:space="0" w:color="auto"/>
              <w:right w:val="single" w:sz="8" w:space="0" w:color="auto"/>
            </w:tcBorders>
            <w:shd w:val="clear" w:color="000000" w:fill="FDE9D9"/>
            <w:noWrap/>
            <w:vAlign w:val="bottom"/>
            <w:hideMark/>
          </w:tcPr>
          <w:p w14:paraId="67C80E3F" w14:textId="77777777" w:rsidR="00F111FB" w:rsidRPr="00C77F07" w:rsidRDefault="00F111FB" w:rsidP="00AB720F">
            <w:pPr>
              <w:spacing w:after="0" w:line="240" w:lineRule="auto"/>
              <w:jc w:val="center"/>
              <w:rPr>
                <w:rFonts w:eastAsia="Times New Roman" w:cs="Times New Roman"/>
                <w:b/>
                <w:bCs/>
                <w:color w:val="000000"/>
                <w:sz w:val="21"/>
                <w:szCs w:val="21"/>
                <w:lang w:eastAsia="en-AU"/>
              </w:rPr>
            </w:pPr>
            <w:r w:rsidRPr="00C77F07">
              <w:rPr>
                <w:rFonts w:eastAsia="Times New Roman" w:cs="Times New Roman"/>
                <w:b/>
                <w:bCs/>
                <w:color w:val="000000"/>
                <w:sz w:val="21"/>
                <w:szCs w:val="21"/>
                <w:lang w:eastAsia="en-AU"/>
              </w:rPr>
              <w:t>10294</w:t>
            </w:r>
          </w:p>
        </w:tc>
      </w:tr>
      <w:tr w:rsidR="00F111FB" w:rsidRPr="0016698E" w14:paraId="19E90EA9" w14:textId="77777777" w:rsidTr="00AB720F">
        <w:trPr>
          <w:trHeight w:val="247"/>
        </w:trPr>
        <w:tc>
          <w:tcPr>
            <w:tcW w:w="112" w:type="pct"/>
            <w:tcBorders>
              <w:top w:val="nil"/>
              <w:left w:val="nil"/>
              <w:bottom w:val="nil"/>
              <w:right w:val="nil"/>
            </w:tcBorders>
            <w:shd w:val="clear" w:color="auto" w:fill="auto"/>
            <w:noWrap/>
            <w:vAlign w:val="bottom"/>
            <w:hideMark/>
          </w:tcPr>
          <w:p w14:paraId="66C27666" w14:textId="77777777" w:rsidR="00F111FB" w:rsidRPr="0016698E" w:rsidRDefault="00F111FB" w:rsidP="00AB720F">
            <w:pPr>
              <w:spacing w:after="0" w:line="240" w:lineRule="auto"/>
              <w:rPr>
                <w:rFonts w:eastAsia="Times New Roman" w:cs="Times New Roman"/>
                <w:color w:val="000000"/>
                <w:lang w:eastAsia="en-AU"/>
              </w:rPr>
            </w:pPr>
          </w:p>
        </w:tc>
        <w:tc>
          <w:tcPr>
            <w:tcW w:w="112" w:type="pct"/>
            <w:tcBorders>
              <w:top w:val="nil"/>
              <w:left w:val="nil"/>
              <w:bottom w:val="nil"/>
              <w:right w:val="nil"/>
            </w:tcBorders>
            <w:shd w:val="clear" w:color="auto" w:fill="auto"/>
            <w:noWrap/>
            <w:vAlign w:val="bottom"/>
            <w:hideMark/>
          </w:tcPr>
          <w:p w14:paraId="4D45052A" w14:textId="77777777" w:rsidR="00F111FB" w:rsidRPr="0016698E" w:rsidRDefault="00F111FB" w:rsidP="00AB720F">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6BE406F4"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4%</w:t>
            </w:r>
          </w:p>
        </w:tc>
        <w:tc>
          <w:tcPr>
            <w:tcW w:w="390" w:type="pct"/>
            <w:tcBorders>
              <w:top w:val="nil"/>
              <w:left w:val="nil"/>
              <w:bottom w:val="single" w:sz="4" w:space="0" w:color="auto"/>
              <w:right w:val="single" w:sz="4" w:space="0" w:color="auto"/>
            </w:tcBorders>
            <w:shd w:val="clear" w:color="000000" w:fill="FDE9D9"/>
            <w:noWrap/>
            <w:vAlign w:val="bottom"/>
            <w:hideMark/>
          </w:tcPr>
          <w:p w14:paraId="25EBB1A8"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6%</w:t>
            </w: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5E0B4CFA"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12%</w:t>
            </w:r>
          </w:p>
        </w:tc>
        <w:tc>
          <w:tcPr>
            <w:tcW w:w="390" w:type="pct"/>
            <w:tcBorders>
              <w:top w:val="nil"/>
              <w:left w:val="nil"/>
              <w:bottom w:val="single" w:sz="4" w:space="0" w:color="auto"/>
              <w:right w:val="single" w:sz="4" w:space="0" w:color="auto"/>
            </w:tcBorders>
            <w:shd w:val="clear" w:color="000000" w:fill="FDE9D9"/>
            <w:noWrap/>
            <w:vAlign w:val="bottom"/>
            <w:hideMark/>
          </w:tcPr>
          <w:p w14:paraId="7294EF94"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14%</w:t>
            </w: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56B7FC06"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31%</w:t>
            </w:r>
          </w:p>
        </w:tc>
        <w:tc>
          <w:tcPr>
            <w:tcW w:w="390" w:type="pct"/>
            <w:tcBorders>
              <w:top w:val="nil"/>
              <w:left w:val="nil"/>
              <w:bottom w:val="single" w:sz="4" w:space="0" w:color="auto"/>
              <w:right w:val="single" w:sz="4" w:space="0" w:color="auto"/>
            </w:tcBorders>
            <w:shd w:val="clear" w:color="000000" w:fill="FDE9D9"/>
            <w:noWrap/>
            <w:vAlign w:val="bottom"/>
            <w:hideMark/>
          </w:tcPr>
          <w:p w14:paraId="6B4C4460"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32%</w:t>
            </w: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67E7FAA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27%</w:t>
            </w:r>
          </w:p>
        </w:tc>
        <w:tc>
          <w:tcPr>
            <w:tcW w:w="390" w:type="pct"/>
            <w:tcBorders>
              <w:top w:val="nil"/>
              <w:left w:val="nil"/>
              <w:bottom w:val="single" w:sz="4" w:space="0" w:color="auto"/>
              <w:right w:val="single" w:sz="4" w:space="0" w:color="auto"/>
            </w:tcBorders>
            <w:shd w:val="clear" w:color="000000" w:fill="FDE9D9"/>
            <w:noWrap/>
            <w:vAlign w:val="bottom"/>
            <w:hideMark/>
          </w:tcPr>
          <w:p w14:paraId="4988BCF4"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25%</w:t>
            </w: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1DC5AB05"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27%</w:t>
            </w:r>
          </w:p>
        </w:tc>
        <w:tc>
          <w:tcPr>
            <w:tcW w:w="390" w:type="pct"/>
            <w:tcBorders>
              <w:top w:val="nil"/>
              <w:left w:val="nil"/>
              <w:bottom w:val="single" w:sz="4" w:space="0" w:color="auto"/>
              <w:right w:val="single" w:sz="4" w:space="0" w:color="auto"/>
            </w:tcBorders>
            <w:shd w:val="clear" w:color="000000" w:fill="FDE9D9"/>
            <w:noWrap/>
            <w:vAlign w:val="bottom"/>
            <w:hideMark/>
          </w:tcPr>
          <w:p w14:paraId="433E9224"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22%</w:t>
            </w:r>
          </w:p>
        </w:tc>
        <w:tc>
          <w:tcPr>
            <w:tcW w:w="406" w:type="pct"/>
            <w:tcBorders>
              <w:top w:val="nil"/>
              <w:left w:val="nil"/>
              <w:bottom w:val="single" w:sz="4" w:space="0" w:color="auto"/>
              <w:right w:val="single" w:sz="4" w:space="0" w:color="auto"/>
            </w:tcBorders>
            <w:shd w:val="clear" w:color="auto" w:fill="F2F2F2" w:themeFill="background1" w:themeFillShade="F2"/>
            <w:noWrap/>
            <w:vAlign w:val="bottom"/>
            <w:hideMark/>
          </w:tcPr>
          <w:p w14:paraId="5279592D"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145EF4FB" w14:textId="77777777" w:rsidR="00F111FB" w:rsidRPr="0016698E" w:rsidRDefault="00F111FB" w:rsidP="00AB720F">
            <w:pPr>
              <w:spacing w:after="0" w:line="240" w:lineRule="auto"/>
              <w:jc w:val="center"/>
              <w:rPr>
                <w:rFonts w:eastAsia="Times New Roman" w:cs="Times New Roman"/>
                <w:color w:val="000000"/>
                <w:lang w:eastAsia="en-AU"/>
              </w:rPr>
            </w:pPr>
            <w:r w:rsidRPr="0016698E">
              <w:rPr>
                <w:rFonts w:eastAsia="Times New Roman" w:cs="Times New Roman"/>
                <w:color w:val="000000"/>
                <w:lang w:eastAsia="en-AU"/>
              </w:rPr>
              <w:t> </w:t>
            </w:r>
          </w:p>
        </w:tc>
      </w:tr>
    </w:tbl>
    <w:p w14:paraId="3928258D" w14:textId="2D186C16" w:rsidR="00824EA6" w:rsidRDefault="00824EA6" w:rsidP="00120A97">
      <w:pPr>
        <w:pStyle w:val="Normalnumbered"/>
        <w:numPr>
          <w:ilvl w:val="0"/>
          <w:numId w:val="0"/>
        </w:numPr>
        <w:tabs>
          <w:tab w:val="num" w:pos="2160"/>
        </w:tabs>
        <w:rPr>
          <w:rFonts w:ascii="Arial" w:hAnsi="Arial" w:cs="Arial"/>
          <w:b/>
          <w:szCs w:val="23"/>
          <w:u w:val="single"/>
        </w:rPr>
      </w:pPr>
    </w:p>
    <w:p w14:paraId="2A3D18C3" w14:textId="77777777" w:rsidR="00120A97" w:rsidRDefault="00120A97">
      <w:pPr>
        <w:rPr>
          <w:rFonts w:ascii="Arial" w:eastAsia="Times New Roman" w:hAnsi="Arial" w:cs="Arial"/>
          <w:b/>
          <w:color w:val="000000"/>
          <w:sz w:val="23"/>
          <w:szCs w:val="23"/>
          <w:u w:val="single"/>
          <w:lang w:eastAsia="en-AU"/>
        </w:rPr>
      </w:pPr>
      <w:r>
        <w:rPr>
          <w:rFonts w:ascii="Arial" w:hAnsi="Arial" w:cs="Arial"/>
          <w:b/>
          <w:szCs w:val="23"/>
          <w:u w:val="single"/>
        </w:rPr>
        <w:br w:type="page"/>
      </w:r>
    </w:p>
    <w:p w14:paraId="7D88B547" w14:textId="63F3B095" w:rsidR="00D03868" w:rsidRPr="00AB720F" w:rsidRDefault="00120A97" w:rsidP="00120A97">
      <w:pPr>
        <w:pStyle w:val="Heading3"/>
      </w:pPr>
      <w:r>
        <w:t>Appendix C</w:t>
      </w:r>
    </w:p>
    <w:p w14:paraId="7E11FB08" w14:textId="77777777" w:rsidR="00D03868" w:rsidRDefault="00D03868" w:rsidP="00AB720F">
      <w:pPr>
        <w:pStyle w:val="Normalnumbered"/>
        <w:numPr>
          <w:ilvl w:val="0"/>
          <w:numId w:val="0"/>
        </w:numPr>
        <w:tabs>
          <w:tab w:val="num" w:pos="2160"/>
        </w:tabs>
        <w:rPr>
          <w:b/>
          <w:color w:val="244061" w:themeColor="accent1" w:themeShade="80"/>
          <w:sz w:val="28"/>
          <w:szCs w:val="23"/>
        </w:rPr>
      </w:pPr>
    </w:p>
    <w:tbl>
      <w:tblPr>
        <w:tblW w:w="5000" w:type="pct"/>
        <w:tblLook w:val="04A0" w:firstRow="1" w:lastRow="0" w:firstColumn="1" w:lastColumn="0" w:noHBand="0" w:noVBand="1"/>
        <w:tblCaption w:val="Appendix C - May 2012 vs Nov 2013 Reporting - ATSI students: Numeracy"/>
        <w:tblDescription w:val="Data relating to May 2012 vs Nov 2013 Reporting - ATSI students: Numeracy"/>
      </w:tblPr>
      <w:tblGrid>
        <w:gridCol w:w="220"/>
        <w:gridCol w:w="220"/>
        <w:gridCol w:w="799"/>
        <w:gridCol w:w="769"/>
        <w:gridCol w:w="800"/>
        <w:gridCol w:w="769"/>
        <w:gridCol w:w="800"/>
        <w:gridCol w:w="769"/>
        <w:gridCol w:w="800"/>
        <w:gridCol w:w="769"/>
        <w:gridCol w:w="800"/>
        <w:gridCol w:w="769"/>
        <w:gridCol w:w="800"/>
        <w:gridCol w:w="769"/>
      </w:tblGrid>
      <w:tr w:rsidR="00F111FB" w:rsidRPr="006E3E29" w14:paraId="1332BE22" w14:textId="77777777" w:rsidTr="00E41DD4">
        <w:trPr>
          <w:trHeight w:val="202"/>
        </w:trPr>
        <w:tc>
          <w:tcPr>
            <w:tcW w:w="5000" w:type="pct"/>
            <w:gridSpan w:val="14"/>
            <w:tcBorders>
              <w:top w:val="nil"/>
              <w:left w:val="nil"/>
              <w:bottom w:val="nil"/>
              <w:right w:val="nil"/>
            </w:tcBorders>
            <w:shd w:val="clear" w:color="auto" w:fill="auto"/>
            <w:noWrap/>
            <w:vAlign w:val="bottom"/>
            <w:hideMark/>
          </w:tcPr>
          <w:p w14:paraId="12D868A2" w14:textId="77777777" w:rsidR="00F111FB" w:rsidRPr="006E3E29" w:rsidRDefault="00F111FB" w:rsidP="002F0925">
            <w:pPr>
              <w:spacing w:after="0" w:line="240" w:lineRule="auto"/>
              <w:rPr>
                <w:rFonts w:eastAsia="Times New Roman" w:cs="Times New Roman"/>
                <w:color w:val="000000"/>
                <w:lang w:eastAsia="en-AU"/>
              </w:rPr>
            </w:pPr>
            <w:r w:rsidRPr="002C42CF">
              <w:rPr>
                <w:rFonts w:ascii="Corbel" w:eastAsia="Times New Roman" w:hAnsi="Corbel" w:cs="Times New Roman"/>
                <w:b/>
                <w:bCs/>
                <w:color w:val="244061" w:themeColor="accent1" w:themeShade="80"/>
                <w:sz w:val="32"/>
                <w:szCs w:val="28"/>
                <w:lang w:eastAsia="en-AU"/>
              </w:rPr>
              <w:t>May 2013 vs Nov 2013 Reporting –</w:t>
            </w:r>
            <w:r>
              <w:rPr>
                <w:rFonts w:ascii="Corbel" w:eastAsia="Times New Roman" w:hAnsi="Corbel" w:cs="Times New Roman"/>
                <w:b/>
                <w:bCs/>
                <w:color w:val="244061" w:themeColor="accent1" w:themeShade="80"/>
                <w:sz w:val="32"/>
                <w:szCs w:val="28"/>
                <w:lang w:eastAsia="en-AU"/>
              </w:rPr>
              <w:t xml:space="preserve"> </w:t>
            </w:r>
            <w:r w:rsidRPr="002C42CF">
              <w:rPr>
                <w:rFonts w:ascii="Corbel" w:eastAsia="Times New Roman" w:hAnsi="Corbel" w:cs="Times New Roman"/>
                <w:b/>
                <w:bCs/>
                <w:color w:val="244061" w:themeColor="accent1" w:themeShade="80"/>
                <w:sz w:val="32"/>
                <w:szCs w:val="28"/>
                <w:lang w:eastAsia="en-AU"/>
              </w:rPr>
              <w:t>ATSI Students: Numeracy</w:t>
            </w:r>
          </w:p>
        </w:tc>
      </w:tr>
      <w:tr w:rsidR="00F111FB" w:rsidRPr="006E3E29" w14:paraId="34C7D69F" w14:textId="77777777" w:rsidTr="00E41DD4">
        <w:trPr>
          <w:trHeight w:val="152"/>
        </w:trPr>
        <w:tc>
          <w:tcPr>
            <w:tcW w:w="112" w:type="pct"/>
            <w:tcBorders>
              <w:top w:val="nil"/>
              <w:left w:val="nil"/>
              <w:bottom w:val="nil"/>
              <w:right w:val="nil"/>
            </w:tcBorders>
            <w:shd w:val="clear" w:color="auto" w:fill="auto"/>
            <w:noWrap/>
            <w:vAlign w:val="bottom"/>
            <w:hideMark/>
          </w:tcPr>
          <w:p w14:paraId="1CB4E96F" w14:textId="77777777" w:rsidR="00F111FB" w:rsidRPr="006E3E29" w:rsidRDefault="00F111FB" w:rsidP="002F0925">
            <w:pPr>
              <w:spacing w:after="0" w:line="240" w:lineRule="auto"/>
              <w:rPr>
                <w:rFonts w:eastAsia="Times New Roman" w:cs="Times New Roman"/>
                <w:color w:val="000000"/>
                <w:lang w:eastAsia="en-AU"/>
              </w:rPr>
            </w:pPr>
          </w:p>
        </w:tc>
        <w:tc>
          <w:tcPr>
            <w:tcW w:w="112" w:type="pct"/>
            <w:tcBorders>
              <w:top w:val="nil"/>
              <w:left w:val="nil"/>
              <w:bottom w:val="nil"/>
              <w:right w:val="nil"/>
            </w:tcBorders>
            <w:shd w:val="clear" w:color="auto" w:fill="auto"/>
            <w:noWrap/>
            <w:vAlign w:val="bottom"/>
            <w:hideMark/>
          </w:tcPr>
          <w:p w14:paraId="636BFAF3"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nil"/>
              <w:left w:val="nil"/>
              <w:bottom w:val="nil"/>
              <w:right w:val="nil"/>
            </w:tcBorders>
            <w:shd w:val="clear" w:color="auto" w:fill="auto"/>
            <w:noWrap/>
            <w:vAlign w:val="bottom"/>
            <w:hideMark/>
          </w:tcPr>
          <w:p w14:paraId="40871BE3" w14:textId="77777777" w:rsidR="00F111FB" w:rsidRPr="006E3E29" w:rsidRDefault="00F111FB" w:rsidP="002F0925">
            <w:pPr>
              <w:spacing w:after="0" w:line="240" w:lineRule="auto"/>
              <w:rPr>
                <w:rFonts w:eastAsia="Times New Roman" w:cs="Times New Roman"/>
                <w:color w:val="000000"/>
                <w:lang w:eastAsia="en-AU"/>
              </w:rPr>
            </w:pPr>
          </w:p>
        </w:tc>
        <w:tc>
          <w:tcPr>
            <w:tcW w:w="390" w:type="pct"/>
            <w:tcBorders>
              <w:top w:val="nil"/>
              <w:left w:val="nil"/>
              <w:bottom w:val="nil"/>
              <w:right w:val="nil"/>
            </w:tcBorders>
            <w:shd w:val="clear" w:color="auto" w:fill="auto"/>
            <w:noWrap/>
            <w:vAlign w:val="bottom"/>
            <w:hideMark/>
          </w:tcPr>
          <w:p w14:paraId="1A45A49D" w14:textId="77777777" w:rsidR="00F111FB" w:rsidRPr="006E3E29" w:rsidRDefault="00F111FB" w:rsidP="002F0925">
            <w:pPr>
              <w:spacing w:after="0" w:line="240" w:lineRule="auto"/>
              <w:rPr>
                <w:rFonts w:eastAsia="Times New Roman" w:cs="Times New Roman"/>
                <w:color w:val="000000"/>
                <w:lang w:eastAsia="en-AU"/>
              </w:rPr>
            </w:pPr>
          </w:p>
        </w:tc>
        <w:tc>
          <w:tcPr>
            <w:tcW w:w="406" w:type="pct"/>
            <w:tcBorders>
              <w:top w:val="nil"/>
              <w:left w:val="nil"/>
              <w:bottom w:val="nil"/>
              <w:right w:val="nil"/>
            </w:tcBorders>
            <w:shd w:val="clear" w:color="auto" w:fill="auto"/>
            <w:noWrap/>
            <w:vAlign w:val="bottom"/>
            <w:hideMark/>
          </w:tcPr>
          <w:p w14:paraId="7CC8EA02" w14:textId="77777777" w:rsidR="00F111FB" w:rsidRPr="006E3E29" w:rsidRDefault="00F111FB" w:rsidP="002F0925">
            <w:pPr>
              <w:spacing w:after="0" w:line="240" w:lineRule="auto"/>
              <w:rPr>
                <w:rFonts w:eastAsia="Times New Roman" w:cs="Times New Roman"/>
                <w:color w:val="000000"/>
                <w:lang w:eastAsia="en-AU"/>
              </w:rPr>
            </w:pPr>
          </w:p>
        </w:tc>
        <w:tc>
          <w:tcPr>
            <w:tcW w:w="390" w:type="pct"/>
            <w:tcBorders>
              <w:top w:val="nil"/>
              <w:left w:val="nil"/>
              <w:bottom w:val="nil"/>
              <w:right w:val="nil"/>
            </w:tcBorders>
            <w:shd w:val="clear" w:color="auto" w:fill="auto"/>
            <w:noWrap/>
            <w:vAlign w:val="bottom"/>
            <w:hideMark/>
          </w:tcPr>
          <w:p w14:paraId="42C639CD" w14:textId="77777777" w:rsidR="00F111FB" w:rsidRPr="006E3E29" w:rsidRDefault="00F111FB" w:rsidP="002F0925">
            <w:pPr>
              <w:spacing w:after="0" w:line="240" w:lineRule="auto"/>
              <w:rPr>
                <w:rFonts w:eastAsia="Times New Roman" w:cs="Times New Roman"/>
                <w:color w:val="000000"/>
                <w:lang w:eastAsia="en-AU"/>
              </w:rPr>
            </w:pPr>
          </w:p>
        </w:tc>
        <w:tc>
          <w:tcPr>
            <w:tcW w:w="406" w:type="pct"/>
            <w:tcBorders>
              <w:top w:val="nil"/>
              <w:left w:val="nil"/>
              <w:bottom w:val="nil"/>
              <w:right w:val="nil"/>
            </w:tcBorders>
            <w:shd w:val="clear" w:color="auto" w:fill="auto"/>
            <w:noWrap/>
            <w:vAlign w:val="bottom"/>
            <w:hideMark/>
          </w:tcPr>
          <w:p w14:paraId="49A436AD" w14:textId="77777777" w:rsidR="00F111FB" w:rsidRPr="006E3E29" w:rsidRDefault="00F111FB" w:rsidP="002F0925">
            <w:pPr>
              <w:spacing w:after="0" w:line="240" w:lineRule="auto"/>
              <w:rPr>
                <w:rFonts w:eastAsia="Times New Roman" w:cs="Times New Roman"/>
                <w:color w:val="000000"/>
                <w:lang w:eastAsia="en-AU"/>
              </w:rPr>
            </w:pPr>
          </w:p>
        </w:tc>
        <w:tc>
          <w:tcPr>
            <w:tcW w:w="390" w:type="pct"/>
            <w:tcBorders>
              <w:top w:val="nil"/>
              <w:left w:val="nil"/>
              <w:bottom w:val="nil"/>
              <w:right w:val="nil"/>
            </w:tcBorders>
            <w:shd w:val="clear" w:color="auto" w:fill="auto"/>
            <w:noWrap/>
            <w:vAlign w:val="bottom"/>
            <w:hideMark/>
          </w:tcPr>
          <w:p w14:paraId="3BD27672" w14:textId="77777777" w:rsidR="00F111FB" w:rsidRPr="006E3E29" w:rsidRDefault="00F111FB" w:rsidP="002F0925">
            <w:pPr>
              <w:spacing w:after="0" w:line="240" w:lineRule="auto"/>
              <w:rPr>
                <w:rFonts w:eastAsia="Times New Roman" w:cs="Times New Roman"/>
                <w:color w:val="000000"/>
                <w:lang w:eastAsia="en-AU"/>
              </w:rPr>
            </w:pPr>
          </w:p>
        </w:tc>
        <w:tc>
          <w:tcPr>
            <w:tcW w:w="406" w:type="pct"/>
            <w:tcBorders>
              <w:top w:val="nil"/>
              <w:left w:val="nil"/>
              <w:bottom w:val="nil"/>
              <w:right w:val="nil"/>
            </w:tcBorders>
            <w:shd w:val="clear" w:color="auto" w:fill="auto"/>
            <w:noWrap/>
            <w:vAlign w:val="bottom"/>
            <w:hideMark/>
          </w:tcPr>
          <w:p w14:paraId="1416C6F6" w14:textId="77777777" w:rsidR="00F111FB" w:rsidRPr="006E3E29" w:rsidRDefault="00F111FB" w:rsidP="002F0925">
            <w:pPr>
              <w:spacing w:after="0" w:line="240" w:lineRule="auto"/>
              <w:rPr>
                <w:rFonts w:eastAsia="Times New Roman" w:cs="Times New Roman"/>
                <w:color w:val="000000"/>
                <w:lang w:eastAsia="en-AU"/>
              </w:rPr>
            </w:pPr>
          </w:p>
        </w:tc>
        <w:tc>
          <w:tcPr>
            <w:tcW w:w="390" w:type="pct"/>
            <w:tcBorders>
              <w:top w:val="nil"/>
              <w:left w:val="nil"/>
              <w:bottom w:val="nil"/>
              <w:right w:val="nil"/>
            </w:tcBorders>
            <w:shd w:val="clear" w:color="auto" w:fill="auto"/>
            <w:noWrap/>
            <w:vAlign w:val="bottom"/>
            <w:hideMark/>
          </w:tcPr>
          <w:p w14:paraId="48DB9326" w14:textId="77777777" w:rsidR="00F111FB" w:rsidRPr="006E3E29" w:rsidRDefault="00F111FB" w:rsidP="002F0925">
            <w:pPr>
              <w:spacing w:after="0" w:line="240" w:lineRule="auto"/>
              <w:rPr>
                <w:rFonts w:eastAsia="Times New Roman" w:cs="Times New Roman"/>
                <w:color w:val="000000"/>
                <w:lang w:eastAsia="en-AU"/>
              </w:rPr>
            </w:pPr>
          </w:p>
        </w:tc>
        <w:tc>
          <w:tcPr>
            <w:tcW w:w="406" w:type="pct"/>
            <w:tcBorders>
              <w:top w:val="nil"/>
              <w:left w:val="nil"/>
              <w:bottom w:val="nil"/>
              <w:right w:val="nil"/>
            </w:tcBorders>
            <w:shd w:val="clear" w:color="auto" w:fill="auto"/>
            <w:noWrap/>
            <w:vAlign w:val="bottom"/>
            <w:hideMark/>
          </w:tcPr>
          <w:p w14:paraId="2AA8F318" w14:textId="77777777" w:rsidR="00F111FB" w:rsidRPr="006E3E29" w:rsidRDefault="00F111FB" w:rsidP="002F0925">
            <w:pPr>
              <w:spacing w:after="0" w:line="240" w:lineRule="auto"/>
              <w:rPr>
                <w:rFonts w:eastAsia="Times New Roman" w:cs="Times New Roman"/>
                <w:color w:val="000000"/>
                <w:lang w:eastAsia="en-AU"/>
              </w:rPr>
            </w:pPr>
          </w:p>
        </w:tc>
        <w:tc>
          <w:tcPr>
            <w:tcW w:w="390" w:type="pct"/>
            <w:tcBorders>
              <w:top w:val="nil"/>
              <w:left w:val="nil"/>
              <w:bottom w:val="nil"/>
              <w:right w:val="nil"/>
            </w:tcBorders>
            <w:shd w:val="clear" w:color="auto" w:fill="auto"/>
            <w:noWrap/>
            <w:vAlign w:val="bottom"/>
            <w:hideMark/>
          </w:tcPr>
          <w:p w14:paraId="2E82B4D7" w14:textId="77777777" w:rsidR="00F111FB" w:rsidRPr="006E3E29" w:rsidRDefault="00F111FB" w:rsidP="002F0925">
            <w:pPr>
              <w:spacing w:after="0" w:line="240" w:lineRule="auto"/>
              <w:rPr>
                <w:rFonts w:eastAsia="Times New Roman" w:cs="Times New Roman"/>
                <w:color w:val="000000"/>
                <w:lang w:eastAsia="en-AU"/>
              </w:rPr>
            </w:pPr>
          </w:p>
        </w:tc>
        <w:tc>
          <w:tcPr>
            <w:tcW w:w="406" w:type="pct"/>
            <w:tcBorders>
              <w:top w:val="nil"/>
              <w:left w:val="nil"/>
              <w:bottom w:val="nil"/>
              <w:right w:val="nil"/>
            </w:tcBorders>
            <w:shd w:val="clear" w:color="auto" w:fill="auto"/>
            <w:noWrap/>
            <w:vAlign w:val="bottom"/>
            <w:hideMark/>
          </w:tcPr>
          <w:p w14:paraId="67605CC4" w14:textId="77777777" w:rsidR="00F111FB" w:rsidRPr="006E3E29" w:rsidRDefault="00F111FB" w:rsidP="002F0925">
            <w:pPr>
              <w:spacing w:after="0" w:line="240" w:lineRule="auto"/>
              <w:rPr>
                <w:rFonts w:eastAsia="Times New Roman" w:cs="Times New Roman"/>
                <w:color w:val="000000"/>
                <w:lang w:eastAsia="en-AU"/>
              </w:rPr>
            </w:pPr>
          </w:p>
        </w:tc>
        <w:tc>
          <w:tcPr>
            <w:tcW w:w="390" w:type="pct"/>
            <w:tcBorders>
              <w:top w:val="nil"/>
              <w:left w:val="nil"/>
              <w:bottom w:val="nil"/>
              <w:right w:val="nil"/>
            </w:tcBorders>
            <w:shd w:val="clear" w:color="auto" w:fill="auto"/>
            <w:noWrap/>
            <w:vAlign w:val="bottom"/>
            <w:hideMark/>
          </w:tcPr>
          <w:p w14:paraId="76D3C209" w14:textId="77777777" w:rsidR="00F111FB" w:rsidRPr="006E3E29" w:rsidRDefault="00F111FB" w:rsidP="002F0925">
            <w:pPr>
              <w:spacing w:after="0" w:line="240" w:lineRule="auto"/>
              <w:rPr>
                <w:rFonts w:eastAsia="Times New Roman" w:cs="Times New Roman"/>
                <w:color w:val="000000"/>
                <w:lang w:eastAsia="en-AU"/>
              </w:rPr>
            </w:pPr>
          </w:p>
        </w:tc>
      </w:tr>
      <w:tr w:rsidR="00F111FB" w:rsidRPr="006E3E29" w14:paraId="42E46F22" w14:textId="77777777" w:rsidTr="00E41DD4">
        <w:trPr>
          <w:trHeight w:val="412"/>
        </w:trPr>
        <w:tc>
          <w:tcPr>
            <w:tcW w:w="112" w:type="pct"/>
            <w:tcBorders>
              <w:top w:val="nil"/>
              <w:left w:val="nil"/>
              <w:bottom w:val="nil"/>
              <w:right w:val="nil"/>
            </w:tcBorders>
            <w:shd w:val="clear" w:color="auto" w:fill="auto"/>
            <w:vAlign w:val="bottom"/>
            <w:hideMark/>
          </w:tcPr>
          <w:p w14:paraId="71815545" w14:textId="77777777" w:rsidR="00F111FB" w:rsidRPr="006E3E29" w:rsidRDefault="00F111FB" w:rsidP="002F0925">
            <w:pPr>
              <w:spacing w:after="0" w:line="240" w:lineRule="auto"/>
              <w:rPr>
                <w:rFonts w:eastAsia="Times New Roman" w:cs="Times New Roman"/>
                <w:color w:val="000000"/>
                <w:lang w:eastAsia="en-AU"/>
              </w:rPr>
            </w:pPr>
          </w:p>
        </w:tc>
        <w:tc>
          <w:tcPr>
            <w:tcW w:w="112" w:type="pct"/>
            <w:tcBorders>
              <w:top w:val="nil"/>
              <w:left w:val="nil"/>
              <w:bottom w:val="nil"/>
              <w:right w:val="nil"/>
            </w:tcBorders>
            <w:shd w:val="clear" w:color="auto" w:fill="auto"/>
            <w:vAlign w:val="bottom"/>
            <w:hideMark/>
          </w:tcPr>
          <w:p w14:paraId="09B12B29" w14:textId="77777777" w:rsidR="00F111FB" w:rsidRPr="006E3E29" w:rsidRDefault="00F111FB" w:rsidP="002F0925">
            <w:pPr>
              <w:spacing w:after="0" w:line="240" w:lineRule="auto"/>
              <w:rPr>
                <w:rFonts w:eastAsia="Times New Roman" w:cs="Times New Roman"/>
                <w:color w:val="000000"/>
                <w:lang w:eastAsia="en-AU"/>
              </w:rPr>
            </w:pP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6CD1775E" w14:textId="77777777" w:rsidR="00F111FB" w:rsidRPr="006E3E29" w:rsidRDefault="00F111FB" w:rsidP="002F0925">
            <w:pPr>
              <w:spacing w:after="0" w:line="240" w:lineRule="auto"/>
              <w:jc w:val="center"/>
              <w:rPr>
                <w:rFonts w:eastAsia="Times New Roman" w:cs="Times New Roman"/>
                <w:b/>
                <w:bCs/>
                <w:color w:val="000000"/>
                <w:sz w:val="20"/>
                <w:szCs w:val="20"/>
                <w:lang w:eastAsia="en-AU"/>
              </w:rPr>
            </w:pPr>
            <w:r w:rsidRPr="006E3E29">
              <w:rPr>
                <w:rFonts w:eastAsia="Times New Roman" w:cs="Times New Roman"/>
                <w:b/>
                <w:bCs/>
                <w:color w:val="000000"/>
                <w:sz w:val="20"/>
                <w:szCs w:val="20"/>
                <w:lang w:eastAsia="en-AU"/>
              </w:rPr>
              <w:t>No. of students at Well above expectation</w:t>
            </w: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3ADD492F" w14:textId="77777777" w:rsidR="00F111FB" w:rsidRPr="006E3E29" w:rsidRDefault="00F111FB" w:rsidP="002F0925">
            <w:pPr>
              <w:spacing w:after="0" w:line="240" w:lineRule="auto"/>
              <w:jc w:val="center"/>
              <w:rPr>
                <w:rFonts w:eastAsia="Times New Roman" w:cs="Times New Roman"/>
                <w:b/>
                <w:bCs/>
                <w:color w:val="000000"/>
                <w:sz w:val="20"/>
                <w:szCs w:val="20"/>
                <w:lang w:eastAsia="en-AU"/>
              </w:rPr>
            </w:pPr>
            <w:r w:rsidRPr="006E3E29">
              <w:rPr>
                <w:rFonts w:eastAsia="Times New Roman" w:cs="Times New Roman"/>
                <w:b/>
                <w:bCs/>
                <w:color w:val="000000"/>
                <w:sz w:val="20"/>
                <w:szCs w:val="20"/>
                <w:lang w:eastAsia="en-AU"/>
              </w:rPr>
              <w:t>No of students at Above expectation</w:t>
            </w: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564D699D" w14:textId="77777777" w:rsidR="00F111FB" w:rsidRPr="006E3E29" w:rsidRDefault="00F111FB" w:rsidP="002F0925">
            <w:pPr>
              <w:spacing w:after="0" w:line="240" w:lineRule="auto"/>
              <w:jc w:val="center"/>
              <w:rPr>
                <w:rFonts w:eastAsia="Times New Roman" w:cs="Times New Roman"/>
                <w:b/>
                <w:bCs/>
                <w:color w:val="000000"/>
                <w:sz w:val="20"/>
                <w:szCs w:val="20"/>
                <w:lang w:eastAsia="en-AU"/>
              </w:rPr>
            </w:pPr>
            <w:r w:rsidRPr="006E3E29">
              <w:rPr>
                <w:rFonts w:eastAsia="Times New Roman" w:cs="Times New Roman"/>
                <w:b/>
                <w:bCs/>
                <w:color w:val="000000"/>
                <w:sz w:val="20"/>
                <w:szCs w:val="20"/>
                <w:lang w:eastAsia="en-AU"/>
              </w:rPr>
              <w:t>No. of students at Expectation</w:t>
            </w: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72D98832" w14:textId="77777777" w:rsidR="00F111FB" w:rsidRPr="006E3E29" w:rsidRDefault="00F111FB" w:rsidP="002F0925">
            <w:pPr>
              <w:spacing w:after="0" w:line="240" w:lineRule="auto"/>
              <w:jc w:val="center"/>
              <w:rPr>
                <w:rFonts w:eastAsia="Times New Roman" w:cs="Times New Roman"/>
                <w:b/>
                <w:bCs/>
                <w:color w:val="000000"/>
                <w:sz w:val="20"/>
                <w:szCs w:val="20"/>
                <w:lang w:eastAsia="en-AU"/>
              </w:rPr>
            </w:pPr>
            <w:r w:rsidRPr="006E3E29">
              <w:rPr>
                <w:rFonts w:eastAsia="Times New Roman" w:cs="Times New Roman"/>
                <w:b/>
                <w:bCs/>
                <w:color w:val="000000"/>
                <w:sz w:val="20"/>
                <w:szCs w:val="20"/>
                <w:lang w:eastAsia="en-AU"/>
              </w:rPr>
              <w:t>No of students at Below expectation</w:t>
            </w:r>
          </w:p>
        </w:tc>
        <w:tc>
          <w:tcPr>
            <w:tcW w:w="796" w:type="pct"/>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1E4AD00A" w14:textId="77777777" w:rsidR="00F111FB" w:rsidRPr="006E3E29" w:rsidRDefault="00F111FB" w:rsidP="002F0925">
            <w:pPr>
              <w:spacing w:after="0" w:line="240" w:lineRule="auto"/>
              <w:jc w:val="center"/>
              <w:rPr>
                <w:rFonts w:eastAsia="Times New Roman" w:cs="Times New Roman"/>
                <w:b/>
                <w:bCs/>
                <w:color w:val="000000"/>
                <w:sz w:val="20"/>
                <w:szCs w:val="20"/>
                <w:lang w:eastAsia="en-AU"/>
              </w:rPr>
            </w:pPr>
            <w:r w:rsidRPr="006E3E29">
              <w:rPr>
                <w:rFonts w:eastAsia="Times New Roman" w:cs="Times New Roman"/>
                <w:b/>
                <w:bCs/>
                <w:color w:val="000000"/>
                <w:sz w:val="20"/>
                <w:szCs w:val="20"/>
                <w:lang w:eastAsia="en-AU"/>
              </w:rPr>
              <w:t>No. of students at Well below expectation</w:t>
            </w:r>
          </w:p>
        </w:tc>
        <w:tc>
          <w:tcPr>
            <w:tcW w:w="796" w:type="pct"/>
            <w:gridSpan w:val="2"/>
            <w:tcBorders>
              <w:top w:val="single" w:sz="8" w:space="0" w:color="auto"/>
              <w:left w:val="nil"/>
              <w:bottom w:val="single" w:sz="4" w:space="0" w:color="auto"/>
              <w:right w:val="single" w:sz="8" w:space="0" w:color="000000"/>
            </w:tcBorders>
            <w:shd w:val="clear" w:color="auto" w:fill="auto"/>
            <w:vAlign w:val="center"/>
            <w:hideMark/>
          </w:tcPr>
          <w:p w14:paraId="371BDC6F"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Totals</w:t>
            </w:r>
          </w:p>
        </w:tc>
      </w:tr>
      <w:tr w:rsidR="00F111FB" w:rsidRPr="006E3E29" w14:paraId="04B8A80E" w14:textId="77777777" w:rsidTr="00E41DD4">
        <w:trPr>
          <w:trHeight w:val="161"/>
        </w:trPr>
        <w:tc>
          <w:tcPr>
            <w:tcW w:w="112" w:type="pct"/>
            <w:tcBorders>
              <w:top w:val="nil"/>
              <w:left w:val="nil"/>
              <w:bottom w:val="nil"/>
              <w:right w:val="nil"/>
            </w:tcBorders>
            <w:shd w:val="clear" w:color="auto" w:fill="auto"/>
            <w:noWrap/>
            <w:vAlign w:val="bottom"/>
            <w:hideMark/>
          </w:tcPr>
          <w:p w14:paraId="508838E7" w14:textId="77777777" w:rsidR="00F111FB" w:rsidRPr="006E3E29" w:rsidRDefault="00F111FB" w:rsidP="002F0925">
            <w:pPr>
              <w:spacing w:after="0" w:line="240" w:lineRule="auto"/>
              <w:rPr>
                <w:rFonts w:eastAsia="Times New Roman" w:cs="Times New Roman"/>
                <w:b/>
                <w:bCs/>
                <w:color w:val="000000"/>
                <w:sz w:val="20"/>
                <w:szCs w:val="20"/>
                <w:lang w:eastAsia="en-AU"/>
              </w:rPr>
            </w:pPr>
          </w:p>
        </w:tc>
        <w:tc>
          <w:tcPr>
            <w:tcW w:w="112" w:type="pct"/>
            <w:tcBorders>
              <w:top w:val="nil"/>
              <w:left w:val="nil"/>
              <w:bottom w:val="nil"/>
              <w:right w:val="nil"/>
            </w:tcBorders>
            <w:shd w:val="clear" w:color="auto" w:fill="auto"/>
            <w:noWrap/>
            <w:vAlign w:val="bottom"/>
            <w:hideMark/>
          </w:tcPr>
          <w:p w14:paraId="14FBCFAF" w14:textId="77777777" w:rsidR="00F111FB" w:rsidRPr="006E3E29" w:rsidRDefault="00F111FB" w:rsidP="002F0925">
            <w:pPr>
              <w:spacing w:after="0" w:line="240" w:lineRule="auto"/>
              <w:rPr>
                <w:rFonts w:eastAsia="Times New Roman" w:cs="Times New Roman"/>
                <w:b/>
                <w:bCs/>
                <w:color w:val="000000"/>
                <w:sz w:val="20"/>
                <w:szCs w:val="20"/>
                <w:lang w:eastAsia="en-AU"/>
              </w:rPr>
            </w:pPr>
          </w:p>
        </w:tc>
        <w:tc>
          <w:tcPr>
            <w:tcW w:w="405" w:type="pct"/>
            <w:tcBorders>
              <w:top w:val="nil"/>
              <w:left w:val="single" w:sz="8" w:space="0" w:color="auto"/>
              <w:bottom w:val="single" w:sz="4" w:space="0" w:color="auto"/>
              <w:right w:val="single" w:sz="4" w:space="0" w:color="auto"/>
            </w:tcBorders>
            <w:shd w:val="clear" w:color="auto" w:fill="auto"/>
            <w:noWrap/>
            <w:vAlign w:val="bottom"/>
            <w:hideMark/>
          </w:tcPr>
          <w:p w14:paraId="1B5B3748"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15647C4E"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4B018A30"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151F22B7"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668380B3"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5DED3209"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6FA56965"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37C937A3"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3D682A14"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May-13</w:t>
            </w:r>
          </w:p>
        </w:tc>
        <w:tc>
          <w:tcPr>
            <w:tcW w:w="390" w:type="pct"/>
            <w:tcBorders>
              <w:top w:val="nil"/>
              <w:left w:val="nil"/>
              <w:bottom w:val="single" w:sz="4" w:space="0" w:color="auto"/>
              <w:right w:val="single" w:sz="8" w:space="0" w:color="auto"/>
            </w:tcBorders>
            <w:shd w:val="clear" w:color="auto" w:fill="auto"/>
            <w:noWrap/>
            <w:vAlign w:val="bottom"/>
            <w:hideMark/>
          </w:tcPr>
          <w:p w14:paraId="60230E24"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Nov-13</w:t>
            </w:r>
          </w:p>
        </w:tc>
        <w:tc>
          <w:tcPr>
            <w:tcW w:w="406" w:type="pct"/>
            <w:tcBorders>
              <w:top w:val="nil"/>
              <w:left w:val="nil"/>
              <w:bottom w:val="single" w:sz="4" w:space="0" w:color="auto"/>
              <w:right w:val="single" w:sz="4" w:space="0" w:color="auto"/>
            </w:tcBorders>
            <w:shd w:val="clear" w:color="auto" w:fill="auto"/>
            <w:noWrap/>
            <w:vAlign w:val="bottom"/>
            <w:hideMark/>
          </w:tcPr>
          <w:p w14:paraId="3BE262DB"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May-13</w:t>
            </w:r>
          </w:p>
        </w:tc>
        <w:tc>
          <w:tcPr>
            <w:tcW w:w="390" w:type="pct"/>
            <w:tcBorders>
              <w:top w:val="nil"/>
              <w:left w:val="nil"/>
              <w:bottom w:val="single" w:sz="4" w:space="0" w:color="auto"/>
              <w:right w:val="single" w:sz="8" w:space="0" w:color="auto"/>
            </w:tcBorders>
            <w:shd w:val="clear" w:color="auto" w:fill="auto"/>
            <w:noWrap/>
            <w:vAlign w:val="bottom"/>
            <w:hideMark/>
          </w:tcPr>
          <w:p w14:paraId="76F734FC" w14:textId="77777777" w:rsidR="00F111FB" w:rsidRPr="006E3E29" w:rsidRDefault="00F111FB" w:rsidP="002F0925">
            <w:pPr>
              <w:spacing w:after="0" w:line="240" w:lineRule="auto"/>
              <w:jc w:val="right"/>
              <w:rPr>
                <w:rFonts w:eastAsia="Times New Roman" w:cs="Times New Roman"/>
                <w:color w:val="000000"/>
                <w:lang w:eastAsia="en-AU"/>
              </w:rPr>
            </w:pPr>
            <w:r w:rsidRPr="006E3E29">
              <w:rPr>
                <w:rFonts w:eastAsia="Times New Roman" w:cs="Times New Roman"/>
                <w:color w:val="000000"/>
                <w:lang w:eastAsia="en-AU"/>
              </w:rPr>
              <w:t>Nov-13</w:t>
            </w:r>
          </w:p>
        </w:tc>
      </w:tr>
      <w:tr w:rsidR="00F111FB" w:rsidRPr="006E3E29" w14:paraId="00058A10" w14:textId="77777777" w:rsidTr="00E41DD4">
        <w:trPr>
          <w:trHeight w:val="161"/>
        </w:trPr>
        <w:tc>
          <w:tcPr>
            <w:tcW w:w="5000" w:type="pct"/>
            <w:gridSpan w:val="14"/>
            <w:tcBorders>
              <w:top w:val="nil"/>
              <w:left w:val="nil"/>
              <w:bottom w:val="nil"/>
              <w:right w:val="single" w:sz="8" w:space="0" w:color="000000"/>
            </w:tcBorders>
            <w:shd w:val="clear" w:color="000000" w:fill="BFBFBF"/>
            <w:noWrap/>
            <w:vAlign w:val="bottom"/>
            <w:hideMark/>
          </w:tcPr>
          <w:p w14:paraId="3B13C1FB" w14:textId="77777777" w:rsidR="00F111FB" w:rsidRPr="006E3E29" w:rsidRDefault="00F111FB" w:rsidP="002F0925">
            <w:pPr>
              <w:spacing w:after="0" w:line="240" w:lineRule="auto"/>
              <w:rPr>
                <w:rFonts w:eastAsia="Times New Roman" w:cs="Times New Roman"/>
                <w:b/>
                <w:bCs/>
                <w:color w:val="000000"/>
                <w:lang w:eastAsia="en-AU"/>
              </w:rPr>
            </w:pPr>
            <w:r w:rsidRPr="006E3E29">
              <w:rPr>
                <w:rFonts w:eastAsia="Times New Roman" w:cs="Times New Roman"/>
                <w:b/>
                <w:bCs/>
                <w:color w:val="000000"/>
                <w:lang w:eastAsia="en-AU"/>
              </w:rPr>
              <w:t>Kindergarten</w:t>
            </w:r>
          </w:p>
        </w:tc>
      </w:tr>
      <w:tr w:rsidR="00F111FB" w:rsidRPr="006E3E29" w14:paraId="24362885" w14:textId="77777777" w:rsidTr="00E41DD4">
        <w:trPr>
          <w:trHeight w:val="161"/>
        </w:trPr>
        <w:tc>
          <w:tcPr>
            <w:tcW w:w="112" w:type="pct"/>
            <w:tcBorders>
              <w:top w:val="nil"/>
              <w:left w:val="nil"/>
              <w:bottom w:val="nil"/>
              <w:right w:val="nil"/>
            </w:tcBorders>
            <w:shd w:val="clear" w:color="auto" w:fill="auto"/>
            <w:noWrap/>
            <w:vAlign w:val="bottom"/>
            <w:hideMark/>
          </w:tcPr>
          <w:p w14:paraId="6F8E2D0D"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3C633021"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43A32B0"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07B75578"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19</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F5693AB"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20</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576BCE0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42</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5DCACFC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50</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489125A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61</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035F8D1C"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50</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03B5192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18</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5593C16B"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22</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206FF93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12</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02B7A60B"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147</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5A69B449"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152</w:t>
            </w:r>
          </w:p>
        </w:tc>
      </w:tr>
      <w:tr w:rsidR="00F111FB" w:rsidRPr="006E3E29" w14:paraId="745ED155" w14:textId="77777777" w:rsidTr="00E41DD4">
        <w:trPr>
          <w:trHeight w:val="161"/>
        </w:trPr>
        <w:tc>
          <w:tcPr>
            <w:tcW w:w="112" w:type="pct"/>
            <w:tcBorders>
              <w:top w:val="nil"/>
              <w:left w:val="nil"/>
              <w:bottom w:val="nil"/>
              <w:right w:val="nil"/>
            </w:tcBorders>
            <w:shd w:val="clear" w:color="auto" w:fill="auto"/>
            <w:noWrap/>
            <w:vAlign w:val="bottom"/>
            <w:hideMark/>
          </w:tcPr>
          <w:p w14:paraId="4CBD322F"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113B13F0"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2278900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w:t>
            </w:r>
          </w:p>
        </w:tc>
        <w:tc>
          <w:tcPr>
            <w:tcW w:w="390" w:type="pct"/>
            <w:tcBorders>
              <w:top w:val="nil"/>
              <w:left w:val="nil"/>
              <w:bottom w:val="single" w:sz="4" w:space="0" w:color="auto"/>
              <w:right w:val="single" w:sz="4" w:space="0" w:color="auto"/>
            </w:tcBorders>
            <w:shd w:val="clear" w:color="auto" w:fill="EAF1DD" w:themeFill="accent3" w:themeFillTint="33"/>
            <w:noWrap/>
            <w:vAlign w:val="bottom"/>
            <w:hideMark/>
          </w:tcPr>
          <w:p w14:paraId="0639BB47"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13%</w:t>
            </w:r>
          </w:p>
        </w:tc>
        <w:tc>
          <w:tcPr>
            <w:tcW w:w="406" w:type="pct"/>
            <w:tcBorders>
              <w:top w:val="nil"/>
              <w:left w:val="nil"/>
              <w:bottom w:val="single" w:sz="4" w:space="0" w:color="auto"/>
              <w:right w:val="single" w:sz="4" w:space="0" w:color="auto"/>
            </w:tcBorders>
            <w:shd w:val="clear" w:color="000000" w:fill="F2F2F2"/>
            <w:noWrap/>
            <w:vAlign w:val="bottom"/>
            <w:hideMark/>
          </w:tcPr>
          <w:p w14:paraId="6FD253C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14%</w:t>
            </w:r>
          </w:p>
        </w:tc>
        <w:tc>
          <w:tcPr>
            <w:tcW w:w="390" w:type="pct"/>
            <w:tcBorders>
              <w:top w:val="nil"/>
              <w:left w:val="nil"/>
              <w:bottom w:val="single" w:sz="4" w:space="0" w:color="auto"/>
              <w:right w:val="single" w:sz="4" w:space="0" w:color="auto"/>
            </w:tcBorders>
            <w:shd w:val="clear" w:color="auto" w:fill="EAF1DD" w:themeFill="accent3" w:themeFillTint="33"/>
            <w:noWrap/>
            <w:vAlign w:val="bottom"/>
            <w:hideMark/>
          </w:tcPr>
          <w:p w14:paraId="72E3FF75"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28%</w:t>
            </w:r>
          </w:p>
        </w:tc>
        <w:tc>
          <w:tcPr>
            <w:tcW w:w="406" w:type="pct"/>
            <w:tcBorders>
              <w:top w:val="nil"/>
              <w:left w:val="nil"/>
              <w:bottom w:val="single" w:sz="4" w:space="0" w:color="auto"/>
              <w:right w:val="single" w:sz="4" w:space="0" w:color="auto"/>
            </w:tcBorders>
            <w:shd w:val="clear" w:color="000000" w:fill="F2F2F2"/>
            <w:noWrap/>
            <w:vAlign w:val="bottom"/>
            <w:hideMark/>
          </w:tcPr>
          <w:p w14:paraId="2FCC1E85"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34%</w:t>
            </w:r>
          </w:p>
        </w:tc>
        <w:tc>
          <w:tcPr>
            <w:tcW w:w="390" w:type="pct"/>
            <w:tcBorders>
              <w:top w:val="nil"/>
              <w:left w:val="nil"/>
              <w:bottom w:val="single" w:sz="4" w:space="0" w:color="auto"/>
              <w:right w:val="single" w:sz="4" w:space="0" w:color="auto"/>
            </w:tcBorders>
            <w:shd w:val="clear" w:color="auto" w:fill="EAF1DD" w:themeFill="accent3" w:themeFillTint="33"/>
            <w:noWrap/>
            <w:vAlign w:val="bottom"/>
            <w:hideMark/>
          </w:tcPr>
          <w:p w14:paraId="44BBA74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40%</w:t>
            </w:r>
          </w:p>
        </w:tc>
        <w:tc>
          <w:tcPr>
            <w:tcW w:w="406" w:type="pct"/>
            <w:tcBorders>
              <w:top w:val="nil"/>
              <w:left w:val="nil"/>
              <w:bottom w:val="single" w:sz="4" w:space="0" w:color="auto"/>
              <w:right w:val="single" w:sz="4" w:space="0" w:color="auto"/>
            </w:tcBorders>
            <w:shd w:val="clear" w:color="000000" w:fill="F2F2F2"/>
            <w:noWrap/>
            <w:vAlign w:val="bottom"/>
            <w:hideMark/>
          </w:tcPr>
          <w:p w14:paraId="6E0C9219"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34%</w:t>
            </w:r>
          </w:p>
        </w:tc>
        <w:tc>
          <w:tcPr>
            <w:tcW w:w="390" w:type="pct"/>
            <w:tcBorders>
              <w:top w:val="nil"/>
              <w:left w:val="nil"/>
              <w:bottom w:val="single" w:sz="4" w:space="0" w:color="auto"/>
              <w:right w:val="single" w:sz="4" w:space="0" w:color="auto"/>
            </w:tcBorders>
            <w:shd w:val="clear" w:color="auto" w:fill="EAF1DD" w:themeFill="accent3" w:themeFillTint="33"/>
            <w:noWrap/>
            <w:vAlign w:val="bottom"/>
            <w:hideMark/>
          </w:tcPr>
          <w:p w14:paraId="734DC456"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12%</w:t>
            </w:r>
          </w:p>
        </w:tc>
        <w:tc>
          <w:tcPr>
            <w:tcW w:w="406" w:type="pct"/>
            <w:tcBorders>
              <w:top w:val="nil"/>
              <w:left w:val="nil"/>
              <w:bottom w:val="single" w:sz="4" w:space="0" w:color="auto"/>
              <w:right w:val="single" w:sz="4" w:space="0" w:color="auto"/>
            </w:tcBorders>
            <w:shd w:val="clear" w:color="000000" w:fill="F2F2F2"/>
            <w:noWrap/>
            <w:vAlign w:val="bottom"/>
            <w:hideMark/>
          </w:tcPr>
          <w:p w14:paraId="09720FC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15%</w:t>
            </w:r>
          </w:p>
        </w:tc>
        <w:tc>
          <w:tcPr>
            <w:tcW w:w="390" w:type="pct"/>
            <w:tcBorders>
              <w:top w:val="nil"/>
              <w:left w:val="nil"/>
              <w:bottom w:val="single" w:sz="4" w:space="0" w:color="auto"/>
              <w:right w:val="single" w:sz="4" w:space="0" w:color="auto"/>
            </w:tcBorders>
            <w:shd w:val="clear" w:color="auto" w:fill="EAF1DD" w:themeFill="accent3" w:themeFillTint="33"/>
            <w:noWrap/>
            <w:vAlign w:val="bottom"/>
            <w:hideMark/>
          </w:tcPr>
          <w:p w14:paraId="77D50F59"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8%</w:t>
            </w:r>
          </w:p>
        </w:tc>
        <w:tc>
          <w:tcPr>
            <w:tcW w:w="406" w:type="pct"/>
            <w:tcBorders>
              <w:top w:val="nil"/>
              <w:left w:val="nil"/>
              <w:bottom w:val="single" w:sz="4" w:space="0" w:color="auto"/>
              <w:right w:val="single" w:sz="4" w:space="0" w:color="auto"/>
            </w:tcBorders>
            <w:shd w:val="clear" w:color="000000" w:fill="F2F2F2"/>
            <w:noWrap/>
            <w:vAlign w:val="bottom"/>
            <w:hideMark/>
          </w:tcPr>
          <w:p w14:paraId="43BACE68"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EBF1DE"/>
            <w:noWrap/>
            <w:vAlign w:val="bottom"/>
            <w:hideMark/>
          </w:tcPr>
          <w:p w14:paraId="708D3608"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r>
      <w:tr w:rsidR="00F111FB" w:rsidRPr="006E3E29" w14:paraId="0F65655A" w14:textId="77777777" w:rsidTr="00E41DD4">
        <w:trPr>
          <w:trHeight w:val="161"/>
        </w:trPr>
        <w:tc>
          <w:tcPr>
            <w:tcW w:w="5000" w:type="pct"/>
            <w:gridSpan w:val="14"/>
            <w:tcBorders>
              <w:top w:val="nil"/>
              <w:left w:val="nil"/>
              <w:bottom w:val="nil"/>
              <w:right w:val="single" w:sz="8" w:space="0" w:color="000000"/>
            </w:tcBorders>
            <w:shd w:val="clear" w:color="000000" w:fill="BFBFBF"/>
            <w:noWrap/>
            <w:vAlign w:val="bottom"/>
            <w:hideMark/>
          </w:tcPr>
          <w:p w14:paraId="7491909A" w14:textId="77777777" w:rsidR="00F111FB" w:rsidRPr="006E3E29" w:rsidRDefault="00F111FB" w:rsidP="002F0925">
            <w:pPr>
              <w:spacing w:after="0" w:line="240" w:lineRule="auto"/>
              <w:rPr>
                <w:rFonts w:eastAsia="Times New Roman" w:cs="Times New Roman"/>
                <w:b/>
                <w:bCs/>
                <w:color w:val="000000"/>
                <w:lang w:eastAsia="en-AU"/>
              </w:rPr>
            </w:pPr>
            <w:r w:rsidRPr="006E3E29">
              <w:rPr>
                <w:rFonts w:eastAsia="Times New Roman" w:cs="Times New Roman"/>
                <w:b/>
                <w:bCs/>
                <w:color w:val="000000"/>
                <w:lang w:eastAsia="en-AU"/>
              </w:rPr>
              <w:t>Year 1</w:t>
            </w:r>
          </w:p>
        </w:tc>
      </w:tr>
      <w:tr w:rsidR="00F111FB" w:rsidRPr="006E3E29" w14:paraId="2DD9C084" w14:textId="77777777" w:rsidTr="00E41DD4">
        <w:trPr>
          <w:trHeight w:val="161"/>
        </w:trPr>
        <w:tc>
          <w:tcPr>
            <w:tcW w:w="112" w:type="pct"/>
            <w:tcBorders>
              <w:top w:val="nil"/>
              <w:left w:val="nil"/>
              <w:bottom w:val="nil"/>
              <w:right w:val="nil"/>
            </w:tcBorders>
            <w:shd w:val="clear" w:color="auto" w:fill="auto"/>
            <w:noWrap/>
            <w:vAlign w:val="bottom"/>
            <w:hideMark/>
          </w:tcPr>
          <w:p w14:paraId="3FEDD57C"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2223BAD5"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FC34D7A"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128021D5"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21</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589E9A0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24</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5788F555"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23</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C38AD7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66</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6562DA0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48</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C5278A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39</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22EACD00"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30</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24C72CED"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29</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08135538"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11</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68B90601"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162</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1D284B34"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133</w:t>
            </w:r>
          </w:p>
        </w:tc>
      </w:tr>
      <w:tr w:rsidR="00F111FB" w:rsidRPr="006E3E29" w14:paraId="773F17F5" w14:textId="77777777" w:rsidTr="00E41DD4">
        <w:trPr>
          <w:trHeight w:val="161"/>
        </w:trPr>
        <w:tc>
          <w:tcPr>
            <w:tcW w:w="112" w:type="pct"/>
            <w:tcBorders>
              <w:top w:val="nil"/>
              <w:left w:val="nil"/>
              <w:bottom w:val="nil"/>
              <w:right w:val="nil"/>
            </w:tcBorders>
            <w:shd w:val="clear" w:color="auto" w:fill="auto"/>
            <w:noWrap/>
            <w:vAlign w:val="bottom"/>
            <w:hideMark/>
          </w:tcPr>
          <w:p w14:paraId="15BB4B64"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4D480116"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5E5E86F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w:t>
            </w:r>
          </w:p>
        </w:tc>
        <w:tc>
          <w:tcPr>
            <w:tcW w:w="390" w:type="pct"/>
            <w:tcBorders>
              <w:top w:val="nil"/>
              <w:left w:val="nil"/>
              <w:bottom w:val="single" w:sz="4" w:space="0" w:color="auto"/>
              <w:right w:val="single" w:sz="4" w:space="0" w:color="auto"/>
            </w:tcBorders>
            <w:shd w:val="clear" w:color="000000" w:fill="EBF1DE"/>
            <w:noWrap/>
            <w:vAlign w:val="bottom"/>
            <w:hideMark/>
          </w:tcPr>
          <w:p w14:paraId="6B6C0FE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16%</w:t>
            </w:r>
          </w:p>
        </w:tc>
        <w:tc>
          <w:tcPr>
            <w:tcW w:w="406" w:type="pct"/>
            <w:tcBorders>
              <w:top w:val="nil"/>
              <w:left w:val="nil"/>
              <w:bottom w:val="single" w:sz="4" w:space="0" w:color="auto"/>
              <w:right w:val="single" w:sz="4" w:space="0" w:color="auto"/>
            </w:tcBorders>
            <w:shd w:val="clear" w:color="000000" w:fill="F2F2F2"/>
            <w:noWrap/>
            <w:vAlign w:val="bottom"/>
            <w:hideMark/>
          </w:tcPr>
          <w:p w14:paraId="2BAC471A"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15%</w:t>
            </w:r>
          </w:p>
        </w:tc>
        <w:tc>
          <w:tcPr>
            <w:tcW w:w="390" w:type="pct"/>
            <w:tcBorders>
              <w:top w:val="nil"/>
              <w:left w:val="nil"/>
              <w:bottom w:val="single" w:sz="4" w:space="0" w:color="auto"/>
              <w:right w:val="single" w:sz="4" w:space="0" w:color="auto"/>
            </w:tcBorders>
            <w:shd w:val="clear" w:color="000000" w:fill="EBF1DE"/>
            <w:noWrap/>
            <w:vAlign w:val="bottom"/>
            <w:hideMark/>
          </w:tcPr>
          <w:p w14:paraId="0B306CEA"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17%</w:t>
            </w:r>
          </w:p>
        </w:tc>
        <w:tc>
          <w:tcPr>
            <w:tcW w:w="406" w:type="pct"/>
            <w:tcBorders>
              <w:top w:val="nil"/>
              <w:left w:val="nil"/>
              <w:bottom w:val="single" w:sz="4" w:space="0" w:color="auto"/>
              <w:right w:val="single" w:sz="4" w:space="0" w:color="auto"/>
            </w:tcBorders>
            <w:shd w:val="clear" w:color="000000" w:fill="F2F2F2"/>
            <w:noWrap/>
            <w:vAlign w:val="bottom"/>
            <w:hideMark/>
          </w:tcPr>
          <w:p w14:paraId="5BCF16E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41%</w:t>
            </w:r>
          </w:p>
        </w:tc>
        <w:tc>
          <w:tcPr>
            <w:tcW w:w="390" w:type="pct"/>
            <w:tcBorders>
              <w:top w:val="nil"/>
              <w:left w:val="nil"/>
              <w:bottom w:val="single" w:sz="4" w:space="0" w:color="auto"/>
              <w:right w:val="single" w:sz="4" w:space="0" w:color="auto"/>
            </w:tcBorders>
            <w:shd w:val="clear" w:color="000000" w:fill="EBF1DE"/>
            <w:noWrap/>
            <w:vAlign w:val="bottom"/>
            <w:hideMark/>
          </w:tcPr>
          <w:p w14:paraId="32ADE00D"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36%</w:t>
            </w:r>
          </w:p>
        </w:tc>
        <w:tc>
          <w:tcPr>
            <w:tcW w:w="406" w:type="pct"/>
            <w:tcBorders>
              <w:top w:val="nil"/>
              <w:left w:val="nil"/>
              <w:bottom w:val="single" w:sz="4" w:space="0" w:color="auto"/>
              <w:right w:val="single" w:sz="4" w:space="0" w:color="auto"/>
            </w:tcBorders>
            <w:shd w:val="clear" w:color="000000" w:fill="F2F2F2"/>
            <w:noWrap/>
            <w:vAlign w:val="bottom"/>
            <w:hideMark/>
          </w:tcPr>
          <w:p w14:paraId="5379278A"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24%</w:t>
            </w:r>
          </w:p>
        </w:tc>
        <w:tc>
          <w:tcPr>
            <w:tcW w:w="390" w:type="pct"/>
            <w:tcBorders>
              <w:top w:val="nil"/>
              <w:left w:val="nil"/>
              <w:bottom w:val="single" w:sz="4" w:space="0" w:color="auto"/>
              <w:right w:val="single" w:sz="4" w:space="0" w:color="auto"/>
            </w:tcBorders>
            <w:shd w:val="clear" w:color="000000" w:fill="EBF1DE"/>
            <w:noWrap/>
            <w:vAlign w:val="bottom"/>
            <w:hideMark/>
          </w:tcPr>
          <w:p w14:paraId="69EECAA6"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23%</w:t>
            </w:r>
          </w:p>
        </w:tc>
        <w:tc>
          <w:tcPr>
            <w:tcW w:w="406" w:type="pct"/>
            <w:tcBorders>
              <w:top w:val="nil"/>
              <w:left w:val="nil"/>
              <w:bottom w:val="single" w:sz="4" w:space="0" w:color="auto"/>
              <w:right w:val="single" w:sz="4" w:space="0" w:color="auto"/>
            </w:tcBorders>
            <w:shd w:val="clear" w:color="000000" w:fill="F2F2F2"/>
            <w:noWrap/>
            <w:vAlign w:val="bottom"/>
            <w:hideMark/>
          </w:tcPr>
          <w:p w14:paraId="08E1234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18%</w:t>
            </w:r>
          </w:p>
        </w:tc>
        <w:tc>
          <w:tcPr>
            <w:tcW w:w="390" w:type="pct"/>
            <w:tcBorders>
              <w:top w:val="nil"/>
              <w:left w:val="nil"/>
              <w:bottom w:val="single" w:sz="4" w:space="0" w:color="auto"/>
              <w:right w:val="single" w:sz="4" w:space="0" w:color="auto"/>
            </w:tcBorders>
            <w:shd w:val="clear" w:color="000000" w:fill="EBF1DE"/>
            <w:noWrap/>
            <w:vAlign w:val="bottom"/>
            <w:hideMark/>
          </w:tcPr>
          <w:p w14:paraId="40129CD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8%</w:t>
            </w:r>
          </w:p>
        </w:tc>
        <w:tc>
          <w:tcPr>
            <w:tcW w:w="406" w:type="pct"/>
            <w:tcBorders>
              <w:top w:val="nil"/>
              <w:left w:val="nil"/>
              <w:bottom w:val="single" w:sz="4" w:space="0" w:color="auto"/>
              <w:right w:val="single" w:sz="4" w:space="0" w:color="auto"/>
            </w:tcBorders>
            <w:shd w:val="clear" w:color="000000" w:fill="F2F2F2"/>
            <w:noWrap/>
            <w:vAlign w:val="bottom"/>
            <w:hideMark/>
          </w:tcPr>
          <w:p w14:paraId="2517428A"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EBF1DE"/>
            <w:noWrap/>
            <w:vAlign w:val="bottom"/>
            <w:hideMark/>
          </w:tcPr>
          <w:p w14:paraId="08607397"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r>
      <w:tr w:rsidR="00F111FB" w:rsidRPr="006E3E29" w14:paraId="3899269C" w14:textId="77777777" w:rsidTr="00E41DD4">
        <w:trPr>
          <w:trHeight w:val="161"/>
        </w:trPr>
        <w:tc>
          <w:tcPr>
            <w:tcW w:w="5000" w:type="pct"/>
            <w:gridSpan w:val="14"/>
            <w:tcBorders>
              <w:top w:val="nil"/>
              <w:left w:val="nil"/>
              <w:bottom w:val="nil"/>
              <w:right w:val="single" w:sz="8" w:space="0" w:color="000000"/>
            </w:tcBorders>
            <w:shd w:val="clear" w:color="000000" w:fill="BFBFBF"/>
            <w:noWrap/>
            <w:vAlign w:val="bottom"/>
            <w:hideMark/>
          </w:tcPr>
          <w:p w14:paraId="4A87035F" w14:textId="77777777" w:rsidR="00F111FB" w:rsidRPr="006E3E29" w:rsidRDefault="00F111FB" w:rsidP="002F0925">
            <w:pPr>
              <w:spacing w:after="0" w:line="240" w:lineRule="auto"/>
              <w:rPr>
                <w:rFonts w:eastAsia="Times New Roman" w:cs="Times New Roman"/>
                <w:b/>
                <w:bCs/>
                <w:color w:val="000000"/>
                <w:lang w:eastAsia="en-AU"/>
              </w:rPr>
            </w:pPr>
            <w:r w:rsidRPr="006E3E29">
              <w:rPr>
                <w:rFonts w:eastAsia="Times New Roman" w:cs="Times New Roman"/>
                <w:b/>
                <w:bCs/>
                <w:color w:val="000000"/>
                <w:lang w:eastAsia="en-AU"/>
              </w:rPr>
              <w:t>Year 2</w:t>
            </w:r>
          </w:p>
        </w:tc>
      </w:tr>
      <w:tr w:rsidR="00F111FB" w:rsidRPr="006E3E29" w14:paraId="3E972409" w14:textId="77777777" w:rsidTr="00E41DD4">
        <w:trPr>
          <w:trHeight w:val="161"/>
        </w:trPr>
        <w:tc>
          <w:tcPr>
            <w:tcW w:w="112" w:type="pct"/>
            <w:tcBorders>
              <w:top w:val="nil"/>
              <w:left w:val="nil"/>
              <w:bottom w:val="nil"/>
              <w:right w:val="nil"/>
            </w:tcBorders>
            <w:shd w:val="clear" w:color="auto" w:fill="auto"/>
            <w:noWrap/>
            <w:vAlign w:val="bottom"/>
            <w:hideMark/>
          </w:tcPr>
          <w:p w14:paraId="666AF301"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2FF96061"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CF33C1D"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12</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6A55D3F6"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27</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79B183B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34</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2A18082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45</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76FCE0C8"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47</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5E485017"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58</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73570E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59</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7838182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39</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B0303F5"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40</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5DBB909D"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22</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7FA7C33A"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192</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61F9935C"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191</w:t>
            </w:r>
          </w:p>
        </w:tc>
      </w:tr>
      <w:tr w:rsidR="00F111FB" w:rsidRPr="006E3E29" w14:paraId="61A0116B" w14:textId="77777777" w:rsidTr="00E41DD4">
        <w:trPr>
          <w:trHeight w:val="161"/>
        </w:trPr>
        <w:tc>
          <w:tcPr>
            <w:tcW w:w="112" w:type="pct"/>
            <w:tcBorders>
              <w:top w:val="nil"/>
              <w:left w:val="nil"/>
              <w:bottom w:val="nil"/>
              <w:right w:val="nil"/>
            </w:tcBorders>
            <w:shd w:val="clear" w:color="auto" w:fill="auto"/>
            <w:noWrap/>
            <w:vAlign w:val="bottom"/>
            <w:hideMark/>
          </w:tcPr>
          <w:p w14:paraId="474E5186"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229A5CDF"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16E98CAA"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w:t>
            </w:r>
          </w:p>
        </w:tc>
        <w:tc>
          <w:tcPr>
            <w:tcW w:w="390" w:type="pct"/>
            <w:tcBorders>
              <w:top w:val="nil"/>
              <w:left w:val="nil"/>
              <w:bottom w:val="single" w:sz="4" w:space="0" w:color="auto"/>
              <w:right w:val="single" w:sz="4" w:space="0" w:color="auto"/>
            </w:tcBorders>
            <w:shd w:val="clear" w:color="000000" w:fill="EBF1DE"/>
            <w:noWrap/>
            <w:vAlign w:val="bottom"/>
            <w:hideMark/>
          </w:tcPr>
          <w:p w14:paraId="18C60B56"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14%</w:t>
            </w:r>
          </w:p>
        </w:tc>
        <w:tc>
          <w:tcPr>
            <w:tcW w:w="406" w:type="pct"/>
            <w:tcBorders>
              <w:top w:val="nil"/>
              <w:left w:val="nil"/>
              <w:bottom w:val="single" w:sz="4" w:space="0" w:color="auto"/>
              <w:right w:val="single" w:sz="4" w:space="0" w:color="auto"/>
            </w:tcBorders>
            <w:shd w:val="clear" w:color="000000" w:fill="F2F2F2"/>
            <w:noWrap/>
            <w:vAlign w:val="bottom"/>
            <w:hideMark/>
          </w:tcPr>
          <w:p w14:paraId="00AD90DA"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18%</w:t>
            </w:r>
          </w:p>
        </w:tc>
        <w:tc>
          <w:tcPr>
            <w:tcW w:w="390" w:type="pct"/>
            <w:tcBorders>
              <w:top w:val="nil"/>
              <w:left w:val="nil"/>
              <w:bottom w:val="single" w:sz="4" w:space="0" w:color="auto"/>
              <w:right w:val="single" w:sz="4" w:space="0" w:color="auto"/>
            </w:tcBorders>
            <w:shd w:val="clear" w:color="000000" w:fill="EBF1DE"/>
            <w:noWrap/>
            <w:vAlign w:val="bottom"/>
            <w:hideMark/>
          </w:tcPr>
          <w:p w14:paraId="1D9AADED"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24%</w:t>
            </w:r>
          </w:p>
        </w:tc>
        <w:tc>
          <w:tcPr>
            <w:tcW w:w="406" w:type="pct"/>
            <w:tcBorders>
              <w:top w:val="nil"/>
              <w:left w:val="nil"/>
              <w:bottom w:val="single" w:sz="4" w:space="0" w:color="auto"/>
              <w:right w:val="single" w:sz="4" w:space="0" w:color="auto"/>
            </w:tcBorders>
            <w:shd w:val="clear" w:color="000000" w:fill="F2F2F2"/>
            <w:noWrap/>
            <w:vAlign w:val="bottom"/>
            <w:hideMark/>
          </w:tcPr>
          <w:p w14:paraId="520F0F7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24%</w:t>
            </w:r>
          </w:p>
        </w:tc>
        <w:tc>
          <w:tcPr>
            <w:tcW w:w="390" w:type="pct"/>
            <w:tcBorders>
              <w:top w:val="nil"/>
              <w:left w:val="nil"/>
              <w:bottom w:val="single" w:sz="4" w:space="0" w:color="auto"/>
              <w:right w:val="single" w:sz="4" w:space="0" w:color="auto"/>
            </w:tcBorders>
            <w:shd w:val="clear" w:color="000000" w:fill="EBF1DE"/>
            <w:noWrap/>
            <w:vAlign w:val="bottom"/>
            <w:hideMark/>
          </w:tcPr>
          <w:p w14:paraId="26D0968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30%</w:t>
            </w:r>
          </w:p>
        </w:tc>
        <w:tc>
          <w:tcPr>
            <w:tcW w:w="406" w:type="pct"/>
            <w:tcBorders>
              <w:top w:val="nil"/>
              <w:left w:val="nil"/>
              <w:bottom w:val="single" w:sz="4" w:space="0" w:color="auto"/>
              <w:right w:val="single" w:sz="4" w:space="0" w:color="auto"/>
            </w:tcBorders>
            <w:shd w:val="clear" w:color="000000" w:fill="F2F2F2"/>
            <w:noWrap/>
            <w:vAlign w:val="bottom"/>
            <w:hideMark/>
          </w:tcPr>
          <w:p w14:paraId="2B2B1F1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31%</w:t>
            </w:r>
          </w:p>
        </w:tc>
        <w:tc>
          <w:tcPr>
            <w:tcW w:w="390" w:type="pct"/>
            <w:tcBorders>
              <w:top w:val="nil"/>
              <w:left w:val="nil"/>
              <w:bottom w:val="single" w:sz="4" w:space="0" w:color="auto"/>
              <w:right w:val="single" w:sz="4" w:space="0" w:color="auto"/>
            </w:tcBorders>
            <w:shd w:val="clear" w:color="000000" w:fill="EBF1DE"/>
            <w:noWrap/>
            <w:vAlign w:val="bottom"/>
            <w:hideMark/>
          </w:tcPr>
          <w:p w14:paraId="3055A195"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20%</w:t>
            </w:r>
          </w:p>
        </w:tc>
        <w:tc>
          <w:tcPr>
            <w:tcW w:w="406" w:type="pct"/>
            <w:tcBorders>
              <w:top w:val="nil"/>
              <w:left w:val="nil"/>
              <w:bottom w:val="single" w:sz="4" w:space="0" w:color="auto"/>
              <w:right w:val="single" w:sz="4" w:space="0" w:color="auto"/>
            </w:tcBorders>
            <w:shd w:val="clear" w:color="000000" w:fill="F2F2F2"/>
            <w:noWrap/>
            <w:vAlign w:val="bottom"/>
            <w:hideMark/>
          </w:tcPr>
          <w:p w14:paraId="6024A93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21%</w:t>
            </w:r>
          </w:p>
        </w:tc>
        <w:tc>
          <w:tcPr>
            <w:tcW w:w="390" w:type="pct"/>
            <w:tcBorders>
              <w:top w:val="nil"/>
              <w:left w:val="nil"/>
              <w:bottom w:val="single" w:sz="4" w:space="0" w:color="auto"/>
              <w:right w:val="single" w:sz="4" w:space="0" w:color="auto"/>
            </w:tcBorders>
            <w:shd w:val="clear" w:color="000000" w:fill="EBF1DE"/>
            <w:noWrap/>
            <w:vAlign w:val="bottom"/>
            <w:hideMark/>
          </w:tcPr>
          <w:p w14:paraId="797DA0BD"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12%</w:t>
            </w:r>
          </w:p>
        </w:tc>
        <w:tc>
          <w:tcPr>
            <w:tcW w:w="406" w:type="pct"/>
            <w:tcBorders>
              <w:top w:val="nil"/>
              <w:left w:val="nil"/>
              <w:bottom w:val="single" w:sz="4" w:space="0" w:color="auto"/>
              <w:right w:val="single" w:sz="4" w:space="0" w:color="auto"/>
            </w:tcBorders>
            <w:shd w:val="clear" w:color="000000" w:fill="F2F2F2"/>
            <w:noWrap/>
            <w:vAlign w:val="bottom"/>
            <w:hideMark/>
          </w:tcPr>
          <w:p w14:paraId="638C5E1B"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EBF1DE"/>
            <w:noWrap/>
            <w:vAlign w:val="bottom"/>
            <w:hideMark/>
          </w:tcPr>
          <w:p w14:paraId="1B031DEF"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r>
      <w:tr w:rsidR="00F111FB" w:rsidRPr="006E3E29" w14:paraId="44E49751" w14:textId="77777777" w:rsidTr="00E41DD4">
        <w:trPr>
          <w:trHeight w:val="161"/>
        </w:trPr>
        <w:tc>
          <w:tcPr>
            <w:tcW w:w="5000" w:type="pct"/>
            <w:gridSpan w:val="14"/>
            <w:tcBorders>
              <w:top w:val="nil"/>
              <w:left w:val="nil"/>
              <w:bottom w:val="nil"/>
              <w:right w:val="single" w:sz="8" w:space="0" w:color="000000"/>
            </w:tcBorders>
            <w:shd w:val="clear" w:color="000000" w:fill="BFBFBF"/>
            <w:noWrap/>
            <w:vAlign w:val="bottom"/>
            <w:hideMark/>
          </w:tcPr>
          <w:p w14:paraId="54C92D88" w14:textId="77777777" w:rsidR="00F111FB" w:rsidRPr="006E3E29" w:rsidRDefault="00F111FB" w:rsidP="002F0925">
            <w:pPr>
              <w:spacing w:after="0" w:line="240" w:lineRule="auto"/>
              <w:rPr>
                <w:rFonts w:eastAsia="Times New Roman" w:cs="Times New Roman"/>
                <w:b/>
                <w:bCs/>
                <w:color w:val="000000"/>
                <w:lang w:eastAsia="en-AU"/>
              </w:rPr>
            </w:pPr>
            <w:r w:rsidRPr="006E3E29">
              <w:rPr>
                <w:rFonts w:eastAsia="Times New Roman" w:cs="Times New Roman"/>
                <w:b/>
                <w:bCs/>
                <w:color w:val="000000"/>
                <w:lang w:eastAsia="en-AU"/>
              </w:rPr>
              <w:t>Year 3</w:t>
            </w:r>
          </w:p>
        </w:tc>
      </w:tr>
      <w:tr w:rsidR="00F111FB" w:rsidRPr="006E3E29" w14:paraId="1FA3BE6C" w14:textId="77777777" w:rsidTr="00E41DD4">
        <w:trPr>
          <w:trHeight w:val="161"/>
        </w:trPr>
        <w:tc>
          <w:tcPr>
            <w:tcW w:w="112" w:type="pct"/>
            <w:tcBorders>
              <w:top w:val="nil"/>
              <w:left w:val="nil"/>
              <w:bottom w:val="nil"/>
              <w:right w:val="nil"/>
            </w:tcBorders>
            <w:shd w:val="clear" w:color="auto" w:fill="auto"/>
            <w:noWrap/>
            <w:vAlign w:val="bottom"/>
            <w:hideMark/>
          </w:tcPr>
          <w:p w14:paraId="108DE142"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2E076ADB"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6D9B312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10</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75B92D4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24</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5C0A2E7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13</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0DA678C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34</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4675594B"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65</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1EEF5FA6"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64</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60352F2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57</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735DFE4B"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44</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77F1865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62</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07BCBF8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26</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6F0D8AB7"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207</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758F9067"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192</w:t>
            </w:r>
          </w:p>
        </w:tc>
      </w:tr>
      <w:tr w:rsidR="00F111FB" w:rsidRPr="006E3E29" w14:paraId="12D9633D" w14:textId="77777777" w:rsidTr="00E41DD4">
        <w:trPr>
          <w:trHeight w:val="161"/>
        </w:trPr>
        <w:tc>
          <w:tcPr>
            <w:tcW w:w="112" w:type="pct"/>
            <w:tcBorders>
              <w:top w:val="nil"/>
              <w:left w:val="nil"/>
              <w:bottom w:val="nil"/>
              <w:right w:val="nil"/>
            </w:tcBorders>
            <w:shd w:val="clear" w:color="auto" w:fill="auto"/>
            <w:noWrap/>
            <w:vAlign w:val="bottom"/>
            <w:hideMark/>
          </w:tcPr>
          <w:p w14:paraId="67CD0A93"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401BA556"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7FA29859"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w:t>
            </w:r>
          </w:p>
        </w:tc>
        <w:tc>
          <w:tcPr>
            <w:tcW w:w="390" w:type="pct"/>
            <w:tcBorders>
              <w:top w:val="nil"/>
              <w:left w:val="nil"/>
              <w:bottom w:val="single" w:sz="4" w:space="0" w:color="auto"/>
              <w:right w:val="single" w:sz="4" w:space="0" w:color="auto"/>
            </w:tcBorders>
            <w:shd w:val="clear" w:color="000000" w:fill="EBF1DE"/>
            <w:noWrap/>
            <w:vAlign w:val="bottom"/>
            <w:hideMark/>
          </w:tcPr>
          <w:p w14:paraId="1BBB92C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13%</w:t>
            </w:r>
          </w:p>
        </w:tc>
        <w:tc>
          <w:tcPr>
            <w:tcW w:w="406" w:type="pct"/>
            <w:tcBorders>
              <w:top w:val="nil"/>
              <w:left w:val="nil"/>
              <w:bottom w:val="single" w:sz="4" w:space="0" w:color="auto"/>
              <w:right w:val="single" w:sz="4" w:space="0" w:color="auto"/>
            </w:tcBorders>
            <w:shd w:val="clear" w:color="000000" w:fill="F2F2F2"/>
            <w:noWrap/>
            <w:vAlign w:val="bottom"/>
            <w:hideMark/>
          </w:tcPr>
          <w:p w14:paraId="05FBC81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w:t>
            </w:r>
          </w:p>
        </w:tc>
        <w:tc>
          <w:tcPr>
            <w:tcW w:w="390" w:type="pct"/>
            <w:tcBorders>
              <w:top w:val="nil"/>
              <w:left w:val="nil"/>
              <w:bottom w:val="single" w:sz="4" w:space="0" w:color="auto"/>
              <w:right w:val="single" w:sz="4" w:space="0" w:color="auto"/>
            </w:tcBorders>
            <w:shd w:val="clear" w:color="000000" w:fill="EBF1DE"/>
            <w:noWrap/>
            <w:vAlign w:val="bottom"/>
            <w:hideMark/>
          </w:tcPr>
          <w:p w14:paraId="27372F36"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18%</w:t>
            </w:r>
          </w:p>
        </w:tc>
        <w:tc>
          <w:tcPr>
            <w:tcW w:w="406" w:type="pct"/>
            <w:tcBorders>
              <w:top w:val="nil"/>
              <w:left w:val="nil"/>
              <w:bottom w:val="single" w:sz="4" w:space="0" w:color="auto"/>
              <w:right w:val="single" w:sz="4" w:space="0" w:color="auto"/>
            </w:tcBorders>
            <w:shd w:val="clear" w:color="000000" w:fill="F2F2F2"/>
            <w:noWrap/>
            <w:vAlign w:val="bottom"/>
            <w:hideMark/>
          </w:tcPr>
          <w:p w14:paraId="0B1AE7D6"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31%</w:t>
            </w:r>
          </w:p>
        </w:tc>
        <w:tc>
          <w:tcPr>
            <w:tcW w:w="390" w:type="pct"/>
            <w:tcBorders>
              <w:top w:val="nil"/>
              <w:left w:val="nil"/>
              <w:bottom w:val="single" w:sz="4" w:space="0" w:color="auto"/>
              <w:right w:val="single" w:sz="4" w:space="0" w:color="auto"/>
            </w:tcBorders>
            <w:shd w:val="clear" w:color="000000" w:fill="EBF1DE"/>
            <w:noWrap/>
            <w:vAlign w:val="bottom"/>
            <w:hideMark/>
          </w:tcPr>
          <w:p w14:paraId="223CBF95"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33%</w:t>
            </w:r>
          </w:p>
        </w:tc>
        <w:tc>
          <w:tcPr>
            <w:tcW w:w="406" w:type="pct"/>
            <w:tcBorders>
              <w:top w:val="nil"/>
              <w:left w:val="nil"/>
              <w:bottom w:val="single" w:sz="4" w:space="0" w:color="auto"/>
              <w:right w:val="single" w:sz="4" w:space="0" w:color="auto"/>
            </w:tcBorders>
            <w:shd w:val="clear" w:color="000000" w:fill="F2F2F2"/>
            <w:noWrap/>
            <w:vAlign w:val="bottom"/>
            <w:hideMark/>
          </w:tcPr>
          <w:p w14:paraId="0F8E6B8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28%</w:t>
            </w:r>
          </w:p>
        </w:tc>
        <w:tc>
          <w:tcPr>
            <w:tcW w:w="390" w:type="pct"/>
            <w:tcBorders>
              <w:top w:val="nil"/>
              <w:left w:val="nil"/>
              <w:bottom w:val="single" w:sz="4" w:space="0" w:color="auto"/>
              <w:right w:val="single" w:sz="4" w:space="0" w:color="auto"/>
            </w:tcBorders>
            <w:shd w:val="clear" w:color="000000" w:fill="EBF1DE"/>
            <w:noWrap/>
            <w:vAlign w:val="bottom"/>
            <w:hideMark/>
          </w:tcPr>
          <w:p w14:paraId="65BF0C6D"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23%</w:t>
            </w:r>
          </w:p>
        </w:tc>
        <w:tc>
          <w:tcPr>
            <w:tcW w:w="406" w:type="pct"/>
            <w:tcBorders>
              <w:top w:val="nil"/>
              <w:left w:val="nil"/>
              <w:bottom w:val="single" w:sz="4" w:space="0" w:color="auto"/>
              <w:right w:val="single" w:sz="4" w:space="0" w:color="auto"/>
            </w:tcBorders>
            <w:shd w:val="clear" w:color="000000" w:fill="F2F2F2"/>
            <w:noWrap/>
            <w:vAlign w:val="bottom"/>
            <w:hideMark/>
          </w:tcPr>
          <w:p w14:paraId="6D4CA64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30%</w:t>
            </w:r>
          </w:p>
        </w:tc>
        <w:tc>
          <w:tcPr>
            <w:tcW w:w="390" w:type="pct"/>
            <w:tcBorders>
              <w:top w:val="nil"/>
              <w:left w:val="nil"/>
              <w:bottom w:val="single" w:sz="4" w:space="0" w:color="auto"/>
              <w:right w:val="single" w:sz="4" w:space="0" w:color="auto"/>
            </w:tcBorders>
            <w:shd w:val="clear" w:color="000000" w:fill="EBF1DE"/>
            <w:noWrap/>
            <w:vAlign w:val="bottom"/>
            <w:hideMark/>
          </w:tcPr>
          <w:p w14:paraId="30932B10"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14%</w:t>
            </w:r>
          </w:p>
        </w:tc>
        <w:tc>
          <w:tcPr>
            <w:tcW w:w="406" w:type="pct"/>
            <w:tcBorders>
              <w:top w:val="nil"/>
              <w:left w:val="nil"/>
              <w:bottom w:val="single" w:sz="4" w:space="0" w:color="auto"/>
              <w:right w:val="single" w:sz="4" w:space="0" w:color="auto"/>
            </w:tcBorders>
            <w:shd w:val="clear" w:color="000000" w:fill="F2F2F2"/>
            <w:noWrap/>
            <w:vAlign w:val="bottom"/>
            <w:hideMark/>
          </w:tcPr>
          <w:p w14:paraId="18E7CCAC"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EBF1DE"/>
            <w:noWrap/>
            <w:vAlign w:val="bottom"/>
            <w:hideMark/>
          </w:tcPr>
          <w:p w14:paraId="0FA39D62"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r>
      <w:tr w:rsidR="00F111FB" w:rsidRPr="006E3E29" w14:paraId="59CC5D7A" w14:textId="77777777" w:rsidTr="00E41DD4">
        <w:trPr>
          <w:trHeight w:val="161"/>
        </w:trPr>
        <w:tc>
          <w:tcPr>
            <w:tcW w:w="5000" w:type="pct"/>
            <w:gridSpan w:val="14"/>
            <w:tcBorders>
              <w:top w:val="nil"/>
              <w:left w:val="nil"/>
              <w:bottom w:val="nil"/>
              <w:right w:val="single" w:sz="8" w:space="0" w:color="000000"/>
            </w:tcBorders>
            <w:shd w:val="clear" w:color="000000" w:fill="BFBFBF"/>
            <w:noWrap/>
            <w:vAlign w:val="bottom"/>
            <w:hideMark/>
          </w:tcPr>
          <w:p w14:paraId="38C0DC33" w14:textId="77777777" w:rsidR="00F111FB" w:rsidRPr="006E3E29" w:rsidRDefault="00F111FB" w:rsidP="002F0925">
            <w:pPr>
              <w:spacing w:after="0" w:line="240" w:lineRule="auto"/>
              <w:rPr>
                <w:rFonts w:eastAsia="Times New Roman" w:cs="Times New Roman"/>
                <w:b/>
                <w:bCs/>
                <w:color w:val="000000"/>
                <w:lang w:eastAsia="en-AU"/>
              </w:rPr>
            </w:pPr>
            <w:r w:rsidRPr="006E3E29">
              <w:rPr>
                <w:rFonts w:eastAsia="Times New Roman" w:cs="Times New Roman"/>
                <w:b/>
                <w:bCs/>
                <w:color w:val="000000"/>
                <w:lang w:eastAsia="en-AU"/>
              </w:rPr>
              <w:t>Year 4</w:t>
            </w:r>
          </w:p>
        </w:tc>
      </w:tr>
      <w:tr w:rsidR="00F111FB" w:rsidRPr="006E3E29" w14:paraId="11CE67BC" w14:textId="77777777" w:rsidTr="00E41DD4">
        <w:trPr>
          <w:trHeight w:val="161"/>
        </w:trPr>
        <w:tc>
          <w:tcPr>
            <w:tcW w:w="112" w:type="pct"/>
            <w:tcBorders>
              <w:top w:val="nil"/>
              <w:left w:val="nil"/>
              <w:bottom w:val="nil"/>
              <w:right w:val="nil"/>
            </w:tcBorders>
            <w:shd w:val="clear" w:color="auto" w:fill="auto"/>
            <w:noWrap/>
            <w:vAlign w:val="bottom"/>
            <w:hideMark/>
          </w:tcPr>
          <w:p w14:paraId="102B0011"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5CAE517C"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678DC90"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8</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05B243FA"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20</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22E6821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12</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001AB0DD"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41</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AFFBA58"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47</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5F9C945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70</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4F2C13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93</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3FEA3F8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65</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8931560"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70</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5DA7D1B9"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38</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0A259BD9"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230</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5FD88E0D"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234</w:t>
            </w:r>
          </w:p>
        </w:tc>
      </w:tr>
      <w:tr w:rsidR="00F111FB" w:rsidRPr="006E3E29" w14:paraId="0FF58ED0" w14:textId="77777777" w:rsidTr="00E41DD4">
        <w:trPr>
          <w:trHeight w:val="161"/>
        </w:trPr>
        <w:tc>
          <w:tcPr>
            <w:tcW w:w="112" w:type="pct"/>
            <w:tcBorders>
              <w:top w:val="nil"/>
              <w:left w:val="nil"/>
              <w:bottom w:val="nil"/>
              <w:right w:val="nil"/>
            </w:tcBorders>
            <w:shd w:val="clear" w:color="auto" w:fill="auto"/>
            <w:noWrap/>
            <w:vAlign w:val="bottom"/>
            <w:hideMark/>
          </w:tcPr>
          <w:p w14:paraId="366E5710"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420ECA64"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4C774667"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w:t>
            </w:r>
          </w:p>
        </w:tc>
        <w:tc>
          <w:tcPr>
            <w:tcW w:w="390" w:type="pct"/>
            <w:tcBorders>
              <w:top w:val="nil"/>
              <w:left w:val="nil"/>
              <w:bottom w:val="single" w:sz="4" w:space="0" w:color="auto"/>
              <w:right w:val="single" w:sz="4" w:space="0" w:color="auto"/>
            </w:tcBorders>
            <w:shd w:val="clear" w:color="000000" w:fill="EBF1DE"/>
            <w:noWrap/>
            <w:vAlign w:val="bottom"/>
            <w:hideMark/>
          </w:tcPr>
          <w:p w14:paraId="16D4C2B9"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9%</w:t>
            </w:r>
          </w:p>
        </w:tc>
        <w:tc>
          <w:tcPr>
            <w:tcW w:w="406" w:type="pct"/>
            <w:tcBorders>
              <w:top w:val="nil"/>
              <w:left w:val="nil"/>
              <w:bottom w:val="single" w:sz="4" w:space="0" w:color="auto"/>
              <w:right w:val="single" w:sz="4" w:space="0" w:color="auto"/>
            </w:tcBorders>
            <w:shd w:val="clear" w:color="000000" w:fill="F2F2F2"/>
            <w:noWrap/>
            <w:vAlign w:val="bottom"/>
            <w:hideMark/>
          </w:tcPr>
          <w:p w14:paraId="7B3EFCDC"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w:t>
            </w:r>
          </w:p>
        </w:tc>
        <w:tc>
          <w:tcPr>
            <w:tcW w:w="390" w:type="pct"/>
            <w:tcBorders>
              <w:top w:val="nil"/>
              <w:left w:val="nil"/>
              <w:bottom w:val="single" w:sz="4" w:space="0" w:color="auto"/>
              <w:right w:val="single" w:sz="4" w:space="0" w:color="auto"/>
            </w:tcBorders>
            <w:shd w:val="clear" w:color="000000" w:fill="EBF1DE"/>
            <w:noWrap/>
            <w:vAlign w:val="bottom"/>
            <w:hideMark/>
          </w:tcPr>
          <w:p w14:paraId="3A7772F7"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18%</w:t>
            </w:r>
          </w:p>
        </w:tc>
        <w:tc>
          <w:tcPr>
            <w:tcW w:w="406" w:type="pct"/>
            <w:tcBorders>
              <w:top w:val="nil"/>
              <w:left w:val="nil"/>
              <w:bottom w:val="single" w:sz="4" w:space="0" w:color="auto"/>
              <w:right w:val="single" w:sz="4" w:space="0" w:color="auto"/>
            </w:tcBorders>
            <w:shd w:val="clear" w:color="000000" w:fill="F2F2F2"/>
            <w:noWrap/>
            <w:vAlign w:val="bottom"/>
            <w:hideMark/>
          </w:tcPr>
          <w:p w14:paraId="13824F1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20%</w:t>
            </w:r>
          </w:p>
        </w:tc>
        <w:tc>
          <w:tcPr>
            <w:tcW w:w="390" w:type="pct"/>
            <w:tcBorders>
              <w:top w:val="nil"/>
              <w:left w:val="nil"/>
              <w:bottom w:val="single" w:sz="4" w:space="0" w:color="auto"/>
              <w:right w:val="single" w:sz="4" w:space="0" w:color="auto"/>
            </w:tcBorders>
            <w:shd w:val="clear" w:color="000000" w:fill="EBF1DE"/>
            <w:noWrap/>
            <w:vAlign w:val="bottom"/>
            <w:hideMark/>
          </w:tcPr>
          <w:p w14:paraId="091FF0C8"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30%</w:t>
            </w:r>
          </w:p>
        </w:tc>
        <w:tc>
          <w:tcPr>
            <w:tcW w:w="406" w:type="pct"/>
            <w:tcBorders>
              <w:top w:val="nil"/>
              <w:left w:val="nil"/>
              <w:bottom w:val="single" w:sz="4" w:space="0" w:color="auto"/>
              <w:right w:val="single" w:sz="4" w:space="0" w:color="auto"/>
            </w:tcBorders>
            <w:shd w:val="clear" w:color="000000" w:fill="F2F2F2"/>
            <w:noWrap/>
            <w:vAlign w:val="bottom"/>
            <w:hideMark/>
          </w:tcPr>
          <w:p w14:paraId="2964E59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40%</w:t>
            </w:r>
          </w:p>
        </w:tc>
        <w:tc>
          <w:tcPr>
            <w:tcW w:w="390" w:type="pct"/>
            <w:tcBorders>
              <w:top w:val="nil"/>
              <w:left w:val="nil"/>
              <w:bottom w:val="single" w:sz="4" w:space="0" w:color="auto"/>
              <w:right w:val="single" w:sz="4" w:space="0" w:color="auto"/>
            </w:tcBorders>
            <w:shd w:val="clear" w:color="000000" w:fill="EBF1DE"/>
            <w:noWrap/>
            <w:vAlign w:val="bottom"/>
            <w:hideMark/>
          </w:tcPr>
          <w:p w14:paraId="1EC805BB"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28%</w:t>
            </w:r>
          </w:p>
        </w:tc>
        <w:tc>
          <w:tcPr>
            <w:tcW w:w="406" w:type="pct"/>
            <w:tcBorders>
              <w:top w:val="nil"/>
              <w:left w:val="nil"/>
              <w:bottom w:val="single" w:sz="4" w:space="0" w:color="auto"/>
              <w:right w:val="single" w:sz="4" w:space="0" w:color="auto"/>
            </w:tcBorders>
            <w:shd w:val="clear" w:color="000000" w:fill="F2F2F2"/>
            <w:noWrap/>
            <w:vAlign w:val="bottom"/>
            <w:hideMark/>
          </w:tcPr>
          <w:p w14:paraId="7A909BCA"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30%</w:t>
            </w:r>
          </w:p>
        </w:tc>
        <w:tc>
          <w:tcPr>
            <w:tcW w:w="390" w:type="pct"/>
            <w:tcBorders>
              <w:top w:val="nil"/>
              <w:left w:val="nil"/>
              <w:bottom w:val="single" w:sz="4" w:space="0" w:color="auto"/>
              <w:right w:val="single" w:sz="4" w:space="0" w:color="auto"/>
            </w:tcBorders>
            <w:shd w:val="clear" w:color="000000" w:fill="EBF1DE"/>
            <w:noWrap/>
            <w:vAlign w:val="bottom"/>
            <w:hideMark/>
          </w:tcPr>
          <w:p w14:paraId="18B591D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16%</w:t>
            </w:r>
          </w:p>
        </w:tc>
        <w:tc>
          <w:tcPr>
            <w:tcW w:w="406" w:type="pct"/>
            <w:tcBorders>
              <w:top w:val="nil"/>
              <w:left w:val="nil"/>
              <w:bottom w:val="single" w:sz="4" w:space="0" w:color="auto"/>
              <w:right w:val="single" w:sz="4" w:space="0" w:color="auto"/>
            </w:tcBorders>
            <w:shd w:val="clear" w:color="000000" w:fill="F2F2F2"/>
            <w:noWrap/>
            <w:vAlign w:val="bottom"/>
            <w:hideMark/>
          </w:tcPr>
          <w:p w14:paraId="08A7B51A"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EBF1DE"/>
            <w:noWrap/>
            <w:vAlign w:val="bottom"/>
            <w:hideMark/>
          </w:tcPr>
          <w:p w14:paraId="24DB6670"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r>
      <w:tr w:rsidR="00F111FB" w:rsidRPr="006E3E29" w14:paraId="4102AF12" w14:textId="77777777" w:rsidTr="00E41DD4">
        <w:trPr>
          <w:trHeight w:val="161"/>
        </w:trPr>
        <w:tc>
          <w:tcPr>
            <w:tcW w:w="5000" w:type="pct"/>
            <w:gridSpan w:val="14"/>
            <w:tcBorders>
              <w:top w:val="nil"/>
              <w:left w:val="nil"/>
              <w:bottom w:val="nil"/>
              <w:right w:val="single" w:sz="8" w:space="0" w:color="000000"/>
            </w:tcBorders>
            <w:shd w:val="clear" w:color="000000" w:fill="BFBFBF"/>
            <w:noWrap/>
            <w:vAlign w:val="bottom"/>
            <w:hideMark/>
          </w:tcPr>
          <w:p w14:paraId="5A7476E9" w14:textId="77777777" w:rsidR="00F111FB" w:rsidRPr="006E3E29" w:rsidRDefault="00F111FB" w:rsidP="002F0925">
            <w:pPr>
              <w:spacing w:after="0" w:line="240" w:lineRule="auto"/>
              <w:rPr>
                <w:rFonts w:eastAsia="Times New Roman" w:cs="Times New Roman"/>
                <w:b/>
                <w:bCs/>
                <w:color w:val="000000"/>
                <w:lang w:eastAsia="en-AU"/>
              </w:rPr>
            </w:pPr>
            <w:r w:rsidRPr="006E3E29">
              <w:rPr>
                <w:rFonts w:eastAsia="Times New Roman" w:cs="Times New Roman"/>
                <w:b/>
                <w:bCs/>
                <w:color w:val="000000"/>
                <w:lang w:eastAsia="en-AU"/>
              </w:rPr>
              <w:t>Year 5</w:t>
            </w:r>
          </w:p>
        </w:tc>
      </w:tr>
      <w:tr w:rsidR="00F111FB" w:rsidRPr="006E3E29" w14:paraId="3C732812" w14:textId="77777777" w:rsidTr="00E41DD4">
        <w:trPr>
          <w:trHeight w:val="161"/>
        </w:trPr>
        <w:tc>
          <w:tcPr>
            <w:tcW w:w="112" w:type="pct"/>
            <w:tcBorders>
              <w:top w:val="nil"/>
              <w:left w:val="nil"/>
              <w:bottom w:val="nil"/>
              <w:right w:val="nil"/>
            </w:tcBorders>
            <w:shd w:val="clear" w:color="auto" w:fill="auto"/>
            <w:noWrap/>
            <w:vAlign w:val="bottom"/>
            <w:hideMark/>
          </w:tcPr>
          <w:p w14:paraId="1F032AFF"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579529DD"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073EA17"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10</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49E82FEC"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22</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6B835A15"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16</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2923C04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37</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5B9540BC"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35</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07E1425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59</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67B9E4FB"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67</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61925CE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49</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4703F7F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61</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7E4BBE7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21</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AD6432E"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189</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48DC09DC"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188</w:t>
            </w:r>
          </w:p>
        </w:tc>
      </w:tr>
      <w:tr w:rsidR="00F111FB" w:rsidRPr="006E3E29" w14:paraId="521142B7" w14:textId="77777777" w:rsidTr="00E41DD4">
        <w:trPr>
          <w:trHeight w:val="161"/>
        </w:trPr>
        <w:tc>
          <w:tcPr>
            <w:tcW w:w="112" w:type="pct"/>
            <w:tcBorders>
              <w:top w:val="nil"/>
              <w:left w:val="nil"/>
              <w:bottom w:val="nil"/>
              <w:right w:val="nil"/>
            </w:tcBorders>
            <w:shd w:val="clear" w:color="auto" w:fill="auto"/>
            <w:noWrap/>
            <w:vAlign w:val="bottom"/>
            <w:hideMark/>
          </w:tcPr>
          <w:p w14:paraId="28D50AA4"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1005EFBA"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4ECA643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w:t>
            </w:r>
          </w:p>
        </w:tc>
        <w:tc>
          <w:tcPr>
            <w:tcW w:w="390" w:type="pct"/>
            <w:tcBorders>
              <w:top w:val="nil"/>
              <w:left w:val="nil"/>
              <w:bottom w:val="single" w:sz="4" w:space="0" w:color="auto"/>
              <w:right w:val="single" w:sz="4" w:space="0" w:color="auto"/>
            </w:tcBorders>
            <w:shd w:val="clear" w:color="000000" w:fill="EBF1DE"/>
            <w:noWrap/>
            <w:vAlign w:val="bottom"/>
            <w:hideMark/>
          </w:tcPr>
          <w:p w14:paraId="4574AF2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12%</w:t>
            </w:r>
          </w:p>
        </w:tc>
        <w:tc>
          <w:tcPr>
            <w:tcW w:w="406" w:type="pct"/>
            <w:tcBorders>
              <w:top w:val="nil"/>
              <w:left w:val="nil"/>
              <w:bottom w:val="single" w:sz="4" w:space="0" w:color="auto"/>
              <w:right w:val="single" w:sz="4" w:space="0" w:color="auto"/>
            </w:tcBorders>
            <w:shd w:val="clear" w:color="000000" w:fill="F2F2F2"/>
            <w:noWrap/>
            <w:vAlign w:val="bottom"/>
            <w:hideMark/>
          </w:tcPr>
          <w:p w14:paraId="286F9AEC"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8%</w:t>
            </w:r>
          </w:p>
        </w:tc>
        <w:tc>
          <w:tcPr>
            <w:tcW w:w="390" w:type="pct"/>
            <w:tcBorders>
              <w:top w:val="nil"/>
              <w:left w:val="nil"/>
              <w:bottom w:val="single" w:sz="4" w:space="0" w:color="auto"/>
              <w:right w:val="single" w:sz="4" w:space="0" w:color="auto"/>
            </w:tcBorders>
            <w:shd w:val="clear" w:color="000000" w:fill="EBF1DE"/>
            <w:noWrap/>
            <w:vAlign w:val="bottom"/>
            <w:hideMark/>
          </w:tcPr>
          <w:p w14:paraId="5C9714F7"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20%</w:t>
            </w:r>
          </w:p>
        </w:tc>
        <w:tc>
          <w:tcPr>
            <w:tcW w:w="406" w:type="pct"/>
            <w:tcBorders>
              <w:top w:val="nil"/>
              <w:left w:val="nil"/>
              <w:bottom w:val="single" w:sz="4" w:space="0" w:color="auto"/>
              <w:right w:val="single" w:sz="4" w:space="0" w:color="auto"/>
            </w:tcBorders>
            <w:shd w:val="clear" w:color="000000" w:fill="F2F2F2"/>
            <w:noWrap/>
            <w:vAlign w:val="bottom"/>
            <w:hideMark/>
          </w:tcPr>
          <w:p w14:paraId="2B0C41A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19%</w:t>
            </w:r>
          </w:p>
        </w:tc>
        <w:tc>
          <w:tcPr>
            <w:tcW w:w="390" w:type="pct"/>
            <w:tcBorders>
              <w:top w:val="nil"/>
              <w:left w:val="nil"/>
              <w:bottom w:val="single" w:sz="4" w:space="0" w:color="auto"/>
              <w:right w:val="single" w:sz="4" w:space="0" w:color="auto"/>
            </w:tcBorders>
            <w:shd w:val="clear" w:color="000000" w:fill="EBF1DE"/>
            <w:noWrap/>
            <w:vAlign w:val="bottom"/>
            <w:hideMark/>
          </w:tcPr>
          <w:p w14:paraId="103EF85D"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31%</w:t>
            </w:r>
          </w:p>
        </w:tc>
        <w:tc>
          <w:tcPr>
            <w:tcW w:w="406" w:type="pct"/>
            <w:tcBorders>
              <w:top w:val="nil"/>
              <w:left w:val="nil"/>
              <w:bottom w:val="single" w:sz="4" w:space="0" w:color="auto"/>
              <w:right w:val="single" w:sz="4" w:space="0" w:color="auto"/>
            </w:tcBorders>
            <w:shd w:val="clear" w:color="000000" w:fill="F2F2F2"/>
            <w:noWrap/>
            <w:vAlign w:val="bottom"/>
            <w:hideMark/>
          </w:tcPr>
          <w:p w14:paraId="5ACABBB6"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35%</w:t>
            </w:r>
          </w:p>
        </w:tc>
        <w:tc>
          <w:tcPr>
            <w:tcW w:w="390" w:type="pct"/>
            <w:tcBorders>
              <w:top w:val="nil"/>
              <w:left w:val="nil"/>
              <w:bottom w:val="single" w:sz="4" w:space="0" w:color="auto"/>
              <w:right w:val="single" w:sz="4" w:space="0" w:color="auto"/>
            </w:tcBorders>
            <w:shd w:val="clear" w:color="000000" w:fill="EBF1DE"/>
            <w:noWrap/>
            <w:vAlign w:val="bottom"/>
            <w:hideMark/>
          </w:tcPr>
          <w:p w14:paraId="2E900A3D"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26%</w:t>
            </w:r>
          </w:p>
        </w:tc>
        <w:tc>
          <w:tcPr>
            <w:tcW w:w="406" w:type="pct"/>
            <w:tcBorders>
              <w:top w:val="nil"/>
              <w:left w:val="nil"/>
              <w:bottom w:val="single" w:sz="4" w:space="0" w:color="auto"/>
              <w:right w:val="single" w:sz="4" w:space="0" w:color="auto"/>
            </w:tcBorders>
            <w:shd w:val="clear" w:color="000000" w:fill="F2F2F2"/>
            <w:noWrap/>
            <w:vAlign w:val="bottom"/>
            <w:hideMark/>
          </w:tcPr>
          <w:p w14:paraId="66E586D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32%</w:t>
            </w:r>
          </w:p>
        </w:tc>
        <w:tc>
          <w:tcPr>
            <w:tcW w:w="390" w:type="pct"/>
            <w:tcBorders>
              <w:top w:val="nil"/>
              <w:left w:val="nil"/>
              <w:bottom w:val="single" w:sz="4" w:space="0" w:color="auto"/>
              <w:right w:val="single" w:sz="4" w:space="0" w:color="auto"/>
            </w:tcBorders>
            <w:shd w:val="clear" w:color="000000" w:fill="EBF1DE"/>
            <w:noWrap/>
            <w:vAlign w:val="bottom"/>
            <w:hideMark/>
          </w:tcPr>
          <w:p w14:paraId="0E721D2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11%</w:t>
            </w:r>
          </w:p>
        </w:tc>
        <w:tc>
          <w:tcPr>
            <w:tcW w:w="406" w:type="pct"/>
            <w:tcBorders>
              <w:top w:val="nil"/>
              <w:left w:val="nil"/>
              <w:bottom w:val="single" w:sz="4" w:space="0" w:color="auto"/>
              <w:right w:val="single" w:sz="4" w:space="0" w:color="auto"/>
            </w:tcBorders>
            <w:shd w:val="clear" w:color="000000" w:fill="F2F2F2"/>
            <w:noWrap/>
            <w:vAlign w:val="bottom"/>
            <w:hideMark/>
          </w:tcPr>
          <w:p w14:paraId="4AD4319C"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EBF1DE"/>
            <w:noWrap/>
            <w:vAlign w:val="bottom"/>
            <w:hideMark/>
          </w:tcPr>
          <w:p w14:paraId="49801778"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r>
      <w:tr w:rsidR="00F111FB" w:rsidRPr="006E3E29" w14:paraId="5F037459" w14:textId="77777777" w:rsidTr="00E41DD4">
        <w:trPr>
          <w:trHeight w:val="161"/>
        </w:trPr>
        <w:tc>
          <w:tcPr>
            <w:tcW w:w="5000" w:type="pct"/>
            <w:gridSpan w:val="14"/>
            <w:tcBorders>
              <w:top w:val="nil"/>
              <w:left w:val="nil"/>
              <w:bottom w:val="nil"/>
              <w:right w:val="single" w:sz="8" w:space="0" w:color="000000"/>
            </w:tcBorders>
            <w:shd w:val="clear" w:color="000000" w:fill="BFBFBF"/>
            <w:noWrap/>
            <w:vAlign w:val="bottom"/>
            <w:hideMark/>
          </w:tcPr>
          <w:p w14:paraId="7B394470" w14:textId="77777777" w:rsidR="00F111FB" w:rsidRPr="006E3E29" w:rsidRDefault="00F111FB" w:rsidP="002F0925">
            <w:pPr>
              <w:spacing w:after="0" w:line="240" w:lineRule="auto"/>
              <w:rPr>
                <w:rFonts w:eastAsia="Times New Roman" w:cs="Times New Roman"/>
                <w:b/>
                <w:bCs/>
                <w:color w:val="000000"/>
                <w:lang w:eastAsia="en-AU"/>
              </w:rPr>
            </w:pPr>
            <w:r w:rsidRPr="006E3E29">
              <w:rPr>
                <w:rFonts w:eastAsia="Times New Roman" w:cs="Times New Roman"/>
                <w:b/>
                <w:bCs/>
                <w:color w:val="000000"/>
                <w:lang w:eastAsia="en-AU"/>
              </w:rPr>
              <w:t>Year 6</w:t>
            </w:r>
          </w:p>
        </w:tc>
      </w:tr>
      <w:tr w:rsidR="00F111FB" w:rsidRPr="006E3E29" w14:paraId="57319E32" w14:textId="77777777" w:rsidTr="00E41DD4">
        <w:trPr>
          <w:trHeight w:val="161"/>
        </w:trPr>
        <w:tc>
          <w:tcPr>
            <w:tcW w:w="112" w:type="pct"/>
            <w:tcBorders>
              <w:top w:val="nil"/>
              <w:left w:val="nil"/>
              <w:bottom w:val="nil"/>
              <w:right w:val="nil"/>
            </w:tcBorders>
            <w:shd w:val="clear" w:color="auto" w:fill="auto"/>
            <w:noWrap/>
            <w:vAlign w:val="bottom"/>
            <w:hideMark/>
          </w:tcPr>
          <w:p w14:paraId="22935752"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0989A83A"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01077ED5"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10</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179968FA"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18</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735D101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16</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5440374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37</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E96C337"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39</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38CBF5F0"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67</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03A6D3A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59</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3213655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42</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2D24B8F7"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77</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74D8B23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15</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8391988"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201</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01954982"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179</w:t>
            </w:r>
          </w:p>
        </w:tc>
      </w:tr>
      <w:tr w:rsidR="00F111FB" w:rsidRPr="006E3E29" w14:paraId="3FB6314B" w14:textId="77777777" w:rsidTr="00E41DD4">
        <w:trPr>
          <w:trHeight w:val="161"/>
        </w:trPr>
        <w:tc>
          <w:tcPr>
            <w:tcW w:w="112" w:type="pct"/>
            <w:tcBorders>
              <w:top w:val="nil"/>
              <w:left w:val="nil"/>
              <w:bottom w:val="nil"/>
              <w:right w:val="nil"/>
            </w:tcBorders>
            <w:shd w:val="clear" w:color="auto" w:fill="auto"/>
            <w:noWrap/>
            <w:vAlign w:val="bottom"/>
            <w:hideMark/>
          </w:tcPr>
          <w:p w14:paraId="258ED72F"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73E1DE0B"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3B10402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w:t>
            </w:r>
          </w:p>
        </w:tc>
        <w:tc>
          <w:tcPr>
            <w:tcW w:w="390" w:type="pct"/>
            <w:tcBorders>
              <w:top w:val="nil"/>
              <w:left w:val="nil"/>
              <w:bottom w:val="single" w:sz="4" w:space="0" w:color="auto"/>
              <w:right w:val="single" w:sz="4" w:space="0" w:color="auto"/>
            </w:tcBorders>
            <w:shd w:val="clear" w:color="000000" w:fill="EBF1DE"/>
            <w:noWrap/>
            <w:vAlign w:val="bottom"/>
            <w:hideMark/>
          </w:tcPr>
          <w:p w14:paraId="7979472B"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10%</w:t>
            </w:r>
          </w:p>
        </w:tc>
        <w:tc>
          <w:tcPr>
            <w:tcW w:w="406" w:type="pct"/>
            <w:tcBorders>
              <w:top w:val="nil"/>
              <w:left w:val="nil"/>
              <w:bottom w:val="single" w:sz="4" w:space="0" w:color="auto"/>
              <w:right w:val="single" w:sz="4" w:space="0" w:color="auto"/>
            </w:tcBorders>
            <w:shd w:val="clear" w:color="000000" w:fill="F2F2F2"/>
            <w:noWrap/>
            <w:vAlign w:val="bottom"/>
            <w:hideMark/>
          </w:tcPr>
          <w:p w14:paraId="3CAC2F4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8%</w:t>
            </w:r>
          </w:p>
        </w:tc>
        <w:tc>
          <w:tcPr>
            <w:tcW w:w="390" w:type="pct"/>
            <w:tcBorders>
              <w:top w:val="nil"/>
              <w:left w:val="nil"/>
              <w:bottom w:val="single" w:sz="4" w:space="0" w:color="auto"/>
              <w:right w:val="single" w:sz="4" w:space="0" w:color="auto"/>
            </w:tcBorders>
            <w:shd w:val="clear" w:color="000000" w:fill="EBF1DE"/>
            <w:noWrap/>
            <w:vAlign w:val="bottom"/>
            <w:hideMark/>
          </w:tcPr>
          <w:p w14:paraId="349DF3E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21%</w:t>
            </w:r>
          </w:p>
        </w:tc>
        <w:tc>
          <w:tcPr>
            <w:tcW w:w="406" w:type="pct"/>
            <w:tcBorders>
              <w:top w:val="nil"/>
              <w:left w:val="nil"/>
              <w:bottom w:val="single" w:sz="4" w:space="0" w:color="auto"/>
              <w:right w:val="single" w:sz="4" w:space="0" w:color="auto"/>
            </w:tcBorders>
            <w:shd w:val="clear" w:color="000000" w:fill="F2F2F2"/>
            <w:noWrap/>
            <w:vAlign w:val="bottom"/>
            <w:hideMark/>
          </w:tcPr>
          <w:p w14:paraId="2AA1F71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19%</w:t>
            </w:r>
          </w:p>
        </w:tc>
        <w:tc>
          <w:tcPr>
            <w:tcW w:w="390" w:type="pct"/>
            <w:tcBorders>
              <w:top w:val="nil"/>
              <w:left w:val="nil"/>
              <w:bottom w:val="single" w:sz="4" w:space="0" w:color="auto"/>
              <w:right w:val="single" w:sz="4" w:space="0" w:color="auto"/>
            </w:tcBorders>
            <w:shd w:val="clear" w:color="000000" w:fill="EBF1DE"/>
            <w:noWrap/>
            <w:vAlign w:val="bottom"/>
            <w:hideMark/>
          </w:tcPr>
          <w:p w14:paraId="229062C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37%</w:t>
            </w:r>
          </w:p>
        </w:tc>
        <w:tc>
          <w:tcPr>
            <w:tcW w:w="406" w:type="pct"/>
            <w:tcBorders>
              <w:top w:val="nil"/>
              <w:left w:val="nil"/>
              <w:bottom w:val="single" w:sz="4" w:space="0" w:color="auto"/>
              <w:right w:val="single" w:sz="4" w:space="0" w:color="auto"/>
            </w:tcBorders>
            <w:shd w:val="clear" w:color="000000" w:fill="F2F2F2"/>
            <w:noWrap/>
            <w:vAlign w:val="bottom"/>
            <w:hideMark/>
          </w:tcPr>
          <w:p w14:paraId="182B369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29%</w:t>
            </w:r>
          </w:p>
        </w:tc>
        <w:tc>
          <w:tcPr>
            <w:tcW w:w="390" w:type="pct"/>
            <w:tcBorders>
              <w:top w:val="nil"/>
              <w:left w:val="nil"/>
              <w:bottom w:val="single" w:sz="4" w:space="0" w:color="auto"/>
              <w:right w:val="single" w:sz="4" w:space="0" w:color="auto"/>
            </w:tcBorders>
            <w:shd w:val="clear" w:color="000000" w:fill="EBF1DE"/>
            <w:noWrap/>
            <w:vAlign w:val="bottom"/>
            <w:hideMark/>
          </w:tcPr>
          <w:p w14:paraId="4CD9990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23%</w:t>
            </w:r>
          </w:p>
        </w:tc>
        <w:tc>
          <w:tcPr>
            <w:tcW w:w="406" w:type="pct"/>
            <w:tcBorders>
              <w:top w:val="nil"/>
              <w:left w:val="nil"/>
              <w:bottom w:val="single" w:sz="4" w:space="0" w:color="auto"/>
              <w:right w:val="single" w:sz="4" w:space="0" w:color="auto"/>
            </w:tcBorders>
            <w:shd w:val="clear" w:color="000000" w:fill="F2F2F2"/>
            <w:noWrap/>
            <w:vAlign w:val="bottom"/>
            <w:hideMark/>
          </w:tcPr>
          <w:p w14:paraId="52D012B5"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38%</w:t>
            </w:r>
          </w:p>
        </w:tc>
        <w:tc>
          <w:tcPr>
            <w:tcW w:w="390" w:type="pct"/>
            <w:tcBorders>
              <w:top w:val="nil"/>
              <w:left w:val="nil"/>
              <w:bottom w:val="single" w:sz="4" w:space="0" w:color="auto"/>
              <w:right w:val="single" w:sz="4" w:space="0" w:color="auto"/>
            </w:tcBorders>
            <w:shd w:val="clear" w:color="000000" w:fill="EBF1DE"/>
            <w:noWrap/>
            <w:vAlign w:val="bottom"/>
            <w:hideMark/>
          </w:tcPr>
          <w:p w14:paraId="136A84F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8%</w:t>
            </w:r>
          </w:p>
        </w:tc>
        <w:tc>
          <w:tcPr>
            <w:tcW w:w="406" w:type="pct"/>
            <w:tcBorders>
              <w:top w:val="nil"/>
              <w:left w:val="nil"/>
              <w:bottom w:val="single" w:sz="4" w:space="0" w:color="auto"/>
              <w:right w:val="single" w:sz="4" w:space="0" w:color="auto"/>
            </w:tcBorders>
            <w:shd w:val="clear" w:color="000000" w:fill="F2F2F2"/>
            <w:noWrap/>
            <w:vAlign w:val="bottom"/>
            <w:hideMark/>
          </w:tcPr>
          <w:p w14:paraId="787AED8F"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EBF1DE"/>
            <w:noWrap/>
            <w:vAlign w:val="bottom"/>
            <w:hideMark/>
          </w:tcPr>
          <w:p w14:paraId="1EF88940"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r>
      <w:tr w:rsidR="00F111FB" w:rsidRPr="006E3E29" w14:paraId="1E6286EF" w14:textId="77777777" w:rsidTr="00E41DD4">
        <w:trPr>
          <w:trHeight w:val="161"/>
        </w:trPr>
        <w:tc>
          <w:tcPr>
            <w:tcW w:w="5000" w:type="pct"/>
            <w:gridSpan w:val="14"/>
            <w:tcBorders>
              <w:top w:val="nil"/>
              <w:left w:val="nil"/>
              <w:bottom w:val="nil"/>
              <w:right w:val="single" w:sz="8" w:space="0" w:color="000000"/>
            </w:tcBorders>
            <w:shd w:val="clear" w:color="000000" w:fill="BFBFBF"/>
            <w:noWrap/>
            <w:vAlign w:val="bottom"/>
            <w:hideMark/>
          </w:tcPr>
          <w:p w14:paraId="4B8DEA4E" w14:textId="77777777" w:rsidR="00F111FB" w:rsidRPr="006E3E29" w:rsidRDefault="00F111FB" w:rsidP="002F0925">
            <w:pPr>
              <w:spacing w:after="0" w:line="240" w:lineRule="auto"/>
              <w:rPr>
                <w:rFonts w:eastAsia="Times New Roman" w:cs="Times New Roman"/>
                <w:b/>
                <w:bCs/>
                <w:color w:val="000000"/>
                <w:lang w:eastAsia="en-AU"/>
              </w:rPr>
            </w:pPr>
            <w:r w:rsidRPr="006E3E29">
              <w:rPr>
                <w:rFonts w:eastAsia="Times New Roman" w:cs="Times New Roman"/>
                <w:b/>
                <w:bCs/>
                <w:color w:val="000000"/>
                <w:lang w:eastAsia="en-AU"/>
              </w:rPr>
              <w:t>Year 7</w:t>
            </w:r>
          </w:p>
        </w:tc>
      </w:tr>
      <w:tr w:rsidR="00F111FB" w:rsidRPr="006E3E29" w14:paraId="1669402B" w14:textId="77777777" w:rsidTr="00E41DD4">
        <w:trPr>
          <w:trHeight w:val="161"/>
        </w:trPr>
        <w:tc>
          <w:tcPr>
            <w:tcW w:w="112" w:type="pct"/>
            <w:tcBorders>
              <w:top w:val="nil"/>
              <w:left w:val="nil"/>
              <w:bottom w:val="nil"/>
              <w:right w:val="nil"/>
            </w:tcBorders>
            <w:shd w:val="clear" w:color="auto" w:fill="auto"/>
            <w:noWrap/>
            <w:vAlign w:val="bottom"/>
            <w:hideMark/>
          </w:tcPr>
          <w:p w14:paraId="44DF3513"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4203E0DC"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9D63249"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11</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1953F69C"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21</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45287B37"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16</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3D0BBDD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30</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067E477C"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49</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35890EE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62</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660C955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118</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0BCB29D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109</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0C11E0A6"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130</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24E40038"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73</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59E93BDC"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324</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63AA46C1"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295</w:t>
            </w:r>
          </w:p>
        </w:tc>
      </w:tr>
      <w:tr w:rsidR="00F111FB" w:rsidRPr="006E3E29" w14:paraId="51E38F17" w14:textId="77777777" w:rsidTr="00E41DD4">
        <w:trPr>
          <w:trHeight w:val="161"/>
        </w:trPr>
        <w:tc>
          <w:tcPr>
            <w:tcW w:w="112" w:type="pct"/>
            <w:tcBorders>
              <w:top w:val="nil"/>
              <w:left w:val="nil"/>
              <w:bottom w:val="nil"/>
              <w:right w:val="nil"/>
            </w:tcBorders>
            <w:shd w:val="clear" w:color="auto" w:fill="auto"/>
            <w:noWrap/>
            <w:vAlign w:val="bottom"/>
            <w:hideMark/>
          </w:tcPr>
          <w:p w14:paraId="5ECF743B"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57AAE7A1"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5284F06A"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w:t>
            </w:r>
          </w:p>
        </w:tc>
        <w:tc>
          <w:tcPr>
            <w:tcW w:w="390" w:type="pct"/>
            <w:tcBorders>
              <w:top w:val="nil"/>
              <w:left w:val="nil"/>
              <w:bottom w:val="single" w:sz="4" w:space="0" w:color="auto"/>
              <w:right w:val="single" w:sz="4" w:space="0" w:color="auto"/>
            </w:tcBorders>
            <w:shd w:val="clear" w:color="000000" w:fill="EBF1DE"/>
            <w:noWrap/>
            <w:vAlign w:val="bottom"/>
            <w:hideMark/>
          </w:tcPr>
          <w:p w14:paraId="5108060C"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7%</w:t>
            </w:r>
          </w:p>
        </w:tc>
        <w:tc>
          <w:tcPr>
            <w:tcW w:w="406" w:type="pct"/>
            <w:tcBorders>
              <w:top w:val="nil"/>
              <w:left w:val="nil"/>
              <w:bottom w:val="single" w:sz="4" w:space="0" w:color="auto"/>
              <w:right w:val="single" w:sz="4" w:space="0" w:color="auto"/>
            </w:tcBorders>
            <w:shd w:val="clear" w:color="000000" w:fill="F2F2F2"/>
            <w:noWrap/>
            <w:vAlign w:val="bottom"/>
            <w:hideMark/>
          </w:tcPr>
          <w:p w14:paraId="3BDCD7A5"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w:t>
            </w:r>
          </w:p>
        </w:tc>
        <w:tc>
          <w:tcPr>
            <w:tcW w:w="390" w:type="pct"/>
            <w:tcBorders>
              <w:top w:val="nil"/>
              <w:left w:val="nil"/>
              <w:bottom w:val="single" w:sz="4" w:space="0" w:color="auto"/>
              <w:right w:val="single" w:sz="4" w:space="0" w:color="auto"/>
            </w:tcBorders>
            <w:shd w:val="clear" w:color="000000" w:fill="EBF1DE"/>
            <w:noWrap/>
            <w:vAlign w:val="bottom"/>
            <w:hideMark/>
          </w:tcPr>
          <w:p w14:paraId="2249B44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10%</w:t>
            </w:r>
          </w:p>
        </w:tc>
        <w:tc>
          <w:tcPr>
            <w:tcW w:w="406" w:type="pct"/>
            <w:tcBorders>
              <w:top w:val="nil"/>
              <w:left w:val="nil"/>
              <w:bottom w:val="single" w:sz="4" w:space="0" w:color="auto"/>
              <w:right w:val="single" w:sz="4" w:space="0" w:color="auto"/>
            </w:tcBorders>
            <w:shd w:val="clear" w:color="000000" w:fill="F2F2F2"/>
            <w:noWrap/>
            <w:vAlign w:val="bottom"/>
            <w:hideMark/>
          </w:tcPr>
          <w:p w14:paraId="0094D6E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15%</w:t>
            </w:r>
          </w:p>
        </w:tc>
        <w:tc>
          <w:tcPr>
            <w:tcW w:w="390" w:type="pct"/>
            <w:tcBorders>
              <w:top w:val="nil"/>
              <w:left w:val="nil"/>
              <w:bottom w:val="single" w:sz="4" w:space="0" w:color="auto"/>
              <w:right w:val="single" w:sz="4" w:space="0" w:color="auto"/>
            </w:tcBorders>
            <w:shd w:val="clear" w:color="000000" w:fill="EBF1DE"/>
            <w:noWrap/>
            <w:vAlign w:val="bottom"/>
            <w:hideMark/>
          </w:tcPr>
          <w:p w14:paraId="6904A1EC"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21%</w:t>
            </w:r>
          </w:p>
        </w:tc>
        <w:tc>
          <w:tcPr>
            <w:tcW w:w="406" w:type="pct"/>
            <w:tcBorders>
              <w:top w:val="nil"/>
              <w:left w:val="nil"/>
              <w:bottom w:val="single" w:sz="4" w:space="0" w:color="auto"/>
              <w:right w:val="single" w:sz="4" w:space="0" w:color="auto"/>
            </w:tcBorders>
            <w:shd w:val="clear" w:color="000000" w:fill="F2F2F2"/>
            <w:noWrap/>
            <w:vAlign w:val="bottom"/>
            <w:hideMark/>
          </w:tcPr>
          <w:p w14:paraId="71C4C44F"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36%</w:t>
            </w:r>
          </w:p>
        </w:tc>
        <w:tc>
          <w:tcPr>
            <w:tcW w:w="390" w:type="pct"/>
            <w:tcBorders>
              <w:top w:val="nil"/>
              <w:left w:val="nil"/>
              <w:bottom w:val="single" w:sz="4" w:space="0" w:color="auto"/>
              <w:right w:val="single" w:sz="4" w:space="0" w:color="auto"/>
            </w:tcBorders>
            <w:shd w:val="clear" w:color="000000" w:fill="EBF1DE"/>
            <w:noWrap/>
            <w:vAlign w:val="bottom"/>
            <w:hideMark/>
          </w:tcPr>
          <w:p w14:paraId="24ABED6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37%</w:t>
            </w:r>
          </w:p>
        </w:tc>
        <w:tc>
          <w:tcPr>
            <w:tcW w:w="406" w:type="pct"/>
            <w:tcBorders>
              <w:top w:val="nil"/>
              <w:left w:val="nil"/>
              <w:bottom w:val="single" w:sz="4" w:space="0" w:color="auto"/>
              <w:right w:val="single" w:sz="4" w:space="0" w:color="auto"/>
            </w:tcBorders>
            <w:shd w:val="clear" w:color="000000" w:fill="F2F2F2"/>
            <w:noWrap/>
            <w:vAlign w:val="bottom"/>
            <w:hideMark/>
          </w:tcPr>
          <w:p w14:paraId="72BE849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40%</w:t>
            </w:r>
          </w:p>
        </w:tc>
        <w:tc>
          <w:tcPr>
            <w:tcW w:w="390" w:type="pct"/>
            <w:tcBorders>
              <w:top w:val="nil"/>
              <w:left w:val="nil"/>
              <w:bottom w:val="single" w:sz="4" w:space="0" w:color="auto"/>
              <w:right w:val="single" w:sz="4" w:space="0" w:color="auto"/>
            </w:tcBorders>
            <w:shd w:val="clear" w:color="000000" w:fill="EBF1DE"/>
            <w:noWrap/>
            <w:vAlign w:val="bottom"/>
            <w:hideMark/>
          </w:tcPr>
          <w:p w14:paraId="11F28E3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25%</w:t>
            </w:r>
          </w:p>
        </w:tc>
        <w:tc>
          <w:tcPr>
            <w:tcW w:w="406" w:type="pct"/>
            <w:tcBorders>
              <w:top w:val="nil"/>
              <w:left w:val="nil"/>
              <w:bottom w:val="single" w:sz="4" w:space="0" w:color="auto"/>
              <w:right w:val="single" w:sz="4" w:space="0" w:color="auto"/>
            </w:tcBorders>
            <w:shd w:val="clear" w:color="000000" w:fill="F2F2F2"/>
            <w:noWrap/>
            <w:vAlign w:val="bottom"/>
            <w:hideMark/>
          </w:tcPr>
          <w:p w14:paraId="2145E41D"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EBF1DE"/>
            <w:noWrap/>
            <w:vAlign w:val="bottom"/>
            <w:hideMark/>
          </w:tcPr>
          <w:p w14:paraId="114CFF1C"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r>
      <w:tr w:rsidR="00F111FB" w:rsidRPr="006E3E29" w14:paraId="5ADEF7CE" w14:textId="77777777" w:rsidTr="00E41DD4">
        <w:trPr>
          <w:trHeight w:val="161"/>
        </w:trPr>
        <w:tc>
          <w:tcPr>
            <w:tcW w:w="5000" w:type="pct"/>
            <w:gridSpan w:val="14"/>
            <w:tcBorders>
              <w:top w:val="nil"/>
              <w:left w:val="nil"/>
              <w:bottom w:val="nil"/>
              <w:right w:val="single" w:sz="8" w:space="0" w:color="000000"/>
            </w:tcBorders>
            <w:shd w:val="clear" w:color="000000" w:fill="BFBFBF"/>
            <w:noWrap/>
            <w:vAlign w:val="bottom"/>
            <w:hideMark/>
          </w:tcPr>
          <w:p w14:paraId="21F54EDB" w14:textId="77777777" w:rsidR="00F111FB" w:rsidRPr="006E3E29" w:rsidRDefault="00F111FB" w:rsidP="002F0925">
            <w:pPr>
              <w:spacing w:after="0" w:line="240" w:lineRule="auto"/>
              <w:rPr>
                <w:rFonts w:eastAsia="Times New Roman" w:cs="Times New Roman"/>
                <w:b/>
                <w:bCs/>
                <w:color w:val="000000"/>
                <w:lang w:eastAsia="en-AU"/>
              </w:rPr>
            </w:pPr>
            <w:r w:rsidRPr="006E3E29">
              <w:rPr>
                <w:rFonts w:eastAsia="Times New Roman" w:cs="Times New Roman"/>
                <w:b/>
                <w:bCs/>
                <w:color w:val="000000"/>
                <w:lang w:eastAsia="en-AU"/>
              </w:rPr>
              <w:t>Year 8</w:t>
            </w:r>
          </w:p>
        </w:tc>
      </w:tr>
      <w:tr w:rsidR="00F111FB" w:rsidRPr="006E3E29" w14:paraId="44E14673" w14:textId="77777777" w:rsidTr="00E41DD4">
        <w:trPr>
          <w:trHeight w:val="161"/>
        </w:trPr>
        <w:tc>
          <w:tcPr>
            <w:tcW w:w="112" w:type="pct"/>
            <w:tcBorders>
              <w:top w:val="nil"/>
              <w:left w:val="nil"/>
              <w:bottom w:val="nil"/>
              <w:right w:val="nil"/>
            </w:tcBorders>
            <w:shd w:val="clear" w:color="auto" w:fill="auto"/>
            <w:noWrap/>
            <w:vAlign w:val="bottom"/>
            <w:hideMark/>
          </w:tcPr>
          <w:p w14:paraId="36D58848"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38DA01F5"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E89D8A4"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2948CDB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6909B468"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14</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345AF770"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23</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20D34E9E"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41</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657BCF73"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65</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59D256A0"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89</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75522EE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69</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6CDD907B"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117</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0AFCAC9B"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68</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A767BC5"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266</w:t>
            </w:r>
          </w:p>
        </w:tc>
        <w:tc>
          <w:tcPr>
            <w:tcW w:w="390" w:type="pct"/>
            <w:tcBorders>
              <w:top w:val="single" w:sz="4" w:space="0" w:color="auto"/>
              <w:left w:val="nil"/>
              <w:bottom w:val="single" w:sz="4" w:space="0" w:color="auto"/>
              <w:right w:val="single" w:sz="4" w:space="0" w:color="auto"/>
            </w:tcBorders>
            <w:shd w:val="clear" w:color="000000" w:fill="EBF1DE"/>
            <w:noWrap/>
            <w:vAlign w:val="bottom"/>
            <w:hideMark/>
          </w:tcPr>
          <w:p w14:paraId="4E76F6A7"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229</w:t>
            </w:r>
          </w:p>
        </w:tc>
      </w:tr>
      <w:tr w:rsidR="00F111FB" w:rsidRPr="006E3E29" w14:paraId="28F8C0EB" w14:textId="77777777" w:rsidTr="00E41DD4">
        <w:trPr>
          <w:trHeight w:val="161"/>
        </w:trPr>
        <w:tc>
          <w:tcPr>
            <w:tcW w:w="112" w:type="pct"/>
            <w:tcBorders>
              <w:top w:val="nil"/>
              <w:left w:val="nil"/>
              <w:bottom w:val="nil"/>
              <w:right w:val="nil"/>
            </w:tcBorders>
            <w:shd w:val="clear" w:color="auto" w:fill="auto"/>
            <w:noWrap/>
            <w:vAlign w:val="bottom"/>
            <w:hideMark/>
          </w:tcPr>
          <w:p w14:paraId="11588531" w14:textId="77777777" w:rsidR="00F111FB" w:rsidRPr="006E3E29" w:rsidRDefault="00F111FB" w:rsidP="002F0925">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0BFA735C" w14:textId="77777777" w:rsidR="00F111FB" w:rsidRPr="006E3E29" w:rsidRDefault="00F111FB" w:rsidP="002F0925">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222839A2"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w:t>
            </w:r>
          </w:p>
        </w:tc>
        <w:tc>
          <w:tcPr>
            <w:tcW w:w="390" w:type="pct"/>
            <w:tcBorders>
              <w:top w:val="nil"/>
              <w:left w:val="nil"/>
              <w:bottom w:val="single" w:sz="4" w:space="0" w:color="auto"/>
              <w:right w:val="single" w:sz="4" w:space="0" w:color="auto"/>
            </w:tcBorders>
            <w:shd w:val="clear" w:color="000000" w:fill="EBF1DE"/>
            <w:noWrap/>
            <w:vAlign w:val="bottom"/>
            <w:hideMark/>
          </w:tcPr>
          <w:p w14:paraId="7C37D1F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w:t>
            </w:r>
          </w:p>
        </w:tc>
        <w:tc>
          <w:tcPr>
            <w:tcW w:w="406" w:type="pct"/>
            <w:tcBorders>
              <w:top w:val="nil"/>
              <w:left w:val="nil"/>
              <w:bottom w:val="single" w:sz="4" w:space="0" w:color="auto"/>
              <w:right w:val="single" w:sz="4" w:space="0" w:color="auto"/>
            </w:tcBorders>
            <w:shd w:val="clear" w:color="000000" w:fill="F2F2F2"/>
            <w:noWrap/>
            <w:vAlign w:val="bottom"/>
            <w:hideMark/>
          </w:tcPr>
          <w:p w14:paraId="047DFF71"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5%</w:t>
            </w:r>
          </w:p>
        </w:tc>
        <w:tc>
          <w:tcPr>
            <w:tcW w:w="390" w:type="pct"/>
            <w:tcBorders>
              <w:top w:val="nil"/>
              <w:left w:val="nil"/>
              <w:bottom w:val="single" w:sz="4" w:space="0" w:color="auto"/>
              <w:right w:val="single" w:sz="4" w:space="0" w:color="auto"/>
            </w:tcBorders>
            <w:shd w:val="clear" w:color="000000" w:fill="EBF1DE"/>
            <w:noWrap/>
            <w:vAlign w:val="bottom"/>
            <w:hideMark/>
          </w:tcPr>
          <w:p w14:paraId="70BD5350"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10%</w:t>
            </w:r>
          </w:p>
        </w:tc>
        <w:tc>
          <w:tcPr>
            <w:tcW w:w="406" w:type="pct"/>
            <w:tcBorders>
              <w:top w:val="nil"/>
              <w:left w:val="nil"/>
              <w:bottom w:val="single" w:sz="4" w:space="0" w:color="auto"/>
              <w:right w:val="single" w:sz="4" w:space="0" w:color="auto"/>
            </w:tcBorders>
            <w:shd w:val="clear" w:color="000000" w:fill="F2F2F2"/>
            <w:noWrap/>
            <w:vAlign w:val="bottom"/>
            <w:hideMark/>
          </w:tcPr>
          <w:p w14:paraId="2A3205EC"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15%</w:t>
            </w:r>
          </w:p>
        </w:tc>
        <w:tc>
          <w:tcPr>
            <w:tcW w:w="390" w:type="pct"/>
            <w:tcBorders>
              <w:top w:val="nil"/>
              <w:left w:val="nil"/>
              <w:bottom w:val="single" w:sz="4" w:space="0" w:color="auto"/>
              <w:right w:val="single" w:sz="4" w:space="0" w:color="auto"/>
            </w:tcBorders>
            <w:shd w:val="clear" w:color="000000" w:fill="EBF1DE"/>
            <w:noWrap/>
            <w:vAlign w:val="bottom"/>
            <w:hideMark/>
          </w:tcPr>
          <w:p w14:paraId="5C19EAE7"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28%</w:t>
            </w:r>
          </w:p>
        </w:tc>
        <w:tc>
          <w:tcPr>
            <w:tcW w:w="406" w:type="pct"/>
            <w:tcBorders>
              <w:top w:val="nil"/>
              <w:left w:val="nil"/>
              <w:bottom w:val="single" w:sz="4" w:space="0" w:color="auto"/>
              <w:right w:val="single" w:sz="4" w:space="0" w:color="auto"/>
            </w:tcBorders>
            <w:shd w:val="clear" w:color="000000" w:fill="F2F2F2"/>
            <w:noWrap/>
            <w:vAlign w:val="bottom"/>
            <w:hideMark/>
          </w:tcPr>
          <w:p w14:paraId="69557449"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33%</w:t>
            </w:r>
          </w:p>
        </w:tc>
        <w:tc>
          <w:tcPr>
            <w:tcW w:w="390" w:type="pct"/>
            <w:tcBorders>
              <w:top w:val="nil"/>
              <w:left w:val="nil"/>
              <w:bottom w:val="single" w:sz="4" w:space="0" w:color="auto"/>
              <w:right w:val="single" w:sz="4" w:space="0" w:color="auto"/>
            </w:tcBorders>
            <w:shd w:val="clear" w:color="000000" w:fill="EBF1DE"/>
            <w:noWrap/>
            <w:vAlign w:val="bottom"/>
            <w:hideMark/>
          </w:tcPr>
          <w:p w14:paraId="0E5B0298"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30%</w:t>
            </w:r>
          </w:p>
        </w:tc>
        <w:tc>
          <w:tcPr>
            <w:tcW w:w="406" w:type="pct"/>
            <w:tcBorders>
              <w:top w:val="nil"/>
              <w:left w:val="nil"/>
              <w:bottom w:val="single" w:sz="4" w:space="0" w:color="auto"/>
              <w:right w:val="single" w:sz="4" w:space="0" w:color="auto"/>
            </w:tcBorders>
            <w:shd w:val="clear" w:color="000000" w:fill="F2F2F2"/>
            <w:noWrap/>
            <w:vAlign w:val="bottom"/>
            <w:hideMark/>
          </w:tcPr>
          <w:p w14:paraId="547F2E2D"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44%</w:t>
            </w:r>
          </w:p>
        </w:tc>
        <w:tc>
          <w:tcPr>
            <w:tcW w:w="390" w:type="pct"/>
            <w:tcBorders>
              <w:top w:val="nil"/>
              <w:left w:val="nil"/>
              <w:bottom w:val="single" w:sz="4" w:space="0" w:color="auto"/>
              <w:right w:val="single" w:sz="4" w:space="0" w:color="auto"/>
            </w:tcBorders>
            <w:shd w:val="clear" w:color="000000" w:fill="EBF1DE"/>
            <w:noWrap/>
            <w:vAlign w:val="bottom"/>
            <w:hideMark/>
          </w:tcPr>
          <w:p w14:paraId="2E1B4D97" w14:textId="77777777" w:rsidR="00F111FB" w:rsidRPr="006E3E29" w:rsidRDefault="00F111FB" w:rsidP="002F0925">
            <w:pPr>
              <w:spacing w:after="0" w:line="240" w:lineRule="auto"/>
              <w:jc w:val="center"/>
              <w:rPr>
                <w:rFonts w:eastAsia="Times New Roman" w:cs="Times New Roman"/>
                <w:color w:val="000000"/>
                <w:lang w:eastAsia="en-AU"/>
              </w:rPr>
            </w:pPr>
            <w:r w:rsidRPr="006E3E29">
              <w:rPr>
                <w:rFonts w:eastAsia="Times New Roman" w:cs="Times New Roman"/>
                <w:color w:val="000000"/>
                <w:lang w:eastAsia="en-AU"/>
              </w:rPr>
              <w:t>30%</w:t>
            </w:r>
          </w:p>
        </w:tc>
        <w:tc>
          <w:tcPr>
            <w:tcW w:w="406" w:type="pct"/>
            <w:tcBorders>
              <w:top w:val="nil"/>
              <w:left w:val="nil"/>
              <w:bottom w:val="single" w:sz="4" w:space="0" w:color="auto"/>
              <w:right w:val="single" w:sz="4" w:space="0" w:color="auto"/>
            </w:tcBorders>
            <w:shd w:val="clear" w:color="000000" w:fill="F2F2F2"/>
            <w:noWrap/>
            <w:vAlign w:val="bottom"/>
            <w:hideMark/>
          </w:tcPr>
          <w:p w14:paraId="687C5A24"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EBF1DE"/>
            <w:noWrap/>
            <w:vAlign w:val="bottom"/>
            <w:hideMark/>
          </w:tcPr>
          <w:p w14:paraId="059B1171" w14:textId="77777777" w:rsidR="00F111FB" w:rsidRPr="006E3E29" w:rsidRDefault="00F111FB" w:rsidP="002F0925">
            <w:pPr>
              <w:spacing w:after="0" w:line="240" w:lineRule="auto"/>
              <w:jc w:val="center"/>
              <w:rPr>
                <w:rFonts w:eastAsia="Times New Roman" w:cs="Times New Roman"/>
                <w:b/>
                <w:bCs/>
                <w:color w:val="000000"/>
                <w:lang w:eastAsia="en-AU"/>
              </w:rPr>
            </w:pPr>
            <w:r w:rsidRPr="006E3E29">
              <w:rPr>
                <w:rFonts w:eastAsia="Times New Roman" w:cs="Times New Roman"/>
                <w:b/>
                <w:bCs/>
                <w:color w:val="000000"/>
                <w:lang w:eastAsia="en-AU"/>
              </w:rPr>
              <w:t> </w:t>
            </w:r>
          </w:p>
        </w:tc>
      </w:tr>
    </w:tbl>
    <w:p w14:paraId="6A0DB8EE" w14:textId="77777777" w:rsidR="00D03868" w:rsidRDefault="00D03868" w:rsidP="00892F35">
      <w:pPr>
        <w:pStyle w:val="Normalnumbered"/>
        <w:numPr>
          <w:ilvl w:val="0"/>
          <w:numId w:val="0"/>
        </w:numPr>
        <w:tabs>
          <w:tab w:val="num" w:pos="2160"/>
        </w:tabs>
        <w:ind w:left="567" w:hanging="567"/>
        <w:rPr>
          <w:b/>
          <w:color w:val="244061" w:themeColor="accent1" w:themeShade="80"/>
          <w:sz w:val="28"/>
          <w:szCs w:val="23"/>
        </w:rPr>
      </w:pPr>
    </w:p>
    <w:p w14:paraId="1D91735D" w14:textId="632EA1CA" w:rsidR="00D03868" w:rsidRPr="00AB720F" w:rsidRDefault="00D03868" w:rsidP="00AB720F">
      <w:pPr>
        <w:pStyle w:val="Normalnumbered"/>
        <w:numPr>
          <w:ilvl w:val="0"/>
          <w:numId w:val="0"/>
        </w:numPr>
        <w:tabs>
          <w:tab w:val="num" w:pos="2160"/>
        </w:tabs>
        <w:ind w:left="567" w:hanging="567"/>
        <w:jc w:val="right"/>
        <w:rPr>
          <w:rFonts w:ascii="Arial" w:hAnsi="Arial" w:cs="Arial"/>
          <w:b/>
          <w:szCs w:val="23"/>
          <w:u w:val="single"/>
        </w:rPr>
      </w:pPr>
    </w:p>
    <w:tbl>
      <w:tblPr>
        <w:tblpPr w:leftFromText="180" w:rightFromText="180" w:vertAnchor="text" w:horzAnchor="margin" w:tblpY="152"/>
        <w:tblW w:w="5000" w:type="pct"/>
        <w:tblLook w:val="04A0" w:firstRow="1" w:lastRow="0" w:firstColumn="1" w:lastColumn="0" w:noHBand="0" w:noVBand="1"/>
        <w:tblCaption w:val="Appendix C - May 2012 vs Nov 2013 Reporting - ATSI students: Literacy"/>
        <w:tblDescription w:val="Data relating to May 2012 vs Nov 2013 Reporting - ATSI students: Literacy"/>
      </w:tblPr>
      <w:tblGrid>
        <w:gridCol w:w="220"/>
        <w:gridCol w:w="220"/>
        <w:gridCol w:w="799"/>
        <w:gridCol w:w="769"/>
        <w:gridCol w:w="800"/>
        <w:gridCol w:w="769"/>
        <w:gridCol w:w="800"/>
        <w:gridCol w:w="769"/>
        <w:gridCol w:w="800"/>
        <w:gridCol w:w="769"/>
        <w:gridCol w:w="800"/>
        <w:gridCol w:w="769"/>
        <w:gridCol w:w="800"/>
        <w:gridCol w:w="769"/>
      </w:tblGrid>
      <w:tr w:rsidR="00AB720F" w:rsidRPr="00254C36" w14:paraId="5306E4D9" w14:textId="77777777" w:rsidTr="00620352">
        <w:trPr>
          <w:trHeight w:val="529"/>
        </w:trPr>
        <w:tc>
          <w:tcPr>
            <w:tcW w:w="5000" w:type="pct"/>
            <w:gridSpan w:val="14"/>
            <w:tcBorders>
              <w:top w:val="nil"/>
              <w:left w:val="nil"/>
              <w:bottom w:val="nil"/>
              <w:right w:val="nil"/>
            </w:tcBorders>
            <w:shd w:val="clear" w:color="auto" w:fill="auto"/>
            <w:noWrap/>
            <w:vAlign w:val="bottom"/>
            <w:hideMark/>
          </w:tcPr>
          <w:p w14:paraId="70038B60" w14:textId="77777777" w:rsidR="00AB720F" w:rsidRPr="00254C36" w:rsidRDefault="00AB720F" w:rsidP="00620352">
            <w:pPr>
              <w:spacing w:after="0" w:line="240" w:lineRule="auto"/>
              <w:rPr>
                <w:rFonts w:eastAsia="Times New Roman" w:cs="Times New Roman"/>
                <w:color w:val="000000"/>
                <w:lang w:eastAsia="en-AU"/>
              </w:rPr>
            </w:pPr>
            <w:r w:rsidRPr="002C42CF">
              <w:rPr>
                <w:rFonts w:ascii="Corbel" w:eastAsia="Times New Roman" w:hAnsi="Corbel" w:cs="Times New Roman"/>
                <w:b/>
                <w:bCs/>
                <w:color w:val="244061" w:themeColor="accent1" w:themeShade="80"/>
                <w:sz w:val="32"/>
                <w:szCs w:val="28"/>
                <w:lang w:eastAsia="en-AU"/>
              </w:rPr>
              <w:t>May 2013 vs Nov 2013 Reporting –</w:t>
            </w:r>
            <w:r>
              <w:rPr>
                <w:rFonts w:ascii="Corbel" w:eastAsia="Times New Roman" w:hAnsi="Corbel" w:cs="Times New Roman"/>
                <w:b/>
                <w:bCs/>
                <w:color w:val="244061" w:themeColor="accent1" w:themeShade="80"/>
                <w:sz w:val="32"/>
                <w:szCs w:val="28"/>
                <w:lang w:eastAsia="en-AU"/>
              </w:rPr>
              <w:t xml:space="preserve"> ATSI Students: Literacy</w:t>
            </w:r>
          </w:p>
        </w:tc>
      </w:tr>
      <w:tr w:rsidR="00620352" w:rsidRPr="00254C36" w14:paraId="10CFB65A" w14:textId="77777777" w:rsidTr="00620352">
        <w:trPr>
          <w:trHeight w:val="57"/>
        </w:trPr>
        <w:tc>
          <w:tcPr>
            <w:tcW w:w="5000" w:type="pct"/>
            <w:gridSpan w:val="14"/>
            <w:tcBorders>
              <w:top w:val="nil"/>
              <w:left w:val="nil"/>
              <w:bottom w:val="nil"/>
              <w:right w:val="nil"/>
            </w:tcBorders>
            <w:shd w:val="clear" w:color="auto" w:fill="auto"/>
            <w:noWrap/>
            <w:vAlign w:val="bottom"/>
          </w:tcPr>
          <w:p w14:paraId="02E7C726" w14:textId="77777777" w:rsidR="00620352" w:rsidRPr="002C42CF" w:rsidRDefault="00620352" w:rsidP="00620352">
            <w:pPr>
              <w:spacing w:after="0" w:line="240" w:lineRule="auto"/>
              <w:rPr>
                <w:rFonts w:ascii="Corbel" w:eastAsia="Times New Roman" w:hAnsi="Corbel" w:cs="Times New Roman"/>
                <w:b/>
                <w:bCs/>
                <w:color w:val="244061" w:themeColor="accent1" w:themeShade="80"/>
                <w:sz w:val="32"/>
                <w:szCs w:val="28"/>
                <w:lang w:eastAsia="en-AU"/>
              </w:rPr>
            </w:pPr>
          </w:p>
        </w:tc>
      </w:tr>
      <w:tr w:rsidR="00AB720F" w:rsidRPr="00254C36" w14:paraId="13E3F9D1" w14:textId="77777777" w:rsidTr="00620352">
        <w:trPr>
          <w:trHeight w:val="628"/>
        </w:trPr>
        <w:tc>
          <w:tcPr>
            <w:tcW w:w="112" w:type="pct"/>
            <w:tcBorders>
              <w:top w:val="nil"/>
              <w:left w:val="nil"/>
              <w:bottom w:val="nil"/>
              <w:right w:val="nil"/>
            </w:tcBorders>
            <w:shd w:val="clear" w:color="auto" w:fill="auto"/>
            <w:noWrap/>
            <w:vAlign w:val="bottom"/>
            <w:hideMark/>
          </w:tcPr>
          <w:p w14:paraId="4A864627" w14:textId="77777777" w:rsidR="00AB720F" w:rsidRPr="00254C36" w:rsidRDefault="00AB720F" w:rsidP="00620352">
            <w:pPr>
              <w:spacing w:after="0" w:line="240" w:lineRule="auto"/>
              <w:rPr>
                <w:rFonts w:eastAsia="Times New Roman" w:cs="Times New Roman"/>
                <w:b/>
                <w:bCs/>
                <w:color w:val="000000"/>
                <w:sz w:val="20"/>
                <w:szCs w:val="20"/>
                <w:lang w:eastAsia="en-AU"/>
              </w:rPr>
            </w:pPr>
          </w:p>
        </w:tc>
        <w:tc>
          <w:tcPr>
            <w:tcW w:w="112" w:type="pct"/>
            <w:tcBorders>
              <w:top w:val="nil"/>
              <w:left w:val="nil"/>
              <w:bottom w:val="nil"/>
              <w:right w:val="nil"/>
            </w:tcBorders>
            <w:shd w:val="clear" w:color="auto" w:fill="auto"/>
            <w:noWrap/>
            <w:vAlign w:val="bottom"/>
            <w:hideMark/>
          </w:tcPr>
          <w:p w14:paraId="1C3E2089" w14:textId="77777777" w:rsidR="00AB720F" w:rsidRPr="00254C36" w:rsidRDefault="00AB720F" w:rsidP="00620352">
            <w:pPr>
              <w:spacing w:after="0" w:line="240" w:lineRule="auto"/>
              <w:rPr>
                <w:rFonts w:eastAsia="Times New Roman" w:cs="Times New Roman"/>
                <w:b/>
                <w:bCs/>
                <w:color w:val="000000"/>
                <w:sz w:val="20"/>
                <w:szCs w:val="20"/>
                <w:lang w:eastAsia="en-AU"/>
              </w:rPr>
            </w:pP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1672DD7F" w14:textId="77777777" w:rsidR="00AB720F" w:rsidRPr="00254C36" w:rsidRDefault="00AB720F" w:rsidP="00620352">
            <w:pPr>
              <w:spacing w:after="0" w:line="240" w:lineRule="auto"/>
              <w:jc w:val="center"/>
              <w:rPr>
                <w:rFonts w:eastAsia="Times New Roman" w:cs="Times New Roman"/>
                <w:b/>
                <w:bCs/>
                <w:color w:val="000000"/>
                <w:sz w:val="20"/>
                <w:szCs w:val="20"/>
                <w:lang w:eastAsia="en-AU"/>
              </w:rPr>
            </w:pPr>
            <w:r w:rsidRPr="00254C36">
              <w:rPr>
                <w:rFonts w:eastAsia="Times New Roman" w:cs="Times New Roman"/>
                <w:b/>
                <w:bCs/>
                <w:color w:val="000000"/>
                <w:sz w:val="20"/>
                <w:szCs w:val="20"/>
                <w:lang w:eastAsia="en-AU"/>
              </w:rPr>
              <w:t>No. of students at Well above expectation</w:t>
            </w: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4FA80DAE" w14:textId="77777777" w:rsidR="00AB720F" w:rsidRPr="00254C36" w:rsidRDefault="00AB720F" w:rsidP="00620352">
            <w:pPr>
              <w:spacing w:after="0" w:line="240" w:lineRule="auto"/>
              <w:jc w:val="center"/>
              <w:rPr>
                <w:rFonts w:eastAsia="Times New Roman" w:cs="Times New Roman"/>
                <w:b/>
                <w:bCs/>
                <w:color w:val="000000"/>
                <w:sz w:val="20"/>
                <w:szCs w:val="20"/>
                <w:lang w:eastAsia="en-AU"/>
              </w:rPr>
            </w:pPr>
            <w:r w:rsidRPr="00254C36">
              <w:rPr>
                <w:rFonts w:eastAsia="Times New Roman" w:cs="Times New Roman"/>
                <w:b/>
                <w:bCs/>
                <w:color w:val="000000"/>
                <w:sz w:val="20"/>
                <w:szCs w:val="20"/>
                <w:lang w:eastAsia="en-AU"/>
              </w:rPr>
              <w:t>No of students at Above expectation</w:t>
            </w: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7D219D0E" w14:textId="77777777" w:rsidR="00AB720F" w:rsidRPr="00254C36" w:rsidRDefault="00AB720F" w:rsidP="00620352">
            <w:pPr>
              <w:spacing w:after="0" w:line="240" w:lineRule="auto"/>
              <w:jc w:val="center"/>
              <w:rPr>
                <w:rFonts w:eastAsia="Times New Roman" w:cs="Times New Roman"/>
                <w:b/>
                <w:bCs/>
                <w:color w:val="000000"/>
                <w:sz w:val="20"/>
                <w:szCs w:val="20"/>
                <w:lang w:eastAsia="en-AU"/>
              </w:rPr>
            </w:pPr>
            <w:r w:rsidRPr="00254C36">
              <w:rPr>
                <w:rFonts w:eastAsia="Times New Roman" w:cs="Times New Roman"/>
                <w:b/>
                <w:bCs/>
                <w:color w:val="000000"/>
                <w:sz w:val="20"/>
                <w:szCs w:val="20"/>
                <w:lang w:eastAsia="en-AU"/>
              </w:rPr>
              <w:t>No. of students at Expectation</w:t>
            </w:r>
          </w:p>
        </w:tc>
        <w:tc>
          <w:tcPr>
            <w:tcW w:w="796" w:type="pct"/>
            <w:gridSpan w:val="2"/>
            <w:tcBorders>
              <w:top w:val="single" w:sz="8" w:space="0" w:color="auto"/>
              <w:left w:val="single" w:sz="8" w:space="0" w:color="auto"/>
              <w:bottom w:val="single" w:sz="4" w:space="0" w:color="auto"/>
              <w:right w:val="single" w:sz="4" w:space="0" w:color="auto"/>
            </w:tcBorders>
            <w:shd w:val="clear" w:color="000000" w:fill="FFFFFF"/>
            <w:vAlign w:val="center"/>
            <w:hideMark/>
          </w:tcPr>
          <w:p w14:paraId="0D9321EB" w14:textId="77777777" w:rsidR="00AB720F" w:rsidRPr="00254C36" w:rsidRDefault="00AB720F" w:rsidP="00620352">
            <w:pPr>
              <w:spacing w:after="0" w:line="240" w:lineRule="auto"/>
              <w:jc w:val="center"/>
              <w:rPr>
                <w:rFonts w:eastAsia="Times New Roman" w:cs="Times New Roman"/>
                <w:b/>
                <w:bCs/>
                <w:color w:val="000000"/>
                <w:sz w:val="20"/>
                <w:szCs w:val="20"/>
                <w:lang w:eastAsia="en-AU"/>
              </w:rPr>
            </w:pPr>
            <w:r w:rsidRPr="00254C36">
              <w:rPr>
                <w:rFonts w:eastAsia="Times New Roman" w:cs="Times New Roman"/>
                <w:b/>
                <w:bCs/>
                <w:color w:val="000000"/>
                <w:sz w:val="20"/>
                <w:szCs w:val="20"/>
                <w:lang w:eastAsia="en-AU"/>
              </w:rPr>
              <w:t>No of students at Below expectation</w:t>
            </w:r>
          </w:p>
        </w:tc>
        <w:tc>
          <w:tcPr>
            <w:tcW w:w="796" w:type="pct"/>
            <w:gridSpan w:val="2"/>
            <w:tcBorders>
              <w:top w:val="single" w:sz="8" w:space="0" w:color="auto"/>
              <w:left w:val="single" w:sz="8" w:space="0" w:color="auto"/>
              <w:bottom w:val="single" w:sz="4" w:space="0" w:color="auto"/>
              <w:right w:val="single" w:sz="8" w:space="0" w:color="000000"/>
            </w:tcBorders>
            <w:shd w:val="clear" w:color="000000" w:fill="FFFFFF"/>
            <w:vAlign w:val="center"/>
            <w:hideMark/>
          </w:tcPr>
          <w:p w14:paraId="6088E359" w14:textId="77777777" w:rsidR="00AB720F" w:rsidRPr="00254C36" w:rsidRDefault="00AB720F" w:rsidP="00620352">
            <w:pPr>
              <w:spacing w:after="0" w:line="240" w:lineRule="auto"/>
              <w:jc w:val="center"/>
              <w:rPr>
                <w:rFonts w:eastAsia="Times New Roman" w:cs="Times New Roman"/>
                <w:b/>
                <w:bCs/>
                <w:color w:val="000000"/>
                <w:sz w:val="20"/>
                <w:szCs w:val="20"/>
                <w:lang w:eastAsia="en-AU"/>
              </w:rPr>
            </w:pPr>
            <w:r w:rsidRPr="00254C36">
              <w:rPr>
                <w:rFonts w:eastAsia="Times New Roman" w:cs="Times New Roman"/>
                <w:b/>
                <w:bCs/>
                <w:color w:val="000000"/>
                <w:sz w:val="20"/>
                <w:szCs w:val="20"/>
                <w:lang w:eastAsia="en-AU"/>
              </w:rPr>
              <w:t>No. of students at Well below expectation</w:t>
            </w:r>
          </w:p>
        </w:tc>
        <w:tc>
          <w:tcPr>
            <w:tcW w:w="796" w:type="pct"/>
            <w:gridSpan w:val="2"/>
            <w:tcBorders>
              <w:top w:val="single" w:sz="8" w:space="0" w:color="auto"/>
              <w:left w:val="nil"/>
              <w:bottom w:val="single" w:sz="4" w:space="0" w:color="auto"/>
              <w:right w:val="single" w:sz="8" w:space="0" w:color="000000"/>
            </w:tcBorders>
            <w:shd w:val="clear" w:color="000000" w:fill="FFFFFF"/>
            <w:vAlign w:val="center"/>
            <w:hideMark/>
          </w:tcPr>
          <w:p w14:paraId="7E86C943" w14:textId="77777777" w:rsidR="00AB720F" w:rsidRPr="00254C36" w:rsidRDefault="00AB720F" w:rsidP="00620352">
            <w:pPr>
              <w:spacing w:after="0" w:line="240" w:lineRule="auto"/>
              <w:jc w:val="center"/>
              <w:rPr>
                <w:rFonts w:eastAsia="Times New Roman" w:cs="Times New Roman"/>
                <w:b/>
                <w:bCs/>
                <w:color w:val="000000"/>
                <w:sz w:val="20"/>
                <w:szCs w:val="20"/>
                <w:lang w:eastAsia="en-AU"/>
              </w:rPr>
            </w:pPr>
            <w:r w:rsidRPr="00254C36">
              <w:rPr>
                <w:rFonts w:eastAsia="Times New Roman" w:cs="Times New Roman"/>
                <w:b/>
                <w:bCs/>
                <w:color w:val="000000"/>
                <w:sz w:val="20"/>
                <w:szCs w:val="20"/>
                <w:lang w:eastAsia="en-AU"/>
              </w:rPr>
              <w:t>Totals</w:t>
            </w:r>
          </w:p>
        </w:tc>
      </w:tr>
      <w:tr w:rsidR="00AB720F" w:rsidRPr="00254C36" w14:paraId="73CA139A" w14:textId="77777777" w:rsidTr="00620352">
        <w:trPr>
          <w:trHeight w:val="246"/>
        </w:trPr>
        <w:tc>
          <w:tcPr>
            <w:tcW w:w="112" w:type="pct"/>
            <w:tcBorders>
              <w:top w:val="nil"/>
              <w:left w:val="nil"/>
              <w:bottom w:val="nil"/>
              <w:right w:val="nil"/>
            </w:tcBorders>
            <w:shd w:val="clear" w:color="auto" w:fill="auto"/>
            <w:noWrap/>
            <w:vAlign w:val="bottom"/>
            <w:hideMark/>
          </w:tcPr>
          <w:p w14:paraId="2BF37EC0" w14:textId="77777777" w:rsidR="00AB720F" w:rsidRPr="00254C36" w:rsidRDefault="00AB720F" w:rsidP="00620352">
            <w:pPr>
              <w:spacing w:after="0" w:line="240" w:lineRule="auto"/>
              <w:rPr>
                <w:rFonts w:eastAsia="Times New Roman" w:cs="Times New Roman"/>
                <w:color w:val="000000"/>
                <w:lang w:eastAsia="en-AU"/>
              </w:rPr>
            </w:pPr>
          </w:p>
        </w:tc>
        <w:tc>
          <w:tcPr>
            <w:tcW w:w="112" w:type="pct"/>
            <w:tcBorders>
              <w:top w:val="nil"/>
              <w:left w:val="nil"/>
              <w:bottom w:val="nil"/>
              <w:right w:val="nil"/>
            </w:tcBorders>
            <w:shd w:val="clear" w:color="auto" w:fill="auto"/>
            <w:noWrap/>
            <w:vAlign w:val="bottom"/>
            <w:hideMark/>
          </w:tcPr>
          <w:p w14:paraId="37524B97"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nil"/>
              <w:left w:val="single" w:sz="8" w:space="0" w:color="auto"/>
              <w:bottom w:val="single" w:sz="4" w:space="0" w:color="auto"/>
              <w:right w:val="single" w:sz="4" w:space="0" w:color="auto"/>
            </w:tcBorders>
            <w:shd w:val="clear" w:color="auto" w:fill="auto"/>
            <w:noWrap/>
            <w:vAlign w:val="bottom"/>
            <w:hideMark/>
          </w:tcPr>
          <w:p w14:paraId="6B2AB067"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5FBE435F"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212B7957"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1BDAD2AD"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34D1090C"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5254CECD"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1A8E6637"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May-13</w:t>
            </w:r>
          </w:p>
        </w:tc>
        <w:tc>
          <w:tcPr>
            <w:tcW w:w="390" w:type="pct"/>
            <w:tcBorders>
              <w:top w:val="nil"/>
              <w:left w:val="nil"/>
              <w:bottom w:val="single" w:sz="4" w:space="0" w:color="auto"/>
              <w:right w:val="single" w:sz="4" w:space="0" w:color="auto"/>
            </w:tcBorders>
            <w:shd w:val="clear" w:color="auto" w:fill="auto"/>
            <w:noWrap/>
            <w:vAlign w:val="bottom"/>
            <w:hideMark/>
          </w:tcPr>
          <w:p w14:paraId="63F41A5B"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Nov-13</w:t>
            </w:r>
          </w:p>
        </w:tc>
        <w:tc>
          <w:tcPr>
            <w:tcW w:w="406" w:type="pct"/>
            <w:tcBorders>
              <w:top w:val="nil"/>
              <w:left w:val="single" w:sz="8" w:space="0" w:color="auto"/>
              <w:bottom w:val="single" w:sz="4" w:space="0" w:color="auto"/>
              <w:right w:val="single" w:sz="4" w:space="0" w:color="auto"/>
            </w:tcBorders>
            <w:shd w:val="clear" w:color="auto" w:fill="auto"/>
            <w:noWrap/>
            <w:vAlign w:val="bottom"/>
            <w:hideMark/>
          </w:tcPr>
          <w:p w14:paraId="26A3EEC0"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May-13</w:t>
            </w:r>
          </w:p>
        </w:tc>
        <w:tc>
          <w:tcPr>
            <w:tcW w:w="390" w:type="pct"/>
            <w:tcBorders>
              <w:top w:val="nil"/>
              <w:left w:val="nil"/>
              <w:bottom w:val="single" w:sz="4" w:space="0" w:color="auto"/>
              <w:right w:val="single" w:sz="8" w:space="0" w:color="auto"/>
            </w:tcBorders>
            <w:shd w:val="clear" w:color="auto" w:fill="auto"/>
            <w:noWrap/>
            <w:vAlign w:val="bottom"/>
            <w:hideMark/>
          </w:tcPr>
          <w:p w14:paraId="7A0AFF7B"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Nov-13</w:t>
            </w:r>
          </w:p>
        </w:tc>
        <w:tc>
          <w:tcPr>
            <w:tcW w:w="406" w:type="pct"/>
            <w:tcBorders>
              <w:top w:val="nil"/>
              <w:left w:val="nil"/>
              <w:bottom w:val="single" w:sz="4" w:space="0" w:color="auto"/>
              <w:right w:val="single" w:sz="4" w:space="0" w:color="auto"/>
            </w:tcBorders>
            <w:shd w:val="clear" w:color="auto" w:fill="auto"/>
            <w:noWrap/>
            <w:vAlign w:val="bottom"/>
            <w:hideMark/>
          </w:tcPr>
          <w:p w14:paraId="12F819AE"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May-13</w:t>
            </w:r>
          </w:p>
        </w:tc>
        <w:tc>
          <w:tcPr>
            <w:tcW w:w="390" w:type="pct"/>
            <w:tcBorders>
              <w:top w:val="nil"/>
              <w:left w:val="nil"/>
              <w:bottom w:val="single" w:sz="4" w:space="0" w:color="auto"/>
              <w:right w:val="single" w:sz="8" w:space="0" w:color="auto"/>
            </w:tcBorders>
            <w:shd w:val="clear" w:color="auto" w:fill="auto"/>
            <w:noWrap/>
            <w:vAlign w:val="bottom"/>
            <w:hideMark/>
          </w:tcPr>
          <w:p w14:paraId="52FDF5C3" w14:textId="77777777" w:rsidR="00AB720F" w:rsidRPr="00254C36" w:rsidRDefault="00AB720F" w:rsidP="00620352">
            <w:pPr>
              <w:spacing w:after="0" w:line="240" w:lineRule="auto"/>
              <w:jc w:val="right"/>
              <w:rPr>
                <w:rFonts w:eastAsia="Times New Roman" w:cs="Times New Roman"/>
                <w:color w:val="000000"/>
                <w:lang w:eastAsia="en-AU"/>
              </w:rPr>
            </w:pPr>
            <w:r w:rsidRPr="00254C36">
              <w:rPr>
                <w:rFonts w:eastAsia="Times New Roman" w:cs="Times New Roman"/>
                <w:color w:val="000000"/>
                <w:lang w:eastAsia="en-AU"/>
              </w:rPr>
              <w:t>Nov-13</w:t>
            </w:r>
          </w:p>
        </w:tc>
      </w:tr>
      <w:tr w:rsidR="00AB720F" w:rsidRPr="00254C36" w14:paraId="16910CAE" w14:textId="77777777" w:rsidTr="00620352">
        <w:trPr>
          <w:trHeight w:val="246"/>
        </w:trPr>
        <w:tc>
          <w:tcPr>
            <w:tcW w:w="5000" w:type="pct"/>
            <w:gridSpan w:val="14"/>
            <w:tcBorders>
              <w:top w:val="nil"/>
              <w:left w:val="nil"/>
              <w:bottom w:val="nil"/>
              <w:right w:val="single" w:sz="8" w:space="0" w:color="000000"/>
            </w:tcBorders>
            <w:shd w:val="clear" w:color="000000" w:fill="BFBFBF"/>
            <w:noWrap/>
            <w:vAlign w:val="bottom"/>
            <w:hideMark/>
          </w:tcPr>
          <w:p w14:paraId="2A5EEC04" w14:textId="77777777" w:rsidR="00AB720F" w:rsidRPr="00254C36" w:rsidRDefault="00AB720F" w:rsidP="00620352">
            <w:pPr>
              <w:spacing w:after="0" w:line="240" w:lineRule="auto"/>
              <w:rPr>
                <w:rFonts w:eastAsia="Times New Roman" w:cs="Times New Roman"/>
                <w:b/>
                <w:bCs/>
                <w:color w:val="000000"/>
                <w:lang w:eastAsia="en-AU"/>
              </w:rPr>
            </w:pPr>
            <w:r w:rsidRPr="00254C36">
              <w:rPr>
                <w:rFonts w:eastAsia="Times New Roman" w:cs="Times New Roman"/>
                <w:b/>
                <w:bCs/>
                <w:color w:val="000000"/>
                <w:lang w:eastAsia="en-AU"/>
              </w:rPr>
              <w:t>Kindergarten</w:t>
            </w:r>
          </w:p>
        </w:tc>
      </w:tr>
      <w:tr w:rsidR="00AB720F" w:rsidRPr="00254C36" w14:paraId="409FFF1C" w14:textId="77777777" w:rsidTr="00620352">
        <w:trPr>
          <w:trHeight w:val="246"/>
        </w:trPr>
        <w:tc>
          <w:tcPr>
            <w:tcW w:w="112" w:type="pct"/>
            <w:tcBorders>
              <w:top w:val="nil"/>
              <w:left w:val="nil"/>
              <w:bottom w:val="nil"/>
              <w:right w:val="nil"/>
            </w:tcBorders>
            <w:shd w:val="clear" w:color="auto" w:fill="auto"/>
            <w:noWrap/>
            <w:vAlign w:val="bottom"/>
            <w:hideMark/>
          </w:tcPr>
          <w:p w14:paraId="55A01DAA"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7A9EF445"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F0E0263"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177E6B9B"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16</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67F2D267"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31</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697EA2FD"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51</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A3FC17E"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162</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3AEEC2B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139</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74B17678"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193</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571AC11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107</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86DA38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75</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612789FF"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77</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44E5E390"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465</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4257E2AE"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390</w:t>
            </w:r>
          </w:p>
        </w:tc>
      </w:tr>
      <w:tr w:rsidR="00AB720F" w:rsidRPr="00254C36" w14:paraId="2DD28B1F" w14:textId="77777777" w:rsidTr="00620352">
        <w:trPr>
          <w:trHeight w:val="246"/>
        </w:trPr>
        <w:tc>
          <w:tcPr>
            <w:tcW w:w="112" w:type="pct"/>
            <w:tcBorders>
              <w:top w:val="nil"/>
              <w:left w:val="nil"/>
              <w:bottom w:val="nil"/>
              <w:right w:val="nil"/>
            </w:tcBorders>
            <w:shd w:val="clear" w:color="auto" w:fill="auto"/>
            <w:noWrap/>
            <w:vAlign w:val="bottom"/>
            <w:hideMark/>
          </w:tcPr>
          <w:p w14:paraId="550A9D1A"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1339D6AC"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2CED515D"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w:t>
            </w:r>
          </w:p>
        </w:tc>
        <w:tc>
          <w:tcPr>
            <w:tcW w:w="390" w:type="pct"/>
            <w:tcBorders>
              <w:top w:val="nil"/>
              <w:left w:val="nil"/>
              <w:bottom w:val="single" w:sz="4" w:space="0" w:color="auto"/>
              <w:right w:val="single" w:sz="4" w:space="0" w:color="auto"/>
            </w:tcBorders>
            <w:shd w:val="clear" w:color="000000" w:fill="FDE9D9"/>
            <w:noWrap/>
            <w:vAlign w:val="bottom"/>
            <w:hideMark/>
          </w:tcPr>
          <w:p w14:paraId="27571E33"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w:t>
            </w:r>
          </w:p>
        </w:tc>
        <w:tc>
          <w:tcPr>
            <w:tcW w:w="406" w:type="pct"/>
            <w:tcBorders>
              <w:top w:val="nil"/>
              <w:left w:val="nil"/>
              <w:bottom w:val="single" w:sz="4" w:space="0" w:color="auto"/>
              <w:right w:val="single" w:sz="4" w:space="0" w:color="auto"/>
            </w:tcBorders>
            <w:shd w:val="clear" w:color="000000" w:fill="F2F2F2"/>
            <w:noWrap/>
            <w:vAlign w:val="bottom"/>
            <w:hideMark/>
          </w:tcPr>
          <w:p w14:paraId="542E53F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7%</w:t>
            </w:r>
          </w:p>
        </w:tc>
        <w:tc>
          <w:tcPr>
            <w:tcW w:w="390" w:type="pct"/>
            <w:tcBorders>
              <w:top w:val="nil"/>
              <w:left w:val="nil"/>
              <w:bottom w:val="single" w:sz="4" w:space="0" w:color="auto"/>
              <w:right w:val="single" w:sz="4" w:space="0" w:color="auto"/>
            </w:tcBorders>
            <w:shd w:val="clear" w:color="000000" w:fill="FDE9D9"/>
            <w:noWrap/>
            <w:vAlign w:val="bottom"/>
            <w:hideMark/>
          </w:tcPr>
          <w:p w14:paraId="1057B82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w:t>
            </w:r>
          </w:p>
        </w:tc>
        <w:tc>
          <w:tcPr>
            <w:tcW w:w="406" w:type="pct"/>
            <w:tcBorders>
              <w:top w:val="nil"/>
              <w:left w:val="nil"/>
              <w:bottom w:val="single" w:sz="4" w:space="0" w:color="auto"/>
              <w:right w:val="single" w:sz="4" w:space="0" w:color="auto"/>
            </w:tcBorders>
            <w:shd w:val="clear" w:color="000000" w:fill="F2F2F2"/>
            <w:noWrap/>
            <w:vAlign w:val="bottom"/>
            <w:hideMark/>
          </w:tcPr>
          <w:p w14:paraId="10402AA0"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35%</w:t>
            </w:r>
          </w:p>
        </w:tc>
        <w:tc>
          <w:tcPr>
            <w:tcW w:w="390" w:type="pct"/>
            <w:tcBorders>
              <w:top w:val="nil"/>
              <w:left w:val="nil"/>
              <w:bottom w:val="single" w:sz="4" w:space="0" w:color="auto"/>
              <w:right w:val="single" w:sz="4" w:space="0" w:color="auto"/>
            </w:tcBorders>
            <w:shd w:val="clear" w:color="000000" w:fill="FDE9D9"/>
            <w:noWrap/>
            <w:vAlign w:val="bottom"/>
            <w:hideMark/>
          </w:tcPr>
          <w:p w14:paraId="08B0050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36%</w:t>
            </w:r>
          </w:p>
        </w:tc>
        <w:tc>
          <w:tcPr>
            <w:tcW w:w="406" w:type="pct"/>
            <w:tcBorders>
              <w:top w:val="nil"/>
              <w:left w:val="nil"/>
              <w:bottom w:val="single" w:sz="4" w:space="0" w:color="auto"/>
              <w:right w:val="single" w:sz="4" w:space="0" w:color="auto"/>
            </w:tcBorders>
            <w:shd w:val="clear" w:color="000000" w:fill="F2F2F2"/>
            <w:noWrap/>
            <w:vAlign w:val="bottom"/>
            <w:hideMark/>
          </w:tcPr>
          <w:p w14:paraId="63BDD3A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42%</w:t>
            </w:r>
          </w:p>
        </w:tc>
        <w:tc>
          <w:tcPr>
            <w:tcW w:w="390" w:type="pct"/>
            <w:tcBorders>
              <w:top w:val="nil"/>
              <w:left w:val="nil"/>
              <w:bottom w:val="single" w:sz="4" w:space="0" w:color="auto"/>
              <w:right w:val="single" w:sz="4" w:space="0" w:color="auto"/>
            </w:tcBorders>
            <w:shd w:val="clear" w:color="000000" w:fill="FDE9D9"/>
            <w:noWrap/>
            <w:vAlign w:val="bottom"/>
            <w:hideMark/>
          </w:tcPr>
          <w:p w14:paraId="046CAB8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27%</w:t>
            </w:r>
          </w:p>
        </w:tc>
        <w:tc>
          <w:tcPr>
            <w:tcW w:w="406" w:type="pct"/>
            <w:tcBorders>
              <w:top w:val="nil"/>
              <w:left w:val="nil"/>
              <w:bottom w:val="single" w:sz="4" w:space="0" w:color="auto"/>
              <w:right w:val="single" w:sz="4" w:space="0" w:color="auto"/>
            </w:tcBorders>
            <w:shd w:val="clear" w:color="000000" w:fill="F2F2F2"/>
            <w:noWrap/>
            <w:vAlign w:val="bottom"/>
            <w:hideMark/>
          </w:tcPr>
          <w:p w14:paraId="57FCD39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16%</w:t>
            </w:r>
          </w:p>
        </w:tc>
        <w:tc>
          <w:tcPr>
            <w:tcW w:w="390" w:type="pct"/>
            <w:tcBorders>
              <w:top w:val="nil"/>
              <w:left w:val="nil"/>
              <w:bottom w:val="single" w:sz="4" w:space="0" w:color="auto"/>
              <w:right w:val="single" w:sz="4" w:space="0" w:color="auto"/>
            </w:tcBorders>
            <w:shd w:val="clear" w:color="000000" w:fill="FDE9D9"/>
            <w:noWrap/>
            <w:vAlign w:val="bottom"/>
            <w:hideMark/>
          </w:tcPr>
          <w:p w14:paraId="194E7CF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20%</w:t>
            </w:r>
          </w:p>
        </w:tc>
        <w:tc>
          <w:tcPr>
            <w:tcW w:w="406" w:type="pct"/>
            <w:tcBorders>
              <w:top w:val="nil"/>
              <w:left w:val="nil"/>
              <w:bottom w:val="single" w:sz="4" w:space="0" w:color="auto"/>
              <w:right w:val="single" w:sz="4" w:space="0" w:color="auto"/>
            </w:tcBorders>
            <w:shd w:val="clear" w:color="000000" w:fill="F2F2F2"/>
            <w:noWrap/>
            <w:vAlign w:val="bottom"/>
            <w:hideMark/>
          </w:tcPr>
          <w:p w14:paraId="731C9DD0"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2BDF3A76"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r>
      <w:tr w:rsidR="00AB720F" w:rsidRPr="00254C36" w14:paraId="293C9CBB" w14:textId="77777777" w:rsidTr="00620352">
        <w:trPr>
          <w:trHeight w:val="246"/>
        </w:trPr>
        <w:tc>
          <w:tcPr>
            <w:tcW w:w="5000" w:type="pct"/>
            <w:gridSpan w:val="14"/>
            <w:tcBorders>
              <w:top w:val="nil"/>
              <w:left w:val="nil"/>
              <w:bottom w:val="nil"/>
              <w:right w:val="single" w:sz="8" w:space="0" w:color="000000"/>
            </w:tcBorders>
            <w:shd w:val="clear" w:color="000000" w:fill="BFBFBF"/>
            <w:noWrap/>
            <w:vAlign w:val="bottom"/>
            <w:hideMark/>
          </w:tcPr>
          <w:p w14:paraId="012FFE54" w14:textId="77777777" w:rsidR="00AB720F" w:rsidRPr="00254C36" w:rsidRDefault="00AB720F" w:rsidP="00620352">
            <w:pPr>
              <w:spacing w:after="0" w:line="240" w:lineRule="auto"/>
              <w:rPr>
                <w:rFonts w:eastAsia="Times New Roman" w:cs="Times New Roman"/>
                <w:b/>
                <w:bCs/>
                <w:color w:val="000000"/>
                <w:lang w:eastAsia="en-AU"/>
              </w:rPr>
            </w:pPr>
            <w:r w:rsidRPr="00254C36">
              <w:rPr>
                <w:rFonts w:eastAsia="Times New Roman" w:cs="Times New Roman"/>
                <w:b/>
                <w:bCs/>
                <w:color w:val="000000"/>
                <w:lang w:eastAsia="en-AU"/>
              </w:rPr>
              <w:t>Year 1</w:t>
            </w:r>
          </w:p>
        </w:tc>
      </w:tr>
      <w:tr w:rsidR="00AB720F" w:rsidRPr="00254C36" w14:paraId="2EB19CFF" w14:textId="77777777" w:rsidTr="00620352">
        <w:trPr>
          <w:trHeight w:val="246"/>
        </w:trPr>
        <w:tc>
          <w:tcPr>
            <w:tcW w:w="112" w:type="pct"/>
            <w:tcBorders>
              <w:top w:val="nil"/>
              <w:left w:val="nil"/>
              <w:bottom w:val="nil"/>
              <w:right w:val="nil"/>
            </w:tcBorders>
            <w:shd w:val="clear" w:color="auto" w:fill="auto"/>
            <w:noWrap/>
            <w:vAlign w:val="bottom"/>
            <w:hideMark/>
          </w:tcPr>
          <w:p w14:paraId="15557EF7"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0BF47E39"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D9AFA2E"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11</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7D7C920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22</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2EFA506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66</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53EBA56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60</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234874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126</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04359C9D"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153</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7C5D7E7"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183</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1BF87A7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128</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267F980D"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130</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07F8FC9F"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83</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760027B1"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516</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7EFF9986"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446</w:t>
            </w:r>
          </w:p>
        </w:tc>
      </w:tr>
      <w:tr w:rsidR="00AB720F" w:rsidRPr="00254C36" w14:paraId="4BC46861" w14:textId="77777777" w:rsidTr="00620352">
        <w:trPr>
          <w:trHeight w:val="246"/>
        </w:trPr>
        <w:tc>
          <w:tcPr>
            <w:tcW w:w="112" w:type="pct"/>
            <w:tcBorders>
              <w:top w:val="nil"/>
              <w:left w:val="nil"/>
              <w:bottom w:val="nil"/>
              <w:right w:val="nil"/>
            </w:tcBorders>
            <w:shd w:val="clear" w:color="auto" w:fill="auto"/>
            <w:noWrap/>
            <w:vAlign w:val="bottom"/>
            <w:hideMark/>
          </w:tcPr>
          <w:p w14:paraId="6EE0AB17"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3C1083FF"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60A4A42D"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w:t>
            </w:r>
          </w:p>
        </w:tc>
        <w:tc>
          <w:tcPr>
            <w:tcW w:w="390" w:type="pct"/>
            <w:tcBorders>
              <w:top w:val="nil"/>
              <w:left w:val="nil"/>
              <w:bottom w:val="single" w:sz="4" w:space="0" w:color="auto"/>
              <w:right w:val="single" w:sz="4" w:space="0" w:color="auto"/>
            </w:tcBorders>
            <w:shd w:val="clear" w:color="000000" w:fill="FDE9D9"/>
            <w:noWrap/>
            <w:vAlign w:val="bottom"/>
            <w:hideMark/>
          </w:tcPr>
          <w:p w14:paraId="273B4AAF"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5%</w:t>
            </w:r>
          </w:p>
        </w:tc>
        <w:tc>
          <w:tcPr>
            <w:tcW w:w="406" w:type="pct"/>
            <w:tcBorders>
              <w:top w:val="nil"/>
              <w:left w:val="nil"/>
              <w:bottom w:val="single" w:sz="4" w:space="0" w:color="auto"/>
              <w:right w:val="single" w:sz="4" w:space="0" w:color="auto"/>
            </w:tcBorders>
            <w:shd w:val="clear" w:color="000000" w:fill="F2F2F2"/>
            <w:noWrap/>
            <w:vAlign w:val="bottom"/>
            <w:hideMark/>
          </w:tcPr>
          <w:p w14:paraId="28ACEA7A"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w:t>
            </w:r>
          </w:p>
        </w:tc>
        <w:tc>
          <w:tcPr>
            <w:tcW w:w="390" w:type="pct"/>
            <w:tcBorders>
              <w:top w:val="nil"/>
              <w:left w:val="nil"/>
              <w:bottom w:val="single" w:sz="4" w:space="0" w:color="auto"/>
              <w:right w:val="single" w:sz="4" w:space="0" w:color="auto"/>
            </w:tcBorders>
            <w:shd w:val="clear" w:color="000000" w:fill="FDE9D9"/>
            <w:noWrap/>
            <w:vAlign w:val="bottom"/>
            <w:hideMark/>
          </w:tcPr>
          <w:p w14:paraId="0CAC081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w:t>
            </w:r>
          </w:p>
        </w:tc>
        <w:tc>
          <w:tcPr>
            <w:tcW w:w="406" w:type="pct"/>
            <w:tcBorders>
              <w:top w:val="nil"/>
              <w:left w:val="nil"/>
              <w:bottom w:val="single" w:sz="4" w:space="0" w:color="auto"/>
              <w:right w:val="single" w:sz="4" w:space="0" w:color="auto"/>
            </w:tcBorders>
            <w:shd w:val="clear" w:color="000000" w:fill="F2F2F2"/>
            <w:noWrap/>
            <w:vAlign w:val="bottom"/>
            <w:hideMark/>
          </w:tcPr>
          <w:p w14:paraId="3EBE1B10"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24%</w:t>
            </w:r>
          </w:p>
        </w:tc>
        <w:tc>
          <w:tcPr>
            <w:tcW w:w="390" w:type="pct"/>
            <w:tcBorders>
              <w:top w:val="nil"/>
              <w:left w:val="nil"/>
              <w:bottom w:val="single" w:sz="4" w:space="0" w:color="auto"/>
              <w:right w:val="single" w:sz="4" w:space="0" w:color="auto"/>
            </w:tcBorders>
            <w:shd w:val="clear" w:color="000000" w:fill="FDE9D9"/>
            <w:noWrap/>
            <w:vAlign w:val="bottom"/>
            <w:hideMark/>
          </w:tcPr>
          <w:p w14:paraId="1E21191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34%</w:t>
            </w:r>
          </w:p>
        </w:tc>
        <w:tc>
          <w:tcPr>
            <w:tcW w:w="406" w:type="pct"/>
            <w:tcBorders>
              <w:top w:val="nil"/>
              <w:left w:val="nil"/>
              <w:bottom w:val="single" w:sz="4" w:space="0" w:color="auto"/>
              <w:right w:val="single" w:sz="4" w:space="0" w:color="auto"/>
            </w:tcBorders>
            <w:shd w:val="clear" w:color="000000" w:fill="F2F2F2"/>
            <w:noWrap/>
            <w:vAlign w:val="bottom"/>
            <w:hideMark/>
          </w:tcPr>
          <w:p w14:paraId="76CB7C5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35%</w:t>
            </w:r>
          </w:p>
        </w:tc>
        <w:tc>
          <w:tcPr>
            <w:tcW w:w="390" w:type="pct"/>
            <w:tcBorders>
              <w:top w:val="nil"/>
              <w:left w:val="nil"/>
              <w:bottom w:val="single" w:sz="4" w:space="0" w:color="auto"/>
              <w:right w:val="single" w:sz="4" w:space="0" w:color="auto"/>
            </w:tcBorders>
            <w:shd w:val="clear" w:color="000000" w:fill="FDE9D9"/>
            <w:noWrap/>
            <w:vAlign w:val="bottom"/>
            <w:hideMark/>
          </w:tcPr>
          <w:p w14:paraId="776ED7CB"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29%</w:t>
            </w:r>
          </w:p>
        </w:tc>
        <w:tc>
          <w:tcPr>
            <w:tcW w:w="406" w:type="pct"/>
            <w:tcBorders>
              <w:top w:val="nil"/>
              <w:left w:val="nil"/>
              <w:bottom w:val="single" w:sz="4" w:space="0" w:color="auto"/>
              <w:right w:val="single" w:sz="4" w:space="0" w:color="auto"/>
            </w:tcBorders>
            <w:shd w:val="clear" w:color="000000" w:fill="F2F2F2"/>
            <w:noWrap/>
            <w:vAlign w:val="bottom"/>
            <w:hideMark/>
          </w:tcPr>
          <w:p w14:paraId="7259890B"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25%</w:t>
            </w:r>
          </w:p>
        </w:tc>
        <w:tc>
          <w:tcPr>
            <w:tcW w:w="390" w:type="pct"/>
            <w:tcBorders>
              <w:top w:val="nil"/>
              <w:left w:val="nil"/>
              <w:bottom w:val="single" w:sz="4" w:space="0" w:color="auto"/>
              <w:right w:val="single" w:sz="4" w:space="0" w:color="auto"/>
            </w:tcBorders>
            <w:shd w:val="clear" w:color="000000" w:fill="FDE9D9"/>
            <w:noWrap/>
            <w:vAlign w:val="bottom"/>
            <w:hideMark/>
          </w:tcPr>
          <w:p w14:paraId="6FEB6667"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19%</w:t>
            </w:r>
          </w:p>
        </w:tc>
        <w:tc>
          <w:tcPr>
            <w:tcW w:w="406" w:type="pct"/>
            <w:tcBorders>
              <w:top w:val="nil"/>
              <w:left w:val="nil"/>
              <w:bottom w:val="single" w:sz="4" w:space="0" w:color="auto"/>
              <w:right w:val="single" w:sz="4" w:space="0" w:color="auto"/>
            </w:tcBorders>
            <w:shd w:val="clear" w:color="000000" w:fill="F2F2F2"/>
            <w:noWrap/>
            <w:vAlign w:val="bottom"/>
            <w:hideMark/>
          </w:tcPr>
          <w:p w14:paraId="34C45D8D"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6C45C5DC"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r>
      <w:tr w:rsidR="00AB720F" w:rsidRPr="00254C36" w14:paraId="1D13D486" w14:textId="77777777" w:rsidTr="00620352">
        <w:trPr>
          <w:trHeight w:val="246"/>
        </w:trPr>
        <w:tc>
          <w:tcPr>
            <w:tcW w:w="5000" w:type="pct"/>
            <w:gridSpan w:val="14"/>
            <w:tcBorders>
              <w:top w:val="nil"/>
              <w:left w:val="nil"/>
              <w:bottom w:val="nil"/>
              <w:right w:val="single" w:sz="8" w:space="0" w:color="000000"/>
            </w:tcBorders>
            <w:shd w:val="clear" w:color="000000" w:fill="BFBFBF"/>
            <w:noWrap/>
            <w:vAlign w:val="bottom"/>
            <w:hideMark/>
          </w:tcPr>
          <w:p w14:paraId="48E53AF6" w14:textId="77777777" w:rsidR="00AB720F" w:rsidRPr="00254C36" w:rsidRDefault="00AB720F" w:rsidP="00620352">
            <w:pPr>
              <w:spacing w:after="0" w:line="240" w:lineRule="auto"/>
              <w:rPr>
                <w:rFonts w:eastAsia="Times New Roman" w:cs="Times New Roman"/>
                <w:b/>
                <w:bCs/>
                <w:color w:val="000000"/>
                <w:lang w:eastAsia="en-AU"/>
              </w:rPr>
            </w:pPr>
            <w:r w:rsidRPr="00254C36">
              <w:rPr>
                <w:rFonts w:eastAsia="Times New Roman" w:cs="Times New Roman"/>
                <w:b/>
                <w:bCs/>
                <w:color w:val="000000"/>
                <w:lang w:eastAsia="en-AU"/>
              </w:rPr>
              <w:t>Year 2</w:t>
            </w:r>
          </w:p>
        </w:tc>
      </w:tr>
      <w:tr w:rsidR="00AB720F" w:rsidRPr="00254C36" w14:paraId="46058AA2" w14:textId="77777777" w:rsidTr="00620352">
        <w:trPr>
          <w:trHeight w:val="246"/>
        </w:trPr>
        <w:tc>
          <w:tcPr>
            <w:tcW w:w="112" w:type="pct"/>
            <w:tcBorders>
              <w:top w:val="nil"/>
              <w:left w:val="nil"/>
              <w:bottom w:val="nil"/>
              <w:right w:val="nil"/>
            </w:tcBorders>
            <w:shd w:val="clear" w:color="auto" w:fill="auto"/>
            <w:noWrap/>
            <w:vAlign w:val="bottom"/>
            <w:hideMark/>
          </w:tcPr>
          <w:p w14:paraId="1CCCD466"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78FD1DF9"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2173E04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756EEEC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12</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BCA7DD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43</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62497FC8"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41</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8B8191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101</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09A73D6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109</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6FEA8AA7"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127</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13D60F6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113</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61970BB"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167</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6906840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134</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A0324E8"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451</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25ABAC81"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409</w:t>
            </w:r>
          </w:p>
        </w:tc>
      </w:tr>
      <w:tr w:rsidR="00AB720F" w:rsidRPr="00254C36" w14:paraId="58585D1A" w14:textId="77777777" w:rsidTr="00620352">
        <w:trPr>
          <w:trHeight w:val="246"/>
        </w:trPr>
        <w:tc>
          <w:tcPr>
            <w:tcW w:w="112" w:type="pct"/>
            <w:tcBorders>
              <w:top w:val="nil"/>
              <w:left w:val="nil"/>
              <w:bottom w:val="nil"/>
              <w:right w:val="nil"/>
            </w:tcBorders>
            <w:shd w:val="clear" w:color="auto" w:fill="auto"/>
            <w:noWrap/>
            <w:vAlign w:val="bottom"/>
            <w:hideMark/>
          </w:tcPr>
          <w:p w14:paraId="5DA4446A"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01E16F01"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406C1A5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w:t>
            </w:r>
          </w:p>
        </w:tc>
        <w:tc>
          <w:tcPr>
            <w:tcW w:w="390" w:type="pct"/>
            <w:tcBorders>
              <w:top w:val="nil"/>
              <w:left w:val="nil"/>
              <w:bottom w:val="single" w:sz="4" w:space="0" w:color="auto"/>
              <w:right w:val="single" w:sz="4" w:space="0" w:color="auto"/>
            </w:tcBorders>
            <w:shd w:val="clear" w:color="000000" w:fill="FDE9D9"/>
            <w:noWrap/>
            <w:vAlign w:val="bottom"/>
            <w:hideMark/>
          </w:tcPr>
          <w:p w14:paraId="0E3B05BA"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w:t>
            </w:r>
          </w:p>
        </w:tc>
        <w:tc>
          <w:tcPr>
            <w:tcW w:w="406" w:type="pct"/>
            <w:tcBorders>
              <w:top w:val="nil"/>
              <w:left w:val="nil"/>
              <w:bottom w:val="single" w:sz="4" w:space="0" w:color="auto"/>
              <w:right w:val="single" w:sz="4" w:space="0" w:color="auto"/>
            </w:tcBorders>
            <w:shd w:val="clear" w:color="000000" w:fill="F2F2F2"/>
            <w:noWrap/>
            <w:vAlign w:val="bottom"/>
            <w:hideMark/>
          </w:tcPr>
          <w:p w14:paraId="095768B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w:t>
            </w:r>
          </w:p>
        </w:tc>
        <w:tc>
          <w:tcPr>
            <w:tcW w:w="390" w:type="pct"/>
            <w:tcBorders>
              <w:top w:val="nil"/>
              <w:left w:val="nil"/>
              <w:bottom w:val="single" w:sz="4" w:space="0" w:color="auto"/>
              <w:right w:val="single" w:sz="4" w:space="0" w:color="auto"/>
            </w:tcBorders>
            <w:shd w:val="clear" w:color="000000" w:fill="FDE9D9"/>
            <w:noWrap/>
            <w:vAlign w:val="bottom"/>
            <w:hideMark/>
          </w:tcPr>
          <w:p w14:paraId="79582A03"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w:t>
            </w:r>
          </w:p>
        </w:tc>
        <w:tc>
          <w:tcPr>
            <w:tcW w:w="406" w:type="pct"/>
            <w:tcBorders>
              <w:top w:val="nil"/>
              <w:left w:val="nil"/>
              <w:bottom w:val="single" w:sz="4" w:space="0" w:color="auto"/>
              <w:right w:val="single" w:sz="4" w:space="0" w:color="auto"/>
            </w:tcBorders>
            <w:shd w:val="clear" w:color="000000" w:fill="F2F2F2"/>
            <w:noWrap/>
            <w:vAlign w:val="bottom"/>
            <w:hideMark/>
          </w:tcPr>
          <w:p w14:paraId="46509B84"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22%</w:t>
            </w:r>
          </w:p>
        </w:tc>
        <w:tc>
          <w:tcPr>
            <w:tcW w:w="390" w:type="pct"/>
            <w:tcBorders>
              <w:top w:val="nil"/>
              <w:left w:val="nil"/>
              <w:bottom w:val="single" w:sz="4" w:space="0" w:color="auto"/>
              <w:right w:val="single" w:sz="4" w:space="0" w:color="auto"/>
            </w:tcBorders>
            <w:shd w:val="clear" w:color="000000" w:fill="FDE9D9"/>
            <w:noWrap/>
            <w:vAlign w:val="bottom"/>
            <w:hideMark/>
          </w:tcPr>
          <w:p w14:paraId="1D6AFC7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27%</w:t>
            </w:r>
          </w:p>
        </w:tc>
        <w:tc>
          <w:tcPr>
            <w:tcW w:w="406" w:type="pct"/>
            <w:tcBorders>
              <w:top w:val="nil"/>
              <w:left w:val="nil"/>
              <w:bottom w:val="single" w:sz="4" w:space="0" w:color="auto"/>
              <w:right w:val="single" w:sz="4" w:space="0" w:color="auto"/>
            </w:tcBorders>
            <w:shd w:val="clear" w:color="000000" w:fill="F2F2F2"/>
            <w:noWrap/>
            <w:vAlign w:val="bottom"/>
            <w:hideMark/>
          </w:tcPr>
          <w:p w14:paraId="2C64D93F"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28%</w:t>
            </w:r>
          </w:p>
        </w:tc>
        <w:tc>
          <w:tcPr>
            <w:tcW w:w="390" w:type="pct"/>
            <w:tcBorders>
              <w:top w:val="nil"/>
              <w:left w:val="nil"/>
              <w:bottom w:val="single" w:sz="4" w:space="0" w:color="auto"/>
              <w:right w:val="single" w:sz="4" w:space="0" w:color="auto"/>
            </w:tcBorders>
            <w:shd w:val="clear" w:color="000000" w:fill="FDE9D9"/>
            <w:noWrap/>
            <w:vAlign w:val="bottom"/>
            <w:hideMark/>
          </w:tcPr>
          <w:p w14:paraId="33EF0234"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28%</w:t>
            </w:r>
          </w:p>
        </w:tc>
        <w:tc>
          <w:tcPr>
            <w:tcW w:w="406" w:type="pct"/>
            <w:tcBorders>
              <w:top w:val="nil"/>
              <w:left w:val="nil"/>
              <w:bottom w:val="single" w:sz="4" w:space="0" w:color="auto"/>
              <w:right w:val="single" w:sz="4" w:space="0" w:color="auto"/>
            </w:tcBorders>
            <w:shd w:val="clear" w:color="000000" w:fill="F2F2F2"/>
            <w:noWrap/>
            <w:vAlign w:val="bottom"/>
            <w:hideMark/>
          </w:tcPr>
          <w:p w14:paraId="7334673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37%</w:t>
            </w:r>
          </w:p>
        </w:tc>
        <w:tc>
          <w:tcPr>
            <w:tcW w:w="390" w:type="pct"/>
            <w:tcBorders>
              <w:top w:val="nil"/>
              <w:left w:val="nil"/>
              <w:bottom w:val="single" w:sz="4" w:space="0" w:color="auto"/>
              <w:right w:val="single" w:sz="4" w:space="0" w:color="auto"/>
            </w:tcBorders>
            <w:shd w:val="clear" w:color="000000" w:fill="FDE9D9"/>
            <w:noWrap/>
            <w:vAlign w:val="bottom"/>
            <w:hideMark/>
          </w:tcPr>
          <w:p w14:paraId="3C67CEFE"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33%</w:t>
            </w:r>
          </w:p>
        </w:tc>
        <w:tc>
          <w:tcPr>
            <w:tcW w:w="406" w:type="pct"/>
            <w:tcBorders>
              <w:top w:val="nil"/>
              <w:left w:val="nil"/>
              <w:bottom w:val="single" w:sz="4" w:space="0" w:color="auto"/>
              <w:right w:val="single" w:sz="4" w:space="0" w:color="auto"/>
            </w:tcBorders>
            <w:shd w:val="clear" w:color="000000" w:fill="F2F2F2"/>
            <w:noWrap/>
            <w:vAlign w:val="bottom"/>
            <w:hideMark/>
          </w:tcPr>
          <w:p w14:paraId="757CBA6A"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4D087409"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r>
      <w:tr w:rsidR="00AB720F" w:rsidRPr="00254C36" w14:paraId="6B65B51C" w14:textId="77777777" w:rsidTr="00620352">
        <w:trPr>
          <w:trHeight w:val="246"/>
        </w:trPr>
        <w:tc>
          <w:tcPr>
            <w:tcW w:w="5000" w:type="pct"/>
            <w:gridSpan w:val="14"/>
            <w:tcBorders>
              <w:top w:val="nil"/>
              <w:left w:val="nil"/>
              <w:bottom w:val="nil"/>
              <w:right w:val="single" w:sz="8" w:space="0" w:color="000000"/>
            </w:tcBorders>
            <w:shd w:val="clear" w:color="000000" w:fill="BFBFBF"/>
            <w:noWrap/>
            <w:vAlign w:val="bottom"/>
            <w:hideMark/>
          </w:tcPr>
          <w:p w14:paraId="50F8947F" w14:textId="77777777" w:rsidR="00AB720F" w:rsidRPr="00254C36" w:rsidRDefault="00AB720F" w:rsidP="00620352">
            <w:pPr>
              <w:spacing w:after="0" w:line="240" w:lineRule="auto"/>
              <w:rPr>
                <w:rFonts w:eastAsia="Times New Roman" w:cs="Times New Roman"/>
                <w:b/>
                <w:bCs/>
                <w:color w:val="000000"/>
                <w:lang w:eastAsia="en-AU"/>
              </w:rPr>
            </w:pPr>
            <w:r w:rsidRPr="00254C36">
              <w:rPr>
                <w:rFonts w:eastAsia="Times New Roman" w:cs="Times New Roman"/>
                <w:b/>
                <w:bCs/>
                <w:color w:val="000000"/>
                <w:lang w:eastAsia="en-AU"/>
              </w:rPr>
              <w:t>Year 3</w:t>
            </w:r>
          </w:p>
        </w:tc>
      </w:tr>
      <w:tr w:rsidR="00AB720F" w:rsidRPr="00254C36" w14:paraId="7D675DC7" w14:textId="77777777" w:rsidTr="00620352">
        <w:trPr>
          <w:trHeight w:val="246"/>
        </w:trPr>
        <w:tc>
          <w:tcPr>
            <w:tcW w:w="112" w:type="pct"/>
            <w:tcBorders>
              <w:top w:val="nil"/>
              <w:left w:val="nil"/>
              <w:bottom w:val="nil"/>
              <w:right w:val="nil"/>
            </w:tcBorders>
            <w:shd w:val="clear" w:color="auto" w:fill="auto"/>
            <w:noWrap/>
            <w:vAlign w:val="bottom"/>
            <w:hideMark/>
          </w:tcPr>
          <w:p w14:paraId="37E1DF5F"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6F42FE13"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781A1270"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1B42567D"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12</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5AFCC05E"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24</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2D6CB083"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33</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DBC6DAD"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105</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00C868C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123</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236784F7"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127</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5564AAD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130</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1FA8E14"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188</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54294538"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113</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4E5158C6"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454</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21C77F32"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411</w:t>
            </w:r>
          </w:p>
        </w:tc>
      </w:tr>
      <w:tr w:rsidR="00AB720F" w:rsidRPr="00254C36" w14:paraId="014D49AD" w14:textId="77777777" w:rsidTr="00620352">
        <w:trPr>
          <w:trHeight w:val="246"/>
        </w:trPr>
        <w:tc>
          <w:tcPr>
            <w:tcW w:w="112" w:type="pct"/>
            <w:tcBorders>
              <w:top w:val="nil"/>
              <w:left w:val="nil"/>
              <w:bottom w:val="nil"/>
              <w:right w:val="nil"/>
            </w:tcBorders>
            <w:shd w:val="clear" w:color="auto" w:fill="auto"/>
            <w:noWrap/>
            <w:vAlign w:val="bottom"/>
            <w:hideMark/>
          </w:tcPr>
          <w:p w14:paraId="0185997A"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7D5D8C4C"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08DC3B8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w:t>
            </w:r>
          </w:p>
        </w:tc>
        <w:tc>
          <w:tcPr>
            <w:tcW w:w="390" w:type="pct"/>
            <w:tcBorders>
              <w:top w:val="nil"/>
              <w:left w:val="nil"/>
              <w:bottom w:val="single" w:sz="4" w:space="0" w:color="auto"/>
              <w:right w:val="single" w:sz="4" w:space="0" w:color="auto"/>
            </w:tcBorders>
            <w:shd w:val="clear" w:color="000000" w:fill="FDE9D9"/>
            <w:noWrap/>
            <w:vAlign w:val="bottom"/>
            <w:hideMark/>
          </w:tcPr>
          <w:p w14:paraId="03E5132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w:t>
            </w:r>
          </w:p>
        </w:tc>
        <w:tc>
          <w:tcPr>
            <w:tcW w:w="406" w:type="pct"/>
            <w:tcBorders>
              <w:top w:val="nil"/>
              <w:left w:val="nil"/>
              <w:bottom w:val="single" w:sz="4" w:space="0" w:color="auto"/>
              <w:right w:val="single" w:sz="4" w:space="0" w:color="auto"/>
            </w:tcBorders>
            <w:shd w:val="clear" w:color="000000" w:fill="F2F2F2"/>
            <w:noWrap/>
            <w:vAlign w:val="bottom"/>
            <w:hideMark/>
          </w:tcPr>
          <w:p w14:paraId="061C4F8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5%</w:t>
            </w:r>
          </w:p>
        </w:tc>
        <w:tc>
          <w:tcPr>
            <w:tcW w:w="390" w:type="pct"/>
            <w:tcBorders>
              <w:top w:val="nil"/>
              <w:left w:val="nil"/>
              <w:bottom w:val="single" w:sz="4" w:space="0" w:color="auto"/>
              <w:right w:val="single" w:sz="4" w:space="0" w:color="auto"/>
            </w:tcBorders>
            <w:shd w:val="clear" w:color="000000" w:fill="FDE9D9"/>
            <w:noWrap/>
            <w:vAlign w:val="bottom"/>
            <w:hideMark/>
          </w:tcPr>
          <w:p w14:paraId="0722D24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8%</w:t>
            </w:r>
          </w:p>
        </w:tc>
        <w:tc>
          <w:tcPr>
            <w:tcW w:w="406" w:type="pct"/>
            <w:tcBorders>
              <w:top w:val="nil"/>
              <w:left w:val="nil"/>
              <w:bottom w:val="single" w:sz="4" w:space="0" w:color="auto"/>
              <w:right w:val="single" w:sz="4" w:space="0" w:color="auto"/>
            </w:tcBorders>
            <w:shd w:val="clear" w:color="000000" w:fill="F2F2F2"/>
            <w:noWrap/>
            <w:vAlign w:val="bottom"/>
            <w:hideMark/>
          </w:tcPr>
          <w:p w14:paraId="5DE962B4"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23%</w:t>
            </w:r>
          </w:p>
        </w:tc>
        <w:tc>
          <w:tcPr>
            <w:tcW w:w="390" w:type="pct"/>
            <w:tcBorders>
              <w:top w:val="nil"/>
              <w:left w:val="nil"/>
              <w:bottom w:val="single" w:sz="4" w:space="0" w:color="auto"/>
              <w:right w:val="single" w:sz="4" w:space="0" w:color="auto"/>
            </w:tcBorders>
            <w:shd w:val="clear" w:color="000000" w:fill="FDE9D9"/>
            <w:noWrap/>
            <w:vAlign w:val="bottom"/>
            <w:hideMark/>
          </w:tcPr>
          <w:p w14:paraId="5D7C71B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30%</w:t>
            </w:r>
          </w:p>
        </w:tc>
        <w:tc>
          <w:tcPr>
            <w:tcW w:w="406" w:type="pct"/>
            <w:tcBorders>
              <w:top w:val="nil"/>
              <w:left w:val="nil"/>
              <w:bottom w:val="single" w:sz="4" w:space="0" w:color="auto"/>
              <w:right w:val="single" w:sz="4" w:space="0" w:color="auto"/>
            </w:tcBorders>
            <w:shd w:val="clear" w:color="000000" w:fill="F2F2F2"/>
            <w:noWrap/>
            <w:vAlign w:val="bottom"/>
            <w:hideMark/>
          </w:tcPr>
          <w:p w14:paraId="0A23BA5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28%</w:t>
            </w:r>
          </w:p>
        </w:tc>
        <w:tc>
          <w:tcPr>
            <w:tcW w:w="390" w:type="pct"/>
            <w:tcBorders>
              <w:top w:val="nil"/>
              <w:left w:val="nil"/>
              <w:bottom w:val="single" w:sz="4" w:space="0" w:color="auto"/>
              <w:right w:val="single" w:sz="4" w:space="0" w:color="auto"/>
            </w:tcBorders>
            <w:shd w:val="clear" w:color="000000" w:fill="FDE9D9"/>
            <w:noWrap/>
            <w:vAlign w:val="bottom"/>
            <w:hideMark/>
          </w:tcPr>
          <w:p w14:paraId="17B0B0A4"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32%</w:t>
            </w:r>
          </w:p>
        </w:tc>
        <w:tc>
          <w:tcPr>
            <w:tcW w:w="406" w:type="pct"/>
            <w:tcBorders>
              <w:top w:val="nil"/>
              <w:left w:val="nil"/>
              <w:bottom w:val="single" w:sz="4" w:space="0" w:color="auto"/>
              <w:right w:val="single" w:sz="4" w:space="0" w:color="auto"/>
            </w:tcBorders>
            <w:shd w:val="clear" w:color="000000" w:fill="F2F2F2"/>
            <w:noWrap/>
            <w:vAlign w:val="bottom"/>
            <w:hideMark/>
          </w:tcPr>
          <w:p w14:paraId="707541EA"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41%</w:t>
            </w:r>
          </w:p>
        </w:tc>
        <w:tc>
          <w:tcPr>
            <w:tcW w:w="390" w:type="pct"/>
            <w:tcBorders>
              <w:top w:val="nil"/>
              <w:left w:val="nil"/>
              <w:bottom w:val="single" w:sz="4" w:space="0" w:color="auto"/>
              <w:right w:val="single" w:sz="4" w:space="0" w:color="auto"/>
            </w:tcBorders>
            <w:shd w:val="clear" w:color="000000" w:fill="FDE9D9"/>
            <w:noWrap/>
            <w:vAlign w:val="bottom"/>
            <w:hideMark/>
          </w:tcPr>
          <w:p w14:paraId="5D6EB30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27%</w:t>
            </w:r>
          </w:p>
        </w:tc>
        <w:tc>
          <w:tcPr>
            <w:tcW w:w="406" w:type="pct"/>
            <w:tcBorders>
              <w:top w:val="nil"/>
              <w:left w:val="nil"/>
              <w:bottom w:val="single" w:sz="4" w:space="0" w:color="auto"/>
              <w:right w:val="single" w:sz="4" w:space="0" w:color="auto"/>
            </w:tcBorders>
            <w:shd w:val="clear" w:color="000000" w:fill="F2F2F2"/>
            <w:noWrap/>
            <w:vAlign w:val="bottom"/>
            <w:hideMark/>
          </w:tcPr>
          <w:p w14:paraId="7AD61715"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02408C26"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r>
      <w:tr w:rsidR="00AB720F" w:rsidRPr="00254C36" w14:paraId="40356128" w14:textId="77777777" w:rsidTr="00620352">
        <w:trPr>
          <w:trHeight w:val="246"/>
        </w:trPr>
        <w:tc>
          <w:tcPr>
            <w:tcW w:w="5000" w:type="pct"/>
            <w:gridSpan w:val="14"/>
            <w:tcBorders>
              <w:top w:val="nil"/>
              <w:left w:val="nil"/>
              <w:bottom w:val="nil"/>
              <w:right w:val="single" w:sz="8" w:space="0" w:color="000000"/>
            </w:tcBorders>
            <w:shd w:val="clear" w:color="000000" w:fill="BFBFBF"/>
            <w:noWrap/>
            <w:vAlign w:val="bottom"/>
            <w:hideMark/>
          </w:tcPr>
          <w:p w14:paraId="0D102A59" w14:textId="77777777" w:rsidR="00AB720F" w:rsidRPr="00254C36" w:rsidRDefault="00AB720F" w:rsidP="00620352">
            <w:pPr>
              <w:spacing w:after="0" w:line="240" w:lineRule="auto"/>
              <w:rPr>
                <w:rFonts w:eastAsia="Times New Roman" w:cs="Times New Roman"/>
                <w:b/>
                <w:bCs/>
                <w:color w:val="000000"/>
                <w:lang w:eastAsia="en-AU"/>
              </w:rPr>
            </w:pPr>
            <w:r w:rsidRPr="00254C36">
              <w:rPr>
                <w:rFonts w:eastAsia="Times New Roman" w:cs="Times New Roman"/>
                <w:b/>
                <w:bCs/>
                <w:color w:val="000000"/>
                <w:lang w:eastAsia="en-AU"/>
              </w:rPr>
              <w:t>Year 4</w:t>
            </w:r>
          </w:p>
        </w:tc>
      </w:tr>
      <w:tr w:rsidR="00AB720F" w:rsidRPr="00254C36" w14:paraId="59000641" w14:textId="77777777" w:rsidTr="00620352">
        <w:trPr>
          <w:trHeight w:val="246"/>
        </w:trPr>
        <w:tc>
          <w:tcPr>
            <w:tcW w:w="112" w:type="pct"/>
            <w:tcBorders>
              <w:top w:val="nil"/>
              <w:left w:val="nil"/>
              <w:bottom w:val="nil"/>
              <w:right w:val="nil"/>
            </w:tcBorders>
            <w:shd w:val="clear" w:color="auto" w:fill="auto"/>
            <w:noWrap/>
            <w:vAlign w:val="bottom"/>
            <w:hideMark/>
          </w:tcPr>
          <w:p w14:paraId="5ADD1786"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6EDC537B"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157B93CA"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40E17AD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6</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25321E0A"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29</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0EB72540"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37</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231CC3E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96</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2193F22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111</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43BD59FF"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138</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52325C5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119</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710D1AC4"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185</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1EC8D50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124</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9A04E53"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452</w:t>
            </w:r>
          </w:p>
        </w:tc>
        <w:tc>
          <w:tcPr>
            <w:tcW w:w="390" w:type="pct"/>
            <w:tcBorders>
              <w:top w:val="single" w:sz="4" w:space="0" w:color="auto"/>
              <w:left w:val="nil"/>
              <w:bottom w:val="single" w:sz="4" w:space="0" w:color="auto"/>
              <w:right w:val="single" w:sz="8" w:space="0" w:color="auto"/>
            </w:tcBorders>
            <w:shd w:val="clear" w:color="000000" w:fill="FDE9D9"/>
            <w:noWrap/>
            <w:vAlign w:val="bottom"/>
            <w:hideMark/>
          </w:tcPr>
          <w:p w14:paraId="35E97A27"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397</w:t>
            </w:r>
          </w:p>
        </w:tc>
      </w:tr>
      <w:tr w:rsidR="00AB720F" w:rsidRPr="00254C36" w14:paraId="52863F13" w14:textId="77777777" w:rsidTr="00620352">
        <w:trPr>
          <w:trHeight w:val="246"/>
        </w:trPr>
        <w:tc>
          <w:tcPr>
            <w:tcW w:w="112" w:type="pct"/>
            <w:tcBorders>
              <w:top w:val="nil"/>
              <w:left w:val="nil"/>
              <w:bottom w:val="nil"/>
              <w:right w:val="nil"/>
            </w:tcBorders>
            <w:shd w:val="clear" w:color="auto" w:fill="auto"/>
            <w:noWrap/>
            <w:vAlign w:val="bottom"/>
            <w:hideMark/>
          </w:tcPr>
          <w:p w14:paraId="70FCCE84"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2D8B952A"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5EE645C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w:t>
            </w:r>
          </w:p>
        </w:tc>
        <w:tc>
          <w:tcPr>
            <w:tcW w:w="390" w:type="pct"/>
            <w:tcBorders>
              <w:top w:val="nil"/>
              <w:left w:val="nil"/>
              <w:bottom w:val="single" w:sz="4" w:space="0" w:color="auto"/>
              <w:right w:val="single" w:sz="4" w:space="0" w:color="auto"/>
            </w:tcBorders>
            <w:shd w:val="clear" w:color="000000" w:fill="FDE9D9"/>
            <w:noWrap/>
            <w:vAlign w:val="bottom"/>
            <w:hideMark/>
          </w:tcPr>
          <w:p w14:paraId="43107F4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w:t>
            </w:r>
          </w:p>
        </w:tc>
        <w:tc>
          <w:tcPr>
            <w:tcW w:w="406" w:type="pct"/>
            <w:tcBorders>
              <w:top w:val="nil"/>
              <w:left w:val="nil"/>
              <w:bottom w:val="single" w:sz="4" w:space="0" w:color="auto"/>
              <w:right w:val="single" w:sz="4" w:space="0" w:color="auto"/>
            </w:tcBorders>
            <w:shd w:val="clear" w:color="000000" w:fill="F2F2F2"/>
            <w:noWrap/>
            <w:vAlign w:val="bottom"/>
            <w:hideMark/>
          </w:tcPr>
          <w:p w14:paraId="6AEF63F0"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6%</w:t>
            </w:r>
          </w:p>
        </w:tc>
        <w:tc>
          <w:tcPr>
            <w:tcW w:w="390" w:type="pct"/>
            <w:tcBorders>
              <w:top w:val="nil"/>
              <w:left w:val="nil"/>
              <w:bottom w:val="single" w:sz="4" w:space="0" w:color="auto"/>
              <w:right w:val="single" w:sz="4" w:space="0" w:color="auto"/>
            </w:tcBorders>
            <w:shd w:val="clear" w:color="000000" w:fill="FDE9D9"/>
            <w:noWrap/>
            <w:vAlign w:val="bottom"/>
            <w:hideMark/>
          </w:tcPr>
          <w:p w14:paraId="7CD9E14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9%</w:t>
            </w:r>
          </w:p>
        </w:tc>
        <w:tc>
          <w:tcPr>
            <w:tcW w:w="406" w:type="pct"/>
            <w:tcBorders>
              <w:top w:val="nil"/>
              <w:left w:val="nil"/>
              <w:bottom w:val="single" w:sz="4" w:space="0" w:color="auto"/>
              <w:right w:val="single" w:sz="4" w:space="0" w:color="auto"/>
            </w:tcBorders>
            <w:shd w:val="clear" w:color="000000" w:fill="F2F2F2"/>
            <w:noWrap/>
            <w:vAlign w:val="bottom"/>
            <w:hideMark/>
          </w:tcPr>
          <w:p w14:paraId="4DA43AA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21%</w:t>
            </w:r>
          </w:p>
        </w:tc>
        <w:tc>
          <w:tcPr>
            <w:tcW w:w="390" w:type="pct"/>
            <w:tcBorders>
              <w:top w:val="nil"/>
              <w:left w:val="nil"/>
              <w:bottom w:val="single" w:sz="4" w:space="0" w:color="auto"/>
              <w:right w:val="single" w:sz="4" w:space="0" w:color="auto"/>
            </w:tcBorders>
            <w:shd w:val="clear" w:color="000000" w:fill="F2F2F2"/>
            <w:noWrap/>
            <w:vAlign w:val="bottom"/>
            <w:hideMark/>
          </w:tcPr>
          <w:p w14:paraId="306A2A9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28%</w:t>
            </w:r>
          </w:p>
        </w:tc>
        <w:tc>
          <w:tcPr>
            <w:tcW w:w="406" w:type="pct"/>
            <w:tcBorders>
              <w:top w:val="nil"/>
              <w:left w:val="nil"/>
              <w:bottom w:val="single" w:sz="4" w:space="0" w:color="auto"/>
              <w:right w:val="single" w:sz="4" w:space="0" w:color="auto"/>
            </w:tcBorders>
            <w:shd w:val="clear" w:color="000000" w:fill="F2F2F2"/>
            <w:noWrap/>
            <w:vAlign w:val="bottom"/>
            <w:hideMark/>
          </w:tcPr>
          <w:p w14:paraId="73F10FF0"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31%</w:t>
            </w:r>
          </w:p>
        </w:tc>
        <w:tc>
          <w:tcPr>
            <w:tcW w:w="390" w:type="pct"/>
            <w:tcBorders>
              <w:top w:val="nil"/>
              <w:left w:val="nil"/>
              <w:bottom w:val="single" w:sz="4" w:space="0" w:color="auto"/>
              <w:right w:val="single" w:sz="4" w:space="0" w:color="auto"/>
            </w:tcBorders>
            <w:shd w:val="clear" w:color="000000" w:fill="FDE9D9"/>
            <w:noWrap/>
            <w:vAlign w:val="bottom"/>
            <w:hideMark/>
          </w:tcPr>
          <w:p w14:paraId="01FD5AA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30%</w:t>
            </w:r>
          </w:p>
        </w:tc>
        <w:tc>
          <w:tcPr>
            <w:tcW w:w="406" w:type="pct"/>
            <w:tcBorders>
              <w:top w:val="nil"/>
              <w:left w:val="nil"/>
              <w:bottom w:val="single" w:sz="4" w:space="0" w:color="auto"/>
              <w:right w:val="single" w:sz="4" w:space="0" w:color="auto"/>
            </w:tcBorders>
            <w:shd w:val="clear" w:color="000000" w:fill="F2F2F2"/>
            <w:noWrap/>
            <w:vAlign w:val="bottom"/>
            <w:hideMark/>
          </w:tcPr>
          <w:p w14:paraId="6F8BAB3B"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41%</w:t>
            </w:r>
          </w:p>
        </w:tc>
        <w:tc>
          <w:tcPr>
            <w:tcW w:w="390" w:type="pct"/>
            <w:tcBorders>
              <w:top w:val="nil"/>
              <w:left w:val="nil"/>
              <w:bottom w:val="single" w:sz="4" w:space="0" w:color="auto"/>
              <w:right w:val="single" w:sz="4" w:space="0" w:color="auto"/>
            </w:tcBorders>
            <w:shd w:val="clear" w:color="000000" w:fill="FDE9D9"/>
            <w:noWrap/>
            <w:vAlign w:val="bottom"/>
            <w:hideMark/>
          </w:tcPr>
          <w:p w14:paraId="5C34EC3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31%</w:t>
            </w:r>
          </w:p>
        </w:tc>
        <w:tc>
          <w:tcPr>
            <w:tcW w:w="406" w:type="pct"/>
            <w:tcBorders>
              <w:top w:val="nil"/>
              <w:left w:val="nil"/>
              <w:bottom w:val="single" w:sz="4" w:space="0" w:color="auto"/>
              <w:right w:val="single" w:sz="4" w:space="0" w:color="auto"/>
            </w:tcBorders>
            <w:shd w:val="clear" w:color="000000" w:fill="F2F2F2"/>
            <w:noWrap/>
            <w:vAlign w:val="bottom"/>
            <w:hideMark/>
          </w:tcPr>
          <w:p w14:paraId="755725F0"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c>
          <w:tcPr>
            <w:tcW w:w="390" w:type="pct"/>
            <w:tcBorders>
              <w:top w:val="nil"/>
              <w:left w:val="nil"/>
              <w:bottom w:val="single" w:sz="4" w:space="0" w:color="auto"/>
              <w:right w:val="single" w:sz="8" w:space="0" w:color="auto"/>
            </w:tcBorders>
            <w:shd w:val="clear" w:color="000000" w:fill="FDE9D9"/>
            <w:noWrap/>
            <w:vAlign w:val="bottom"/>
            <w:hideMark/>
          </w:tcPr>
          <w:p w14:paraId="2B576339"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r>
      <w:tr w:rsidR="00AB720F" w:rsidRPr="00254C36" w14:paraId="2BD79B58" w14:textId="77777777" w:rsidTr="00620352">
        <w:trPr>
          <w:trHeight w:val="246"/>
        </w:trPr>
        <w:tc>
          <w:tcPr>
            <w:tcW w:w="5000" w:type="pct"/>
            <w:gridSpan w:val="14"/>
            <w:tcBorders>
              <w:top w:val="nil"/>
              <w:left w:val="nil"/>
              <w:bottom w:val="nil"/>
              <w:right w:val="single" w:sz="8" w:space="0" w:color="000000"/>
            </w:tcBorders>
            <w:shd w:val="clear" w:color="000000" w:fill="BFBFBF"/>
            <w:noWrap/>
            <w:vAlign w:val="bottom"/>
            <w:hideMark/>
          </w:tcPr>
          <w:p w14:paraId="032E8CAE" w14:textId="77777777" w:rsidR="00AB720F" w:rsidRPr="00254C36" w:rsidRDefault="00AB720F" w:rsidP="00620352">
            <w:pPr>
              <w:spacing w:after="0" w:line="240" w:lineRule="auto"/>
              <w:rPr>
                <w:rFonts w:eastAsia="Times New Roman" w:cs="Times New Roman"/>
                <w:b/>
                <w:bCs/>
                <w:color w:val="000000"/>
                <w:lang w:eastAsia="en-AU"/>
              </w:rPr>
            </w:pPr>
            <w:r w:rsidRPr="00254C36">
              <w:rPr>
                <w:rFonts w:eastAsia="Times New Roman" w:cs="Times New Roman"/>
                <w:b/>
                <w:bCs/>
                <w:color w:val="000000"/>
                <w:lang w:eastAsia="en-AU"/>
              </w:rPr>
              <w:t>Year 5</w:t>
            </w:r>
          </w:p>
        </w:tc>
      </w:tr>
      <w:tr w:rsidR="00AB720F" w:rsidRPr="00254C36" w14:paraId="5D9D1829" w14:textId="77777777" w:rsidTr="00620352">
        <w:trPr>
          <w:trHeight w:val="246"/>
        </w:trPr>
        <w:tc>
          <w:tcPr>
            <w:tcW w:w="112" w:type="pct"/>
            <w:tcBorders>
              <w:top w:val="nil"/>
              <w:left w:val="nil"/>
              <w:bottom w:val="nil"/>
              <w:right w:val="nil"/>
            </w:tcBorders>
            <w:shd w:val="clear" w:color="auto" w:fill="auto"/>
            <w:noWrap/>
            <w:vAlign w:val="bottom"/>
            <w:hideMark/>
          </w:tcPr>
          <w:p w14:paraId="096F584A"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0F9AC6C8"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3FC8AD77"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7</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10B37AA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12</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5075635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26</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4271A294"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26</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C76DFA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85</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176F0C5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88</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A395D6B"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135</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25C1965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114</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0EB1FBA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136</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5D0FD9EF"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107</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44287C5E"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389</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6037F41E"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347</w:t>
            </w:r>
          </w:p>
        </w:tc>
      </w:tr>
      <w:tr w:rsidR="00AB720F" w:rsidRPr="00254C36" w14:paraId="5CDA4D26" w14:textId="77777777" w:rsidTr="00620352">
        <w:trPr>
          <w:trHeight w:val="246"/>
        </w:trPr>
        <w:tc>
          <w:tcPr>
            <w:tcW w:w="112" w:type="pct"/>
            <w:tcBorders>
              <w:top w:val="nil"/>
              <w:left w:val="nil"/>
              <w:bottom w:val="nil"/>
              <w:right w:val="nil"/>
            </w:tcBorders>
            <w:shd w:val="clear" w:color="auto" w:fill="auto"/>
            <w:noWrap/>
            <w:vAlign w:val="bottom"/>
            <w:hideMark/>
          </w:tcPr>
          <w:p w14:paraId="6EB4C0FF"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275CEA41"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32937D9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w:t>
            </w:r>
          </w:p>
        </w:tc>
        <w:tc>
          <w:tcPr>
            <w:tcW w:w="390" w:type="pct"/>
            <w:tcBorders>
              <w:top w:val="nil"/>
              <w:left w:val="nil"/>
              <w:bottom w:val="single" w:sz="4" w:space="0" w:color="auto"/>
              <w:right w:val="single" w:sz="4" w:space="0" w:color="auto"/>
            </w:tcBorders>
            <w:shd w:val="clear" w:color="000000" w:fill="FDE9D9"/>
            <w:noWrap/>
            <w:vAlign w:val="bottom"/>
            <w:hideMark/>
          </w:tcPr>
          <w:p w14:paraId="5F4578E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w:t>
            </w:r>
          </w:p>
        </w:tc>
        <w:tc>
          <w:tcPr>
            <w:tcW w:w="406" w:type="pct"/>
            <w:tcBorders>
              <w:top w:val="nil"/>
              <w:left w:val="nil"/>
              <w:bottom w:val="single" w:sz="4" w:space="0" w:color="auto"/>
              <w:right w:val="single" w:sz="4" w:space="0" w:color="auto"/>
            </w:tcBorders>
            <w:shd w:val="clear" w:color="000000" w:fill="F2F2F2"/>
            <w:noWrap/>
            <w:vAlign w:val="bottom"/>
            <w:hideMark/>
          </w:tcPr>
          <w:p w14:paraId="073CCDA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7%</w:t>
            </w:r>
          </w:p>
        </w:tc>
        <w:tc>
          <w:tcPr>
            <w:tcW w:w="390" w:type="pct"/>
            <w:tcBorders>
              <w:top w:val="nil"/>
              <w:left w:val="nil"/>
              <w:bottom w:val="single" w:sz="4" w:space="0" w:color="auto"/>
              <w:right w:val="single" w:sz="4" w:space="0" w:color="auto"/>
            </w:tcBorders>
            <w:shd w:val="clear" w:color="000000" w:fill="FDE9D9"/>
            <w:noWrap/>
            <w:vAlign w:val="bottom"/>
            <w:hideMark/>
          </w:tcPr>
          <w:p w14:paraId="42A94F70"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7%</w:t>
            </w:r>
          </w:p>
        </w:tc>
        <w:tc>
          <w:tcPr>
            <w:tcW w:w="406" w:type="pct"/>
            <w:tcBorders>
              <w:top w:val="nil"/>
              <w:left w:val="nil"/>
              <w:bottom w:val="single" w:sz="4" w:space="0" w:color="auto"/>
              <w:right w:val="single" w:sz="4" w:space="0" w:color="auto"/>
            </w:tcBorders>
            <w:shd w:val="clear" w:color="000000" w:fill="F2F2F2"/>
            <w:noWrap/>
            <w:vAlign w:val="bottom"/>
            <w:hideMark/>
          </w:tcPr>
          <w:p w14:paraId="74594D2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22%</w:t>
            </w:r>
          </w:p>
        </w:tc>
        <w:tc>
          <w:tcPr>
            <w:tcW w:w="390" w:type="pct"/>
            <w:tcBorders>
              <w:top w:val="nil"/>
              <w:left w:val="nil"/>
              <w:bottom w:val="single" w:sz="4" w:space="0" w:color="auto"/>
              <w:right w:val="single" w:sz="4" w:space="0" w:color="auto"/>
            </w:tcBorders>
            <w:shd w:val="clear" w:color="000000" w:fill="FDE9D9"/>
            <w:noWrap/>
            <w:vAlign w:val="bottom"/>
            <w:hideMark/>
          </w:tcPr>
          <w:p w14:paraId="20F0FC34"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25%</w:t>
            </w:r>
          </w:p>
        </w:tc>
        <w:tc>
          <w:tcPr>
            <w:tcW w:w="406" w:type="pct"/>
            <w:tcBorders>
              <w:top w:val="nil"/>
              <w:left w:val="nil"/>
              <w:bottom w:val="single" w:sz="4" w:space="0" w:color="auto"/>
              <w:right w:val="single" w:sz="4" w:space="0" w:color="auto"/>
            </w:tcBorders>
            <w:shd w:val="clear" w:color="000000" w:fill="F2F2F2"/>
            <w:noWrap/>
            <w:vAlign w:val="bottom"/>
            <w:hideMark/>
          </w:tcPr>
          <w:p w14:paraId="58080B44"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35%</w:t>
            </w:r>
          </w:p>
        </w:tc>
        <w:tc>
          <w:tcPr>
            <w:tcW w:w="390" w:type="pct"/>
            <w:tcBorders>
              <w:top w:val="nil"/>
              <w:left w:val="nil"/>
              <w:bottom w:val="single" w:sz="4" w:space="0" w:color="auto"/>
              <w:right w:val="single" w:sz="4" w:space="0" w:color="auto"/>
            </w:tcBorders>
            <w:shd w:val="clear" w:color="000000" w:fill="FDE9D9"/>
            <w:noWrap/>
            <w:vAlign w:val="bottom"/>
            <w:hideMark/>
          </w:tcPr>
          <w:p w14:paraId="47A5084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33%</w:t>
            </w:r>
          </w:p>
        </w:tc>
        <w:tc>
          <w:tcPr>
            <w:tcW w:w="406" w:type="pct"/>
            <w:tcBorders>
              <w:top w:val="nil"/>
              <w:left w:val="nil"/>
              <w:bottom w:val="single" w:sz="4" w:space="0" w:color="auto"/>
              <w:right w:val="single" w:sz="4" w:space="0" w:color="auto"/>
            </w:tcBorders>
            <w:shd w:val="clear" w:color="000000" w:fill="F2F2F2"/>
            <w:noWrap/>
            <w:vAlign w:val="bottom"/>
            <w:hideMark/>
          </w:tcPr>
          <w:p w14:paraId="213B0D5E"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35%</w:t>
            </w:r>
          </w:p>
        </w:tc>
        <w:tc>
          <w:tcPr>
            <w:tcW w:w="390" w:type="pct"/>
            <w:tcBorders>
              <w:top w:val="nil"/>
              <w:left w:val="nil"/>
              <w:bottom w:val="single" w:sz="4" w:space="0" w:color="auto"/>
              <w:right w:val="single" w:sz="4" w:space="0" w:color="auto"/>
            </w:tcBorders>
            <w:shd w:val="clear" w:color="000000" w:fill="FDE9D9"/>
            <w:noWrap/>
            <w:vAlign w:val="bottom"/>
            <w:hideMark/>
          </w:tcPr>
          <w:p w14:paraId="717CA1DE"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31%</w:t>
            </w:r>
          </w:p>
        </w:tc>
        <w:tc>
          <w:tcPr>
            <w:tcW w:w="406" w:type="pct"/>
            <w:tcBorders>
              <w:top w:val="nil"/>
              <w:left w:val="nil"/>
              <w:bottom w:val="single" w:sz="4" w:space="0" w:color="auto"/>
              <w:right w:val="single" w:sz="4" w:space="0" w:color="auto"/>
            </w:tcBorders>
            <w:shd w:val="clear" w:color="000000" w:fill="F2F2F2"/>
            <w:noWrap/>
            <w:vAlign w:val="bottom"/>
            <w:hideMark/>
          </w:tcPr>
          <w:p w14:paraId="555AAFDE"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1319B8FC"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r>
      <w:tr w:rsidR="00AB720F" w:rsidRPr="00254C36" w14:paraId="382DAF52" w14:textId="77777777" w:rsidTr="00620352">
        <w:trPr>
          <w:trHeight w:val="246"/>
        </w:trPr>
        <w:tc>
          <w:tcPr>
            <w:tcW w:w="5000" w:type="pct"/>
            <w:gridSpan w:val="14"/>
            <w:tcBorders>
              <w:top w:val="nil"/>
              <w:left w:val="nil"/>
              <w:bottom w:val="nil"/>
              <w:right w:val="single" w:sz="8" w:space="0" w:color="000000"/>
            </w:tcBorders>
            <w:shd w:val="clear" w:color="000000" w:fill="BFBFBF"/>
            <w:noWrap/>
            <w:vAlign w:val="bottom"/>
            <w:hideMark/>
          </w:tcPr>
          <w:p w14:paraId="3DCE8E16" w14:textId="77777777" w:rsidR="00AB720F" w:rsidRPr="00254C36" w:rsidRDefault="00AB720F" w:rsidP="00620352">
            <w:pPr>
              <w:spacing w:after="0" w:line="240" w:lineRule="auto"/>
              <w:rPr>
                <w:rFonts w:eastAsia="Times New Roman" w:cs="Times New Roman"/>
                <w:b/>
                <w:bCs/>
                <w:color w:val="000000"/>
                <w:lang w:eastAsia="en-AU"/>
              </w:rPr>
            </w:pPr>
            <w:r w:rsidRPr="00254C36">
              <w:rPr>
                <w:rFonts w:eastAsia="Times New Roman" w:cs="Times New Roman"/>
                <w:b/>
                <w:bCs/>
                <w:color w:val="000000"/>
                <w:lang w:eastAsia="en-AU"/>
              </w:rPr>
              <w:t>Year 6</w:t>
            </w:r>
          </w:p>
        </w:tc>
      </w:tr>
      <w:tr w:rsidR="00AB720F" w:rsidRPr="00254C36" w14:paraId="16CA2E1A" w14:textId="77777777" w:rsidTr="00620352">
        <w:trPr>
          <w:trHeight w:val="246"/>
        </w:trPr>
        <w:tc>
          <w:tcPr>
            <w:tcW w:w="112" w:type="pct"/>
            <w:tcBorders>
              <w:top w:val="nil"/>
              <w:left w:val="nil"/>
              <w:bottom w:val="nil"/>
              <w:right w:val="nil"/>
            </w:tcBorders>
            <w:shd w:val="clear" w:color="auto" w:fill="auto"/>
            <w:noWrap/>
            <w:vAlign w:val="bottom"/>
            <w:hideMark/>
          </w:tcPr>
          <w:p w14:paraId="4BABA1A6"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12653460"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F96FCE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6E70DBF8"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9</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7AB39FD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23</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58071653"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36</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22F062AB"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111</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7B05FEE7"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117</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010DA6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102</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11969BD3"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89</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59E4A64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169</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33CC97BD"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101</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4AE5F73D"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415</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734AC73C"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352</w:t>
            </w:r>
          </w:p>
        </w:tc>
      </w:tr>
      <w:tr w:rsidR="00AB720F" w:rsidRPr="00254C36" w14:paraId="58A03D17" w14:textId="77777777" w:rsidTr="00620352">
        <w:trPr>
          <w:trHeight w:val="246"/>
        </w:trPr>
        <w:tc>
          <w:tcPr>
            <w:tcW w:w="112" w:type="pct"/>
            <w:tcBorders>
              <w:top w:val="nil"/>
              <w:left w:val="nil"/>
              <w:bottom w:val="nil"/>
              <w:right w:val="nil"/>
            </w:tcBorders>
            <w:shd w:val="clear" w:color="auto" w:fill="auto"/>
            <w:noWrap/>
            <w:vAlign w:val="bottom"/>
            <w:hideMark/>
          </w:tcPr>
          <w:p w14:paraId="65576519"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64CE5F20"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5C242FCE"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w:t>
            </w:r>
          </w:p>
        </w:tc>
        <w:tc>
          <w:tcPr>
            <w:tcW w:w="390" w:type="pct"/>
            <w:tcBorders>
              <w:top w:val="nil"/>
              <w:left w:val="nil"/>
              <w:bottom w:val="single" w:sz="4" w:space="0" w:color="auto"/>
              <w:right w:val="single" w:sz="4" w:space="0" w:color="auto"/>
            </w:tcBorders>
            <w:shd w:val="clear" w:color="000000" w:fill="FDE9D9"/>
            <w:noWrap/>
            <w:vAlign w:val="bottom"/>
            <w:hideMark/>
          </w:tcPr>
          <w:p w14:paraId="734AE23A"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w:t>
            </w:r>
          </w:p>
        </w:tc>
        <w:tc>
          <w:tcPr>
            <w:tcW w:w="406" w:type="pct"/>
            <w:tcBorders>
              <w:top w:val="nil"/>
              <w:left w:val="nil"/>
              <w:bottom w:val="single" w:sz="4" w:space="0" w:color="auto"/>
              <w:right w:val="single" w:sz="4" w:space="0" w:color="auto"/>
            </w:tcBorders>
            <w:shd w:val="clear" w:color="000000" w:fill="F2F2F2"/>
            <w:noWrap/>
            <w:vAlign w:val="bottom"/>
            <w:hideMark/>
          </w:tcPr>
          <w:p w14:paraId="1AD5B698"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6%</w:t>
            </w:r>
          </w:p>
        </w:tc>
        <w:tc>
          <w:tcPr>
            <w:tcW w:w="390" w:type="pct"/>
            <w:tcBorders>
              <w:top w:val="nil"/>
              <w:left w:val="nil"/>
              <w:bottom w:val="single" w:sz="4" w:space="0" w:color="auto"/>
              <w:right w:val="single" w:sz="4" w:space="0" w:color="auto"/>
            </w:tcBorders>
            <w:shd w:val="clear" w:color="000000" w:fill="FDE9D9"/>
            <w:noWrap/>
            <w:vAlign w:val="bottom"/>
            <w:hideMark/>
          </w:tcPr>
          <w:p w14:paraId="13CAB1E0"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w:t>
            </w:r>
          </w:p>
        </w:tc>
        <w:tc>
          <w:tcPr>
            <w:tcW w:w="406" w:type="pct"/>
            <w:tcBorders>
              <w:top w:val="nil"/>
              <w:left w:val="nil"/>
              <w:bottom w:val="single" w:sz="4" w:space="0" w:color="auto"/>
              <w:right w:val="single" w:sz="4" w:space="0" w:color="auto"/>
            </w:tcBorders>
            <w:shd w:val="clear" w:color="000000" w:fill="F2F2F2"/>
            <w:noWrap/>
            <w:vAlign w:val="bottom"/>
            <w:hideMark/>
          </w:tcPr>
          <w:p w14:paraId="62168AE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27%</w:t>
            </w:r>
          </w:p>
        </w:tc>
        <w:tc>
          <w:tcPr>
            <w:tcW w:w="390" w:type="pct"/>
            <w:tcBorders>
              <w:top w:val="nil"/>
              <w:left w:val="nil"/>
              <w:bottom w:val="single" w:sz="4" w:space="0" w:color="auto"/>
              <w:right w:val="single" w:sz="4" w:space="0" w:color="auto"/>
            </w:tcBorders>
            <w:shd w:val="clear" w:color="000000" w:fill="FDE9D9"/>
            <w:noWrap/>
            <w:vAlign w:val="bottom"/>
            <w:hideMark/>
          </w:tcPr>
          <w:p w14:paraId="15DAD5E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33%</w:t>
            </w:r>
          </w:p>
        </w:tc>
        <w:tc>
          <w:tcPr>
            <w:tcW w:w="406" w:type="pct"/>
            <w:tcBorders>
              <w:top w:val="nil"/>
              <w:left w:val="nil"/>
              <w:bottom w:val="single" w:sz="4" w:space="0" w:color="auto"/>
              <w:right w:val="single" w:sz="4" w:space="0" w:color="auto"/>
            </w:tcBorders>
            <w:shd w:val="clear" w:color="000000" w:fill="F2F2F2"/>
            <w:noWrap/>
            <w:vAlign w:val="bottom"/>
            <w:hideMark/>
          </w:tcPr>
          <w:p w14:paraId="074C8B3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25%</w:t>
            </w:r>
          </w:p>
        </w:tc>
        <w:tc>
          <w:tcPr>
            <w:tcW w:w="390" w:type="pct"/>
            <w:tcBorders>
              <w:top w:val="nil"/>
              <w:left w:val="nil"/>
              <w:bottom w:val="single" w:sz="4" w:space="0" w:color="auto"/>
              <w:right w:val="single" w:sz="4" w:space="0" w:color="auto"/>
            </w:tcBorders>
            <w:shd w:val="clear" w:color="000000" w:fill="FDE9D9"/>
            <w:noWrap/>
            <w:vAlign w:val="bottom"/>
            <w:hideMark/>
          </w:tcPr>
          <w:p w14:paraId="1E85420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25%</w:t>
            </w:r>
          </w:p>
        </w:tc>
        <w:tc>
          <w:tcPr>
            <w:tcW w:w="406" w:type="pct"/>
            <w:tcBorders>
              <w:top w:val="nil"/>
              <w:left w:val="nil"/>
              <w:bottom w:val="single" w:sz="4" w:space="0" w:color="auto"/>
              <w:right w:val="single" w:sz="4" w:space="0" w:color="auto"/>
            </w:tcBorders>
            <w:shd w:val="clear" w:color="000000" w:fill="F2F2F2"/>
            <w:noWrap/>
            <w:vAlign w:val="bottom"/>
            <w:hideMark/>
          </w:tcPr>
          <w:p w14:paraId="7941DA5B"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41%</w:t>
            </w:r>
          </w:p>
        </w:tc>
        <w:tc>
          <w:tcPr>
            <w:tcW w:w="390" w:type="pct"/>
            <w:tcBorders>
              <w:top w:val="nil"/>
              <w:left w:val="nil"/>
              <w:bottom w:val="single" w:sz="4" w:space="0" w:color="auto"/>
              <w:right w:val="single" w:sz="4" w:space="0" w:color="auto"/>
            </w:tcBorders>
            <w:shd w:val="clear" w:color="000000" w:fill="FDE9D9"/>
            <w:noWrap/>
            <w:vAlign w:val="bottom"/>
            <w:hideMark/>
          </w:tcPr>
          <w:p w14:paraId="6E62C58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29%</w:t>
            </w:r>
          </w:p>
        </w:tc>
        <w:tc>
          <w:tcPr>
            <w:tcW w:w="406" w:type="pct"/>
            <w:tcBorders>
              <w:top w:val="nil"/>
              <w:left w:val="nil"/>
              <w:bottom w:val="single" w:sz="4" w:space="0" w:color="auto"/>
              <w:right w:val="single" w:sz="4" w:space="0" w:color="auto"/>
            </w:tcBorders>
            <w:shd w:val="clear" w:color="000000" w:fill="F2F2F2"/>
            <w:noWrap/>
            <w:vAlign w:val="bottom"/>
            <w:hideMark/>
          </w:tcPr>
          <w:p w14:paraId="5E40983E"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6F1D7862"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r>
      <w:tr w:rsidR="00AB720F" w:rsidRPr="00254C36" w14:paraId="400CDD40" w14:textId="77777777" w:rsidTr="00620352">
        <w:trPr>
          <w:trHeight w:val="246"/>
        </w:trPr>
        <w:tc>
          <w:tcPr>
            <w:tcW w:w="5000" w:type="pct"/>
            <w:gridSpan w:val="14"/>
            <w:tcBorders>
              <w:top w:val="nil"/>
              <w:left w:val="nil"/>
              <w:bottom w:val="nil"/>
              <w:right w:val="single" w:sz="8" w:space="0" w:color="000000"/>
            </w:tcBorders>
            <w:shd w:val="clear" w:color="000000" w:fill="BFBFBF"/>
            <w:noWrap/>
            <w:vAlign w:val="bottom"/>
            <w:hideMark/>
          </w:tcPr>
          <w:p w14:paraId="16546E01" w14:textId="77777777" w:rsidR="00AB720F" w:rsidRPr="00254C36" w:rsidRDefault="00AB720F" w:rsidP="00620352">
            <w:pPr>
              <w:spacing w:after="0" w:line="240" w:lineRule="auto"/>
              <w:rPr>
                <w:rFonts w:eastAsia="Times New Roman" w:cs="Times New Roman"/>
                <w:b/>
                <w:bCs/>
                <w:color w:val="000000"/>
                <w:lang w:eastAsia="en-AU"/>
              </w:rPr>
            </w:pPr>
            <w:r w:rsidRPr="00254C36">
              <w:rPr>
                <w:rFonts w:eastAsia="Times New Roman" w:cs="Times New Roman"/>
                <w:b/>
                <w:bCs/>
                <w:color w:val="000000"/>
                <w:lang w:eastAsia="en-AU"/>
              </w:rPr>
              <w:t>Year 7</w:t>
            </w:r>
          </w:p>
        </w:tc>
      </w:tr>
      <w:tr w:rsidR="00AB720F" w:rsidRPr="00254C36" w14:paraId="19567F04" w14:textId="77777777" w:rsidTr="00620352">
        <w:trPr>
          <w:trHeight w:val="246"/>
        </w:trPr>
        <w:tc>
          <w:tcPr>
            <w:tcW w:w="112" w:type="pct"/>
            <w:tcBorders>
              <w:top w:val="nil"/>
              <w:left w:val="nil"/>
              <w:bottom w:val="nil"/>
              <w:right w:val="nil"/>
            </w:tcBorders>
            <w:shd w:val="clear" w:color="auto" w:fill="auto"/>
            <w:noWrap/>
            <w:vAlign w:val="bottom"/>
            <w:hideMark/>
          </w:tcPr>
          <w:p w14:paraId="4890C5A1"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74FA821C"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95E5718"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10</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4340155A"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13</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0C7FEB2D"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35</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226DC9C8"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72</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68E2CC7B"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195</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5FCB67D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195</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95AB4AA"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278</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47D19B4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277</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4F3EAB23"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559</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32384E5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411</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3521ECF2"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1077</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718BC020"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968</w:t>
            </w:r>
          </w:p>
        </w:tc>
      </w:tr>
      <w:tr w:rsidR="00AB720F" w:rsidRPr="00254C36" w14:paraId="196DC717" w14:textId="77777777" w:rsidTr="00620352">
        <w:trPr>
          <w:trHeight w:val="246"/>
        </w:trPr>
        <w:tc>
          <w:tcPr>
            <w:tcW w:w="112" w:type="pct"/>
            <w:tcBorders>
              <w:top w:val="nil"/>
              <w:left w:val="nil"/>
              <w:bottom w:val="nil"/>
              <w:right w:val="nil"/>
            </w:tcBorders>
            <w:shd w:val="clear" w:color="auto" w:fill="auto"/>
            <w:noWrap/>
            <w:vAlign w:val="bottom"/>
            <w:hideMark/>
          </w:tcPr>
          <w:p w14:paraId="26538BCE"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6E271F05"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nil"/>
              <w:left w:val="single" w:sz="4" w:space="0" w:color="auto"/>
              <w:bottom w:val="single" w:sz="4" w:space="0" w:color="auto"/>
              <w:right w:val="single" w:sz="4" w:space="0" w:color="auto"/>
            </w:tcBorders>
            <w:shd w:val="clear" w:color="000000" w:fill="F2F2F2"/>
            <w:noWrap/>
            <w:vAlign w:val="bottom"/>
            <w:hideMark/>
          </w:tcPr>
          <w:p w14:paraId="6DDE0411"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w:t>
            </w:r>
          </w:p>
        </w:tc>
        <w:tc>
          <w:tcPr>
            <w:tcW w:w="390" w:type="pct"/>
            <w:tcBorders>
              <w:top w:val="nil"/>
              <w:left w:val="nil"/>
              <w:bottom w:val="single" w:sz="4" w:space="0" w:color="auto"/>
              <w:right w:val="single" w:sz="4" w:space="0" w:color="auto"/>
            </w:tcBorders>
            <w:shd w:val="clear" w:color="000000" w:fill="FDE9D9"/>
            <w:noWrap/>
            <w:vAlign w:val="bottom"/>
            <w:hideMark/>
          </w:tcPr>
          <w:p w14:paraId="794EE6C0"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w:t>
            </w:r>
          </w:p>
        </w:tc>
        <w:tc>
          <w:tcPr>
            <w:tcW w:w="406" w:type="pct"/>
            <w:tcBorders>
              <w:top w:val="nil"/>
              <w:left w:val="nil"/>
              <w:bottom w:val="single" w:sz="4" w:space="0" w:color="auto"/>
              <w:right w:val="single" w:sz="4" w:space="0" w:color="auto"/>
            </w:tcBorders>
            <w:shd w:val="clear" w:color="000000" w:fill="F2F2F2"/>
            <w:noWrap/>
            <w:vAlign w:val="bottom"/>
            <w:hideMark/>
          </w:tcPr>
          <w:p w14:paraId="62F7473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w:t>
            </w:r>
          </w:p>
        </w:tc>
        <w:tc>
          <w:tcPr>
            <w:tcW w:w="390" w:type="pct"/>
            <w:tcBorders>
              <w:top w:val="nil"/>
              <w:left w:val="nil"/>
              <w:bottom w:val="single" w:sz="4" w:space="0" w:color="auto"/>
              <w:right w:val="single" w:sz="4" w:space="0" w:color="auto"/>
            </w:tcBorders>
            <w:shd w:val="clear" w:color="000000" w:fill="FDE9D9"/>
            <w:noWrap/>
            <w:vAlign w:val="bottom"/>
            <w:hideMark/>
          </w:tcPr>
          <w:p w14:paraId="4373DF5F"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7%</w:t>
            </w:r>
          </w:p>
        </w:tc>
        <w:tc>
          <w:tcPr>
            <w:tcW w:w="406" w:type="pct"/>
            <w:tcBorders>
              <w:top w:val="nil"/>
              <w:left w:val="nil"/>
              <w:bottom w:val="single" w:sz="4" w:space="0" w:color="auto"/>
              <w:right w:val="single" w:sz="4" w:space="0" w:color="auto"/>
            </w:tcBorders>
            <w:shd w:val="clear" w:color="000000" w:fill="F2F2F2"/>
            <w:noWrap/>
            <w:vAlign w:val="bottom"/>
            <w:hideMark/>
          </w:tcPr>
          <w:p w14:paraId="4F4D29E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18%</w:t>
            </w:r>
          </w:p>
        </w:tc>
        <w:tc>
          <w:tcPr>
            <w:tcW w:w="390" w:type="pct"/>
            <w:tcBorders>
              <w:top w:val="nil"/>
              <w:left w:val="nil"/>
              <w:bottom w:val="single" w:sz="4" w:space="0" w:color="auto"/>
              <w:right w:val="single" w:sz="4" w:space="0" w:color="auto"/>
            </w:tcBorders>
            <w:shd w:val="clear" w:color="000000" w:fill="FDE9D9"/>
            <w:noWrap/>
            <w:vAlign w:val="bottom"/>
            <w:hideMark/>
          </w:tcPr>
          <w:p w14:paraId="5E4DA6C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20%</w:t>
            </w:r>
          </w:p>
        </w:tc>
        <w:tc>
          <w:tcPr>
            <w:tcW w:w="406" w:type="pct"/>
            <w:tcBorders>
              <w:top w:val="nil"/>
              <w:left w:val="nil"/>
              <w:bottom w:val="single" w:sz="4" w:space="0" w:color="auto"/>
              <w:right w:val="single" w:sz="4" w:space="0" w:color="auto"/>
            </w:tcBorders>
            <w:shd w:val="clear" w:color="000000" w:fill="F2F2F2"/>
            <w:noWrap/>
            <w:vAlign w:val="bottom"/>
            <w:hideMark/>
          </w:tcPr>
          <w:p w14:paraId="6404505F"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26%</w:t>
            </w:r>
          </w:p>
        </w:tc>
        <w:tc>
          <w:tcPr>
            <w:tcW w:w="390" w:type="pct"/>
            <w:tcBorders>
              <w:top w:val="nil"/>
              <w:left w:val="nil"/>
              <w:bottom w:val="single" w:sz="4" w:space="0" w:color="auto"/>
              <w:right w:val="single" w:sz="4" w:space="0" w:color="auto"/>
            </w:tcBorders>
            <w:shd w:val="clear" w:color="000000" w:fill="FDE9D9"/>
            <w:noWrap/>
            <w:vAlign w:val="bottom"/>
            <w:hideMark/>
          </w:tcPr>
          <w:p w14:paraId="148C472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29%</w:t>
            </w:r>
          </w:p>
        </w:tc>
        <w:tc>
          <w:tcPr>
            <w:tcW w:w="406" w:type="pct"/>
            <w:tcBorders>
              <w:top w:val="nil"/>
              <w:left w:val="nil"/>
              <w:bottom w:val="single" w:sz="4" w:space="0" w:color="auto"/>
              <w:right w:val="single" w:sz="4" w:space="0" w:color="auto"/>
            </w:tcBorders>
            <w:shd w:val="clear" w:color="000000" w:fill="F2F2F2"/>
            <w:noWrap/>
            <w:vAlign w:val="bottom"/>
            <w:hideMark/>
          </w:tcPr>
          <w:p w14:paraId="649323B8"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52%</w:t>
            </w:r>
          </w:p>
        </w:tc>
        <w:tc>
          <w:tcPr>
            <w:tcW w:w="390" w:type="pct"/>
            <w:tcBorders>
              <w:top w:val="nil"/>
              <w:left w:val="nil"/>
              <w:bottom w:val="single" w:sz="4" w:space="0" w:color="auto"/>
              <w:right w:val="single" w:sz="4" w:space="0" w:color="auto"/>
            </w:tcBorders>
            <w:shd w:val="clear" w:color="000000" w:fill="FDE9D9"/>
            <w:noWrap/>
            <w:vAlign w:val="bottom"/>
            <w:hideMark/>
          </w:tcPr>
          <w:p w14:paraId="7BCE47A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42%</w:t>
            </w:r>
          </w:p>
        </w:tc>
        <w:tc>
          <w:tcPr>
            <w:tcW w:w="406" w:type="pct"/>
            <w:tcBorders>
              <w:top w:val="nil"/>
              <w:left w:val="nil"/>
              <w:bottom w:val="single" w:sz="4" w:space="0" w:color="auto"/>
              <w:right w:val="single" w:sz="4" w:space="0" w:color="auto"/>
            </w:tcBorders>
            <w:shd w:val="clear" w:color="000000" w:fill="F2F2F2"/>
            <w:noWrap/>
            <w:vAlign w:val="bottom"/>
            <w:hideMark/>
          </w:tcPr>
          <w:p w14:paraId="339F842C"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c>
          <w:tcPr>
            <w:tcW w:w="390" w:type="pct"/>
            <w:tcBorders>
              <w:top w:val="nil"/>
              <w:left w:val="nil"/>
              <w:bottom w:val="single" w:sz="4" w:space="0" w:color="auto"/>
              <w:right w:val="single" w:sz="4" w:space="0" w:color="auto"/>
            </w:tcBorders>
            <w:shd w:val="clear" w:color="000000" w:fill="FDE9D9"/>
            <w:noWrap/>
            <w:vAlign w:val="bottom"/>
            <w:hideMark/>
          </w:tcPr>
          <w:p w14:paraId="099E4FF3"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r>
      <w:tr w:rsidR="00AB720F" w:rsidRPr="00254C36" w14:paraId="53AF9583" w14:textId="77777777" w:rsidTr="00620352">
        <w:trPr>
          <w:trHeight w:val="246"/>
        </w:trPr>
        <w:tc>
          <w:tcPr>
            <w:tcW w:w="5000" w:type="pct"/>
            <w:gridSpan w:val="14"/>
            <w:tcBorders>
              <w:top w:val="nil"/>
              <w:left w:val="nil"/>
              <w:bottom w:val="nil"/>
              <w:right w:val="single" w:sz="8" w:space="0" w:color="000000"/>
            </w:tcBorders>
            <w:shd w:val="clear" w:color="000000" w:fill="BFBFBF"/>
            <w:noWrap/>
            <w:vAlign w:val="bottom"/>
            <w:hideMark/>
          </w:tcPr>
          <w:p w14:paraId="237B7E78" w14:textId="77777777" w:rsidR="00AB720F" w:rsidRPr="00254C36" w:rsidRDefault="00AB720F" w:rsidP="00620352">
            <w:pPr>
              <w:spacing w:after="0" w:line="240" w:lineRule="auto"/>
              <w:rPr>
                <w:rFonts w:eastAsia="Times New Roman" w:cs="Times New Roman"/>
                <w:b/>
                <w:bCs/>
                <w:color w:val="000000"/>
                <w:lang w:eastAsia="en-AU"/>
              </w:rPr>
            </w:pPr>
            <w:r w:rsidRPr="00254C36">
              <w:rPr>
                <w:rFonts w:eastAsia="Times New Roman" w:cs="Times New Roman"/>
                <w:b/>
                <w:bCs/>
                <w:color w:val="000000"/>
                <w:lang w:eastAsia="en-AU"/>
              </w:rPr>
              <w:t>Year 8</w:t>
            </w:r>
          </w:p>
        </w:tc>
      </w:tr>
      <w:tr w:rsidR="00AB720F" w:rsidRPr="00254C36" w14:paraId="08B7A776" w14:textId="77777777" w:rsidTr="00620352">
        <w:trPr>
          <w:trHeight w:val="246"/>
        </w:trPr>
        <w:tc>
          <w:tcPr>
            <w:tcW w:w="112" w:type="pct"/>
            <w:tcBorders>
              <w:top w:val="nil"/>
              <w:left w:val="nil"/>
              <w:bottom w:val="nil"/>
              <w:right w:val="nil"/>
            </w:tcBorders>
            <w:shd w:val="clear" w:color="auto" w:fill="auto"/>
            <w:noWrap/>
            <w:vAlign w:val="bottom"/>
            <w:hideMark/>
          </w:tcPr>
          <w:p w14:paraId="1207AD37"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4B8CDCAA"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75FA3CBF"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7</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1BF9672C"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14</w:t>
            </w:r>
          </w:p>
        </w:tc>
        <w:tc>
          <w:tcPr>
            <w:tcW w:w="406" w:type="pct"/>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49F7B928"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35</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3F8719E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50</w:t>
            </w:r>
          </w:p>
        </w:tc>
        <w:tc>
          <w:tcPr>
            <w:tcW w:w="406" w:type="pct"/>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3CF8D196"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197</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308D4335"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202</w:t>
            </w:r>
          </w:p>
        </w:tc>
        <w:tc>
          <w:tcPr>
            <w:tcW w:w="406" w:type="pct"/>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3658085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245</w:t>
            </w:r>
          </w:p>
        </w:tc>
        <w:tc>
          <w:tcPr>
            <w:tcW w:w="390" w:type="pct"/>
            <w:tcBorders>
              <w:top w:val="single" w:sz="4" w:space="0" w:color="auto"/>
              <w:left w:val="nil"/>
              <w:bottom w:val="single" w:sz="4" w:space="0" w:color="auto"/>
              <w:right w:val="single" w:sz="4" w:space="0" w:color="auto"/>
            </w:tcBorders>
            <w:shd w:val="clear" w:color="000000" w:fill="FDE9D9"/>
            <w:noWrap/>
            <w:vAlign w:val="bottom"/>
            <w:hideMark/>
          </w:tcPr>
          <w:p w14:paraId="6A43F0E0"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230</w:t>
            </w:r>
          </w:p>
        </w:tc>
        <w:tc>
          <w:tcPr>
            <w:tcW w:w="406" w:type="pct"/>
            <w:tcBorders>
              <w:top w:val="single" w:sz="4" w:space="0" w:color="auto"/>
              <w:left w:val="single" w:sz="8" w:space="0" w:color="auto"/>
              <w:bottom w:val="single" w:sz="4" w:space="0" w:color="auto"/>
              <w:right w:val="single" w:sz="4" w:space="0" w:color="auto"/>
            </w:tcBorders>
            <w:shd w:val="clear" w:color="000000" w:fill="F2F2F2"/>
            <w:noWrap/>
            <w:vAlign w:val="bottom"/>
            <w:hideMark/>
          </w:tcPr>
          <w:p w14:paraId="4B7CBF54"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438</w:t>
            </w:r>
          </w:p>
        </w:tc>
        <w:tc>
          <w:tcPr>
            <w:tcW w:w="390" w:type="pct"/>
            <w:tcBorders>
              <w:top w:val="single" w:sz="4" w:space="0" w:color="auto"/>
              <w:left w:val="nil"/>
              <w:bottom w:val="single" w:sz="4" w:space="0" w:color="auto"/>
              <w:right w:val="single" w:sz="8" w:space="0" w:color="auto"/>
            </w:tcBorders>
            <w:shd w:val="clear" w:color="000000" w:fill="FDE9D9"/>
            <w:noWrap/>
            <w:vAlign w:val="bottom"/>
            <w:hideMark/>
          </w:tcPr>
          <w:p w14:paraId="0BC4E05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306</w:t>
            </w:r>
          </w:p>
        </w:tc>
        <w:tc>
          <w:tcPr>
            <w:tcW w:w="406" w:type="pct"/>
            <w:tcBorders>
              <w:top w:val="single" w:sz="4" w:space="0" w:color="auto"/>
              <w:left w:val="nil"/>
              <w:bottom w:val="single" w:sz="4" w:space="0" w:color="auto"/>
              <w:right w:val="single" w:sz="4" w:space="0" w:color="auto"/>
            </w:tcBorders>
            <w:shd w:val="clear" w:color="000000" w:fill="F2F2F2"/>
            <w:noWrap/>
            <w:vAlign w:val="bottom"/>
            <w:hideMark/>
          </w:tcPr>
          <w:p w14:paraId="1ADE655C"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922</w:t>
            </w:r>
          </w:p>
        </w:tc>
        <w:tc>
          <w:tcPr>
            <w:tcW w:w="390" w:type="pct"/>
            <w:tcBorders>
              <w:top w:val="single" w:sz="4" w:space="0" w:color="auto"/>
              <w:left w:val="nil"/>
              <w:bottom w:val="single" w:sz="4" w:space="0" w:color="auto"/>
              <w:right w:val="single" w:sz="8" w:space="0" w:color="auto"/>
            </w:tcBorders>
            <w:shd w:val="clear" w:color="000000" w:fill="FDE9D9"/>
            <w:noWrap/>
            <w:vAlign w:val="bottom"/>
            <w:hideMark/>
          </w:tcPr>
          <w:p w14:paraId="60E33D68"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802</w:t>
            </w:r>
          </w:p>
        </w:tc>
      </w:tr>
      <w:tr w:rsidR="00AB720F" w:rsidRPr="00254C36" w14:paraId="77F43586" w14:textId="77777777" w:rsidTr="00620352">
        <w:trPr>
          <w:trHeight w:val="246"/>
        </w:trPr>
        <w:tc>
          <w:tcPr>
            <w:tcW w:w="112" w:type="pct"/>
            <w:tcBorders>
              <w:top w:val="nil"/>
              <w:left w:val="nil"/>
              <w:bottom w:val="nil"/>
              <w:right w:val="nil"/>
            </w:tcBorders>
            <w:shd w:val="clear" w:color="auto" w:fill="auto"/>
            <w:noWrap/>
            <w:vAlign w:val="bottom"/>
            <w:hideMark/>
          </w:tcPr>
          <w:p w14:paraId="08A003D5" w14:textId="77777777" w:rsidR="00AB720F" w:rsidRPr="00254C36" w:rsidRDefault="00AB720F" w:rsidP="00620352">
            <w:pPr>
              <w:spacing w:after="0" w:line="240" w:lineRule="auto"/>
              <w:rPr>
                <w:rFonts w:eastAsia="Times New Roman" w:cs="Times New Roman"/>
                <w:b/>
                <w:bCs/>
                <w:color w:val="000000"/>
                <w:lang w:eastAsia="en-AU"/>
              </w:rPr>
            </w:pPr>
          </w:p>
        </w:tc>
        <w:tc>
          <w:tcPr>
            <w:tcW w:w="112" w:type="pct"/>
            <w:tcBorders>
              <w:top w:val="nil"/>
              <w:left w:val="nil"/>
              <w:bottom w:val="nil"/>
              <w:right w:val="nil"/>
            </w:tcBorders>
            <w:shd w:val="clear" w:color="auto" w:fill="auto"/>
            <w:noWrap/>
            <w:vAlign w:val="bottom"/>
            <w:hideMark/>
          </w:tcPr>
          <w:p w14:paraId="7DBFAB10" w14:textId="77777777" w:rsidR="00AB720F" w:rsidRPr="00254C36" w:rsidRDefault="00AB720F" w:rsidP="00620352">
            <w:pPr>
              <w:spacing w:after="0" w:line="240" w:lineRule="auto"/>
              <w:rPr>
                <w:rFonts w:eastAsia="Times New Roman" w:cs="Times New Roman"/>
                <w:color w:val="000000"/>
                <w:lang w:eastAsia="en-AU"/>
              </w:rPr>
            </w:pPr>
          </w:p>
        </w:tc>
        <w:tc>
          <w:tcPr>
            <w:tcW w:w="405" w:type="pct"/>
            <w:tcBorders>
              <w:top w:val="nil"/>
              <w:left w:val="single" w:sz="8" w:space="0" w:color="auto"/>
              <w:bottom w:val="single" w:sz="4" w:space="0" w:color="auto"/>
              <w:right w:val="single" w:sz="4" w:space="0" w:color="auto"/>
            </w:tcBorders>
            <w:shd w:val="clear" w:color="000000" w:fill="F2F2F2"/>
            <w:noWrap/>
            <w:vAlign w:val="bottom"/>
            <w:hideMark/>
          </w:tcPr>
          <w:p w14:paraId="3D1276DB"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1%</w:t>
            </w:r>
          </w:p>
        </w:tc>
        <w:tc>
          <w:tcPr>
            <w:tcW w:w="390" w:type="pct"/>
            <w:tcBorders>
              <w:top w:val="nil"/>
              <w:left w:val="single" w:sz="8" w:space="0" w:color="auto"/>
              <w:bottom w:val="single" w:sz="4" w:space="0" w:color="auto"/>
              <w:right w:val="single" w:sz="4" w:space="0" w:color="auto"/>
            </w:tcBorders>
            <w:shd w:val="clear" w:color="000000" w:fill="FDE9D9"/>
            <w:noWrap/>
            <w:vAlign w:val="bottom"/>
            <w:hideMark/>
          </w:tcPr>
          <w:p w14:paraId="086674B9"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w:t>
            </w:r>
          </w:p>
        </w:tc>
        <w:tc>
          <w:tcPr>
            <w:tcW w:w="406" w:type="pct"/>
            <w:tcBorders>
              <w:top w:val="nil"/>
              <w:left w:val="single" w:sz="8" w:space="0" w:color="auto"/>
              <w:bottom w:val="single" w:sz="4" w:space="0" w:color="auto"/>
              <w:right w:val="single" w:sz="4" w:space="0" w:color="auto"/>
            </w:tcBorders>
            <w:shd w:val="clear" w:color="000000" w:fill="F2F2F2"/>
            <w:noWrap/>
            <w:vAlign w:val="bottom"/>
            <w:hideMark/>
          </w:tcPr>
          <w:p w14:paraId="5D98836B"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w:t>
            </w:r>
          </w:p>
        </w:tc>
        <w:tc>
          <w:tcPr>
            <w:tcW w:w="390" w:type="pct"/>
            <w:tcBorders>
              <w:top w:val="nil"/>
              <w:left w:val="single" w:sz="8" w:space="0" w:color="auto"/>
              <w:bottom w:val="single" w:sz="4" w:space="0" w:color="auto"/>
              <w:right w:val="single" w:sz="4" w:space="0" w:color="auto"/>
            </w:tcBorders>
            <w:shd w:val="clear" w:color="000000" w:fill="FDE9D9"/>
            <w:noWrap/>
            <w:vAlign w:val="bottom"/>
            <w:hideMark/>
          </w:tcPr>
          <w:p w14:paraId="3EF69223"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6%</w:t>
            </w:r>
          </w:p>
        </w:tc>
        <w:tc>
          <w:tcPr>
            <w:tcW w:w="406" w:type="pct"/>
            <w:tcBorders>
              <w:top w:val="nil"/>
              <w:left w:val="single" w:sz="8" w:space="0" w:color="auto"/>
              <w:bottom w:val="single" w:sz="4" w:space="0" w:color="auto"/>
              <w:right w:val="single" w:sz="4" w:space="0" w:color="auto"/>
            </w:tcBorders>
            <w:shd w:val="clear" w:color="000000" w:fill="F2F2F2"/>
            <w:noWrap/>
            <w:vAlign w:val="bottom"/>
            <w:hideMark/>
          </w:tcPr>
          <w:p w14:paraId="145122A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21%</w:t>
            </w:r>
          </w:p>
        </w:tc>
        <w:tc>
          <w:tcPr>
            <w:tcW w:w="390" w:type="pct"/>
            <w:tcBorders>
              <w:top w:val="nil"/>
              <w:left w:val="single" w:sz="8" w:space="0" w:color="auto"/>
              <w:bottom w:val="single" w:sz="4" w:space="0" w:color="auto"/>
              <w:right w:val="single" w:sz="4" w:space="0" w:color="auto"/>
            </w:tcBorders>
            <w:shd w:val="clear" w:color="000000" w:fill="FDE9D9"/>
            <w:noWrap/>
            <w:vAlign w:val="bottom"/>
            <w:hideMark/>
          </w:tcPr>
          <w:p w14:paraId="07AA532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25%</w:t>
            </w:r>
          </w:p>
        </w:tc>
        <w:tc>
          <w:tcPr>
            <w:tcW w:w="406" w:type="pct"/>
            <w:tcBorders>
              <w:top w:val="nil"/>
              <w:left w:val="single" w:sz="8" w:space="0" w:color="auto"/>
              <w:bottom w:val="single" w:sz="4" w:space="0" w:color="auto"/>
              <w:right w:val="single" w:sz="4" w:space="0" w:color="auto"/>
            </w:tcBorders>
            <w:shd w:val="clear" w:color="000000" w:fill="F2F2F2"/>
            <w:noWrap/>
            <w:vAlign w:val="bottom"/>
            <w:hideMark/>
          </w:tcPr>
          <w:p w14:paraId="2C43EE42"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27%</w:t>
            </w:r>
          </w:p>
        </w:tc>
        <w:tc>
          <w:tcPr>
            <w:tcW w:w="390" w:type="pct"/>
            <w:tcBorders>
              <w:top w:val="nil"/>
              <w:left w:val="single" w:sz="8" w:space="0" w:color="auto"/>
              <w:bottom w:val="single" w:sz="4" w:space="0" w:color="auto"/>
              <w:right w:val="single" w:sz="4" w:space="0" w:color="auto"/>
            </w:tcBorders>
            <w:shd w:val="clear" w:color="000000" w:fill="FDE9D9"/>
            <w:noWrap/>
            <w:vAlign w:val="bottom"/>
            <w:hideMark/>
          </w:tcPr>
          <w:p w14:paraId="45182894"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29%</w:t>
            </w:r>
          </w:p>
        </w:tc>
        <w:tc>
          <w:tcPr>
            <w:tcW w:w="406" w:type="pct"/>
            <w:tcBorders>
              <w:top w:val="nil"/>
              <w:left w:val="single" w:sz="8" w:space="0" w:color="auto"/>
              <w:bottom w:val="single" w:sz="4" w:space="0" w:color="auto"/>
              <w:right w:val="single" w:sz="4" w:space="0" w:color="auto"/>
            </w:tcBorders>
            <w:shd w:val="clear" w:color="000000" w:fill="F2F2F2"/>
            <w:noWrap/>
            <w:vAlign w:val="bottom"/>
            <w:hideMark/>
          </w:tcPr>
          <w:p w14:paraId="4AD97DFF"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48%</w:t>
            </w:r>
          </w:p>
        </w:tc>
        <w:tc>
          <w:tcPr>
            <w:tcW w:w="390" w:type="pct"/>
            <w:tcBorders>
              <w:top w:val="nil"/>
              <w:left w:val="single" w:sz="8" w:space="0" w:color="auto"/>
              <w:bottom w:val="single" w:sz="4" w:space="0" w:color="auto"/>
              <w:right w:val="single" w:sz="4" w:space="0" w:color="auto"/>
            </w:tcBorders>
            <w:shd w:val="clear" w:color="000000" w:fill="FDE9D9"/>
            <w:noWrap/>
            <w:vAlign w:val="bottom"/>
            <w:hideMark/>
          </w:tcPr>
          <w:p w14:paraId="14C37D60" w14:textId="77777777" w:rsidR="00AB720F" w:rsidRPr="00254C36" w:rsidRDefault="00AB720F" w:rsidP="00620352">
            <w:pPr>
              <w:spacing w:after="0" w:line="240" w:lineRule="auto"/>
              <w:jc w:val="center"/>
              <w:rPr>
                <w:rFonts w:eastAsia="Times New Roman" w:cs="Times New Roman"/>
                <w:color w:val="000000"/>
                <w:lang w:eastAsia="en-AU"/>
              </w:rPr>
            </w:pPr>
            <w:r w:rsidRPr="00254C36">
              <w:rPr>
                <w:rFonts w:eastAsia="Times New Roman" w:cs="Times New Roman"/>
                <w:color w:val="000000"/>
                <w:lang w:eastAsia="en-AU"/>
              </w:rPr>
              <w:t>38%</w:t>
            </w:r>
          </w:p>
        </w:tc>
        <w:tc>
          <w:tcPr>
            <w:tcW w:w="406" w:type="pct"/>
            <w:tcBorders>
              <w:top w:val="nil"/>
              <w:left w:val="single" w:sz="8" w:space="0" w:color="auto"/>
              <w:bottom w:val="single" w:sz="4" w:space="0" w:color="auto"/>
              <w:right w:val="single" w:sz="4" w:space="0" w:color="auto"/>
            </w:tcBorders>
            <w:shd w:val="clear" w:color="000000" w:fill="F2F2F2"/>
            <w:noWrap/>
            <w:vAlign w:val="bottom"/>
            <w:hideMark/>
          </w:tcPr>
          <w:p w14:paraId="2AAD8845"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c>
          <w:tcPr>
            <w:tcW w:w="390" w:type="pct"/>
            <w:tcBorders>
              <w:top w:val="nil"/>
              <w:left w:val="nil"/>
              <w:bottom w:val="single" w:sz="4" w:space="0" w:color="auto"/>
              <w:right w:val="single" w:sz="8" w:space="0" w:color="auto"/>
            </w:tcBorders>
            <w:shd w:val="clear" w:color="000000" w:fill="FDE9D9"/>
            <w:noWrap/>
            <w:vAlign w:val="bottom"/>
            <w:hideMark/>
          </w:tcPr>
          <w:p w14:paraId="5E5181FA" w14:textId="77777777" w:rsidR="00AB720F" w:rsidRPr="00254C36" w:rsidRDefault="00AB720F" w:rsidP="00620352">
            <w:pPr>
              <w:spacing w:after="0" w:line="240" w:lineRule="auto"/>
              <w:jc w:val="center"/>
              <w:rPr>
                <w:rFonts w:eastAsia="Times New Roman" w:cs="Times New Roman"/>
                <w:b/>
                <w:bCs/>
                <w:color w:val="000000"/>
                <w:lang w:eastAsia="en-AU"/>
              </w:rPr>
            </w:pPr>
            <w:r w:rsidRPr="00254C36">
              <w:rPr>
                <w:rFonts w:eastAsia="Times New Roman" w:cs="Times New Roman"/>
                <w:b/>
                <w:bCs/>
                <w:color w:val="000000"/>
                <w:lang w:eastAsia="en-AU"/>
              </w:rPr>
              <w:t> </w:t>
            </w:r>
          </w:p>
        </w:tc>
      </w:tr>
    </w:tbl>
    <w:p w14:paraId="439243A8" w14:textId="77777777" w:rsidR="00824EA6" w:rsidRDefault="00824EA6">
      <w:pPr>
        <w:rPr>
          <w:rFonts w:ascii="Arial" w:eastAsia="Times New Roman" w:hAnsi="Arial" w:cs="Arial"/>
          <w:b/>
          <w:sz w:val="23"/>
          <w:szCs w:val="23"/>
          <w:u w:val="single"/>
          <w:lang w:eastAsia="en-AU"/>
        </w:rPr>
      </w:pPr>
      <w:r>
        <w:rPr>
          <w:rFonts w:ascii="Arial" w:hAnsi="Arial" w:cs="Arial"/>
          <w:b/>
          <w:szCs w:val="23"/>
          <w:u w:val="single"/>
        </w:rPr>
        <w:br w:type="page"/>
      </w:r>
    </w:p>
    <w:p w14:paraId="1C556AAB" w14:textId="48B785BB" w:rsidR="002E51D5" w:rsidRPr="002E51D5" w:rsidRDefault="002E51D5" w:rsidP="00120A97">
      <w:pPr>
        <w:pStyle w:val="Heading3"/>
      </w:pPr>
      <w:r w:rsidRPr="002E51D5">
        <w:t>Appendix D</w:t>
      </w:r>
    </w:p>
    <w:p w14:paraId="13E9D35A" w14:textId="77777777" w:rsidR="002E51D5" w:rsidRDefault="002E51D5" w:rsidP="00892F35">
      <w:pPr>
        <w:pStyle w:val="Normalnumbered"/>
        <w:numPr>
          <w:ilvl w:val="0"/>
          <w:numId w:val="0"/>
        </w:numPr>
        <w:tabs>
          <w:tab w:val="num" w:pos="2160"/>
        </w:tabs>
        <w:ind w:left="567" w:hanging="567"/>
        <w:rPr>
          <w:b/>
          <w:color w:val="244061" w:themeColor="accent1" w:themeShade="80"/>
          <w:sz w:val="28"/>
          <w:szCs w:val="23"/>
        </w:rPr>
      </w:pPr>
    </w:p>
    <w:tbl>
      <w:tblPr>
        <w:tblStyle w:val="TableGrid1"/>
        <w:tblW w:w="5000" w:type="pct"/>
        <w:tblLook w:val="04A0" w:firstRow="1" w:lastRow="0" w:firstColumn="1" w:lastColumn="0" w:noHBand="0" w:noVBand="1"/>
        <w:tblCaption w:val="Appendix C - NAPLAN data for continuing LNNP schools"/>
        <w:tblDescription w:val="Data relating to Year 3 reading, Year 5 reading, Year 3 numeracy and Year 5 numeracy"/>
      </w:tblPr>
      <w:tblGrid>
        <w:gridCol w:w="1144"/>
        <w:gridCol w:w="3951"/>
        <w:gridCol w:w="794"/>
        <w:gridCol w:w="794"/>
        <w:gridCol w:w="794"/>
        <w:gridCol w:w="794"/>
        <w:gridCol w:w="794"/>
        <w:gridCol w:w="788"/>
      </w:tblGrid>
      <w:tr w:rsidR="002E51D5" w:rsidRPr="002E51D5" w14:paraId="0905CE49" w14:textId="77777777" w:rsidTr="00273D45">
        <w:trPr>
          <w:trHeight w:val="360"/>
          <w:tblHeader/>
        </w:trPr>
        <w:tc>
          <w:tcPr>
            <w:tcW w:w="5000" w:type="pct"/>
            <w:gridSpan w:val="8"/>
            <w:hideMark/>
          </w:tcPr>
          <w:p w14:paraId="0C5DE423" w14:textId="77777777" w:rsidR="002E51D5" w:rsidRPr="002E51D5" w:rsidRDefault="002E51D5" w:rsidP="002E51D5">
            <w:pPr>
              <w:jc w:val="center"/>
              <w:rPr>
                <w:rFonts w:ascii="Arial" w:hAnsi="Arial" w:cs="Arial"/>
                <w:b/>
                <w:bCs/>
                <w:sz w:val="28"/>
                <w:szCs w:val="28"/>
              </w:rPr>
            </w:pPr>
            <w:r w:rsidRPr="002E51D5">
              <w:rPr>
                <w:rFonts w:ascii="Arial" w:hAnsi="Arial" w:cs="Arial"/>
                <w:b/>
                <w:bCs/>
                <w:color w:val="244061" w:themeColor="accent1" w:themeShade="80"/>
                <w:sz w:val="28"/>
                <w:szCs w:val="28"/>
              </w:rPr>
              <w:t>NAPLAN data for Continuing LNNP Schools</w:t>
            </w:r>
          </w:p>
        </w:tc>
      </w:tr>
      <w:tr w:rsidR="002E51D5" w:rsidRPr="002E51D5" w14:paraId="36327606" w14:textId="77777777" w:rsidTr="00A0207E">
        <w:trPr>
          <w:trHeight w:val="855"/>
        </w:trPr>
        <w:tc>
          <w:tcPr>
            <w:tcW w:w="580" w:type="pct"/>
            <w:hideMark/>
          </w:tcPr>
          <w:p w14:paraId="3EC78981" w14:textId="77777777" w:rsidR="002E51D5" w:rsidRPr="002E51D5" w:rsidRDefault="002E51D5" w:rsidP="002E51D5">
            <w:pPr>
              <w:jc w:val="center"/>
              <w:rPr>
                <w:rFonts w:ascii="Arial" w:hAnsi="Arial" w:cs="Arial"/>
                <w:u w:val="single"/>
              </w:rPr>
            </w:pPr>
            <w:r w:rsidRPr="002E51D5">
              <w:rPr>
                <w:rFonts w:ascii="Arial" w:hAnsi="Arial" w:cs="Arial"/>
                <w:u w:val="single"/>
              </w:rPr>
              <w:t>Target Group / Measure</w:t>
            </w:r>
          </w:p>
        </w:tc>
        <w:tc>
          <w:tcPr>
            <w:tcW w:w="2005" w:type="pct"/>
            <w:hideMark/>
          </w:tcPr>
          <w:p w14:paraId="07F3028B" w14:textId="77777777" w:rsidR="002E51D5" w:rsidRPr="002E51D5" w:rsidRDefault="002E51D5" w:rsidP="002E51D5">
            <w:pPr>
              <w:jc w:val="center"/>
              <w:rPr>
                <w:rFonts w:ascii="Arial" w:hAnsi="Arial" w:cs="Arial"/>
                <w:color w:val="000000"/>
              </w:rPr>
            </w:pPr>
            <w:r w:rsidRPr="002E51D5">
              <w:rPr>
                <w:rFonts w:ascii="Arial" w:hAnsi="Arial" w:cs="Arial"/>
                <w:color w:val="000000"/>
              </w:rPr>
              <w:t>Data item</w:t>
            </w:r>
          </w:p>
        </w:tc>
        <w:tc>
          <w:tcPr>
            <w:tcW w:w="403" w:type="pct"/>
            <w:hideMark/>
          </w:tcPr>
          <w:p w14:paraId="10B53876" w14:textId="77777777" w:rsidR="002E51D5" w:rsidRPr="002E51D5" w:rsidRDefault="002E51D5" w:rsidP="002E51D5">
            <w:pPr>
              <w:jc w:val="center"/>
              <w:rPr>
                <w:rFonts w:ascii="Arial" w:hAnsi="Arial" w:cs="Arial"/>
                <w:color w:val="000000"/>
              </w:rPr>
            </w:pPr>
            <w:r w:rsidRPr="002E51D5">
              <w:rPr>
                <w:rFonts w:ascii="Arial" w:hAnsi="Arial" w:cs="Arial"/>
                <w:color w:val="000000"/>
              </w:rPr>
              <w:t>2008</w:t>
            </w:r>
          </w:p>
        </w:tc>
        <w:tc>
          <w:tcPr>
            <w:tcW w:w="403" w:type="pct"/>
            <w:hideMark/>
          </w:tcPr>
          <w:p w14:paraId="1343AF8E" w14:textId="77777777" w:rsidR="002E51D5" w:rsidRPr="002E51D5" w:rsidRDefault="002E51D5" w:rsidP="002E51D5">
            <w:pPr>
              <w:jc w:val="center"/>
              <w:rPr>
                <w:rFonts w:ascii="Arial" w:hAnsi="Arial" w:cs="Arial"/>
                <w:color w:val="000000"/>
              </w:rPr>
            </w:pPr>
            <w:r w:rsidRPr="002E51D5">
              <w:rPr>
                <w:rFonts w:ascii="Arial" w:hAnsi="Arial" w:cs="Arial"/>
                <w:color w:val="000000"/>
              </w:rPr>
              <w:t>2009</w:t>
            </w:r>
          </w:p>
        </w:tc>
        <w:tc>
          <w:tcPr>
            <w:tcW w:w="403" w:type="pct"/>
            <w:hideMark/>
          </w:tcPr>
          <w:p w14:paraId="26B2A644" w14:textId="77777777" w:rsidR="002E51D5" w:rsidRPr="002E51D5" w:rsidRDefault="002E51D5" w:rsidP="002E51D5">
            <w:pPr>
              <w:jc w:val="center"/>
              <w:rPr>
                <w:rFonts w:ascii="Arial" w:hAnsi="Arial" w:cs="Arial"/>
                <w:color w:val="000000"/>
              </w:rPr>
            </w:pPr>
            <w:r w:rsidRPr="002E51D5">
              <w:rPr>
                <w:rFonts w:ascii="Arial" w:hAnsi="Arial" w:cs="Arial"/>
                <w:color w:val="000000"/>
              </w:rPr>
              <w:t>2010</w:t>
            </w:r>
          </w:p>
        </w:tc>
        <w:tc>
          <w:tcPr>
            <w:tcW w:w="403" w:type="pct"/>
            <w:hideMark/>
          </w:tcPr>
          <w:p w14:paraId="2EA143B7" w14:textId="77777777" w:rsidR="002E51D5" w:rsidRPr="002E51D5" w:rsidRDefault="002E51D5" w:rsidP="002E51D5">
            <w:pPr>
              <w:jc w:val="center"/>
              <w:rPr>
                <w:rFonts w:ascii="Arial" w:hAnsi="Arial" w:cs="Arial"/>
                <w:color w:val="000000"/>
              </w:rPr>
            </w:pPr>
            <w:r w:rsidRPr="002E51D5">
              <w:rPr>
                <w:rFonts w:ascii="Arial" w:hAnsi="Arial" w:cs="Arial"/>
                <w:color w:val="000000"/>
              </w:rPr>
              <w:t>2011</w:t>
            </w:r>
          </w:p>
        </w:tc>
        <w:tc>
          <w:tcPr>
            <w:tcW w:w="403" w:type="pct"/>
            <w:hideMark/>
          </w:tcPr>
          <w:p w14:paraId="7BAF821E" w14:textId="77777777" w:rsidR="002E51D5" w:rsidRPr="002E51D5" w:rsidRDefault="002E51D5" w:rsidP="002E51D5">
            <w:pPr>
              <w:jc w:val="center"/>
              <w:rPr>
                <w:rFonts w:ascii="Arial" w:hAnsi="Arial" w:cs="Arial"/>
                <w:color w:val="000000"/>
              </w:rPr>
            </w:pPr>
            <w:r w:rsidRPr="002E51D5">
              <w:rPr>
                <w:rFonts w:ascii="Arial" w:hAnsi="Arial" w:cs="Arial"/>
                <w:color w:val="000000"/>
              </w:rPr>
              <w:t>2012</w:t>
            </w:r>
          </w:p>
        </w:tc>
        <w:tc>
          <w:tcPr>
            <w:tcW w:w="401" w:type="pct"/>
            <w:hideMark/>
          </w:tcPr>
          <w:p w14:paraId="171FB369" w14:textId="77777777" w:rsidR="002E51D5" w:rsidRPr="002E51D5" w:rsidRDefault="002E51D5" w:rsidP="002E51D5">
            <w:pPr>
              <w:jc w:val="center"/>
              <w:rPr>
                <w:rFonts w:ascii="Arial" w:hAnsi="Arial" w:cs="Arial"/>
                <w:color w:val="000000"/>
              </w:rPr>
            </w:pPr>
            <w:r w:rsidRPr="002E51D5">
              <w:rPr>
                <w:rFonts w:ascii="Arial" w:hAnsi="Arial" w:cs="Arial"/>
                <w:color w:val="000000"/>
              </w:rPr>
              <w:t>2013</w:t>
            </w:r>
          </w:p>
        </w:tc>
      </w:tr>
      <w:tr w:rsidR="002E51D5" w:rsidRPr="002E51D5" w14:paraId="7A0AFBBF" w14:textId="77777777" w:rsidTr="00A0207E">
        <w:trPr>
          <w:trHeight w:val="425"/>
        </w:trPr>
        <w:tc>
          <w:tcPr>
            <w:tcW w:w="580" w:type="pct"/>
            <w:vMerge w:val="restart"/>
            <w:hideMark/>
          </w:tcPr>
          <w:p w14:paraId="48E68478" w14:textId="77777777" w:rsidR="002E51D5" w:rsidRPr="002E51D5" w:rsidRDefault="002E51D5" w:rsidP="002E51D5">
            <w:pPr>
              <w:jc w:val="center"/>
              <w:rPr>
                <w:rFonts w:ascii="Arial" w:hAnsi="Arial" w:cs="Arial"/>
              </w:rPr>
            </w:pPr>
            <w:r w:rsidRPr="002E51D5">
              <w:rPr>
                <w:rFonts w:ascii="Arial" w:hAnsi="Arial" w:cs="Arial"/>
              </w:rPr>
              <w:t>Year 3 Reading</w:t>
            </w:r>
          </w:p>
        </w:tc>
        <w:tc>
          <w:tcPr>
            <w:tcW w:w="2005" w:type="pct"/>
            <w:hideMark/>
          </w:tcPr>
          <w:p w14:paraId="4E74C396" w14:textId="77777777" w:rsidR="002E51D5" w:rsidRPr="002E51D5" w:rsidRDefault="002E51D5" w:rsidP="002E51D5">
            <w:pPr>
              <w:rPr>
                <w:rFonts w:ascii="Arial" w:hAnsi="Arial" w:cs="Arial"/>
              </w:rPr>
            </w:pPr>
            <w:r w:rsidRPr="002E51D5">
              <w:rPr>
                <w:rFonts w:ascii="Arial" w:hAnsi="Arial" w:cs="Arial"/>
              </w:rPr>
              <w:t>Mean scale score</w:t>
            </w:r>
          </w:p>
        </w:tc>
        <w:tc>
          <w:tcPr>
            <w:tcW w:w="403" w:type="pct"/>
            <w:vAlign w:val="center"/>
            <w:hideMark/>
          </w:tcPr>
          <w:p w14:paraId="70804315" w14:textId="77777777" w:rsidR="002E51D5" w:rsidRPr="002E51D5" w:rsidRDefault="002E51D5" w:rsidP="00CF467D">
            <w:pPr>
              <w:jc w:val="center"/>
              <w:rPr>
                <w:rFonts w:ascii="Arial" w:hAnsi="Arial" w:cs="Arial"/>
              </w:rPr>
            </w:pPr>
            <w:r w:rsidRPr="002E51D5">
              <w:rPr>
                <w:rFonts w:ascii="Arial" w:hAnsi="Arial" w:cs="Arial"/>
              </w:rPr>
              <w:t>374.9</w:t>
            </w:r>
          </w:p>
        </w:tc>
        <w:tc>
          <w:tcPr>
            <w:tcW w:w="403" w:type="pct"/>
            <w:vAlign w:val="center"/>
            <w:hideMark/>
          </w:tcPr>
          <w:p w14:paraId="039A648F" w14:textId="77777777" w:rsidR="002E51D5" w:rsidRPr="002E51D5" w:rsidRDefault="002E51D5" w:rsidP="00CF467D">
            <w:pPr>
              <w:jc w:val="center"/>
              <w:rPr>
                <w:rFonts w:ascii="Arial" w:hAnsi="Arial" w:cs="Arial"/>
              </w:rPr>
            </w:pPr>
            <w:r w:rsidRPr="002E51D5">
              <w:rPr>
                <w:rFonts w:ascii="Arial" w:hAnsi="Arial" w:cs="Arial"/>
              </w:rPr>
              <w:t>393.4</w:t>
            </w:r>
          </w:p>
        </w:tc>
        <w:tc>
          <w:tcPr>
            <w:tcW w:w="403" w:type="pct"/>
            <w:vAlign w:val="center"/>
            <w:hideMark/>
          </w:tcPr>
          <w:p w14:paraId="55107307" w14:textId="77777777" w:rsidR="002E51D5" w:rsidRPr="002E51D5" w:rsidRDefault="002E51D5" w:rsidP="00CF467D">
            <w:pPr>
              <w:jc w:val="center"/>
              <w:rPr>
                <w:rFonts w:ascii="Arial" w:hAnsi="Arial" w:cs="Arial"/>
              </w:rPr>
            </w:pPr>
            <w:r w:rsidRPr="002E51D5">
              <w:rPr>
                <w:rFonts w:ascii="Arial" w:hAnsi="Arial" w:cs="Arial"/>
              </w:rPr>
              <w:t>388.6</w:t>
            </w:r>
          </w:p>
        </w:tc>
        <w:tc>
          <w:tcPr>
            <w:tcW w:w="403" w:type="pct"/>
            <w:vAlign w:val="center"/>
            <w:hideMark/>
          </w:tcPr>
          <w:p w14:paraId="7319AC68" w14:textId="77777777" w:rsidR="002E51D5" w:rsidRPr="002E51D5" w:rsidRDefault="002E51D5" w:rsidP="00CF467D">
            <w:pPr>
              <w:jc w:val="center"/>
              <w:rPr>
                <w:rFonts w:ascii="Arial" w:hAnsi="Arial" w:cs="Arial"/>
                <w:color w:val="000000"/>
              </w:rPr>
            </w:pPr>
            <w:r w:rsidRPr="002E51D5">
              <w:rPr>
                <w:rFonts w:ascii="Arial" w:hAnsi="Arial" w:cs="Arial"/>
                <w:color w:val="000000"/>
              </w:rPr>
              <w:t>391.6</w:t>
            </w:r>
          </w:p>
        </w:tc>
        <w:tc>
          <w:tcPr>
            <w:tcW w:w="403" w:type="pct"/>
            <w:vAlign w:val="center"/>
            <w:hideMark/>
          </w:tcPr>
          <w:p w14:paraId="3AF7FBF5" w14:textId="77777777" w:rsidR="002E51D5" w:rsidRPr="002E51D5" w:rsidRDefault="002E51D5" w:rsidP="00CF467D">
            <w:pPr>
              <w:jc w:val="center"/>
              <w:rPr>
                <w:rFonts w:ascii="Arial" w:hAnsi="Arial" w:cs="Arial"/>
                <w:color w:val="000000"/>
              </w:rPr>
            </w:pPr>
            <w:r w:rsidRPr="002E51D5">
              <w:rPr>
                <w:rFonts w:ascii="Arial" w:hAnsi="Arial" w:cs="Arial"/>
                <w:color w:val="000000"/>
              </w:rPr>
              <w:t>392.1</w:t>
            </w:r>
          </w:p>
        </w:tc>
        <w:tc>
          <w:tcPr>
            <w:tcW w:w="401" w:type="pct"/>
            <w:vAlign w:val="center"/>
            <w:hideMark/>
          </w:tcPr>
          <w:p w14:paraId="5689A850" w14:textId="77777777" w:rsidR="002E51D5" w:rsidRPr="002E51D5" w:rsidRDefault="002E51D5" w:rsidP="00CF467D">
            <w:pPr>
              <w:jc w:val="center"/>
              <w:rPr>
                <w:rFonts w:ascii="Arial" w:hAnsi="Arial" w:cs="Arial"/>
                <w:color w:val="000000"/>
              </w:rPr>
            </w:pPr>
            <w:r w:rsidRPr="002E51D5">
              <w:rPr>
                <w:rFonts w:ascii="Arial" w:hAnsi="Arial" w:cs="Arial"/>
                <w:color w:val="000000"/>
              </w:rPr>
              <w:t>387.9</w:t>
            </w:r>
          </w:p>
        </w:tc>
      </w:tr>
      <w:tr w:rsidR="002E51D5" w:rsidRPr="002E51D5" w14:paraId="0AA9AC92" w14:textId="77777777" w:rsidTr="00A0207E">
        <w:trPr>
          <w:trHeight w:val="425"/>
        </w:trPr>
        <w:tc>
          <w:tcPr>
            <w:tcW w:w="580" w:type="pct"/>
            <w:vMerge/>
            <w:hideMark/>
          </w:tcPr>
          <w:p w14:paraId="1268C3CD" w14:textId="77777777" w:rsidR="002E51D5" w:rsidRPr="002E51D5" w:rsidRDefault="002E51D5" w:rsidP="002E51D5">
            <w:pPr>
              <w:rPr>
                <w:rFonts w:ascii="Arial" w:hAnsi="Arial" w:cs="Arial"/>
              </w:rPr>
            </w:pPr>
          </w:p>
        </w:tc>
        <w:tc>
          <w:tcPr>
            <w:tcW w:w="2005" w:type="pct"/>
            <w:hideMark/>
          </w:tcPr>
          <w:p w14:paraId="582C5B39" w14:textId="77777777" w:rsidR="002E51D5" w:rsidRPr="002E51D5" w:rsidRDefault="002E51D5" w:rsidP="002E51D5">
            <w:pPr>
              <w:rPr>
                <w:rFonts w:ascii="Arial" w:hAnsi="Arial" w:cs="Arial"/>
              </w:rPr>
            </w:pPr>
            <w:r w:rsidRPr="002E51D5">
              <w:rPr>
                <w:rFonts w:ascii="Arial" w:hAnsi="Arial" w:cs="Arial"/>
              </w:rPr>
              <w:t>Standard deviation</w:t>
            </w:r>
          </w:p>
        </w:tc>
        <w:tc>
          <w:tcPr>
            <w:tcW w:w="403" w:type="pct"/>
            <w:vAlign w:val="center"/>
            <w:hideMark/>
          </w:tcPr>
          <w:p w14:paraId="38B48C0C" w14:textId="77777777" w:rsidR="002E51D5" w:rsidRPr="002E51D5" w:rsidRDefault="002E51D5" w:rsidP="00CF467D">
            <w:pPr>
              <w:jc w:val="center"/>
              <w:rPr>
                <w:rFonts w:ascii="Arial" w:hAnsi="Arial" w:cs="Arial"/>
              </w:rPr>
            </w:pPr>
            <w:r w:rsidRPr="002E51D5">
              <w:rPr>
                <w:rFonts w:ascii="Arial" w:hAnsi="Arial" w:cs="Arial"/>
              </w:rPr>
              <w:t>84.6</w:t>
            </w:r>
          </w:p>
        </w:tc>
        <w:tc>
          <w:tcPr>
            <w:tcW w:w="403" w:type="pct"/>
            <w:vAlign w:val="center"/>
            <w:hideMark/>
          </w:tcPr>
          <w:p w14:paraId="016D893F" w14:textId="77777777" w:rsidR="002E51D5" w:rsidRPr="002E51D5" w:rsidRDefault="002E51D5" w:rsidP="00CF467D">
            <w:pPr>
              <w:jc w:val="center"/>
              <w:rPr>
                <w:rFonts w:ascii="Arial" w:hAnsi="Arial" w:cs="Arial"/>
              </w:rPr>
            </w:pPr>
            <w:r w:rsidRPr="002E51D5">
              <w:rPr>
                <w:rFonts w:ascii="Arial" w:hAnsi="Arial" w:cs="Arial"/>
              </w:rPr>
              <w:t>84.3</w:t>
            </w:r>
          </w:p>
        </w:tc>
        <w:tc>
          <w:tcPr>
            <w:tcW w:w="403" w:type="pct"/>
            <w:vAlign w:val="center"/>
            <w:hideMark/>
          </w:tcPr>
          <w:p w14:paraId="6236E40A" w14:textId="77777777" w:rsidR="002E51D5" w:rsidRPr="002E51D5" w:rsidRDefault="002E51D5" w:rsidP="00CF467D">
            <w:pPr>
              <w:jc w:val="center"/>
              <w:rPr>
                <w:rFonts w:ascii="Arial" w:hAnsi="Arial" w:cs="Arial"/>
              </w:rPr>
            </w:pPr>
            <w:r w:rsidRPr="002E51D5">
              <w:rPr>
                <w:rFonts w:ascii="Arial" w:hAnsi="Arial" w:cs="Arial"/>
              </w:rPr>
              <w:t>82.5</w:t>
            </w:r>
          </w:p>
        </w:tc>
        <w:tc>
          <w:tcPr>
            <w:tcW w:w="403" w:type="pct"/>
            <w:vAlign w:val="center"/>
            <w:hideMark/>
          </w:tcPr>
          <w:p w14:paraId="6ED74FA3" w14:textId="77777777" w:rsidR="002E51D5" w:rsidRPr="002E51D5" w:rsidRDefault="002E51D5" w:rsidP="00CF467D">
            <w:pPr>
              <w:jc w:val="center"/>
              <w:rPr>
                <w:rFonts w:ascii="Arial" w:hAnsi="Arial" w:cs="Arial"/>
                <w:color w:val="000000"/>
              </w:rPr>
            </w:pPr>
            <w:r w:rsidRPr="002E51D5">
              <w:rPr>
                <w:rFonts w:ascii="Arial" w:hAnsi="Arial" w:cs="Arial"/>
                <w:color w:val="000000"/>
              </w:rPr>
              <w:t>86.3</w:t>
            </w:r>
          </w:p>
        </w:tc>
        <w:tc>
          <w:tcPr>
            <w:tcW w:w="403" w:type="pct"/>
            <w:vAlign w:val="center"/>
            <w:hideMark/>
          </w:tcPr>
          <w:p w14:paraId="55171D1F" w14:textId="77777777" w:rsidR="002E51D5" w:rsidRPr="002E51D5" w:rsidRDefault="002E51D5" w:rsidP="00CF467D">
            <w:pPr>
              <w:jc w:val="center"/>
              <w:rPr>
                <w:rFonts w:ascii="Arial" w:hAnsi="Arial" w:cs="Arial"/>
                <w:color w:val="000000"/>
              </w:rPr>
            </w:pPr>
            <w:r w:rsidRPr="002E51D5">
              <w:rPr>
                <w:rFonts w:ascii="Arial" w:hAnsi="Arial" w:cs="Arial"/>
                <w:color w:val="000000"/>
              </w:rPr>
              <w:t>85</w:t>
            </w:r>
          </w:p>
        </w:tc>
        <w:tc>
          <w:tcPr>
            <w:tcW w:w="401" w:type="pct"/>
            <w:vAlign w:val="center"/>
            <w:hideMark/>
          </w:tcPr>
          <w:p w14:paraId="72C5004E" w14:textId="77777777" w:rsidR="002E51D5" w:rsidRPr="002E51D5" w:rsidRDefault="002E51D5" w:rsidP="00CF467D">
            <w:pPr>
              <w:jc w:val="center"/>
              <w:rPr>
                <w:rFonts w:ascii="Arial" w:hAnsi="Arial" w:cs="Arial"/>
                <w:color w:val="000000"/>
              </w:rPr>
            </w:pPr>
            <w:r w:rsidRPr="002E51D5">
              <w:rPr>
                <w:rFonts w:ascii="Arial" w:hAnsi="Arial" w:cs="Arial"/>
                <w:color w:val="000000"/>
              </w:rPr>
              <w:t>81.6</w:t>
            </w:r>
          </w:p>
        </w:tc>
      </w:tr>
      <w:tr w:rsidR="002E51D5" w:rsidRPr="002E51D5" w14:paraId="7BFEC23C" w14:textId="77777777" w:rsidTr="00A0207E">
        <w:trPr>
          <w:trHeight w:val="425"/>
        </w:trPr>
        <w:tc>
          <w:tcPr>
            <w:tcW w:w="580" w:type="pct"/>
            <w:vMerge/>
            <w:hideMark/>
          </w:tcPr>
          <w:p w14:paraId="2A4E16CF" w14:textId="77777777" w:rsidR="002E51D5" w:rsidRPr="002E51D5" w:rsidRDefault="002E51D5" w:rsidP="002E51D5">
            <w:pPr>
              <w:rPr>
                <w:rFonts w:ascii="Arial" w:hAnsi="Arial" w:cs="Arial"/>
              </w:rPr>
            </w:pPr>
          </w:p>
        </w:tc>
        <w:tc>
          <w:tcPr>
            <w:tcW w:w="2005" w:type="pct"/>
            <w:hideMark/>
          </w:tcPr>
          <w:p w14:paraId="10CDDEC4" w14:textId="77777777" w:rsidR="002E51D5" w:rsidRPr="002E51D5" w:rsidRDefault="002E51D5" w:rsidP="002E51D5">
            <w:pPr>
              <w:rPr>
                <w:rFonts w:ascii="Arial" w:hAnsi="Arial" w:cs="Arial"/>
              </w:rPr>
            </w:pPr>
            <w:r w:rsidRPr="002E51D5">
              <w:rPr>
                <w:rFonts w:ascii="Arial" w:hAnsi="Arial" w:cs="Arial"/>
              </w:rPr>
              <w:t xml:space="preserve">Number of students at NMS </w:t>
            </w:r>
          </w:p>
        </w:tc>
        <w:tc>
          <w:tcPr>
            <w:tcW w:w="403" w:type="pct"/>
            <w:vAlign w:val="center"/>
            <w:hideMark/>
          </w:tcPr>
          <w:p w14:paraId="44E7B755" w14:textId="77777777" w:rsidR="002E51D5" w:rsidRPr="002E51D5" w:rsidRDefault="002E51D5" w:rsidP="00CF467D">
            <w:pPr>
              <w:jc w:val="center"/>
              <w:rPr>
                <w:rFonts w:ascii="Arial" w:hAnsi="Arial" w:cs="Arial"/>
              </w:rPr>
            </w:pPr>
            <w:r w:rsidRPr="002E51D5">
              <w:rPr>
                <w:rFonts w:ascii="Arial" w:hAnsi="Arial" w:cs="Arial"/>
              </w:rPr>
              <w:t>425</w:t>
            </w:r>
          </w:p>
        </w:tc>
        <w:tc>
          <w:tcPr>
            <w:tcW w:w="403" w:type="pct"/>
            <w:vAlign w:val="center"/>
            <w:hideMark/>
          </w:tcPr>
          <w:p w14:paraId="0870FF37" w14:textId="77777777" w:rsidR="002E51D5" w:rsidRPr="002E51D5" w:rsidRDefault="002E51D5" w:rsidP="00CF467D">
            <w:pPr>
              <w:jc w:val="center"/>
              <w:rPr>
                <w:rFonts w:ascii="Arial" w:hAnsi="Arial" w:cs="Arial"/>
              </w:rPr>
            </w:pPr>
            <w:r w:rsidRPr="002E51D5">
              <w:rPr>
                <w:rFonts w:ascii="Arial" w:hAnsi="Arial" w:cs="Arial"/>
              </w:rPr>
              <w:t>246</w:t>
            </w:r>
          </w:p>
        </w:tc>
        <w:tc>
          <w:tcPr>
            <w:tcW w:w="403" w:type="pct"/>
            <w:vAlign w:val="center"/>
            <w:hideMark/>
          </w:tcPr>
          <w:p w14:paraId="71FB9175" w14:textId="77777777" w:rsidR="002E51D5" w:rsidRPr="002E51D5" w:rsidRDefault="002E51D5" w:rsidP="00CF467D">
            <w:pPr>
              <w:jc w:val="center"/>
              <w:rPr>
                <w:rFonts w:ascii="Arial" w:hAnsi="Arial" w:cs="Arial"/>
              </w:rPr>
            </w:pPr>
            <w:r w:rsidRPr="002E51D5">
              <w:rPr>
                <w:rFonts w:ascii="Arial" w:hAnsi="Arial" w:cs="Arial"/>
              </w:rPr>
              <w:t>329</w:t>
            </w:r>
          </w:p>
        </w:tc>
        <w:tc>
          <w:tcPr>
            <w:tcW w:w="403" w:type="pct"/>
            <w:vAlign w:val="center"/>
            <w:hideMark/>
          </w:tcPr>
          <w:p w14:paraId="5B082359" w14:textId="77777777" w:rsidR="002E51D5" w:rsidRPr="002E51D5" w:rsidRDefault="002E51D5" w:rsidP="00CF467D">
            <w:pPr>
              <w:jc w:val="center"/>
              <w:rPr>
                <w:rFonts w:ascii="Arial" w:hAnsi="Arial" w:cs="Arial"/>
                <w:color w:val="000000"/>
              </w:rPr>
            </w:pPr>
            <w:r w:rsidRPr="002E51D5">
              <w:rPr>
                <w:rFonts w:ascii="Arial" w:hAnsi="Arial" w:cs="Arial"/>
                <w:color w:val="000000"/>
              </w:rPr>
              <w:t>299</w:t>
            </w:r>
          </w:p>
        </w:tc>
        <w:tc>
          <w:tcPr>
            <w:tcW w:w="403" w:type="pct"/>
            <w:vAlign w:val="center"/>
            <w:hideMark/>
          </w:tcPr>
          <w:p w14:paraId="6240F242" w14:textId="77777777" w:rsidR="002E51D5" w:rsidRPr="002E51D5" w:rsidRDefault="002E51D5" w:rsidP="00CF467D">
            <w:pPr>
              <w:jc w:val="center"/>
              <w:rPr>
                <w:rFonts w:ascii="Arial" w:hAnsi="Arial" w:cs="Arial"/>
                <w:color w:val="000000"/>
              </w:rPr>
            </w:pPr>
            <w:r w:rsidRPr="002E51D5">
              <w:rPr>
                <w:rFonts w:ascii="Arial" w:hAnsi="Arial" w:cs="Arial"/>
                <w:color w:val="000000"/>
              </w:rPr>
              <w:t>316</w:t>
            </w:r>
          </w:p>
        </w:tc>
        <w:tc>
          <w:tcPr>
            <w:tcW w:w="401" w:type="pct"/>
            <w:vAlign w:val="center"/>
            <w:hideMark/>
          </w:tcPr>
          <w:p w14:paraId="709AC183" w14:textId="77777777" w:rsidR="002E51D5" w:rsidRPr="002E51D5" w:rsidRDefault="002E51D5" w:rsidP="00CF467D">
            <w:pPr>
              <w:jc w:val="center"/>
              <w:rPr>
                <w:rFonts w:ascii="Arial" w:hAnsi="Arial" w:cs="Arial"/>
                <w:color w:val="000000"/>
              </w:rPr>
            </w:pPr>
            <w:r w:rsidRPr="002E51D5">
              <w:rPr>
                <w:rFonts w:ascii="Arial" w:hAnsi="Arial" w:cs="Arial"/>
                <w:color w:val="000000"/>
              </w:rPr>
              <w:t>312</w:t>
            </w:r>
          </w:p>
        </w:tc>
      </w:tr>
      <w:tr w:rsidR="002E51D5" w:rsidRPr="002E51D5" w14:paraId="254FEA53" w14:textId="77777777" w:rsidTr="00A0207E">
        <w:trPr>
          <w:trHeight w:val="425"/>
        </w:trPr>
        <w:tc>
          <w:tcPr>
            <w:tcW w:w="580" w:type="pct"/>
            <w:vMerge/>
            <w:hideMark/>
          </w:tcPr>
          <w:p w14:paraId="776E7D8A" w14:textId="77777777" w:rsidR="002E51D5" w:rsidRPr="002E51D5" w:rsidRDefault="002E51D5" w:rsidP="002E51D5">
            <w:pPr>
              <w:rPr>
                <w:rFonts w:ascii="Arial" w:hAnsi="Arial" w:cs="Arial"/>
              </w:rPr>
            </w:pPr>
          </w:p>
        </w:tc>
        <w:tc>
          <w:tcPr>
            <w:tcW w:w="2005" w:type="pct"/>
            <w:hideMark/>
          </w:tcPr>
          <w:p w14:paraId="64D3202D" w14:textId="77777777" w:rsidR="002E51D5" w:rsidRPr="002E51D5" w:rsidRDefault="002E51D5" w:rsidP="002E51D5">
            <w:pPr>
              <w:rPr>
                <w:rFonts w:ascii="Arial" w:hAnsi="Arial" w:cs="Arial"/>
              </w:rPr>
            </w:pPr>
            <w:r w:rsidRPr="002E51D5">
              <w:rPr>
                <w:rFonts w:ascii="Arial" w:hAnsi="Arial" w:cs="Arial"/>
              </w:rPr>
              <w:t>Number of Indigenous students  at NMS</w:t>
            </w:r>
          </w:p>
        </w:tc>
        <w:tc>
          <w:tcPr>
            <w:tcW w:w="403" w:type="pct"/>
            <w:vAlign w:val="center"/>
            <w:hideMark/>
          </w:tcPr>
          <w:p w14:paraId="128640BB" w14:textId="77777777" w:rsidR="002E51D5" w:rsidRPr="002E51D5" w:rsidRDefault="002E51D5" w:rsidP="00CF467D">
            <w:pPr>
              <w:jc w:val="center"/>
              <w:rPr>
                <w:rFonts w:ascii="Arial" w:hAnsi="Arial" w:cs="Arial"/>
              </w:rPr>
            </w:pPr>
            <w:r w:rsidRPr="002E51D5">
              <w:rPr>
                <w:rFonts w:ascii="Arial" w:hAnsi="Arial" w:cs="Arial"/>
              </w:rPr>
              <w:t>52</w:t>
            </w:r>
          </w:p>
        </w:tc>
        <w:tc>
          <w:tcPr>
            <w:tcW w:w="403" w:type="pct"/>
            <w:vAlign w:val="center"/>
            <w:hideMark/>
          </w:tcPr>
          <w:p w14:paraId="436E0C5E" w14:textId="77777777" w:rsidR="002E51D5" w:rsidRPr="002E51D5" w:rsidRDefault="002E51D5" w:rsidP="00CF467D">
            <w:pPr>
              <w:jc w:val="center"/>
              <w:rPr>
                <w:rFonts w:ascii="Arial" w:hAnsi="Arial" w:cs="Arial"/>
              </w:rPr>
            </w:pPr>
            <w:r w:rsidRPr="002E51D5">
              <w:rPr>
                <w:rFonts w:ascii="Arial" w:hAnsi="Arial" w:cs="Arial"/>
              </w:rPr>
              <w:t>31</w:t>
            </w:r>
          </w:p>
        </w:tc>
        <w:tc>
          <w:tcPr>
            <w:tcW w:w="403" w:type="pct"/>
            <w:vAlign w:val="center"/>
            <w:hideMark/>
          </w:tcPr>
          <w:p w14:paraId="6FDD4218" w14:textId="77777777" w:rsidR="002E51D5" w:rsidRPr="002E51D5" w:rsidRDefault="002E51D5" w:rsidP="00CF467D">
            <w:pPr>
              <w:jc w:val="center"/>
              <w:rPr>
                <w:rFonts w:ascii="Arial" w:hAnsi="Arial" w:cs="Arial"/>
              </w:rPr>
            </w:pPr>
            <w:r w:rsidRPr="002E51D5">
              <w:rPr>
                <w:rFonts w:ascii="Arial" w:hAnsi="Arial" w:cs="Arial"/>
              </w:rPr>
              <w:t>51</w:t>
            </w:r>
          </w:p>
        </w:tc>
        <w:tc>
          <w:tcPr>
            <w:tcW w:w="403" w:type="pct"/>
            <w:vAlign w:val="center"/>
            <w:hideMark/>
          </w:tcPr>
          <w:p w14:paraId="163D8BA8" w14:textId="77777777" w:rsidR="002E51D5" w:rsidRPr="002E51D5" w:rsidRDefault="002E51D5" w:rsidP="00CF467D">
            <w:pPr>
              <w:jc w:val="center"/>
              <w:rPr>
                <w:rFonts w:ascii="Arial" w:hAnsi="Arial" w:cs="Arial"/>
                <w:color w:val="000000"/>
              </w:rPr>
            </w:pPr>
            <w:r w:rsidRPr="002E51D5">
              <w:rPr>
                <w:rFonts w:ascii="Arial" w:hAnsi="Arial" w:cs="Arial"/>
                <w:color w:val="000000"/>
              </w:rPr>
              <w:t>39</w:t>
            </w:r>
          </w:p>
        </w:tc>
        <w:tc>
          <w:tcPr>
            <w:tcW w:w="403" w:type="pct"/>
            <w:vAlign w:val="center"/>
            <w:hideMark/>
          </w:tcPr>
          <w:p w14:paraId="5223661A" w14:textId="77777777" w:rsidR="002E51D5" w:rsidRPr="002E51D5" w:rsidRDefault="002E51D5" w:rsidP="00CF467D">
            <w:pPr>
              <w:jc w:val="center"/>
              <w:rPr>
                <w:rFonts w:ascii="Arial" w:hAnsi="Arial" w:cs="Arial"/>
                <w:color w:val="000000"/>
              </w:rPr>
            </w:pPr>
            <w:r w:rsidRPr="002E51D5">
              <w:rPr>
                <w:rFonts w:ascii="Arial" w:hAnsi="Arial" w:cs="Arial"/>
                <w:color w:val="000000"/>
              </w:rPr>
              <w:t>36</w:t>
            </w:r>
          </w:p>
        </w:tc>
        <w:tc>
          <w:tcPr>
            <w:tcW w:w="401" w:type="pct"/>
            <w:vAlign w:val="center"/>
            <w:hideMark/>
          </w:tcPr>
          <w:p w14:paraId="3310C485" w14:textId="77777777" w:rsidR="002E51D5" w:rsidRPr="002E51D5" w:rsidRDefault="002E51D5" w:rsidP="00CF467D">
            <w:pPr>
              <w:jc w:val="center"/>
              <w:rPr>
                <w:rFonts w:ascii="Arial" w:hAnsi="Arial" w:cs="Arial"/>
                <w:color w:val="000000"/>
              </w:rPr>
            </w:pPr>
            <w:r w:rsidRPr="002E51D5">
              <w:rPr>
                <w:rFonts w:ascii="Arial" w:hAnsi="Arial" w:cs="Arial"/>
                <w:color w:val="000000"/>
              </w:rPr>
              <w:t>49</w:t>
            </w:r>
          </w:p>
        </w:tc>
      </w:tr>
      <w:tr w:rsidR="002E51D5" w:rsidRPr="002E51D5" w14:paraId="69441B0F" w14:textId="77777777" w:rsidTr="00A0207E">
        <w:trPr>
          <w:trHeight w:val="425"/>
        </w:trPr>
        <w:tc>
          <w:tcPr>
            <w:tcW w:w="580" w:type="pct"/>
            <w:vMerge/>
            <w:hideMark/>
          </w:tcPr>
          <w:p w14:paraId="05DD3AFD" w14:textId="77777777" w:rsidR="002E51D5" w:rsidRPr="002E51D5" w:rsidRDefault="002E51D5" w:rsidP="002E51D5">
            <w:pPr>
              <w:rPr>
                <w:rFonts w:ascii="Arial" w:hAnsi="Arial" w:cs="Arial"/>
              </w:rPr>
            </w:pPr>
          </w:p>
        </w:tc>
        <w:tc>
          <w:tcPr>
            <w:tcW w:w="2005" w:type="pct"/>
            <w:hideMark/>
          </w:tcPr>
          <w:p w14:paraId="132C9E4E" w14:textId="77777777" w:rsidR="002E51D5" w:rsidRPr="002E51D5" w:rsidRDefault="002E51D5" w:rsidP="002E51D5">
            <w:pPr>
              <w:rPr>
                <w:rFonts w:ascii="Arial" w:hAnsi="Arial" w:cs="Arial"/>
              </w:rPr>
            </w:pPr>
            <w:r w:rsidRPr="002E51D5">
              <w:rPr>
                <w:rFonts w:ascii="Arial" w:hAnsi="Arial" w:cs="Arial"/>
              </w:rPr>
              <w:t>Number of students below NMS</w:t>
            </w:r>
          </w:p>
        </w:tc>
        <w:tc>
          <w:tcPr>
            <w:tcW w:w="403" w:type="pct"/>
            <w:vAlign w:val="center"/>
            <w:hideMark/>
          </w:tcPr>
          <w:p w14:paraId="31C1D820" w14:textId="77777777" w:rsidR="002E51D5" w:rsidRPr="002E51D5" w:rsidRDefault="002E51D5" w:rsidP="00CF467D">
            <w:pPr>
              <w:jc w:val="center"/>
              <w:rPr>
                <w:rFonts w:ascii="Arial" w:hAnsi="Arial" w:cs="Arial"/>
              </w:rPr>
            </w:pPr>
            <w:r w:rsidRPr="002E51D5">
              <w:rPr>
                <w:rFonts w:ascii="Arial" w:hAnsi="Arial" w:cs="Arial"/>
              </w:rPr>
              <w:t>190</w:t>
            </w:r>
          </w:p>
        </w:tc>
        <w:tc>
          <w:tcPr>
            <w:tcW w:w="403" w:type="pct"/>
            <w:vAlign w:val="center"/>
            <w:hideMark/>
          </w:tcPr>
          <w:p w14:paraId="748D0988" w14:textId="77777777" w:rsidR="002E51D5" w:rsidRPr="002E51D5" w:rsidRDefault="002E51D5" w:rsidP="00CF467D">
            <w:pPr>
              <w:jc w:val="center"/>
              <w:rPr>
                <w:rFonts w:ascii="Arial" w:hAnsi="Arial" w:cs="Arial"/>
              </w:rPr>
            </w:pPr>
            <w:r w:rsidRPr="002E51D5">
              <w:rPr>
                <w:rFonts w:ascii="Arial" w:hAnsi="Arial" w:cs="Arial"/>
              </w:rPr>
              <w:t>152</w:t>
            </w:r>
          </w:p>
        </w:tc>
        <w:tc>
          <w:tcPr>
            <w:tcW w:w="403" w:type="pct"/>
            <w:vAlign w:val="center"/>
            <w:hideMark/>
          </w:tcPr>
          <w:p w14:paraId="61B3924D" w14:textId="77777777" w:rsidR="002E51D5" w:rsidRPr="002E51D5" w:rsidRDefault="002E51D5" w:rsidP="00CF467D">
            <w:pPr>
              <w:jc w:val="center"/>
              <w:rPr>
                <w:rFonts w:ascii="Arial" w:hAnsi="Arial" w:cs="Arial"/>
              </w:rPr>
            </w:pPr>
            <w:r w:rsidRPr="002E51D5">
              <w:rPr>
                <w:rFonts w:ascii="Arial" w:hAnsi="Arial" w:cs="Arial"/>
              </w:rPr>
              <w:t>178</w:t>
            </w:r>
          </w:p>
        </w:tc>
        <w:tc>
          <w:tcPr>
            <w:tcW w:w="403" w:type="pct"/>
            <w:vAlign w:val="center"/>
            <w:hideMark/>
          </w:tcPr>
          <w:p w14:paraId="41008364" w14:textId="77777777" w:rsidR="002E51D5" w:rsidRPr="002E51D5" w:rsidRDefault="002E51D5" w:rsidP="00CF467D">
            <w:pPr>
              <w:jc w:val="center"/>
              <w:rPr>
                <w:rFonts w:ascii="Arial" w:hAnsi="Arial" w:cs="Arial"/>
                <w:color w:val="000000"/>
              </w:rPr>
            </w:pPr>
            <w:r w:rsidRPr="002E51D5">
              <w:rPr>
                <w:rFonts w:ascii="Arial" w:hAnsi="Arial" w:cs="Arial"/>
                <w:color w:val="000000"/>
              </w:rPr>
              <w:t>181</w:t>
            </w:r>
          </w:p>
        </w:tc>
        <w:tc>
          <w:tcPr>
            <w:tcW w:w="403" w:type="pct"/>
            <w:vAlign w:val="center"/>
            <w:hideMark/>
          </w:tcPr>
          <w:p w14:paraId="4BBD70FD" w14:textId="77777777" w:rsidR="002E51D5" w:rsidRPr="002E51D5" w:rsidRDefault="002E51D5" w:rsidP="00CF467D">
            <w:pPr>
              <w:jc w:val="center"/>
              <w:rPr>
                <w:rFonts w:ascii="Arial" w:hAnsi="Arial" w:cs="Arial"/>
                <w:color w:val="000000"/>
              </w:rPr>
            </w:pPr>
            <w:r w:rsidRPr="002E51D5">
              <w:rPr>
                <w:rFonts w:ascii="Arial" w:hAnsi="Arial" w:cs="Arial"/>
                <w:color w:val="000000"/>
              </w:rPr>
              <w:t>139</w:t>
            </w:r>
          </w:p>
        </w:tc>
        <w:tc>
          <w:tcPr>
            <w:tcW w:w="401" w:type="pct"/>
            <w:vAlign w:val="center"/>
            <w:hideMark/>
          </w:tcPr>
          <w:p w14:paraId="3DA475B3" w14:textId="77777777" w:rsidR="002E51D5" w:rsidRPr="002E51D5" w:rsidRDefault="002E51D5" w:rsidP="00CF467D">
            <w:pPr>
              <w:jc w:val="center"/>
              <w:rPr>
                <w:rFonts w:ascii="Arial" w:hAnsi="Arial" w:cs="Arial"/>
                <w:color w:val="000000"/>
              </w:rPr>
            </w:pPr>
            <w:r w:rsidRPr="002E51D5">
              <w:rPr>
                <w:rFonts w:ascii="Arial" w:hAnsi="Arial" w:cs="Arial"/>
                <w:color w:val="000000"/>
              </w:rPr>
              <w:t>146</w:t>
            </w:r>
          </w:p>
        </w:tc>
      </w:tr>
      <w:tr w:rsidR="002E51D5" w:rsidRPr="002E51D5" w14:paraId="2DA2DF56" w14:textId="77777777" w:rsidTr="00A0207E">
        <w:trPr>
          <w:trHeight w:val="425"/>
        </w:trPr>
        <w:tc>
          <w:tcPr>
            <w:tcW w:w="580" w:type="pct"/>
            <w:vMerge/>
            <w:hideMark/>
          </w:tcPr>
          <w:p w14:paraId="74CEEFC7" w14:textId="77777777" w:rsidR="002E51D5" w:rsidRPr="002E51D5" w:rsidRDefault="002E51D5" w:rsidP="002E51D5">
            <w:pPr>
              <w:rPr>
                <w:rFonts w:ascii="Arial" w:hAnsi="Arial" w:cs="Arial"/>
              </w:rPr>
            </w:pPr>
          </w:p>
        </w:tc>
        <w:tc>
          <w:tcPr>
            <w:tcW w:w="2005" w:type="pct"/>
            <w:hideMark/>
          </w:tcPr>
          <w:p w14:paraId="41D1A39F" w14:textId="77777777" w:rsidR="002E51D5" w:rsidRPr="002E51D5" w:rsidRDefault="002E51D5" w:rsidP="002E51D5">
            <w:pPr>
              <w:rPr>
                <w:rFonts w:ascii="Arial" w:hAnsi="Arial" w:cs="Arial"/>
              </w:rPr>
            </w:pPr>
            <w:r w:rsidRPr="002E51D5">
              <w:rPr>
                <w:rFonts w:ascii="Arial" w:hAnsi="Arial" w:cs="Arial"/>
              </w:rPr>
              <w:t>Number of Indigenous students below NMS</w:t>
            </w:r>
          </w:p>
        </w:tc>
        <w:tc>
          <w:tcPr>
            <w:tcW w:w="403" w:type="pct"/>
            <w:vAlign w:val="center"/>
            <w:hideMark/>
          </w:tcPr>
          <w:p w14:paraId="227EEE32" w14:textId="77777777" w:rsidR="002E51D5" w:rsidRPr="002E51D5" w:rsidRDefault="002E51D5" w:rsidP="00CF467D">
            <w:pPr>
              <w:jc w:val="center"/>
              <w:rPr>
                <w:rFonts w:ascii="Arial" w:hAnsi="Arial" w:cs="Arial"/>
              </w:rPr>
            </w:pPr>
            <w:r w:rsidRPr="002E51D5">
              <w:rPr>
                <w:rFonts w:ascii="Arial" w:hAnsi="Arial" w:cs="Arial"/>
              </w:rPr>
              <w:t>20</w:t>
            </w:r>
          </w:p>
        </w:tc>
        <w:tc>
          <w:tcPr>
            <w:tcW w:w="403" w:type="pct"/>
            <w:vAlign w:val="center"/>
            <w:hideMark/>
          </w:tcPr>
          <w:p w14:paraId="7A84A90F" w14:textId="77777777" w:rsidR="002E51D5" w:rsidRPr="002E51D5" w:rsidRDefault="002E51D5" w:rsidP="00CF467D">
            <w:pPr>
              <w:jc w:val="center"/>
              <w:rPr>
                <w:rFonts w:ascii="Arial" w:hAnsi="Arial" w:cs="Arial"/>
              </w:rPr>
            </w:pPr>
            <w:r w:rsidRPr="002E51D5">
              <w:rPr>
                <w:rFonts w:ascii="Arial" w:hAnsi="Arial" w:cs="Arial"/>
              </w:rPr>
              <w:t>20</w:t>
            </w:r>
          </w:p>
        </w:tc>
        <w:tc>
          <w:tcPr>
            <w:tcW w:w="403" w:type="pct"/>
            <w:vAlign w:val="center"/>
            <w:hideMark/>
          </w:tcPr>
          <w:p w14:paraId="4E56ADCB" w14:textId="77777777" w:rsidR="002E51D5" w:rsidRPr="002E51D5" w:rsidRDefault="002E51D5" w:rsidP="00CF467D">
            <w:pPr>
              <w:jc w:val="center"/>
              <w:rPr>
                <w:rFonts w:ascii="Arial" w:hAnsi="Arial" w:cs="Arial"/>
              </w:rPr>
            </w:pPr>
            <w:r w:rsidRPr="002E51D5">
              <w:rPr>
                <w:rFonts w:ascii="Arial" w:hAnsi="Arial" w:cs="Arial"/>
              </w:rPr>
              <w:t>25</w:t>
            </w:r>
          </w:p>
        </w:tc>
        <w:tc>
          <w:tcPr>
            <w:tcW w:w="403" w:type="pct"/>
            <w:vAlign w:val="center"/>
            <w:hideMark/>
          </w:tcPr>
          <w:p w14:paraId="6E561CA2" w14:textId="77777777" w:rsidR="002E51D5" w:rsidRPr="002E51D5" w:rsidRDefault="002E51D5" w:rsidP="00CF467D">
            <w:pPr>
              <w:jc w:val="center"/>
              <w:rPr>
                <w:rFonts w:ascii="Arial" w:hAnsi="Arial" w:cs="Arial"/>
              </w:rPr>
            </w:pPr>
            <w:r w:rsidRPr="002E51D5">
              <w:rPr>
                <w:rFonts w:ascii="Arial" w:hAnsi="Arial" w:cs="Arial"/>
              </w:rPr>
              <w:t>33</w:t>
            </w:r>
          </w:p>
        </w:tc>
        <w:tc>
          <w:tcPr>
            <w:tcW w:w="403" w:type="pct"/>
            <w:vAlign w:val="center"/>
            <w:hideMark/>
          </w:tcPr>
          <w:p w14:paraId="78957586" w14:textId="77777777" w:rsidR="002E51D5" w:rsidRPr="002E51D5" w:rsidRDefault="002E51D5" w:rsidP="00CF467D">
            <w:pPr>
              <w:jc w:val="center"/>
              <w:rPr>
                <w:rFonts w:ascii="Arial" w:hAnsi="Arial" w:cs="Arial"/>
              </w:rPr>
            </w:pPr>
            <w:r w:rsidRPr="002E51D5">
              <w:rPr>
                <w:rFonts w:ascii="Arial" w:hAnsi="Arial" w:cs="Arial"/>
              </w:rPr>
              <w:t>15</w:t>
            </w:r>
          </w:p>
        </w:tc>
        <w:tc>
          <w:tcPr>
            <w:tcW w:w="401" w:type="pct"/>
            <w:vAlign w:val="center"/>
            <w:hideMark/>
          </w:tcPr>
          <w:p w14:paraId="18CA8D7E" w14:textId="77777777" w:rsidR="002E51D5" w:rsidRPr="002E51D5" w:rsidRDefault="002E51D5" w:rsidP="00CF467D">
            <w:pPr>
              <w:jc w:val="center"/>
              <w:rPr>
                <w:rFonts w:ascii="Arial" w:hAnsi="Arial" w:cs="Arial"/>
              </w:rPr>
            </w:pPr>
            <w:r w:rsidRPr="002E51D5">
              <w:rPr>
                <w:rFonts w:ascii="Arial" w:hAnsi="Arial" w:cs="Arial"/>
              </w:rPr>
              <w:t>25</w:t>
            </w:r>
          </w:p>
        </w:tc>
      </w:tr>
      <w:tr w:rsidR="002E51D5" w:rsidRPr="002E51D5" w14:paraId="5D952651" w14:textId="77777777" w:rsidTr="00A0207E">
        <w:trPr>
          <w:trHeight w:val="425"/>
        </w:trPr>
        <w:tc>
          <w:tcPr>
            <w:tcW w:w="580" w:type="pct"/>
            <w:vMerge/>
            <w:hideMark/>
          </w:tcPr>
          <w:p w14:paraId="5C5EA16F" w14:textId="77777777" w:rsidR="002E51D5" w:rsidRPr="002E51D5" w:rsidRDefault="002E51D5" w:rsidP="002E51D5">
            <w:pPr>
              <w:rPr>
                <w:rFonts w:ascii="Arial" w:hAnsi="Arial" w:cs="Arial"/>
              </w:rPr>
            </w:pPr>
          </w:p>
        </w:tc>
        <w:tc>
          <w:tcPr>
            <w:tcW w:w="2005" w:type="pct"/>
            <w:hideMark/>
          </w:tcPr>
          <w:p w14:paraId="35640C32" w14:textId="77777777" w:rsidR="002E51D5" w:rsidRPr="002E51D5" w:rsidRDefault="002E51D5" w:rsidP="002E51D5">
            <w:pPr>
              <w:rPr>
                <w:rFonts w:ascii="Arial" w:hAnsi="Arial" w:cs="Arial"/>
              </w:rPr>
            </w:pPr>
            <w:r w:rsidRPr="002E51D5">
              <w:rPr>
                <w:rFonts w:ascii="Arial" w:hAnsi="Arial" w:cs="Arial"/>
              </w:rPr>
              <w:t>Number of students with scores</w:t>
            </w:r>
          </w:p>
        </w:tc>
        <w:tc>
          <w:tcPr>
            <w:tcW w:w="403" w:type="pct"/>
            <w:vAlign w:val="center"/>
            <w:hideMark/>
          </w:tcPr>
          <w:p w14:paraId="5A34B114" w14:textId="77777777" w:rsidR="002E51D5" w:rsidRPr="002E51D5" w:rsidRDefault="002E51D5" w:rsidP="00CF467D">
            <w:pPr>
              <w:jc w:val="center"/>
              <w:rPr>
                <w:rFonts w:ascii="Arial" w:hAnsi="Arial" w:cs="Arial"/>
              </w:rPr>
            </w:pPr>
            <w:r w:rsidRPr="002E51D5">
              <w:rPr>
                <w:rFonts w:ascii="Arial" w:hAnsi="Arial" w:cs="Arial"/>
              </w:rPr>
              <w:t>2028</w:t>
            </w:r>
          </w:p>
        </w:tc>
        <w:tc>
          <w:tcPr>
            <w:tcW w:w="403" w:type="pct"/>
            <w:vAlign w:val="center"/>
            <w:hideMark/>
          </w:tcPr>
          <w:p w14:paraId="327A4114" w14:textId="77777777" w:rsidR="002E51D5" w:rsidRPr="002E51D5" w:rsidRDefault="002E51D5" w:rsidP="00CF467D">
            <w:pPr>
              <w:jc w:val="center"/>
              <w:rPr>
                <w:rFonts w:ascii="Arial" w:hAnsi="Arial" w:cs="Arial"/>
              </w:rPr>
            </w:pPr>
            <w:r w:rsidRPr="002E51D5">
              <w:rPr>
                <w:rFonts w:ascii="Arial" w:hAnsi="Arial" w:cs="Arial"/>
              </w:rPr>
              <w:t>1908</w:t>
            </w:r>
          </w:p>
        </w:tc>
        <w:tc>
          <w:tcPr>
            <w:tcW w:w="403" w:type="pct"/>
            <w:vAlign w:val="center"/>
            <w:hideMark/>
          </w:tcPr>
          <w:p w14:paraId="171F7CED" w14:textId="77777777" w:rsidR="002E51D5" w:rsidRPr="002E51D5" w:rsidRDefault="002E51D5" w:rsidP="00CF467D">
            <w:pPr>
              <w:jc w:val="center"/>
              <w:rPr>
                <w:rFonts w:ascii="Arial" w:hAnsi="Arial" w:cs="Arial"/>
              </w:rPr>
            </w:pPr>
            <w:r w:rsidRPr="002E51D5">
              <w:rPr>
                <w:rFonts w:ascii="Arial" w:hAnsi="Arial" w:cs="Arial"/>
              </w:rPr>
              <w:t>1858</w:t>
            </w:r>
          </w:p>
        </w:tc>
        <w:tc>
          <w:tcPr>
            <w:tcW w:w="403" w:type="pct"/>
            <w:vAlign w:val="center"/>
            <w:hideMark/>
          </w:tcPr>
          <w:p w14:paraId="2E084FB7" w14:textId="77777777" w:rsidR="002E51D5" w:rsidRPr="002E51D5" w:rsidRDefault="002E51D5" w:rsidP="00CF467D">
            <w:pPr>
              <w:jc w:val="center"/>
              <w:rPr>
                <w:rFonts w:ascii="Arial" w:hAnsi="Arial" w:cs="Arial"/>
                <w:color w:val="000000"/>
              </w:rPr>
            </w:pPr>
            <w:r w:rsidRPr="002E51D5">
              <w:rPr>
                <w:rFonts w:ascii="Arial" w:hAnsi="Arial" w:cs="Arial"/>
                <w:color w:val="000000"/>
              </w:rPr>
              <w:t>1872</w:t>
            </w:r>
          </w:p>
        </w:tc>
        <w:tc>
          <w:tcPr>
            <w:tcW w:w="403" w:type="pct"/>
            <w:vAlign w:val="center"/>
            <w:hideMark/>
          </w:tcPr>
          <w:p w14:paraId="0FE6DB20" w14:textId="77777777" w:rsidR="002E51D5" w:rsidRPr="002E51D5" w:rsidRDefault="002E51D5" w:rsidP="00CF467D">
            <w:pPr>
              <w:jc w:val="center"/>
              <w:rPr>
                <w:rFonts w:ascii="Arial" w:hAnsi="Arial" w:cs="Arial"/>
                <w:color w:val="000000"/>
              </w:rPr>
            </w:pPr>
            <w:r w:rsidRPr="002E51D5">
              <w:rPr>
                <w:rFonts w:ascii="Arial" w:hAnsi="Arial" w:cs="Arial"/>
                <w:color w:val="000000"/>
              </w:rPr>
              <w:t>1834</w:t>
            </w:r>
          </w:p>
        </w:tc>
        <w:tc>
          <w:tcPr>
            <w:tcW w:w="401" w:type="pct"/>
            <w:vAlign w:val="center"/>
            <w:hideMark/>
          </w:tcPr>
          <w:p w14:paraId="26712495" w14:textId="77777777" w:rsidR="002E51D5" w:rsidRPr="002E51D5" w:rsidRDefault="002E51D5" w:rsidP="00CF467D">
            <w:pPr>
              <w:jc w:val="center"/>
              <w:rPr>
                <w:rFonts w:ascii="Arial" w:hAnsi="Arial" w:cs="Arial"/>
                <w:color w:val="000000"/>
              </w:rPr>
            </w:pPr>
            <w:r w:rsidRPr="002E51D5">
              <w:rPr>
                <w:rFonts w:ascii="Arial" w:hAnsi="Arial" w:cs="Arial"/>
                <w:color w:val="000000"/>
              </w:rPr>
              <w:t>1805</w:t>
            </w:r>
          </w:p>
        </w:tc>
      </w:tr>
      <w:tr w:rsidR="002E51D5" w:rsidRPr="002E51D5" w14:paraId="15720BC8" w14:textId="77777777" w:rsidTr="00A0207E">
        <w:trPr>
          <w:trHeight w:val="425"/>
        </w:trPr>
        <w:tc>
          <w:tcPr>
            <w:tcW w:w="580" w:type="pct"/>
            <w:vMerge/>
            <w:hideMark/>
          </w:tcPr>
          <w:p w14:paraId="3DEBE87D" w14:textId="77777777" w:rsidR="002E51D5" w:rsidRPr="002E51D5" w:rsidRDefault="002E51D5" w:rsidP="002E51D5">
            <w:pPr>
              <w:rPr>
                <w:rFonts w:ascii="Arial" w:hAnsi="Arial" w:cs="Arial"/>
              </w:rPr>
            </w:pPr>
          </w:p>
        </w:tc>
        <w:tc>
          <w:tcPr>
            <w:tcW w:w="2005" w:type="pct"/>
            <w:hideMark/>
          </w:tcPr>
          <w:p w14:paraId="1E42CEF1" w14:textId="77777777" w:rsidR="002E51D5" w:rsidRPr="002E51D5" w:rsidRDefault="002E51D5" w:rsidP="002E51D5">
            <w:pPr>
              <w:rPr>
                <w:rFonts w:ascii="Arial" w:hAnsi="Arial" w:cs="Arial"/>
              </w:rPr>
            </w:pPr>
            <w:r w:rsidRPr="002E51D5">
              <w:rPr>
                <w:rFonts w:ascii="Arial" w:hAnsi="Arial" w:cs="Arial"/>
              </w:rPr>
              <w:t>Number of Indigenous students with scores</w:t>
            </w:r>
          </w:p>
        </w:tc>
        <w:tc>
          <w:tcPr>
            <w:tcW w:w="403" w:type="pct"/>
            <w:vAlign w:val="center"/>
            <w:hideMark/>
          </w:tcPr>
          <w:p w14:paraId="0409AAA1" w14:textId="77777777" w:rsidR="002E51D5" w:rsidRPr="002E51D5" w:rsidRDefault="002E51D5" w:rsidP="00CF467D">
            <w:pPr>
              <w:jc w:val="center"/>
              <w:rPr>
                <w:rFonts w:ascii="Arial" w:hAnsi="Arial" w:cs="Arial"/>
              </w:rPr>
            </w:pPr>
            <w:r w:rsidRPr="002E51D5">
              <w:rPr>
                <w:rFonts w:ascii="Arial" w:hAnsi="Arial" w:cs="Arial"/>
              </w:rPr>
              <w:t>149</w:t>
            </w:r>
          </w:p>
        </w:tc>
        <w:tc>
          <w:tcPr>
            <w:tcW w:w="403" w:type="pct"/>
            <w:vAlign w:val="center"/>
            <w:hideMark/>
          </w:tcPr>
          <w:p w14:paraId="01E38303" w14:textId="77777777" w:rsidR="002E51D5" w:rsidRPr="002E51D5" w:rsidRDefault="002E51D5" w:rsidP="00CF467D">
            <w:pPr>
              <w:jc w:val="center"/>
              <w:rPr>
                <w:rFonts w:ascii="Arial" w:hAnsi="Arial" w:cs="Arial"/>
              </w:rPr>
            </w:pPr>
            <w:r w:rsidRPr="002E51D5">
              <w:rPr>
                <w:rFonts w:ascii="Arial" w:hAnsi="Arial" w:cs="Arial"/>
              </w:rPr>
              <w:t>133</w:t>
            </w:r>
          </w:p>
        </w:tc>
        <w:tc>
          <w:tcPr>
            <w:tcW w:w="403" w:type="pct"/>
            <w:vAlign w:val="center"/>
            <w:hideMark/>
          </w:tcPr>
          <w:p w14:paraId="1025B720" w14:textId="77777777" w:rsidR="002E51D5" w:rsidRPr="002E51D5" w:rsidRDefault="002E51D5" w:rsidP="00CF467D">
            <w:pPr>
              <w:jc w:val="center"/>
              <w:rPr>
                <w:rFonts w:ascii="Arial" w:hAnsi="Arial" w:cs="Arial"/>
              </w:rPr>
            </w:pPr>
            <w:r w:rsidRPr="002E51D5">
              <w:rPr>
                <w:rFonts w:ascii="Arial" w:hAnsi="Arial" w:cs="Arial"/>
              </w:rPr>
              <w:t>148</w:t>
            </w:r>
          </w:p>
        </w:tc>
        <w:tc>
          <w:tcPr>
            <w:tcW w:w="403" w:type="pct"/>
            <w:vAlign w:val="center"/>
            <w:hideMark/>
          </w:tcPr>
          <w:p w14:paraId="11EF007A" w14:textId="77777777" w:rsidR="002E51D5" w:rsidRPr="002E51D5" w:rsidRDefault="002E51D5" w:rsidP="00CF467D">
            <w:pPr>
              <w:jc w:val="center"/>
              <w:rPr>
                <w:rFonts w:ascii="Arial" w:hAnsi="Arial" w:cs="Arial"/>
              </w:rPr>
            </w:pPr>
            <w:r w:rsidRPr="002E51D5">
              <w:rPr>
                <w:rFonts w:ascii="Arial" w:hAnsi="Arial" w:cs="Arial"/>
              </w:rPr>
              <w:t>159</w:t>
            </w:r>
          </w:p>
        </w:tc>
        <w:tc>
          <w:tcPr>
            <w:tcW w:w="403" w:type="pct"/>
            <w:vAlign w:val="center"/>
            <w:hideMark/>
          </w:tcPr>
          <w:p w14:paraId="18F1F521" w14:textId="77777777" w:rsidR="002E51D5" w:rsidRPr="002E51D5" w:rsidRDefault="002E51D5" w:rsidP="00CF467D">
            <w:pPr>
              <w:jc w:val="center"/>
              <w:rPr>
                <w:rFonts w:ascii="Arial" w:hAnsi="Arial" w:cs="Arial"/>
              </w:rPr>
            </w:pPr>
            <w:r w:rsidRPr="002E51D5">
              <w:rPr>
                <w:rFonts w:ascii="Arial" w:hAnsi="Arial" w:cs="Arial"/>
              </w:rPr>
              <w:t>164</w:t>
            </w:r>
          </w:p>
        </w:tc>
        <w:tc>
          <w:tcPr>
            <w:tcW w:w="401" w:type="pct"/>
            <w:vAlign w:val="center"/>
            <w:hideMark/>
          </w:tcPr>
          <w:p w14:paraId="1555BE4B" w14:textId="77777777" w:rsidR="002E51D5" w:rsidRPr="002E51D5" w:rsidRDefault="002E51D5" w:rsidP="00CF467D">
            <w:pPr>
              <w:jc w:val="center"/>
              <w:rPr>
                <w:rFonts w:ascii="Arial" w:hAnsi="Arial" w:cs="Arial"/>
              </w:rPr>
            </w:pPr>
            <w:r w:rsidRPr="002E51D5">
              <w:rPr>
                <w:rFonts w:ascii="Arial" w:hAnsi="Arial" w:cs="Arial"/>
              </w:rPr>
              <w:t>183</w:t>
            </w:r>
          </w:p>
        </w:tc>
      </w:tr>
      <w:tr w:rsidR="002E51D5" w:rsidRPr="002E51D5" w14:paraId="0338169A" w14:textId="77777777" w:rsidTr="00A0207E">
        <w:trPr>
          <w:trHeight w:val="425"/>
        </w:trPr>
        <w:tc>
          <w:tcPr>
            <w:tcW w:w="580" w:type="pct"/>
            <w:vMerge/>
            <w:hideMark/>
          </w:tcPr>
          <w:p w14:paraId="533AA48A" w14:textId="77777777" w:rsidR="002E51D5" w:rsidRPr="002E51D5" w:rsidRDefault="002E51D5" w:rsidP="002E51D5">
            <w:pPr>
              <w:rPr>
                <w:rFonts w:ascii="Arial" w:hAnsi="Arial" w:cs="Arial"/>
              </w:rPr>
            </w:pPr>
          </w:p>
        </w:tc>
        <w:tc>
          <w:tcPr>
            <w:tcW w:w="2005" w:type="pct"/>
            <w:hideMark/>
          </w:tcPr>
          <w:p w14:paraId="0BC71468" w14:textId="77777777" w:rsidR="002E51D5" w:rsidRPr="002E51D5" w:rsidRDefault="002E51D5" w:rsidP="002E51D5">
            <w:pPr>
              <w:rPr>
                <w:rFonts w:ascii="Arial" w:hAnsi="Arial" w:cs="Arial"/>
              </w:rPr>
            </w:pPr>
            <w:r w:rsidRPr="002E51D5">
              <w:rPr>
                <w:rFonts w:ascii="Arial" w:hAnsi="Arial" w:cs="Arial"/>
              </w:rPr>
              <w:t>Number of students absent</w:t>
            </w:r>
          </w:p>
        </w:tc>
        <w:tc>
          <w:tcPr>
            <w:tcW w:w="403" w:type="pct"/>
            <w:vAlign w:val="center"/>
            <w:hideMark/>
          </w:tcPr>
          <w:p w14:paraId="6F669E30" w14:textId="77777777" w:rsidR="002E51D5" w:rsidRPr="002E51D5" w:rsidRDefault="002E51D5" w:rsidP="00CF467D">
            <w:pPr>
              <w:jc w:val="center"/>
              <w:rPr>
                <w:rFonts w:ascii="Arial" w:hAnsi="Arial" w:cs="Arial"/>
              </w:rPr>
            </w:pPr>
            <w:r w:rsidRPr="002E51D5">
              <w:rPr>
                <w:rFonts w:ascii="Arial" w:hAnsi="Arial" w:cs="Arial"/>
              </w:rPr>
              <w:t>16</w:t>
            </w:r>
          </w:p>
        </w:tc>
        <w:tc>
          <w:tcPr>
            <w:tcW w:w="403" w:type="pct"/>
            <w:vAlign w:val="center"/>
            <w:hideMark/>
          </w:tcPr>
          <w:p w14:paraId="4ECF916C" w14:textId="77777777" w:rsidR="002E51D5" w:rsidRPr="002E51D5" w:rsidRDefault="002E51D5" w:rsidP="00CF467D">
            <w:pPr>
              <w:jc w:val="center"/>
              <w:rPr>
                <w:rFonts w:ascii="Arial" w:hAnsi="Arial" w:cs="Arial"/>
              </w:rPr>
            </w:pPr>
            <w:r w:rsidRPr="002E51D5">
              <w:rPr>
                <w:rFonts w:ascii="Arial" w:hAnsi="Arial" w:cs="Arial"/>
              </w:rPr>
              <w:t>54</w:t>
            </w:r>
          </w:p>
        </w:tc>
        <w:tc>
          <w:tcPr>
            <w:tcW w:w="403" w:type="pct"/>
            <w:vAlign w:val="center"/>
            <w:hideMark/>
          </w:tcPr>
          <w:p w14:paraId="0C0AAAFD" w14:textId="77777777" w:rsidR="002E51D5" w:rsidRPr="002E51D5" w:rsidRDefault="002E51D5" w:rsidP="00CF467D">
            <w:pPr>
              <w:jc w:val="center"/>
              <w:rPr>
                <w:rFonts w:ascii="Arial" w:hAnsi="Arial" w:cs="Arial"/>
              </w:rPr>
            </w:pPr>
            <w:r w:rsidRPr="002E51D5">
              <w:rPr>
                <w:rFonts w:ascii="Arial" w:hAnsi="Arial" w:cs="Arial"/>
              </w:rPr>
              <w:t>34</w:t>
            </w:r>
          </w:p>
        </w:tc>
        <w:tc>
          <w:tcPr>
            <w:tcW w:w="403" w:type="pct"/>
            <w:vAlign w:val="center"/>
            <w:hideMark/>
          </w:tcPr>
          <w:p w14:paraId="104E5BB8" w14:textId="77777777" w:rsidR="002E51D5" w:rsidRPr="002E51D5" w:rsidRDefault="002E51D5" w:rsidP="00CF467D">
            <w:pPr>
              <w:jc w:val="center"/>
              <w:rPr>
                <w:rFonts w:ascii="Arial" w:hAnsi="Arial" w:cs="Arial"/>
                <w:color w:val="000000"/>
              </w:rPr>
            </w:pPr>
            <w:r w:rsidRPr="002E51D5">
              <w:rPr>
                <w:rFonts w:ascii="Arial" w:hAnsi="Arial" w:cs="Arial"/>
                <w:color w:val="000000"/>
              </w:rPr>
              <w:t>55</w:t>
            </w:r>
          </w:p>
        </w:tc>
        <w:tc>
          <w:tcPr>
            <w:tcW w:w="403" w:type="pct"/>
            <w:vAlign w:val="center"/>
            <w:hideMark/>
          </w:tcPr>
          <w:p w14:paraId="292150FA" w14:textId="77777777" w:rsidR="002E51D5" w:rsidRPr="002E51D5" w:rsidRDefault="002E51D5" w:rsidP="00CF467D">
            <w:pPr>
              <w:jc w:val="center"/>
              <w:rPr>
                <w:rFonts w:ascii="Arial" w:hAnsi="Arial" w:cs="Arial"/>
                <w:color w:val="000000"/>
              </w:rPr>
            </w:pPr>
            <w:r w:rsidRPr="002E51D5">
              <w:rPr>
                <w:rFonts w:ascii="Arial" w:hAnsi="Arial" w:cs="Arial"/>
                <w:color w:val="000000"/>
              </w:rPr>
              <w:t>47</w:t>
            </w:r>
          </w:p>
        </w:tc>
        <w:tc>
          <w:tcPr>
            <w:tcW w:w="401" w:type="pct"/>
            <w:vAlign w:val="center"/>
            <w:hideMark/>
          </w:tcPr>
          <w:p w14:paraId="7E2C43F5" w14:textId="77777777" w:rsidR="002E51D5" w:rsidRPr="002E51D5" w:rsidRDefault="002E51D5" w:rsidP="00CF467D">
            <w:pPr>
              <w:jc w:val="center"/>
              <w:rPr>
                <w:rFonts w:ascii="Arial" w:hAnsi="Arial" w:cs="Arial"/>
                <w:color w:val="000000"/>
              </w:rPr>
            </w:pPr>
            <w:r w:rsidRPr="002E51D5">
              <w:rPr>
                <w:rFonts w:ascii="Arial" w:hAnsi="Arial" w:cs="Arial"/>
                <w:color w:val="000000"/>
              </w:rPr>
              <w:t>49</w:t>
            </w:r>
          </w:p>
        </w:tc>
      </w:tr>
      <w:tr w:rsidR="002E51D5" w:rsidRPr="002E51D5" w14:paraId="7C5C8703" w14:textId="77777777" w:rsidTr="00A0207E">
        <w:trPr>
          <w:trHeight w:val="425"/>
        </w:trPr>
        <w:tc>
          <w:tcPr>
            <w:tcW w:w="580" w:type="pct"/>
            <w:vMerge/>
            <w:hideMark/>
          </w:tcPr>
          <w:p w14:paraId="19C7CA85" w14:textId="77777777" w:rsidR="002E51D5" w:rsidRPr="002E51D5" w:rsidRDefault="002E51D5" w:rsidP="002E51D5">
            <w:pPr>
              <w:rPr>
                <w:rFonts w:ascii="Arial" w:hAnsi="Arial" w:cs="Arial"/>
              </w:rPr>
            </w:pPr>
          </w:p>
        </w:tc>
        <w:tc>
          <w:tcPr>
            <w:tcW w:w="2005" w:type="pct"/>
            <w:hideMark/>
          </w:tcPr>
          <w:p w14:paraId="20B1091E" w14:textId="77777777" w:rsidR="002E51D5" w:rsidRPr="002E51D5" w:rsidRDefault="002E51D5" w:rsidP="002E51D5">
            <w:pPr>
              <w:rPr>
                <w:rFonts w:ascii="Arial" w:hAnsi="Arial" w:cs="Arial"/>
              </w:rPr>
            </w:pPr>
            <w:r w:rsidRPr="002E51D5">
              <w:rPr>
                <w:rFonts w:ascii="Arial" w:hAnsi="Arial" w:cs="Arial"/>
              </w:rPr>
              <w:t>Number of Indigenous students absent</w:t>
            </w:r>
          </w:p>
        </w:tc>
        <w:tc>
          <w:tcPr>
            <w:tcW w:w="403" w:type="pct"/>
            <w:vAlign w:val="center"/>
            <w:hideMark/>
          </w:tcPr>
          <w:p w14:paraId="42B7823D" w14:textId="77777777" w:rsidR="002E51D5" w:rsidRPr="002E51D5" w:rsidRDefault="002E51D5" w:rsidP="00CF467D">
            <w:pPr>
              <w:jc w:val="center"/>
              <w:rPr>
                <w:rFonts w:ascii="Arial" w:hAnsi="Arial" w:cs="Arial"/>
              </w:rPr>
            </w:pPr>
            <w:r w:rsidRPr="002E51D5">
              <w:rPr>
                <w:rFonts w:ascii="Arial" w:hAnsi="Arial" w:cs="Arial"/>
              </w:rPr>
              <w:t>4</w:t>
            </w:r>
          </w:p>
        </w:tc>
        <w:tc>
          <w:tcPr>
            <w:tcW w:w="403" w:type="pct"/>
            <w:vAlign w:val="center"/>
            <w:hideMark/>
          </w:tcPr>
          <w:p w14:paraId="150C3CCC" w14:textId="77777777" w:rsidR="002E51D5" w:rsidRPr="002E51D5" w:rsidRDefault="002E51D5" w:rsidP="00CF467D">
            <w:pPr>
              <w:jc w:val="center"/>
              <w:rPr>
                <w:rFonts w:ascii="Arial" w:hAnsi="Arial" w:cs="Arial"/>
              </w:rPr>
            </w:pPr>
            <w:r w:rsidRPr="002E51D5">
              <w:rPr>
                <w:rFonts w:ascii="Arial" w:hAnsi="Arial" w:cs="Arial"/>
              </w:rPr>
              <w:t>8</w:t>
            </w:r>
          </w:p>
        </w:tc>
        <w:tc>
          <w:tcPr>
            <w:tcW w:w="403" w:type="pct"/>
            <w:vAlign w:val="center"/>
            <w:hideMark/>
          </w:tcPr>
          <w:p w14:paraId="11852166" w14:textId="77777777" w:rsidR="002E51D5" w:rsidRPr="002E51D5" w:rsidRDefault="002E51D5" w:rsidP="00CF467D">
            <w:pPr>
              <w:jc w:val="center"/>
              <w:rPr>
                <w:rFonts w:ascii="Arial" w:hAnsi="Arial" w:cs="Arial"/>
              </w:rPr>
            </w:pPr>
            <w:r w:rsidRPr="002E51D5">
              <w:rPr>
                <w:rFonts w:ascii="Arial" w:hAnsi="Arial" w:cs="Arial"/>
              </w:rPr>
              <w:t>2</w:t>
            </w:r>
          </w:p>
        </w:tc>
        <w:tc>
          <w:tcPr>
            <w:tcW w:w="403" w:type="pct"/>
            <w:vAlign w:val="center"/>
            <w:hideMark/>
          </w:tcPr>
          <w:p w14:paraId="3B5EFDE0" w14:textId="77777777" w:rsidR="002E51D5" w:rsidRPr="002E51D5" w:rsidRDefault="002E51D5" w:rsidP="00CF467D">
            <w:pPr>
              <w:jc w:val="center"/>
              <w:rPr>
                <w:rFonts w:ascii="Arial" w:hAnsi="Arial" w:cs="Arial"/>
                <w:color w:val="000000"/>
              </w:rPr>
            </w:pPr>
            <w:r w:rsidRPr="002E51D5">
              <w:rPr>
                <w:rFonts w:ascii="Arial" w:hAnsi="Arial" w:cs="Arial"/>
                <w:color w:val="000000"/>
              </w:rPr>
              <w:t>8</w:t>
            </w:r>
          </w:p>
        </w:tc>
        <w:tc>
          <w:tcPr>
            <w:tcW w:w="403" w:type="pct"/>
            <w:vAlign w:val="center"/>
            <w:hideMark/>
          </w:tcPr>
          <w:p w14:paraId="463E6094" w14:textId="77777777" w:rsidR="002E51D5" w:rsidRPr="002E51D5" w:rsidRDefault="002E51D5" w:rsidP="00CF467D">
            <w:pPr>
              <w:jc w:val="center"/>
              <w:rPr>
                <w:rFonts w:ascii="Arial" w:hAnsi="Arial" w:cs="Arial"/>
                <w:color w:val="000000"/>
              </w:rPr>
            </w:pPr>
            <w:r w:rsidRPr="002E51D5">
              <w:rPr>
                <w:rFonts w:ascii="Arial" w:hAnsi="Arial" w:cs="Arial"/>
                <w:color w:val="000000"/>
              </w:rPr>
              <w:t>10</w:t>
            </w:r>
          </w:p>
        </w:tc>
        <w:tc>
          <w:tcPr>
            <w:tcW w:w="401" w:type="pct"/>
            <w:vAlign w:val="center"/>
            <w:hideMark/>
          </w:tcPr>
          <w:p w14:paraId="620BDE50" w14:textId="77777777" w:rsidR="002E51D5" w:rsidRPr="002E51D5" w:rsidRDefault="002E51D5" w:rsidP="00CF467D">
            <w:pPr>
              <w:jc w:val="center"/>
              <w:rPr>
                <w:rFonts w:ascii="Arial" w:hAnsi="Arial" w:cs="Arial"/>
                <w:color w:val="000000"/>
              </w:rPr>
            </w:pPr>
            <w:r w:rsidRPr="002E51D5">
              <w:rPr>
                <w:rFonts w:ascii="Arial" w:hAnsi="Arial" w:cs="Arial"/>
                <w:color w:val="000000"/>
              </w:rPr>
              <w:t>11</w:t>
            </w:r>
          </w:p>
        </w:tc>
      </w:tr>
      <w:tr w:rsidR="002E51D5" w:rsidRPr="002E51D5" w14:paraId="7F95FA92" w14:textId="77777777" w:rsidTr="00A0207E">
        <w:trPr>
          <w:trHeight w:val="425"/>
        </w:trPr>
        <w:tc>
          <w:tcPr>
            <w:tcW w:w="580" w:type="pct"/>
            <w:vMerge/>
            <w:hideMark/>
          </w:tcPr>
          <w:p w14:paraId="04B48A23" w14:textId="77777777" w:rsidR="002E51D5" w:rsidRPr="002E51D5" w:rsidRDefault="002E51D5" w:rsidP="002E51D5">
            <w:pPr>
              <w:rPr>
                <w:rFonts w:ascii="Arial" w:hAnsi="Arial" w:cs="Arial"/>
              </w:rPr>
            </w:pPr>
          </w:p>
        </w:tc>
        <w:tc>
          <w:tcPr>
            <w:tcW w:w="2005" w:type="pct"/>
            <w:hideMark/>
          </w:tcPr>
          <w:p w14:paraId="1D240090" w14:textId="77777777" w:rsidR="002E51D5" w:rsidRPr="002E51D5" w:rsidRDefault="002E51D5" w:rsidP="002E51D5">
            <w:pPr>
              <w:rPr>
                <w:rFonts w:ascii="Arial" w:hAnsi="Arial" w:cs="Arial"/>
              </w:rPr>
            </w:pPr>
            <w:r w:rsidRPr="002E51D5">
              <w:rPr>
                <w:rFonts w:ascii="Arial" w:hAnsi="Arial" w:cs="Arial"/>
              </w:rPr>
              <w:t>Number of students withdrawn</w:t>
            </w:r>
          </w:p>
        </w:tc>
        <w:tc>
          <w:tcPr>
            <w:tcW w:w="403" w:type="pct"/>
            <w:vAlign w:val="center"/>
            <w:hideMark/>
          </w:tcPr>
          <w:p w14:paraId="09364F5C" w14:textId="77777777" w:rsidR="002E51D5" w:rsidRPr="002E51D5" w:rsidRDefault="002E51D5" w:rsidP="00CF467D">
            <w:pPr>
              <w:jc w:val="center"/>
              <w:rPr>
                <w:rFonts w:ascii="Arial" w:hAnsi="Arial" w:cs="Arial"/>
              </w:rPr>
            </w:pPr>
            <w:r w:rsidRPr="002E51D5">
              <w:rPr>
                <w:rFonts w:ascii="Arial" w:hAnsi="Arial" w:cs="Arial"/>
              </w:rPr>
              <w:t>2</w:t>
            </w:r>
          </w:p>
        </w:tc>
        <w:tc>
          <w:tcPr>
            <w:tcW w:w="403" w:type="pct"/>
            <w:vAlign w:val="center"/>
            <w:hideMark/>
          </w:tcPr>
          <w:p w14:paraId="038F34FF" w14:textId="77777777" w:rsidR="002E51D5" w:rsidRPr="002E51D5" w:rsidRDefault="002E51D5" w:rsidP="00CF467D">
            <w:pPr>
              <w:jc w:val="center"/>
              <w:rPr>
                <w:rFonts w:ascii="Arial" w:hAnsi="Arial" w:cs="Arial"/>
              </w:rPr>
            </w:pPr>
            <w:r w:rsidRPr="002E51D5">
              <w:rPr>
                <w:rFonts w:ascii="Arial" w:hAnsi="Arial" w:cs="Arial"/>
              </w:rPr>
              <w:t>17</w:t>
            </w:r>
          </w:p>
        </w:tc>
        <w:tc>
          <w:tcPr>
            <w:tcW w:w="403" w:type="pct"/>
            <w:vAlign w:val="center"/>
            <w:hideMark/>
          </w:tcPr>
          <w:p w14:paraId="27F0D36F" w14:textId="77777777" w:rsidR="002E51D5" w:rsidRPr="002E51D5" w:rsidRDefault="002E51D5" w:rsidP="00CF467D">
            <w:pPr>
              <w:jc w:val="center"/>
              <w:rPr>
                <w:rFonts w:ascii="Arial" w:hAnsi="Arial" w:cs="Arial"/>
              </w:rPr>
            </w:pPr>
            <w:r w:rsidRPr="002E51D5">
              <w:rPr>
                <w:rFonts w:ascii="Arial" w:hAnsi="Arial" w:cs="Arial"/>
              </w:rPr>
              <w:t>19</w:t>
            </w:r>
          </w:p>
        </w:tc>
        <w:tc>
          <w:tcPr>
            <w:tcW w:w="403" w:type="pct"/>
            <w:vAlign w:val="center"/>
            <w:hideMark/>
          </w:tcPr>
          <w:p w14:paraId="5CEC1706" w14:textId="77777777" w:rsidR="002E51D5" w:rsidRPr="002E51D5" w:rsidRDefault="002E51D5" w:rsidP="00CF467D">
            <w:pPr>
              <w:jc w:val="center"/>
              <w:rPr>
                <w:rFonts w:ascii="Arial" w:hAnsi="Arial" w:cs="Arial"/>
                <w:color w:val="000000"/>
              </w:rPr>
            </w:pPr>
            <w:r w:rsidRPr="002E51D5">
              <w:rPr>
                <w:rFonts w:ascii="Arial" w:hAnsi="Arial" w:cs="Arial"/>
                <w:color w:val="000000"/>
              </w:rPr>
              <w:t>26</w:t>
            </w:r>
          </w:p>
        </w:tc>
        <w:tc>
          <w:tcPr>
            <w:tcW w:w="403" w:type="pct"/>
            <w:vAlign w:val="center"/>
            <w:hideMark/>
          </w:tcPr>
          <w:p w14:paraId="683C28E1" w14:textId="77777777" w:rsidR="002E51D5" w:rsidRPr="002E51D5" w:rsidRDefault="002E51D5" w:rsidP="00CF467D">
            <w:pPr>
              <w:jc w:val="center"/>
              <w:rPr>
                <w:rFonts w:ascii="Arial" w:hAnsi="Arial" w:cs="Arial"/>
                <w:color w:val="000000"/>
              </w:rPr>
            </w:pPr>
            <w:r w:rsidRPr="002E51D5">
              <w:rPr>
                <w:rFonts w:ascii="Arial" w:hAnsi="Arial" w:cs="Arial"/>
                <w:color w:val="000000"/>
              </w:rPr>
              <w:t>23</w:t>
            </w:r>
          </w:p>
        </w:tc>
        <w:tc>
          <w:tcPr>
            <w:tcW w:w="401" w:type="pct"/>
            <w:vAlign w:val="center"/>
            <w:hideMark/>
          </w:tcPr>
          <w:p w14:paraId="66F92890" w14:textId="77777777" w:rsidR="002E51D5" w:rsidRPr="002E51D5" w:rsidRDefault="002E51D5" w:rsidP="00CF467D">
            <w:pPr>
              <w:jc w:val="center"/>
              <w:rPr>
                <w:rFonts w:ascii="Arial" w:hAnsi="Arial" w:cs="Arial"/>
                <w:color w:val="000000"/>
              </w:rPr>
            </w:pPr>
            <w:r w:rsidRPr="002E51D5">
              <w:rPr>
                <w:rFonts w:ascii="Arial" w:hAnsi="Arial" w:cs="Arial"/>
                <w:color w:val="000000"/>
              </w:rPr>
              <w:t>16</w:t>
            </w:r>
          </w:p>
        </w:tc>
      </w:tr>
      <w:tr w:rsidR="002E51D5" w:rsidRPr="002E51D5" w14:paraId="79C4520F" w14:textId="77777777" w:rsidTr="00A0207E">
        <w:trPr>
          <w:trHeight w:val="425"/>
        </w:trPr>
        <w:tc>
          <w:tcPr>
            <w:tcW w:w="580" w:type="pct"/>
            <w:vMerge/>
            <w:hideMark/>
          </w:tcPr>
          <w:p w14:paraId="37BAA036" w14:textId="77777777" w:rsidR="002E51D5" w:rsidRPr="002E51D5" w:rsidRDefault="002E51D5" w:rsidP="002E51D5">
            <w:pPr>
              <w:rPr>
                <w:rFonts w:ascii="Arial" w:hAnsi="Arial" w:cs="Arial"/>
              </w:rPr>
            </w:pPr>
          </w:p>
        </w:tc>
        <w:tc>
          <w:tcPr>
            <w:tcW w:w="2005" w:type="pct"/>
            <w:hideMark/>
          </w:tcPr>
          <w:p w14:paraId="0DA1041F" w14:textId="77777777" w:rsidR="002E51D5" w:rsidRPr="002E51D5" w:rsidRDefault="002E51D5" w:rsidP="002E51D5">
            <w:pPr>
              <w:rPr>
                <w:rFonts w:ascii="Arial" w:hAnsi="Arial" w:cs="Arial"/>
              </w:rPr>
            </w:pPr>
            <w:r w:rsidRPr="002E51D5">
              <w:rPr>
                <w:rFonts w:ascii="Arial" w:hAnsi="Arial" w:cs="Arial"/>
              </w:rPr>
              <w:t>Number of Indigenous students withdrawn</w:t>
            </w:r>
          </w:p>
        </w:tc>
        <w:tc>
          <w:tcPr>
            <w:tcW w:w="403" w:type="pct"/>
            <w:vAlign w:val="center"/>
            <w:hideMark/>
          </w:tcPr>
          <w:p w14:paraId="7527DE31" w14:textId="77777777" w:rsidR="002E51D5" w:rsidRPr="002E51D5" w:rsidRDefault="002E51D5" w:rsidP="00CF467D">
            <w:pPr>
              <w:jc w:val="center"/>
              <w:rPr>
                <w:rFonts w:ascii="Arial" w:hAnsi="Arial" w:cs="Arial"/>
              </w:rPr>
            </w:pPr>
            <w:r w:rsidRPr="002E51D5">
              <w:rPr>
                <w:rFonts w:ascii="Arial" w:hAnsi="Arial" w:cs="Arial"/>
              </w:rPr>
              <w:t>1</w:t>
            </w:r>
          </w:p>
        </w:tc>
        <w:tc>
          <w:tcPr>
            <w:tcW w:w="403" w:type="pct"/>
            <w:vAlign w:val="center"/>
            <w:hideMark/>
          </w:tcPr>
          <w:p w14:paraId="15840234"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045536DF"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5426C268" w14:textId="77777777" w:rsidR="002E51D5" w:rsidRPr="002E51D5" w:rsidRDefault="002E51D5" w:rsidP="00CF467D">
            <w:pPr>
              <w:jc w:val="center"/>
              <w:rPr>
                <w:rFonts w:ascii="Arial" w:hAnsi="Arial" w:cs="Arial"/>
                <w:color w:val="000000"/>
              </w:rPr>
            </w:pPr>
            <w:r w:rsidRPr="002E51D5">
              <w:rPr>
                <w:rFonts w:ascii="Arial" w:hAnsi="Arial" w:cs="Arial"/>
                <w:color w:val="000000"/>
              </w:rPr>
              <w:t>3</w:t>
            </w:r>
          </w:p>
        </w:tc>
        <w:tc>
          <w:tcPr>
            <w:tcW w:w="403" w:type="pct"/>
            <w:vAlign w:val="center"/>
            <w:hideMark/>
          </w:tcPr>
          <w:p w14:paraId="6DFCEEDD" w14:textId="77777777" w:rsidR="002E51D5" w:rsidRPr="002E51D5" w:rsidRDefault="002E51D5" w:rsidP="00CF467D">
            <w:pPr>
              <w:jc w:val="center"/>
              <w:rPr>
                <w:rFonts w:ascii="Arial" w:hAnsi="Arial" w:cs="Arial"/>
                <w:color w:val="000000"/>
              </w:rPr>
            </w:pPr>
            <w:r w:rsidRPr="002E51D5">
              <w:rPr>
                <w:rFonts w:ascii="Arial" w:hAnsi="Arial" w:cs="Arial"/>
                <w:color w:val="000000"/>
              </w:rPr>
              <w:t>2</w:t>
            </w:r>
          </w:p>
        </w:tc>
        <w:tc>
          <w:tcPr>
            <w:tcW w:w="401" w:type="pct"/>
            <w:vAlign w:val="center"/>
            <w:hideMark/>
          </w:tcPr>
          <w:p w14:paraId="1B648162" w14:textId="77777777" w:rsidR="002E51D5" w:rsidRPr="002E51D5" w:rsidRDefault="002E51D5" w:rsidP="00CF467D">
            <w:pPr>
              <w:jc w:val="center"/>
              <w:rPr>
                <w:rFonts w:ascii="Arial" w:hAnsi="Arial" w:cs="Arial"/>
                <w:color w:val="000000"/>
              </w:rPr>
            </w:pPr>
            <w:r w:rsidRPr="002E51D5">
              <w:rPr>
                <w:rFonts w:ascii="Arial" w:hAnsi="Arial" w:cs="Arial"/>
                <w:color w:val="000000"/>
              </w:rPr>
              <w:t>3</w:t>
            </w:r>
          </w:p>
        </w:tc>
      </w:tr>
      <w:tr w:rsidR="002E51D5" w:rsidRPr="002E51D5" w14:paraId="1F699ABF" w14:textId="77777777" w:rsidTr="00A0207E">
        <w:trPr>
          <w:trHeight w:val="425"/>
        </w:trPr>
        <w:tc>
          <w:tcPr>
            <w:tcW w:w="580" w:type="pct"/>
            <w:vMerge/>
            <w:hideMark/>
          </w:tcPr>
          <w:p w14:paraId="7B8CF1E5" w14:textId="77777777" w:rsidR="002E51D5" w:rsidRPr="002E51D5" w:rsidRDefault="002E51D5" w:rsidP="002E51D5">
            <w:pPr>
              <w:rPr>
                <w:rFonts w:ascii="Arial" w:hAnsi="Arial" w:cs="Arial"/>
              </w:rPr>
            </w:pPr>
          </w:p>
        </w:tc>
        <w:tc>
          <w:tcPr>
            <w:tcW w:w="2005" w:type="pct"/>
            <w:hideMark/>
          </w:tcPr>
          <w:p w14:paraId="6928E67C" w14:textId="77777777" w:rsidR="002E51D5" w:rsidRPr="002E51D5" w:rsidRDefault="002E51D5" w:rsidP="002E51D5">
            <w:pPr>
              <w:rPr>
                <w:rFonts w:ascii="Arial" w:hAnsi="Arial" w:cs="Arial"/>
              </w:rPr>
            </w:pPr>
            <w:r w:rsidRPr="002E51D5">
              <w:rPr>
                <w:rFonts w:ascii="Arial" w:hAnsi="Arial" w:cs="Arial"/>
              </w:rPr>
              <w:t>Number of students exempted</w:t>
            </w:r>
          </w:p>
        </w:tc>
        <w:tc>
          <w:tcPr>
            <w:tcW w:w="403" w:type="pct"/>
            <w:vAlign w:val="center"/>
            <w:hideMark/>
          </w:tcPr>
          <w:p w14:paraId="611F0C78" w14:textId="77777777" w:rsidR="002E51D5" w:rsidRPr="002E51D5" w:rsidRDefault="002E51D5" w:rsidP="00CF467D">
            <w:pPr>
              <w:jc w:val="center"/>
              <w:rPr>
                <w:rFonts w:ascii="Arial" w:hAnsi="Arial" w:cs="Arial"/>
              </w:rPr>
            </w:pPr>
            <w:r w:rsidRPr="002E51D5">
              <w:rPr>
                <w:rFonts w:ascii="Arial" w:hAnsi="Arial" w:cs="Arial"/>
              </w:rPr>
              <w:t>2</w:t>
            </w:r>
          </w:p>
        </w:tc>
        <w:tc>
          <w:tcPr>
            <w:tcW w:w="403" w:type="pct"/>
            <w:vAlign w:val="center"/>
            <w:hideMark/>
          </w:tcPr>
          <w:p w14:paraId="7F2E473C" w14:textId="77777777" w:rsidR="002E51D5" w:rsidRPr="002E51D5" w:rsidRDefault="002E51D5" w:rsidP="00CF467D">
            <w:pPr>
              <w:jc w:val="center"/>
              <w:rPr>
                <w:rFonts w:ascii="Arial" w:hAnsi="Arial" w:cs="Arial"/>
              </w:rPr>
            </w:pPr>
            <w:r w:rsidRPr="002E51D5">
              <w:rPr>
                <w:rFonts w:ascii="Arial" w:hAnsi="Arial" w:cs="Arial"/>
              </w:rPr>
              <w:t>48</w:t>
            </w:r>
          </w:p>
        </w:tc>
        <w:tc>
          <w:tcPr>
            <w:tcW w:w="403" w:type="pct"/>
            <w:vAlign w:val="center"/>
            <w:hideMark/>
          </w:tcPr>
          <w:p w14:paraId="2D6FBB5D" w14:textId="77777777" w:rsidR="002E51D5" w:rsidRPr="002E51D5" w:rsidRDefault="002E51D5" w:rsidP="00CF467D">
            <w:pPr>
              <w:jc w:val="center"/>
              <w:rPr>
                <w:rFonts w:ascii="Arial" w:hAnsi="Arial" w:cs="Arial"/>
              </w:rPr>
            </w:pPr>
            <w:r w:rsidRPr="002E51D5">
              <w:rPr>
                <w:rFonts w:ascii="Arial" w:hAnsi="Arial" w:cs="Arial"/>
              </w:rPr>
              <w:t>56</w:t>
            </w:r>
          </w:p>
        </w:tc>
        <w:tc>
          <w:tcPr>
            <w:tcW w:w="403" w:type="pct"/>
            <w:vAlign w:val="center"/>
            <w:hideMark/>
          </w:tcPr>
          <w:p w14:paraId="3273AE49" w14:textId="77777777" w:rsidR="002E51D5" w:rsidRPr="002E51D5" w:rsidRDefault="002E51D5" w:rsidP="00CF467D">
            <w:pPr>
              <w:jc w:val="center"/>
              <w:rPr>
                <w:rFonts w:ascii="Arial" w:hAnsi="Arial" w:cs="Arial"/>
                <w:color w:val="000000"/>
              </w:rPr>
            </w:pPr>
            <w:r w:rsidRPr="002E51D5">
              <w:rPr>
                <w:rFonts w:ascii="Arial" w:hAnsi="Arial" w:cs="Arial"/>
                <w:color w:val="000000"/>
              </w:rPr>
              <w:t>48</w:t>
            </w:r>
          </w:p>
        </w:tc>
        <w:tc>
          <w:tcPr>
            <w:tcW w:w="403" w:type="pct"/>
            <w:vAlign w:val="center"/>
            <w:hideMark/>
          </w:tcPr>
          <w:p w14:paraId="1AF1F5A5" w14:textId="77777777" w:rsidR="002E51D5" w:rsidRPr="002E51D5" w:rsidRDefault="002E51D5" w:rsidP="00CF467D">
            <w:pPr>
              <w:jc w:val="center"/>
              <w:rPr>
                <w:rFonts w:ascii="Arial" w:hAnsi="Arial" w:cs="Arial"/>
                <w:color w:val="000000"/>
              </w:rPr>
            </w:pPr>
            <w:r w:rsidRPr="002E51D5">
              <w:rPr>
                <w:rFonts w:ascii="Arial" w:hAnsi="Arial" w:cs="Arial"/>
                <w:color w:val="000000"/>
              </w:rPr>
              <w:t>49</w:t>
            </w:r>
          </w:p>
        </w:tc>
        <w:tc>
          <w:tcPr>
            <w:tcW w:w="401" w:type="pct"/>
            <w:vAlign w:val="center"/>
            <w:hideMark/>
          </w:tcPr>
          <w:p w14:paraId="4F698D96" w14:textId="77777777" w:rsidR="002E51D5" w:rsidRPr="002E51D5" w:rsidRDefault="002E51D5" w:rsidP="00CF467D">
            <w:pPr>
              <w:jc w:val="center"/>
              <w:rPr>
                <w:rFonts w:ascii="Arial" w:hAnsi="Arial" w:cs="Arial"/>
                <w:color w:val="000000"/>
              </w:rPr>
            </w:pPr>
            <w:r w:rsidRPr="002E51D5">
              <w:rPr>
                <w:rFonts w:ascii="Arial" w:hAnsi="Arial" w:cs="Arial"/>
                <w:color w:val="000000"/>
              </w:rPr>
              <w:t>42</w:t>
            </w:r>
          </w:p>
        </w:tc>
      </w:tr>
      <w:tr w:rsidR="002E51D5" w:rsidRPr="002E51D5" w14:paraId="42A9C847" w14:textId="77777777" w:rsidTr="00A0207E">
        <w:trPr>
          <w:trHeight w:val="425"/>
        </w:trPr>
        <w:tc>
          <w:tcPr>
            <w:tcW w:w="580" w:type="pct"/>
            <w:vMerge/>
            <w:hideMark/>
          </w:tcPr>
          <w:p w14:paraId="31625067" w14:textId="77777777" w:rsidR="002E51D5" w:rsidRPr="002E51D5" w:rsidRDefault="002E51D5" w:rsidP="002E51D5">
            <w:pPr>
              <w:rPr>
                <w:rFonts w:ascii="Arial" w:hAnsi="Arial" w:cs="Arial"/>
              </w:rPr>
            </w:pPr>
          </w:p>
        </w:tc>
        <w:tc>
          <w:tcPr>
            <w:tcW w:w="2005" w:type="pct"/>
            <w:hideMark/>
          </w:tcPr>
          <w:p w14:paraId="23B3500B" w14:textId="77777777" w:rsidR="002E51D5" w:rsidRPr="002E51D5" w:rsidRDefault="002E51D5" w:rsidP="002E51D5">
            <w:pPr>
              <w:rPr>
                <w:rFonts w:ascii="Arial" w:hAnsi="Arial" w:cs="Arial"/>
              </w:rPr>
            </w:pPr>
            <w:r w:rsidRPr="002E51D5">
              <w:rPr>
                <w:rFonts w:ascii="Arial" w:hAnsi="Arial" w:cs="Arial"/>
              </w:rPr>
              <w:t>Number of Indigenous students exempted</w:t>
            </w:r>
          </w:p>
        </w:tc>
        <w:tc>
          <w:tcPr>
            <w:tcW w:w="403" w:type="pct"/>
            <w:vAlign w:val="center"/>
            <w:hideMark/>
          </w:tcPr>
          <w:p w14:paraId="31127A8F" w14:textId="77777777" w:rsidR="002E51D5" w:rsidRPr="002E51D5" w:rsidRDefault="002E51D5" w:rsidP="00CF467D">
            <w:pPr>
              <w:jc w:val="center"/>
              <w:rPr>
                <w:rFonts w:ascii="Arial" w:hAnsi="Arial" w:cs="Arial"/>
              </w:rPr>
            </w:pPr>
            <w:r w:rsidRPr="002E51D5">
              <w:rPr>
                <w:rFonts w:ascii="Arial" w:hAnsi="Arial" w:cs="Arial"/>
              </w:rPr>
              <w:t>1</w:t>
            </w:r>
          </w:p>
        </w:tc>
        <w:tc>
          <w:tcPr>
            <w:tcW w:w="403" w:type="pct"/>
            <w:vAlign w:val="center"/>
            <w:hideMark/>
          </w:tcPr>
          <w:p w14:paraId="2CF47B25" w14:textId="77777777" w:rsidR="002E51D5" w:rsidRPr="002E51D5" w:rsidRDefault="002E51D5" w:rsidP="00CF467D">
            <w:pPr>
              <w:jc w:val="center"/>
              <w:rPr>
                <w:rFonts w:ascii="Arial" w:hAnsi="Arial" w:cs="Arial"/>
              </w:rPr>
            </w:pPr>
            <w:r w:rsidRPr="002E51D5">
              <w:rPr>
                <w:rFonts w:ascii="Arial" w:hAnsi="Arial" w:cs="Arial"/>
              </w:rPr>
              <w:t>4</w:t>
            </w:r>
          </w:p>
        </w:tc>
        <w:tc>
          <w:tcPr>
            <w:tcW w:w="403" w:type="pct"/>
            <w:vAlign w:val="center"/>
            <w:hideMark/>
          </w:tcPr>
          <w:p w14:paraId="3A2500F3" w14:textId="77777777" w:rsidR="002E51D5" w:rsidRPr="002E51D5" w:rsidRDefault="002E51D5" w:rsidP="00CF467D">
            <w:pPr>
              <w:jc w:val="center"/>
              <w:rPr>
                <w:rFonts w:ascii="Arial" w:hAnsi="Arial" w:cs="Arial"/>
              </w:rPr>
            </w:pPr>
            <w:r w:rsidRPr="002E51D5">
              <w:rPr>
                <w:rFonts w:ascii="Arial" w:hAnsi="Arial" w:cs="Arial"/>
              </w:rPr>
              <w:t>10</w:t>
            </w:r>
          </w:p>
        </w:tc>
        <w:tc>
          <w:tcPr>
            <w:tcW w:w="403" w:type="pct"/>
            <w:vAlign w:val="center"/>
            <w:hideMark/>
          </w:tcPr>
          <w:p w14:paraId="38A24132" w14:textId="77777777" w:rsidR="002E51D5" w:rsidRPr="002E51D5" w:rsidRDefault="002E51D5" w:rsidP="00CF467D">
            <w:pPr>
              <w:jc w:val="center"/>
              <w:rPr>
                <w:rFonts w:ascii="Arial" w:hAnsi="Arial" w:cs="Arial"/>
                <w:color w:val="000000"/>
              </w:rPr>
            </w:pPr>
            <w:r w:rsidRPr="002E51D5">
              <w:rPr>
                <w:rFonts w:ascii="Arial" w:hAnsi="Arial" w:cs="Arial"/>
                <w:color w:val="000000"/>
              </w:rPr>
              <w:t>10</w:t>
            </w:r>
          </w:p>
        </w:tc>
        <w:tc>
          <w:tcPr>
            <w:tcW w:w="403" w:type="pct"/>
            <w:vAlign w:val="center"/>
            <w:hideMark/>
          </w:tcPr>
          <w:p w14:paraId="43ABE99D" w14:textId="77777777" w:rsidR="002E51D5" w:rsidRPr="002E51D5" w:rsidRDefault="002E51D5" w:rsidP="00CF467D">
            <w:pPr>
              <w:jc w:val="center"/>
              <w:rPr>
                <w:rFonts w:ascii="Arial" w:hAnsi="Arial" w:cs="Arial"/>
                <w:color w:val="000000"/>
              </w:rPr>
            </w:pPr>
            <w:r w:rsidRPr="002E51D5">
              <w:rPr>
                <w:rFonts w:ascii="Arial" w:hAnsi="Arial" w:cs="Arial"/>
                <w:color w:val="000000"/>
              </w:rPr>
              <w:t>3</w:t>
            </w:r>
          </w:p>
        </w:tc>
        <w:tc>
          <w:tcPr>
            <w:tcW w:w="401" w:type="pct"/>
            <w:vAlign w:val="center"/>
            <w:hideMark/>
          </w:tcPr>
          <w:p w14:paraId="352E0CB2" w14:textId="77777777" w:rsidR="002E51D5" w:rsidRPr="002E51D5" w:rsidRDefault="002E51D5" w:rsidP="00CF467D">
            <w:pPr>
              <w:jc w:val="center"/>
              <w:rPr>
                <w:rFonts w:ascii="Arial" w:hAnsi="Arial" w:cs="Arial"/>
                <w:color w:val="000000"/>
              </w:rPr>
            </w:pPr>
            <w:r w:rsidRPr="002E51D5">
              <w:rPr>
                <w:rFonts w:ascii="Arial" w:hAnsi="Arial" w:cs="Arial"/>
                <w:color w:val="000000"/>
              </w:rPr>
              <w:t>4</w:t>
            </w:r>
          </w:p>
        </w:tc>
      </w:tr>
      <w:tr w:rsidR="002E51D5" w:rsidRPr="002E51D5" w14:paraId="6857F745" w14:textId="77777777" w:rsidTr="00A0207E">
        <w:trPr>
          <w:trHeight w:val="425"/>
        </w:trPr>
        <w:tc>
          <w:tcPr>
            <w:tcW w:w="580" w:type="pct"/>
            <w:vMerge w:val="restart"/>
            <w:hideMark/>
          </w:tcPr>
          <w:p w14:paraId="06752DCE" w14:textId="77777777" w:rsidR="002E51D5" w:rsidRPr="002E51D5" w:rsidRDefault="002E51D5" w:rsidP="002E51D5">
            <w:pPr>
              <w:jc w:val="center"/>
              <w:rPr>
                <w:rFonts w:ascii="Arial" w:hAnsi="Arial" w:cs="Arial"/>
              </w:rPr>
            </w:pPr>
            <w:r w:rsidRPr="002E51D5">
              <w:rPr>
                <w:rFonts w:ascii="Arial" w:hAnsi="Arial" w:cs="Arial"/>
              </w:rPr>
              <w:t>Year 5 Reading</w:t>
            </w:r>
          </w:p>
        </w:tc>
        <w:tc>
          <w:tcPr>
            <w:tcW w:w="2005" w:type="pct"/>
            <w:hideMark/>
          </w:tcPr>
          <w:p w14:paraId="586ADB6D" w14:textId="77777777" w:rsidR="002E51D5" w:rsidRPr="002E51D5" w:rsidRDefault="002E51D5" w:rsidP="002E51D5">
            <w:pPr>
              <w:rPr>
                <w:rFonts w:ascii="Arial" w:hAnsi="Arial" w:cs="Arial"/>
              </w:rPr>
            </w:pPr>
            <w:r w:rsidRPr="002E51D5">
              <w:rPr>
                <w:rFonts w:ascii="Arial" w:hAnsi="Arial" w:cs="Arial"/>
              </w:rPr>
              <w:t>Mean scale score</w:t>
            </w:r>
          </w:p>
        </w:tc>
        <w:tc>
          <w:tcPr>
            <w:tcW w:w="403" w:type="pct"/>
            <w:vAlign w:val="center"/>
            <w:hideMark/>
          </w:tcPr>
          <w:p w14:paraId="1670C927" w14:textId="77777777" w:rsidR="002E51D5" w:rsidRPr="002E51D5" w:rsidRDefault="002E51D5" w:rsidP="00CF467D">
            <w:pPr>
              <w:jc w:val="center"/>
              <w:rPr>
                <w:rFonts w:ascii="Arial" w:hAnsi="Arial" w:cs="Arial"/>
              </w:rPr>
            </w:pPr>
            <w:r w:rsidRPr="002E51D5">
              <w:rPr>
                <w:rFonts w:ascii="Arial" w:hAnsi="Arial" w:cs="Arial"/>
              </w:rPr>
              <w:t>464.2</w:t>
            </w:r>
          </w:p>
        </w:tc>
        <w:tc>
          <w:tcPr>
            <w:tcW w:w="403" w:type="pct"/>
            <w:vAlign w:val="center"/>
            <w:hideMark/>
          </w:tcPr>
          <w:p w14:paraId="7FE1ADDD" w14:textId="77777777" w:rsidR="002E51D5" w:rsidRPr="002E51D5" w:rsidRDefault="002E51D5" w:rsidP="00CF467D">
            <w:pPr>
              <w:jc w:val="center"/>
              <w:rPr>
                <w:rFonts w:ascii="Arial" w:hAnsi="Arial" w:cs="Arial"/>
              </w:rPr>
            </w:pPr>
            <w:r w:rsidRPr="002E51D5">
              <w:rPr>
                <w:rFonts w:ascii="Arial" w:hAnsi="Arial" w:cs="Arial"/>
              </w:rPr>
              <w:t>476.8</w:t>
            </w:r>
          </w:p>
        </w:tc>
        <w:tc>
          <w:tcPr>
            <w:tcW w:w="403" w:type="pct"/>
            <w:vAlign w:val="center"/>
            <w:hideMark/>
          </w:tcPr>
          <w:p w14:paraId="0FD7E92E" w14:textId="77777777" w:rsidR="002E51D5" w:rsidRPr="002E51D5" w:rsidRDefault="002E51D5" w:rsidP="00CF467D">
            <w:pPr>
              <w:jc w:val="center"/>
              <w:rPr>
                <w:rFonts w:ascii="Arial" w:hAnsi="Arial" w:cs="Arial"/>
              </w:rPr>
            </w:pPr>
            <w:r w:rsidRPr="002E51D5">
              <w:rPr>
                <w:rFonts w:ascii="Arial" w:hAnsi="Arial" w:cs="Arial"/>
              </w:rPr>
              <w:t>464.8</w:t>
            </w:r>
          </w:p>
        </w:tc>
        <w:tc>
          <w:tcPr>
            <w:tcW w:w="403" w:type="pct"/>
            <w:vAlign w:val="center"/>
            <w:hideMark/>
          </w:tcPr>
          <w:p w14:paraId="691940C8" w14:textId="77777777" w:rsidR="002E51D5" w:rsidRPr="002E51D5" w:rsidRDefault="002E51D5" w:rsidP="00CF467D">
            <w:pPr>
              <w:jc w:val="center"/>
              <w:rPr>
                <w:rFonts w:ascii="Arial" w:hAnsi="Arial" w:cs="Arial"/>
                <w:color w:val="000000"/>
              </w:rPr>
            </w:pPr>
            <w:r w:rsidRPr="002E51D5">
              <w:rPr>
                <w:rFonts w:ascii="Arial" w:hAnsi="Arial" w:cs="Arial"/>
                <w:color w:val="000000"/>
              </w:rPr>
              <w:t>467.5</w:t>
            </w:r>
          </w:p>
        </w:tc>
        <w:tc>
          <w:tcPr>
            <w:tcW w:w="403" w:type="pct"/>
            <w:vAlign w:val="center"/>
            <w:hideMark/>
          </w:tcPr>
          <w:p w14:paraId="08D725E8" w14:textId="77777777" w:rsidR="002E51D5" w:rsidRPr="002E51D5" w:rsidRDefault="002E51D5" w:rsidP="00CF467D">
            <w:pPr>
              <w:jc w:val="center"/>
              <w:rPr>
                <w:rFonts w:ascii="Arial" w:hAnsi="Arial" w:cs="Arial"/>
                <w:color w:val="000000"/>
              </w:rPr>
            </w:pPr>
            <w:r w:rsidRPr="002E51D5">
              <w:rPr>
                <w:rFonts w:ascii="Arial" w:hAnsi="Arial" w:cs="Arial"/>
                <w:color w:val="000000"/>
              </w:rPr>
              <w:t>467.6</w:t>
            </w:r>
          </w:p>
        </w:tc>
        <w:tc>
          <w:tcPr>
            <w:tcW w:w="401" w:type="pct"/>
            <w:vAlign w:val="center"/>
            <w:hideMark/>
          </w:tcPr>
          <w:p w14:paraId="40D5E250" w14:textId="77777777" w:rsidR="002E51D5" w:rsidRPr="002E51D5" w:rsidRDefault="002E51D5" w:rsidP="00CF467D">
            <w:pPr>
              <w:jc w:val="center"/>
              <w:rPr>
                <w:rFonts w:ascii="Arial" w:hAnsi="Arial" w:cs="Arial"/>
                <w:color w:val="000000"/>
              </w:rPr>
            </w:pPr>
            <w:r w:rsidRPr="002E51D5">
              <w:rPr>
                <w:rFonts w:ascii="Arial" w:hAnsi="Arial" w:cs="Arial"/>
                <w:color w:val="000000"/>
              </w:rPr>
              <w:t>480.6</w:t>
            </w:r>
          </w:p>
        </w:tc>
      </w:tr>
      <w:tr w:rsidR="002E51D5" w:rsidRPr="002E51D5" w14:paraId="12CCD5D0" w14:textId="77777777" w:rsidTr="00A0207E">
        <w:trPr>
          <w:trHeight w:val="425"/>
        </w:trPr>
        <w:tc>
          <w:tcPr>
            <w:tcW w:w="580" w:type="pct"/>
            <w:vMerge/>
            <w:hideMark/>
          </w:tcPr>
          <w:p w14:paraId="11B5F49A" w14:textId="77777777" w:rsidR="002E51D5" w:rsidRPr="002E51D5" w:rsidRDefault="002E51D5" w:rsidP="002E51D5">
            <w:pPr>
              <w:rPr>
                <w:rFonts w:ascii="Arial" w:hAnsi="Arial" w:cs="Arial"/>
              </w:rPr>
            </w:pPr>
          </w:p>
        </w:tc>
        <w:tc>
          <w:tcPr>
            <w:tcW w:w="2005" w:type="pct"/>
            <w:hideMark/>
          </w:tcPr>
          <w:p w14:paraId="0C7565F4" w14:textId="77777777" w:rsidR="002E51D5" w:rsidRPr="002E51D5" w:rsidRDefault="002E51D5" w:rsidP="002E51D5">
            <w:pPr>
              <w:rPr>
                <w:rFonts w:ascii="Arial" w:hAnsi="Arial" w:cs="Arial"/>
              </w:rPr>
            </w:pPr>
            <w:r w:rsidRPr="002E51D5">
              <w:rPr>
                <w:rFonts w:ascii="Arial" w:hAnsi="Arial" w:cs="Arial"/>
              </w:rPr>
              <w:t>Standard deviation</w:t>
            </w:r>
          </w:p>
        </w:tc>
        <w:tc>
          <w:tcPr>
            <w:tcW w:w="403" w:type="pct"/>
            <w:vAlign w:val="center"/>
            <w:hideMark/>
          </w:tcPr>
          <w:p w14:paraId="0ED5095A" w14:textId="77777777" w:rsidR="002E51D5" w:rsidRPr="002E51D5" w:rsidRDefault="002E51D5" w:rsidP="00CF467D">
            <w:pPr>
              <w:jc w:val="center"/>
              <w:rPr>
                <w:rFonts w:ascii="Arial" w:hAnsi="Arial" w:cs="Arial"/>
              </w:rPr>
            </w:pPr>
            <w:r w:rsidRPr="002E51D5">
              <w:rPr>
                <w:rFonts w:ascii="Arial" w:hAnsi="Arial" w:cs="Arial"/>
              </w:rPr>
              <w:t>79.6</w:t>
            </w:r>
          </w:p>
        </w:tc>
        <w:tc>
          <w:tcPr>
            <w:tcW w:w="403" w:type="pct"/>
            <w:vAlign w:val="center"/>
            <w:hideMark/>
          </w:tcPr>
          <w:p w14:paraId="1DD46EA8" w14:textId="77777777" w:rsidR="002E51D5" w:rsidRPr="002E51D5" w:rsidRDefault="002E51D5" w:rsidP="00CF467D">
            <w:pPr>
              <w:jc w:val="center"/>
              <w:rPr>
                <w:rFonts w:ascii="Arial" w:hAnsi="Arial" w:cs="Arial"/>
              </w:rPr>
            </w:pPr>
            <w:r w:rsidRPr="002E51D5">
              <w:rPr>
                <w:rFonts w:ascii="Arial" w:hAnsi="Arial" w:cs="Arial"/>
              </w:rPr>
              <w:t>79.4</w:t>
            </w:r>
          </w:p>
        </w:tc>
        <w:tc>
          <w:tcPr>
            <w:tcW w:w="403" w:type="pct"/>
            <w:vAlign w:val="center"/>
            <w:hideMark/>
          </w:tcPr>
          <w:p w14:paraId="79A5D5E8" w14:textId="77777777" w:rsidR="002E51D5" w:rsidRPr="002E51D5" w:rsidRDefault="002E51D5" w:rsidP="00CF467D">
            <w:pPr>
              <w:jc w:val="center"/>
              <w:rPr>
                <w:rFonts w:ascii="Arial" w:hAnsi="Arial" w:cs="Arial"/>
              </w:rPr>
            </w:pPr>
            <w:r w:rsidRPr="002E51D5">
              <w:rPr>
                <w:rFonts w:ascii="Arial" w:hAnsi="Arial" w:cs="Arial"/>
              </w:rPr>
              <w:t>81.9</w:t>
            </w:r>
          </w:p>
        </w:tc>
        <w:tc>
          <w:tcPr>
            <w:tcW w:w="403" w:type="pct"/>
            <w:vAlign w:val="center"/>
            <w:hideMark/>
          </w:tcPr>
          <w:p w14:paraId="6A0C0BEE" w14:textId="77777777" w:rsidR="002E51D5" w:rsidRPr="002E51D5" w:rsidRDefault="002E51D5" w:rsidP="00CF467D">
            <w:pPr>
              <w:jc w:val="center"/>
              <w:rPr>
                <w:rFonts w:ascii="Arial" w:hAnsi="Arial" w:cs="Arial"/>
                <w:color w:val="000000"/>
              </w:rPr>
            </w:pPr>
            <w:r w:rsidRPr="002E51D5">
              <w:rPr>
                <w:rFonts w:ascii="Arial" w:hAnsi="Arial" w:cs="Arial"/>
                <w:color w:val="000000"/>
              </w:rPr>
              <w:t>81</w:t>
            </w:r>
          </w:p>
        </w:tc>
        <w:tc>
          <w:tcPr>
            <w:tcW w:w="403" w:type="pct"/>
            <w:vAlign w:val="center"/>
            <w:hideMark/>
          </w:tcPr>
          <w:p w14:paraId="6B32A3F7" w14:textId="77777777" w:rsidR="002E51D5" w:rsidRPr="002E51D5" w:rsidRDefault="002E51D5" w:rsidP="00CF467D">
            <w:pPr>
              <w:jc w:val="center"/>
              <w:rPr>
                <w:rFonts w:ascii="Arial" w:hAnsi="Arial" w:cs="Arial"/>
                <w:color w:val="000000"/>
              </w:rPr>
            </w:pPr>
            <w:r w:rsidRPr="002E51D5">
              <w:rPr>
                <w:rFonts w:ascii="Arial" w:hAnsi="Arial" w:cs="Arial"/>
                <w:color w:val="000000"/>
              </w:rPr>
              <w:t>82.6</w:t>
            </w:r>
          </w:p>
        </w:tc>
        <w:tc>
          <w:tcPr>
            <w:tcW w:w="401" w:type="pct"/>
            <w:vAlign w:val="center"/>
            <w:hideMark/>
          </w:tcPr>
          <w:p w14:paraId="10C93A43" w14:textId="77777777" w:rsidR="002E51D5" w:rsidRPr="002E51D5" w:rsidRDefault="002E51D5" w:rsidP="00CF467D">
            <w:pPr>
              <w:jc w:val="center"/>
              <w:rPr>
                <w:rFonts w:ascii="Arial" w:hAnsi="Arial" w:cs="Arial"/>
                <w:color w:val="000000"/>
              </w:rPr>
            </w:pPr>
            <w:r w:rsidRPr="002E51D5">
              <w:rPr>
                <w:rFonts w:ascii="Arial" w:hAnsi="Arial" w:cs="Arial"/>
                <w:color w:val="000000"/>
              </w:rPr>
              <w:t>66.6</w:t>
            </w:r>
          </w:p>
        </w:tc>
      </w:tr>
      <w:tr w:rsidR="002E51D5" w:rsidRPr="002E51D5" w14:paraId="06876C3E" w14:textId="77777777" w:rsidTr="00A0207E">
        <w:trPr>
          <w:trHeight w:val="425"/>
        </w:trPr>
        <w:tc>
          <w:tcPr>
            <w:tcW w:w="580" w:type="pct"/>
            <w:vMerge/>
            <w:hideMark/>
          </w:tcPr>
          <w:p w14:paraId="57334C40" w14:textId="77777777" w:rsidR="002E51D5" w:rsidRPr="002E51D5" w:rsidRDefault="002E51D5" w:rsidP="002E51D5">
            <w:pPr>
              <w:rPr>
                <w:rFonts w:ascii="Arial" w:hAnsi="Arial" w:cs="Arial"/>
              </w:rPr>
            </w:pPr>
          </w:p>
        </w:tc>
        <w:tc>
          <w:tcPr>
            <w:tcW w:w="2005" w:type="pct"/>
            <w:hideMark/>
          </w:tcPr>
          <w:p w14:paraId="66011C39" w14:textId="77777777" w:rsidR="002E51D5" w:rsidRPr="002E51D5" w:rsidRDefault="002E51D5" w:rsidP="002E51D5">
            <w:pPr>
              <w:rPr>
                <w:rFonts w:ascii="Arial" w:hAnsi="Arial" w:cs="Arial"/>
              </w:rPr>
            </w:pPr>
            <w:r w:rsidRPr="002E51D5">
              <w:rPr>
                <w:rFonts w:ascii="Arial" w:hAnsi="Arial" w:cs="Arial"/>
              </w:rPr>
              <w:t xml:space="preserve">Number of students at NMS </w:t>
            </w:r>
          </w:p>
        </w:tc>
        <w:tc>
          <w:tcPr>
            <w:tcW w:w="403" w:type="pct"/>
            <w:vAlign w:val="center"/>
            <w:hideMark/>
          </w:tcPr>
          <w:p w14:paraId="53A4A2E7" w14:textId="77777777" w:rsidR="002E51D5" w:rsidRPr="002E51D5" w:rsidRDefault="002E51D5" w:rsidP="00CF467D">
            <w:pPr>
              <w:jc w:val="center"/>
              <w:rPr>
                <w:rFonts w:ascii="Arial" w:hAnsi="Arial" w:cs="Arial"/>
              </w:rPr>
            </w:pPr>
            <w:r w:rsidRPr="002E51D5">
              <w:rPr>
                <w:rFonts w:ascii="Arial" w:hAnsi="Arial" w:cs="Arial"/>
              </w:rPr>
              <w:t>355</w:t>
            </w:r>
          </w:p>
        </w:tc>
        <w:tc>
          <w:tcPr>
            <w:tcW w:w="403" w:type="pct"/>
            <w:vAlign w:val="center"/>
            <w:hideMark/>
          </w:tcPr>
          <w:p w14:paraId="6E0A5CD8" w14:textId="77777777" w:rsidR="002E51D5" w:rsidRPr="002E51D5" w:rsidRDefault="002E51D5" w:rsidP="00CF467D">
            <w:pPr>
              <w:jc w:val="center"/>
              <w:rPr>
                <w:rFonts w:ascii="Arial" w:hAnsi="Arial" w:cs="Arial"/>
              </w:rPr>
            </w:pPr>
            <w:r w:rsidRPr="002E51D5">
              <w:rPr>
                <w:rFonts w:ascii="Arial" w:hAnsi="Arial" w:cs="Arial"/>
              </w:rPr>
              <w:t>336</w:t>
            </w:r>
          </w:p>
        </w:tc>
        <w:tc>
          <w:tcPr>
            <w:tcW w:w="403" w:type="pct"/>
            <w:vAlign w:val="center"/>
            <w:hideMark/>
          </w:tcPr>
          <w:p w14:paraId="1E98BE03" w14:textId="77777777" w:rsidR="002E51D5" w:rsidRPr="002E51D5" w:rsidRDefault="002E51D5" w:rsidP="00CF467D">
            <w:pPr>
              <w:jc w:val="center"/>
              <w:rPr>
                <w:rFonts w:ascii="Arial" w:hAnsi="Arial" w:cs="Arial"/>
              </w:rPr>
            </w:pPr>
            <w:r w:rsidRPr="002E51D5">
              <w:rPr>
                <w:rFonts w:ascii="Arial" w:hAnsi="Arial" w:cs="Arial"/>
              </w:rPr>
              <w:t>420</w:t>
            </w:r>
          </w:p>
        </w:tc>
        <w:tc>
          <w:tcPr>
            <w:tcW w:w="403" w:type="pct"/>
            <w:vAlign w:val="center"/>
            <w:hideMark/>
          </w:tcPr>
          <w:p w14:paraId="64BE3029" w14:textId="77777777" w:rsidR="002E51D5" w:rsidRPr="002E51D5" w:rsidRDefault="002E51D5" w:rsidP="00CF467D">
            <w:pPr>
              <w:jc w:val="center"/>
              <w:rPr>
                <w:rFonts w:ascii="Arial" w:hAnsi="Arial" w:cs="Arial"/>
                <w:color w:val="000000"/>
              </w:rPr>
            </w:pPr>
            <w:r w:rsidRPr="002E51D5">
              <w:rPr>
                <w:rFonts w:ascii="Arial" w:hAnsi="Arial" w:cs="Arial"/>
                <w:color w:val="000000"/>
              </w:rPr>
              <w:t>280</w:t>
            </w:r>
          </w:p>
        </w:tc>
        <w:tc>
          <w:tcPr>
            <w:tcW w:w="403" w:type="pct"/>
            <w:vAlign w:val="center"/>
            <w:hideMark/>
          </w:tcPr>
          <w:p w14:paraId="6F4A8223" w14:textId="77777777" w:rsidR="002E51D5" w:rsidRPr="002E51D5" w:rsidRDefault="002E51D5" w:rsidP="00CF467D">
            <w:pPr>
              <w:jc w:val="center"/>
              <w:rPr>
                <w:rFonts w:ascii="Arial" w:hAnsi="Arial" w:cs="Arial"/>
                <w:color w:val="000000"/>
              </w:rPr>
            </w:pPr>
            <w:r w:rsidRPr="002E51D5">
              <w:rPr>
                <w:rFonts w:ascii="Arial" w:hAnsi="Arial" w:cs="Arial"/>
                <w:color w:val="000000"/>
              </w:rPr>
              <w:t>259</w:t>
            </w:r>
          </w:p>
        </w:tc>
        <w:tc>
          <w:tcPr>
            <w:tcW w:w="401" w:type="pct"/>
            <w:vAlign w:val="center"/>
            <w:hideMark/>
          </w:tcPr>
          <w:p w14:paraId="186F727A" w14:textId="77777777" w:rsidR="002E51D5" w:rsidRPr="002E51D5" w:rsidRDefault="002E51D5" w:rsidP="00CF467D">
            <w:pPr>
              <w:jc w:val="center"/>
              <w:rPr>
                <w:rFonts w:ascii="Arial" w:hAnsi="Arial" w:cs="Arial"/>
                <w:color w:val="000000"/>
              </w:rPr>
            </w:pPr>
            <w:r w:rsidRPr="002E51D5">
              <w:rPr>
                <w:rFonts w:ascii="Arial" w:hAnsi="Arial" w:cs="Arial"/>
                <w:color w:val="000000"/>
              </w:rPr>
              <w:t>302</w:t>
            </w:r>
          </w:p>
        </w:tc>
      </w:tr>
      <w:tr w:rsidR="002E51D5" w:rsidRPr="002E51D5" w14:paraId="7346DA3E" w14:textId="77777777" w:rsidTr="00A0207E">
        <w:trPr>
          <w:trHeight w:val="425"/>
        </w:trPr>
        <w:tc>
          <w:tcPr>
            <w:tcW w:w="580" w:type="pct"/>
            <w:vMerge/>
            <w:hideMark/>
          </w:tcPr>
          <w:p w14:paraId="145049AA" w14:textId="77777777" w:rsidR="002E51D5" w:rsidRPr="002E51D5" w:rsidRDefault="002E51D5" w:rsidP="002E51D5">
            <w:pPr>
              <w:rPr>
                <w:rFonts w:ascii="Arial" w:hAnsi="Arial" w:cs="Arial"/>
              </w:rPr>
            </w:pPr>
          </w:p>
        </w:tc>
        <w:tc>
          <w:tcPr>
            <w:tcW w:w="2005" w:type="pct"/>
            <w:hideMark/>
          </w:tcPr>
          <w:p w14:paraId="6726A8A4" w14:textId="77777777" w:rsidR="002E51D5" w:rsidRPr="002E51D5" w:rsidRDefault="002E51D5" w:rsidP="002E51D5">
            <w:pPr>
              <w:rPr>
                <w:rFonts w:ascii="Arial" w:hAnsi="Arial" w:cs="Arial"/>
              </w:rPr>
            </w:pPr>
            <w:r w:rsidRPr="002E51D5">
              <w:rPr>
                <w:rFonts w:ascii="Arial" w:hAnsi="Arial" w:cs="Arial"/>
              </w:rPr>
              <w:t>Number of Indigenous students at NMS</w:t>
            </w:r>
          </w:p>
        </w:tc>
        <w:tc>
          <w:tcPr>
            <w:tcW w:w="403" w:type="pct"/>
            <w:vAlign w:val="center"/>
            <w:hideMark/>
          </w:tcPr>
          <w:p w14:paraId="51208A06" w14:textId="77777777" w:rsidR="002E51D5" w:rsidRPr="002E51D5" w:rsidRDefault="002E51D5" w:rsidP="00CF467D">
            <w:pPr>
              <w:jc w:val="center"/>
              <w:rPr>
                <w:rFonts w:ascii="Arial" w:hAnsi="Arial" w:cs="Arial"/>
              </w:rPr>
            </w:pPr>
            <w:r w:rsidRPr="002E51D5">
              <w:rPr>
                <w:rFonts w:ascii="Arial" w:hAnsi="Arial" w:cs="Arial"/>
              </w:rPr>
              <w:t>36</w:t>
            </w:r>
          </w:p>
        </w:tc>
        <w:tc>
          <w:tcPr>
            <w:tcW w:w="403" w:type="pct"/>
            <w:vAlign w:val="center"/>
            <w:hideMark/>
          </w:tcPr>
          <w:p w14:paraId="685BD7FA" w14:textId="77777777" w:rsidR="002E51D5" w:rsidRPr="002E51D5" w:rsidRDefault="002E51D5" w:rsidP="00CF467D">
            <w:pPr>
              <w:jc w:val="center"/>
              <w:rPr>
                <w:rFonts w:ascii="Arial" w:hAnsi="Arial" w:cs="Arial"/>
              </w:rPr>
            </w:pPr>
            <w:r w:rsidRPr="002E51D5">
              <w:rPr>
                <w:rFonts w:ascii="Arial" w:hAnsi="Arial" w:cs="Arial"/>
              </w:rPr>
              <w:t>37</w:t>
            </w:r>
          </w:p>
        </w:tc>
        <w:tc>
          <w:tcPr>
            <w:tcW w:w="403" w:type="pct"/>
            <w:vAlign w:val="center"/>
            <w:hideMark/>
          </w:tcPr>
          <w:p w14:paraId="26797CD2" w14:textId="77777777" w:rsidR="002E51D5" w:rsidRPr="002E51D5" w:rsidRDefault="002E51D5" w:rsidP="00CF467D">
            <w:pPr>
              <w:jc w:val="center"/>
              <w:rPr>
                <w:rFonts w:ascii="Arial" w:hAnsi="Arial" w:cs="Arial"/>
              </w:rPr>
            </w:pPr>
            <w:r w:rsidRPr="002E51D5">
              <w:rPr>
                <w:rFonts w:ascii="Arial" w:hAnsi="Arial" w:cs="Arial"/>
              </w:rPr>
              <w:t>44</w:t>
            </w:r>
          </w:p>
        </w:tc>
        <w:tc>
          <w:tcPr>
            <w:tcW w:w="403" w:type="pct"/>
            <w:vAlign w:val="center"/>
            <w:hideMark/>
          </w:tcPr>
          <w:p w14:paraId="1DB64674" w14:textId="77777777" w:rsidR="002E51D5" w:rsidRPr="002E51D5" w:rsidRDefault="002E51D5" w:rsidP="00CF467D">
            <w:pPr>
              <w:jc w:val="center"/>
              <w:rPr>
                <w:rFonts w:ascii="Arial" w:hAnsi="Arial" w:cs="Arial"/>
                <w:color w:val="000000"/>
              </w:rPr>
            </w:pPr>
            <w:r w:rsidRPr="002E51D5">
              <w:rPr>
                <w:rFonts w:ascii="Arial" w:hAnsi="Arial" w:cs="Arial"/>
                <w:color w:val="000000"/>
              </w:rPr>
              <w:t>37</w:t>
            </w:r>
          </w:p>
        </w:tc>
        <w:tc>
          <w:tcPr>
            <w:tcW w:w="403" w:type="pct"/>
            <w:vAlign w:val="center"/>
            <w:hideMark/>
          </w:tcPr>
          <w:p w14:paraId="74B99286" w14:textId="77777777" w:rsidR="002E51D5" w:rsidRPr="002E51D5" w:rsidRDefault="002E51D5" w:rsidP="00CF467D">
            <w:pPr>
              <w:jc w:val="center"/>
              <w:rPr>
                <w:rFonts w:ascii="Arial" w:hAnsi="Arial" w:cs="Arial"/>
                <w:color w:val="000000"/>
              </w:rPr>
            </w:pPr>
            <w:r w:rsidRPr="002E51D5">
              <w:rPr>
                <w:rFonts w:ascii="Arial" w:hAnsi="Arial" w:cs="Arial"/>
                <w:color w:val="000000"/>
              </w:rPr>
              <w:t>22</w:t>
            </w:r>
          </w:p>
        </w:tc>
        <w:tc>
          <w:tcPr>
            <w:tcW w:w="401" w:type="pct"/>
            <w:vAlign w:val="center"/>
            <w:hideMark/>
          </w:tcPr>
          <w:p w14:paraId="0E371C56" w14:textId="77777777" w:rsidR="002E51D5" w:rsidRPr="002E51D5" w:rsidRDefault="002E51D5" w:rsidP="00CF467D">
            <w:pPr>
              <w:jc w:val="center"/>
              <w:rPr>
                <w:rFonts w:ascii="Arial" w:hAnsi="Arial" w:cs="Arial"/>
                <w:color w:val="000000"/>
              </w:rPr>
            </w:pPr>
            <w:r w:rsidRPr="002E51D5">
              <w:rPr>
                <w:rFonts w:ascii="Arial" w:hAnsi="Arial" w:cs="Arial"/>
                <w:color w:val="000000"/>
              </w:rPr>
              <w:t>49</w:t>
            </w:r>
          </w:p>
        </w:tc>
      </w:tr>
      <w:tr w:rsidR="002E51D5" w:rsidRPr="002E51D5" w14:paraId="11C20DBB" w14:textId="77777777" w:rsidTr="00A0207E">
        <w:trPr>
          <w:trHeight w:val="425"/>
        </w:trPr>
        <w:tc>
          <w:tcPr>
            <w:tcW w:w="580" w:type="pct"/>
            <w:vMerge/>
            <w:hideMark/>
          </w:tcPr>
          <w:p w14:paraId="002F75E9" w14:textId="77777777" w:rsidR="002E51D5" w:rsidRPr="002E51D5" w:rsidRDefault="002E51D5" w:rsidP="002E51D5">
            <w:pPr>
              <w:rPr>
                <w:rFonts w:ascii="Arial" w:hAnsi="Arial" w:cs="Arial"/>
              </w:rPr>
            </w:pPr>
          </w:p>
        </w:tc>
        <w:tc>
          <w:tcPr>
            <w:tcW w:w="2005" w:type="pct"/>
            <w:hideMark/>
          </w:tcPr>
          <w:p w14:paraId="37CB2903" w14:textId="77777777" w:rsidR="002E51D5" w:rsidRPr="002E51D5" w:rsidRDefault="002E51D5" w:rsidP="002E51D5">
            <w:pPr>
              <w:rPr>
                <w:rFonts w:ascii="Arial" w:hAnsi="Arial" w:cs="Arial"/>
              </w:rPr>
            </w:pPr>
            <w:r w:rsidRPr="002E51D5">
              <w:rPr>
                <w:rFonts w:ascii="Arial" w:hAnsi="Arial" w:cs="Arial"/>
              </w:rPr>
              <w:t>Number of students below NMS</w:t>
            </w:r>
          </w:p>
        </w:tc>
        <w:tc>
          <w:tcPr>
            <w:tcW w:w="403" w:type="pct"/>
            <w:vAlign w:val="center"/>
            <w:hideMark/>
          </w:tcPr>
          <w:p w14:paraId="07F128DE" w14:textId="77777777" w:rsidR="002E51D5" w:rsidRPr="002E51D5" w:rsidRDefault="002E51D5" w:rsidP="00CF467D">
            <w:pPr>
              <w:jc w:val="center"/>
              <w:rPr>
                <w:rFonts w:ascii="Arial" w:hAnsi="Arial" w:cs="Arial"/>
              </w:rPr>
            </w:pPr>
            <w:r w:rsidRPr="002E51D5">
              <w:rPr>
                <w:rFonts w:ascii="Arial" w:hAnsi="Arial" w:cs="Arial"/>
              </w:rPr>
              <w:t>299</w:t>
            </w:r>
          </w:p>
        </w:tc>
        <w:tc>
          <w:tcPr>
            <w:tcW w:w="403" w:type="pct"/>
            <w:vAlign w:val="center"/>
            <w:hideMark/>
          </w:tcPr>
          <w:p w14:paraId="49B9872B" w14:textId="77777777" w:rsidR="002E51D5" w:rsidRPr="002E51D5" w:rsidRDefault="002E51D5" w:rsidP="00CF467D">
            <w:pPr>
              <w:jc w:val="center"/>
              <w:rPr>
                <w:rFonts w:ascii="Arial" w:hAnsi="Arial" w:cs="Arial"/>
              </w:rPr>
            </w:pPr>
            <w:r w:rsidRPr="002E51D5">
              <w:rPr>
                <w:rFonts w:ascii="Arial" w:hAnsi="Arial" w:cs="Arial"/>
              </w:rPr>
              <w:t>232</w:t>
            </w:r>
          </w:p>
        </w:tc>
        <w:tc>
          <w:tcPr>
            <w:tcW w:w="403" w:type="pct"/>
            <w:vAlign w:val="center"/>
            <w:hideMark/>
          </w:tcPr>
          <w:p w14:paraId="6D835123" w14:textId="77777777" w:rsidR="002E51D5" w:rsidRPr="002E51D5" w:rsidRDefault="002E51D5" w:rsidP="00CF467D">
            <w:pPr>
              <w:jc w:val="center"/>
              <w:rPr>
                <w:rFonts w:ascii="Arial" w:hAnsi="Arial" w:cs="Arial"/>
              </w:rPr>
            </w:pPr>
            <w:r w:rsidRPr="002E51D5">
              <w:rPr>
                <w:rFonts w:ascii="Arial" w:hAnsi="Arial" w:cs="Arial"/>
              </w:rPr>
              <w:t>342</w:t>
            </w:r>
          </w:p>
        </w:tc>
        <w:tc>
          <w:tcPr>
            <w:tcW w:w="403" w:type="pct"/>
            <w:vAlign w:val="center"/>
            <w:hideMark/>
          </w:tcPr>
          <w:p w14:paraId="61CCA7B8" w14:textId="77777777" w:rsidR="002E51D5" w:rsidRPr="002E51D5" w:rsidRDefault="002E51D5" w:rsidP="00CF467D">
            <w:pPr>
              <w:jc w:val="center"/>
              <w:rPr>
                <w:rFonts w:ascii="Arial" w:hAnsi="Arial" w:cs="Arial"/>
              </w:rPr>
            </w:pPr>
            <w:r w:rsidRPr="002E51D5">
              <w:rPr>
                <w:rFonts w:ascii="Arial" w:hAnsi="Arial" w:cs="Arial"/>
              </w:rPr>
              <w:t>291</w:t>
            </w:r>
          </w:p>
        </w:tc>
        <w:tc>
          <w:tcPr>
            <w:tcW w:w="403" w:type="pct"/>
            <w:vAlign w:val="center"/>
            <w:hideMark/>
          </w:tcPr>
          <w:p w14:paraId="034B2F5D" w14:textId="77777777" w:rsidR="002E51D5" w:rsidRPr="002E51D5" w:rsidRDefault="002E51D5" w:rsidP="00CF467D">
            <w:pPr>
              <w:jc w:val="center"/>
              <w:rPr>
                <w:rFonts w:ascii="Arial" w:hAnsi="Arial" w:cs="Arial"/>
              </w:rPr>
            </w:pPr>
            <w:r w:rsidRPr="002E51D5">
              <w:rPr>
                <w:rFonts w:ascii="Arial" w:hAnsi="Arial" w:cs="Arial"/>
              </w:rPr>
              <w:t>304</w:t>
            </w:r>
          </w:p>
        </w:tc>
        <w:tc>
          <w:tcPr>
            <w:tcW w:w="401" w:type="pct"/>
            <w:vAlign w:val="center"/>
            <w:hideMark/>
          </w:tcPr>
          <w:p w14:paraId="7664BD60" w14:textId="77777777" w:rsidR="002E51D5" w:rsidRPr="002E51D5" w:rsidRDefault="002E51D5" w:rsidP="00CF467D">
            <w:pPr>
              <w:jc w:val="center"/>
              <w:rPr>
                <w:rFonts w:ascii="Arial" w:hAnsi="Arial" w:cs="Arial"/>
              </w:rPr>
            </w:pPr>
            <w:r w:rsidRPr="002E51D5">
              <w:rPr>
                <w:rFonts w:ascii="Arial" w:hAnsi="Arial" w:cs="Arial"/>
              </w:rPr>
              <w:t>130</w:t>
            </w:r>
          </w:p>
        </w:tc>
      </w:tr>
      <w:tr w:rsidR="002E51D5" w:rsidRPr="002E51D5" w14:paraId="2D9783D1" w14:textId="77777777" w:rsidTr="00A0207E">
        <w:trPr>
          <w:trHeight w:val="425"/>
        </w:trPr>
        <w:tc>
          <w:tcPr>
            <w:tcW w:w="580" w:type="pct"/>
            <w:vMerge/>
            <w:hideMark/>
          </w:tcPr>
          <w:p w14:paraId="5C958118" w14:textId="77777777" w:rsidR="002E51D5" w:rsidRPr="002E51D5" w:rsidRDefault="002E51D5" w:rsidP="002E51D5">
            <w:pPr>
              <w:rPr>
                <w:rFonts w:ascii="Arial" w:hAnsi="Arial" w:cs="Arial"/>
              </w:rPr>
            </w:pPr>
          </w:p>
        </w:tc>
        <w:tc>
          <w:tcPr>
            <w:tcW w:w="2005" w:type="pct"/>
            <w:hideMark/>
          </w:tcPr>
          <w:p w14:paraId="6E865E77" w14:textId="77777777" w:rsidR="002E51D5" w:rsidRPr="002E51D5" w:rsidRDefault="002E51D5" w:rsidP="002E51D5">
            <w:pPr>
              <w:rPr>
                <w:rFonts w:ascii="Arial" w:hAnsi="Arial" w:cs="Arial"/>
              </w:rPr>
            </w:pPr>
            <w:r w:rsidRPr="002E51D5">
              <w:rPr>
                <w:rFonts w:ascii="Arial" w:hAnsi="Arial" w:cs="Arial"/>
              </w:rPr>
              <w:t>Number of Indigenous students below NMS</w:t>
            </w:r>
          </w:p>
        </w:tc>
        <w:tc>
          <w:tcPr>
            <w:tcW w:w="403" w:type="pct"/>
            <w:vAlign w:val="center"/>
            <w:hideMark/>
          </w:tcPr>
          <w:p w14:paraId="33E2F8E3" w14:textId="77777777" w:rsidR="002E51D5" w:rsidRPr="002E51D5" w:rsidRDefault="002E51D5" w:rsidP="00CF467D">
            <w:pPr>
              <w:jc w:val="center"/>
              <w:rPr>
                <w:rFonts w:ascii="Arial" w:hAnsi="Arial" w:cs="Arial"/>
              </w:rPr>
            </w:pPr>
            <w:r w:rsidRPr="002E51D5">
              <w:rPr>
                <w:rFonts w:ascii="Arial" w:hAnsi="Arial" w:cs="Arial"/>
              </w:rPr>
              <w:t>40</w:t>
            </w:r>
          </w:p>
        </w:tc>
        <w:tc>
          <w:tcPr>
            <w:tcW w:w="403" w:type="pct"/>
            <w:vAlign w:val="center"/>
            <w:hideMark/>
          </w:tcPr>
          <w:p w14:paraId="2572E778" w14:textId="77777777" w:rsidR="002E51D5" w:rsidRPr="002E51D5" w:rsidRDefault="002E51D5" w:rsidP="00CF467D">
            <w:pPr>
              <w:jc w:val="center"/>
              <w:rPr>
                <w:rFonts w:ascii="Arial" w:hAnsi="Arial" w:cs="Arial"/>
              </w:rPr>
            </w:pPr>
            <w:r w:rsidRPr="002E51D5">
              <w:rPr>
                <w:rFonts w:ascii="Arial" w:hAnsi="Arial" w:cs="Arial"/>
              </w:rPr>
              <w:t>18</w:t>
            </w:r>
          </w:p>
        </w:tc>
        <w:tc>
          <w:tcPr>
            <w:tcW w:w="403" w:type="pct"/>
            <w:vAlign w:val="center"/>
            <w:hideMark/>
          </w:tcPr>
          <w:p w14:paraId="4426B99D" w14:textId="77777777" w:rsidR="002E51D5" w:rsidRPr="002E51D5" w:rsidRDefault="002E51D5" w:rsidP="00CF467D">
            <w:pPr>
              <w:jc w:val="center"/>
              <w:rPr>
                <w:rFonts w:ascii="Arial" w:hAnsi="Arial" w:cs="Arial"/>
              </w:rPr>
            </w:pPr>
            <w:r w:rsidRPr="002E51D5">
              <w:rPr>
                <w:rFonts w:ascii="Arial" w:hAnsi="Arial" w:cs="Arial"/>
              </w:rPr>
              <w:t>48</w:t>
            </w:r>
          </w:p>
        </w:tc>
        <w:tc>
          <w:tcPr>
            <w:tcW w:w="403" w:type="pct"/>
            <w:vAlign w:val="center"/>
            <w:hideMark/>
          </w:tcPr>
          <w:p w14:paraId="1CAB9FC4" w14:textId="77777777" w:rsidR="002E51D5" w:rsidRPr="002E51D5" w:rsidRDefault="002E51D5" w:rsidP="00CF467D">
            <w:pPr>
              <w:jc w:val="center"/>
              <w:rPr>
                <w:rFonts w:ascii="Arial" w:hAnsi="Arial" w:cs="Arial"/>
                <w:color w:val="000000"/>
              </w:rPr>
            </w:pPr>
            <w:r w:rsidRPr="002E51D5">
              <w:rPr>
                <w:rFonts w:ascii="Arial" w:hAnsi="Arial" w:cs="Arial"/>
                <w:color w:val="000000"/>
              </w:rPr>
              <w:t>31</w:t>
            </w:r>
          </w:p>
        </w:tc>
        <w:tc>
          <w:tcPr>
            <w:tcW w:w="403" w:type="pct"/>
            <w:vAlign w:val="center"/>
            <w:hideMark/>
          </w:tcPr>
          <w:p w14:paraId="7F1CF2F9" w14:textId="77777777" w:rsidR="002E51D5" w:rsidRPr="002E51D5" w:rsidRDefault="002E51D5" w:rsidP="00CF467D">
            <w:pPr>
              <w:jc w:val="center"/>
              <w:rPr>
                <w:rFonts w:ascii="Arial" w:hAnsi="Arial" w:cs="Arial"/>
                <w:color w:val="000000"/>
              </w:rPr>
            </w:pPr>
            <w:r w:rsidRPr="002E51D5">
              <w:rPr>
                <w:rFonts w:ascii="Arial" w:hAnsi="Arial" w:cs="Arial"/>
                <w:color w:val="000000"/>
              </w:rPr>
              <w:t>51</w:t>
            </w:r>
          </w:p>
        </w:tc>
        <w:tc>
          <w:tcPr>
            <w:tcW w:w="401" w:type="pct"/>
            <w:vAlign w:val="center"/>
            <w:hideMark/>
          </w:tcPr>
          <w:p w14:paraId="14A23352" w14:textId="77777777" w:rsidR="002E51D5" w:rsidRPr="002E51D5" w:rsidRDefault="002E51D5" w:rsidP="00CF467D">
            <w:pPr>
              <w:jc w:val="center"/>
              <w:rPr>
                <w:rFonts w:ascii="Arial" w:hAnsi="Arial" w:cs="Arial"/>
                <w:color w:val="000000"/>
              </w:rPr>
            </w:pPr>
            <w:r w:rsidRPr="002E51D5">
              <w:rPr>
                <w:rFonts w:ascii="Arial" w:hAnsi="Arial" w:cs="Arial"/>
                <w:color w:val="000000"/>
              </w:rPr>
              <w:t>24</w:t>
            </w:r>
          </w:p>
        </w:tc>
      </w:tr>
      <w:tr w:rsidR="002E51D5" w:rsidRPr="002E51D5" w14:paraId="273404D7" w14:textId="77777777" w:rsidTr="00A0207E">
        <w:trPr>
          <w:trHeight w:val="425"/>
        </w:trPr>
        <w:tc>
          <w:tcPr>
            <w:tcW w:w="580" w:type="pct"/>
            <w:vMerge/>
            <w:hideMark/>
          </w:tcPr>
          <w:p w14:paraId="28A8B727" w14:textId="77777777" w:rsidR="002E51D5" w:rsidRPr="002E51D5" w:rsidRDefault="002E51D5" w:rsidP="002E51D5">
            <w:pPr>
              <w:rPr>
                <w:rFonts w:ascii="Arial" w:hAnsi="Arial" w:cs="Arial"/>
              </w:rPr>
            </w:pPr>
          </w:p>
        </w:tc>
        <w:tc>
          <w:tcPr>
            <w:tcW w:w="2005" w:type="pct"/>
            <w:hideMark/>
          </w:tcPr>
          <w:p w14:paraId="6B871EEB" w14:textId="77777777" w:rsidR="002E51D5" w:rsidRPr="002E51D5" w:rsidRDefault="002E51D5" w:rsidP="002E51D5">
            <w:pPr>
              <w:rPr>
                <w:rFonts w:ascii="Arial" w:hAnsi="Arial" w:cs="Arial"/>
              </w:rPr>
            </w:pPr>
            <w:r w:rsidRPr="002E51D5">
              <w:rPr>
                <w:rFonts w:ascii="Arial" w:hAnsi="Arial" w:cs="Arial"/>
              </w:rPr>
              <w:t>Number of students with scores</w:t>
            </w:r>
          </w:p>
        </w:tc>
        <w:tc>
          <w:tcPr>
            <w:tcW w:w="403" w:type="pct"/>
            <w:vAlign w:val="center"/>
            <w:hideMark/>
          </w:tcPr>
          <w:p w14:paraId="39BA0FB6" w14:textId="77777777" w:rsidR="002E51D5" w:rsidRPr="002E51D5" w:rsidRDefault="002E51D5" w:rsidP="00CF467D">
            <w:pPr>
              <w:jc w:val="center"/>
              <w:rPr>
                <w:rFonts w:ascii="Arial" w:hAnsi="Arial" w:cs="Arial"/>
              </w:rPr>
            </w:pPr>
            <w:r w:rsidRPr="002E51D5">
              <w:rPr>
                <w:rFonts w:ascii="Arial" w:hAnsi="Arial" w:cs="Arial"/>
              </w:rPr>
              <w:t>2095</w:t>
            </w:r>
          </w:p>
        </w:tc>
        <w:tc>
          <w:tcPr>
            <w:tcW w:w="403" w:type="pct"/>
            <w:vAlign w:val="center"/>
            <w:hideMark/>
          </w:tcPr>
          <w:p w14:paraId="31F99A27" w14:textId="77777777" w:rsidR="002E51D5" w:rsidRPr="002E51D5" w:rsidRDefault="002E51D5" w:rsidP="00CF467D">
            <w:pPr>
              <w:jc w:val="center"/>
              <w:rPr>
                <w:rFonts w:ascii="Arial" w:hAnsi="Arial" w:cs="Arial"/>
              </w:rPr>
            </w:pPr>
            <w:r w:rsidRPr="002E51D5">
              <w:rPr>
                <w:rFonts w:ascii="Arial" w:hAnsi="Arial" w:cs="Arial"/>
              </w:rPr>
              <w:t>1962</w:t>
            </w:r>
          </w:p>
        </w:tc>
        <w:tc>
          <w:tcPr>
            <w:tcW w:w="403" w:type="pct"/>
            <w:vAlign w:val="center"/>
            <w:hideMark/>
          </w:tcPr>
          <w:p w14:paraId="4F9B8643" w14:textId="77777777" w:rsidR="002E51D5" w:rsidRPr="002E51D5" w:rsidRDefault="002E51D5" w:rsidP="00CF467D">
            <w:pPr>
              <w:jc w:val="center"/>
              <w:rPr>
                <w:rFonts w:ascii="Arial" w:hAnsi="Arial" w:cs="Arial"/>
              </w:rPr>
            </w:pPr>
            <w:r w:rsidRPr="002E51D5">
              <w:rPr>
                <w:rFonts w:ascii="Arial" w:hAnsi="Arial" w:cs="Arial"/>
              </w:rPr>
              <w:t>2020</w:t>
            </w:r>
          </w:p>
        </w:tc>
        <w:tc>
          <w:tcPr>
            <w:tcW w:w="403" w:type="pct"/>
            <w:vAlign w:val="center"/>
            <w:hideMark/>
          </w:tcPr>
          <w:p w14:paraId="1C7A85BE" w14:textId="77777777" w:rsidR="002E51D5" w:rsidRPr="002E51D5" w:rsidRDefault="002E51D5" w:rsidP="00CF467D">
            <w:pPr>
              <w:jc w:val="center"/>
              <w:rPr>
                <w:rFonts w:ascii="Arial" w:hAnsi="Arial" w:cs="Arial"/>
              </w:rPr>
            </w:pPr>
            <w:r w:rsidRPr="002E51D5">
              <w:rPr>
                <w:rFonts w:ascii="Arial" w:hAnsi="Arial" w:cs="Arial"/>
              </w:rPr>
              <w:t>1877</w:t>
            </w:r>
          </w:p>
        </w:tc>
        <w:tc>
          <w:tcPr>
            <w:tcW w:w="403" w:type="pct"/>
            <w:vAlign w:val="center"/>
            <w:hideMark/>
          </w:tcPr>
          <w:p w14:paraId="236995DA" w14:textId="77777777" w:rsidR="002E51D5" w:rsidRPr="002E51D5" w:rsidRDefault="002E51D5" w:rsidP="00CF467D">
            <w:pPr>
              <w:jc w:val="center"/>
              <w:rPr>
                <w:rFonts w:ascii="Arial" w:hAnsi="Arial" w:cs="Arial"/>
              </w:rPr>
            </w:pPr>
            <w:r w:rsidRPr="002E51D5">
              <w:rPr>
                <w:rFonts w:ascii="Arial" w:hAnsi="Arial" w:cs="Arial"/>
              </w:rPr>
              <w:t>1809</w:t>
            </w:r>
          </w:p>
        </w:tc>
        <w:tc>
          <w:tcPr>
            <w:tcW w:w="401" w:type="pct"/>
            <w:vAlign w:val="center"/>
            <w:hideMark/>
          </w:tcPr>
          <w:p w14:paraId="24A69F25" w14:textId="77777777" w:rsidR="002E51D5" w:rsidRPr="002E51D5" w:rsidRDefault="002E51D5" w:rsidP="00CF467D">
            <w:pPr>
              <w:jc w:val="center"/>
              <w:rPr>
                <w:rFonts w:ascii="Arial" w:hAnsi="Arial" w:cs="Arial"/>
              </w:rPr>
            </w:pPr>
            <w:r w:rsidRPr="002E51D5">
              <w:rPr>
                <w:rFonts w:ascii="Arial" w:hAnsi="Arial" w:cs="Arial"/>
              </w:rPr>
              <w:t>1809</w:t>
            </w:r>
          </w:p>
        </w:tc>
      </w:tr>
      <w:tr w:rsidR="002E51D5" w:rsidRPr="002E51D5" w14:paraId="027BF2F8" w14:textId="77777777" w:rsidTr="00A0207E">
        <w:trPr>
          <w:trHeight w:val="425"/>
        </w:trPr>
        <w:tc>
          <w:tcPr>
            <w:tcW w:w="580" w:type="pct"/>
            <w:vMerge/>
            <w:hideMark/>
          </w:tcPr>
          <w:p w14:paraId="11AA8101" w14:textId="77777777" w:rsidR="002E51D5" w:rsidRPr="002E51D5" w:rsidRDefault="002E51D5" w:rsidP="002E51D5">
            <w:pPr>
              <w:rPr>
                <w:rFonts w:ascii="Arial" w:hAnsi="Arial" w:cs="Arial"/>
              </w:rPr>
            </w:pPr>
          </w:p>
        </w:tc>
        <w:tc>
          <w:tcPr>
            <w:tcW w:w="2005" w:type="pct"/>
            <w:hideMark/>
          </w:tcPr>
          <w:p w14:paraId="5523AF1F" w14:textId="77777777" w:rsidR="002E51D5" w:rsidRPr="002E51D5" w:rsidRDefault="002E51D5" w:rsidP="002E51D5">
            <w:pPr>
              <w:rPr>
                <w:rFonts w:ascii="Arial" w:hAnsi="Arial" w:cs="Arial"/>
              </w:rPr>
            </w:pPr>
            <w:r w:rsidRPr="002E51D5">
              <w:rPr>
                <w:rFonts w:ascii="Arial" w:hAnsi="Arial" w:cs="Arial"/>
              </w:rPr>
              <w:t>Number of Indigenous students with scores</w:t>
            </w:r>
          </w:p>
        </w:tc>
        <w:tc>
          <w:tcPr>
            <w:tcW w:w="403" w:type="pct"/>
            <w:vAlign w:val="center"/>
            <w:hideMark/>
          </w:tcPr>
          <w:p w14:paraId="55021519" w14:textId="77777777" w:rsidR="002E51D5" w:rsidRPr="002E51D5" w:rsidRDefault="002E51D5" w:rsidP="00CF467D">
            <w:pPr>
              <w:jc w:val="center"/>
              <w:rPr>
                <w:rFonts w:ascii="Arial" w:hAnsi="Arial" w:cs="Arial"/>
              </w:rPr>
            </w:pPr>
            <w:r w:rsidRPr="002E51D5">
              <w:rPr>
                <w:rFonts w:ascii="Arial" w:hAnsi="Arial" w:cs="Arial"/>
              </w:rPr>
              <w:t>144</w:t>
            </w:r>
          </w:p>
        </w:tc>
        <w:tc>
          <w:tcPr>
            <w:tcW w:w="403" w:type="pct"/>
            <w:vAlign w:val="center"/>
            <w:hideMark/>
          </w:tcPr>
          <w:p w14:paraId="4BF03BF2" w14:textId="77777777" w:rsidR="002E51D5" w:rsidRPr="002E51D5" w:rsidRDefault="002E51D5" w:rsidP="00CF467D">
            <w:pPr>
              <w:jc w:val="center"/>
              <w:rPr>
                <w:rFonts w:ascii="Arial" w:hAnsi="Arial" w:cs="Arial"/>
              </w:rPr>
            </w:pPr>
            <w:r w:rsidRPr="002E51D5">
              <w:rPr>
                <w:rFonts w:ascii="Arial" w:hAnsi="Arial" w:cs="Arial"/>
              </w:rPr>
              <w:t>129</w:t>
            </w:r>
          </w:p>
        </w:tc>
        <w:tc>
          <w:tcPr>
            <w:tcW w:w="403" w:type="pct"/>
            <w:vAlign w:val="center"/>
            <w:hideMark/>
          </w:tcPr>
          <w:p w14:paraId="5A3880EA" w14:textId="77777777" w:rsidR="002E51D5" w:rsidRPr="002E51D5" w:rsidRDefault="002E51D5" w:rsidP="00CF467D">
            <w:pPr>
              <w:jc w:val="center"/>
              <w:rPr>
                <w:rFonts w:ascii="Arial" w:hAnsi="Arial" w:cs="Arial"/>
              </w:rPr>
            </w:pPr>
            <w:r w:rsidRPr="002E51D5">
              <w:rPr>
                <w:rFonts w:ascii="Arial" w:hAnsi="Arial" w:cs="Arial"/>
              </w:rPr>
              <w:t>155</w:t>
            </w:r>
          </w:p>
        </w:tc>
        <w:tc>
          <w:tcPr>
            <w:tcW w:w="403" w:type="pct"/>
            <w:vAlign w:val="center"/>
            <w:hideMark/>
          </w:tcPr>
          <w:p w14:paraId="44B66E38" w14:textId="77777777" w:rsidR="002E51D5" w:rsidRPr="002E51D5" w:rsidRDefault="002E51D5" w:rsidP="00CF467D">
            <w:pPr>
              <w:jc w:val="center"/>
              <w:rPr>
                <w:rFonts w:ascii="Arial" w:hAnsi="Arial" w:cs="Arial"/>
                <w:color w:val="000000"/>
              </w:rPr>
            </w:pPr>
            <w:r w:rsidRPr="002E51D5">
              <w:rPr>
                <w:rFonts w:ascii="Arial" w:hAnsi="Arial" w:cs="Arial"/>
                <w:color w:val="000000"/>
              </w:rPr>
              <w:t>131</w:t>
            </w:r>
          </w:p>
        </w:tc>
        <w:tc>
          <w:tcPr>
            <w:tcW w:w="403" w:type="pct"/>
            <w:vAlign w:val="center"/>
            <w:hideMark/>
          </w:tcPr>
          <w:p w14:paraId="25AF32B0" w14:textId="77777777" w:rsidR="002E51D5" w:rsidRPr="002E51D5" w:rsidRDefault="002E51D5" w:rsidP="00CF467D">
            <w:pPr>
              <w:jc w:val="center"/>
              <w:rPr>
                <w:rFonts w:ascii="Arial" w:hAnsi="Arial" w:cs="Arial"/>
                <w:color w:val="000000"/>
              </w:rPr>
            </w:pPr>
            <w:r w:rsidRPr="002E51D5">
              <w:rPr>
                <w:rFonts w:ascii="Arial" w:hAnsi="Arial" w:cs="Arial"/>
                <w:color w:val="000000"/>
              </w:rPr>
              <w:t>153</w:t>
            </w:r>
          </w:p>
        </w:tc>
        <w:tc>
          <w:tcPr>
            <w:tcW w:w="401" w:type="pct"/>
            <w:vAlign w:val="center"/>
            <w:hideMark/>
          </w:tcPr>
          <w:p w14:paraId="4D384355" w14:textId="77777777" w:rsidR="002E51D5" w:rsidRPr="002E51D5" w:rsidRDefault="002E51D5" w:rsidP="00CF467D">
            <w:pPr>
              <w:jc w:val="center"/>
              <w:rPr>
                <w:rFonts w:ascii="Arial" w:hAnsi="Arial" w:cs="Arial"/>
                <w:color w:val="000000"/>
              </w:rPr>
            </w:pPr>
            <w:r w:rsidRPr="002E51D5">
              <w:rPr>
                <w:rFonts w:ascii="Arial" w:hAnsi="Arial" w:cs="Arial"/>
                <w:color w:val="000000"/>
              </w:rPr>
              <w:t>179</w:t>
            </w:r>
          </w:p>
        </w:tc>
      </w:tr>
      <w:tr w:rsidR="002E51D5" w:rsidRPr="002E51D5" w14:paraId="5E1D7883" w14:textId="77777777" w:rsidTr="00A0207E">
        <w:trPr>
          <w:trHeight w:val="425"/>
        </w:trPr>
        <w:tc>
          <w:tcPr>
            <w:tcW w:w="580" w:type="pct"/>
            <w:vMerge/>
            <w:hideMark/>
          </w:tcPr>
          <w:p w14:paraId="6824B476" w14:textId="77777777" w:rsidR="002E51D5" w:rsidRPr="002E51D5" w:rsidRDefault="002E51D5" w:rsidP="002E51D5">
            <w:pPr>
              <w:rPr>
                <w:rFonts w:ascii="Arial" w:hAnsi="Arial" w:cs="Arial"/>
              </w:rPr>
            </w:pPr>
          </w:p>
        </w:tc>
        <w:tc>
          <w:tcPr>
            <w:tcW w:w="2005" w:type="pct"/>
            <w:hideMark/>
          </w:tcPr>
          <w:p w14:paraId="632BFEB1" w14:textId="77777777" w:rsidR="002E51D5" w:rsidRPr="002E51D5" w:rsidRDefault="002E51D5" w:rsidP="002E51D5">
            <w:pPr>
              <w:rPr>
                <w:rFonts w:ascii="Arial" w:hAnsi="Arial" w:cs="Arial"/>
              </w:rPr>
            </w:pPr>
            <w:r w:rsidRPr="002E51D5">
              <w:rPr>
                <w:rFonts w:ascii="Arial" w:hAnsi="Arial" w:cs="Arial"/>
              </w:rPr>
              <w:t>Number of students absent</w:t>
            </w:r>
          </w:p>
        </w:tc>
        <w:tc>
          <w:tcPr>
            <w:tcW w:w="403" w:type="pct"/>
            <w:vAlign w:val="center"/>
            <w:hideMark/>
          </w:tcPr>
          <w:p w14:paraId="29D6A564" w14:textId="77777777" w:rsidR="002E51D5" w:rsidRPr="002E51D5" w:rsidRDefault="002E51D5" w:rsidP="00CF467D">
            <w:pPr>
              <w:jc w:val="center"/>
              <w:rPr>
                <w:rFonts w:ascii="Arial" w:hAnsi="Arial" w:cs="Arial"/>
              </w:rPr>
            </w:pPr>
            <w:r w:rsidRPr="002E51D5">
              <w:rPr>
                <w:rFonts w:ascii="Arial" w:hAnsi="Arial" w:cs="Arial"/>
              </w:rPr>
              <w:t>15</w:t>
            </w:r>
          </w:p>
        </w:tc>
        <w:tc>
          <w:tcPr>
            <w:tcW w:w="403" w:type="pct"/>
            <w:vAlign w:val="center"/>
            <w:hideMark/>
          </w:tcPr>
          <w:p w14:paraId="2A93C60B" w14:textId="77777777" w:rsidR="002E51D5" w:rsidRPr="002E51D5" w:rsidRDefault="002E51D5" w:rsidP="00CF467D">
            <w:pPr>
              <w:jc w:val="center"/>
              <w:rPr>
                <w:rFonts w:ascii="Arial" w:hAnsi="Arial" w:cs="Arial"/>
              </w:rPr>
            </w:pPr>
            <w:r w:rsidRPr="002E51D5">
              <w:rPr>
                <w:rFonts w:ascii="Arial" w:hAnsi="Arial" w:cs="Arial"/>
              </w:rPr>
              <w:t>52</w:t>
            </w:r>
          </w:p>
        </w:tc>
        <w:tc>
          <w:tcPr>
            <w:tcW w:w="403" w:type="pct"/>
            <w:vAlign w:val="center"/>
            <w:hideMark/>
          </w:tcPr>
          <w:p w14:paraId="0221703D" w14:textId="77777777" w:rsidR="002E51D5" w:rsidRPr="002E51D5" w:rsidRDefault="002E51D5" w:rsidP="00CF467D">
            <w:pPr>
              <w:jc w:val="center"/>
              <w:rPr>
                <w:rFonts w:ascii="Arial" w:hAnsi="Arial" w:cs="Arial"/>
              </w:rPr>
            </w:pPr>
            <w:r w:rsidRPr="002E51D5">
              <w:rPr>
                <w:rFonts w:ascii="Arial" w:hAnsi="Arial" w:cs="Arial"/>
              </w:rPr>
              <w:t>40</w:t>
            </w:r>
          </w:p>
        </w:tc>
        <w:tc>
          <w:tcPr>
            <w:tcW w:w="403" w:type="pct"/>
            <w:vAlign w:val="center"/>
            <w:hideMark/>
          </w:tcPr>
          <w:p w14:paraId="57DB7846" w14:textId="77777777" w:rsidR="002E51D5" w:rsidRPr="002E51D5" w:rsidRDefault="002E51D5" w:rsidP="00CF467D">
            <w:pPr>
              <w:jc w:val="center"/>
              <w:rPr>
                <w:rFonts w:ascii="Arial" w:hAnsi="Arial" w:cs="Arial"/>
                <w:color w:val="000000"/>
              </w:rPr>
            </w:pPr>
            <w:r w:rsidRPr="002E51D5">
              <w:rPr>
                <w:rFonts w:ascii="Arial" w:hAnsi="Arial" w:cs="Arial"/>
                <w:color w:val="000000"/>
              </w:rPr>
              <w:t>37</w:t>
            </w:r>
          </w:p>
        </w:tc>
        <w:tc>
          <w:tcPr>
            <w:tcW w:w="403" w:type="pct"/>
            <w:vAlign w:val="center"/>
            <w:hideMark/>
          </w:tcPr>
          <w:p w14:paraId="19A20467" w14:textId="77777777" w:rsidR="002E51D5" w:rsidRPr="002E51D5" w:rsidRDefault="002E51D5" w:rsidP="00CF467D">
            <w:pPr>
              <w:jc w:val="center"/>
              <w:rPr>
                <w:rFonts w:ascii="Arial" w:hAnsi="Arial" w:cs="Arial"/>
                <w:color w:val="000000"/>
              </w:rPr>
            </w:pPr>
            <w:r w:rsidRPr="002E51D5">
              <w:rPr>
                <w:rFonts w:ascii="Arial" w:hAnsi="Arial" w:cs="Arial"/>
                <w:color w:val="000000"/>
              </w:rPr>
              <w:t>64</w:t>
            </w:r>
          </w:p>
        </w:tc>
        <w:tc>
          <w:tcPr>
            <w:tcW w:w="401" w:type="pct"/>
            <w:vAlign w:val="center"/>
            <w:hideMark/>
          </w:tcPr>
          <w:p w14:paraId="778FAE45" w14:textId="77777777" w:rsidR="002E51D5" w:rsidRPr="002E51D5" w:rsidRDefault="002E51D5" w:rsidP="00CF467D">
            <w:pPr>
              <w:jc w:val="center"/>
              <w:rPr>
                <w:rFonts w:ascii="Arial" w:hAnsi="Arial" w:cs="Arial"/>
                <w:color w:val="000000"/>
              </w:rPr>
            </w:pPr>
            <w:r w:rsidRPr="002E51D5">
              <w:rPr>
                <w:rFonts w:ascii="Arial" w:hAnsi="Arial" w:cs="Arial"/>
                <w:color w:val="000000"/>
              </w:rPr>
              <w:t>49</w:t>
            </w:r>
          </w:p>
        </w:tc>
      </w:tr>
      <w:tr w:rsidR="002E51D5" w:rsidRPr="002E51D5" w14:paraId="2BB68013" w14:textId="77777777" w:rsidTr="00A0207E">
        <w:trPr>
          <w:trHeight w:val="425"/>
        </w:trPr>
        <w:tc>
          <w:tcPr>
            <w:tcW w:w="580" w:type="pct"/>
            <w:vMerge/>
            <w:hideMark/>
          </w:tcPr>
          <w:p w14:paraId="2BA525B7" w14:textId="77777777" w:rsidR="002E51D5" w:rsidRPr="002E51D5" w:rsidRDefault="002E51D5" w:rsidP="002E51D5">
            <w:pPr>
              <w:rPr>
                <w:rFonts w:ascii="Arial" w:hAnsi="Arial" w:cs="Arial"/>
              </w:rPr>
            </w:pPr>
          </w:p>
        </w:tc>
        <w:tc>
          <w:tcPr>
            <w:tcW w:w="2005" w:type="pct"/>
            <w:hideMark/>
          </w:tcPr>
          <w:p w14:paraId="79A49513" w14:textId="77777777" w:rsidR="002E51D5" w:rsidRPr="002E51D5" w:rsidRDefault="002E51D5" w:rsidP="002E51D5">
            <w:pPr>
              <w:rPr>
                <w:rFonts w:ascii="Arial" w:hAnsi="Arial" w:cs="Arial"/>
              </w:rPr>
            </w:pPr>
            <w:r w:rsidRPr="002E51D5">
              <w:rPr>
                <w:rFonts w:ascii="Arial" w:hAnsi="Arial" w:cs="Arial"/>
              </w:rPr>
              <w:t>Number of Indigenous students absent</w:t>
            </w:r>
          </w:p>
        </w:tc>
        <w:tc>
          <w:tcPr>
            <w:tcW w:w="403" w:type="pct"/>
            <w:vAlign w:val="center"/>
            <w:hideMark/>
          </w:tcPr>
          <w:p w14:paraId="39F7F190" w14:textId="77777777" w:rsidR="002E51D5" w:rsidRPr="002E51D5" w:rsidRDefault="002E51D5" w:rsidP="00CF467D">
            <w:pPr>
              <w:jc w:val="center"/>
              <w:rPr>
                <w:rFonts w:ascii="Arial" w:hAnsi="Arial" w:cs="Arial"/>
              </w:rPr>
            </w:pPr>
            <w:r w:rsidRPr="002E51D5">
              <w:rPr>
                <w:rFonts w:ascii="Arial" w:hAnsi="Arial" w:cs="Arial"/>
              </w:rPr>
              <w:t>3</w:t>
            </w:r>
          </w:p>
        </w:tc>
        <w:tc>
          <w:tcPr>
            <w:tcW w:w="403" w:type="pct"/>
            <w:vAlign w:val="center"/>
            <w:hideMark/>
          </w:tcPr>
          <w:p w14:paraId="77FAFE4C" w14:textId="77777777" w:rsidR="002E51D5" w:rsidRPr="002E51D5" w:rsidRDefault="002E51D5" w:rsidP="00CF467D">
            <w:pPr>
              <w:jc w:val="center"/>
              <w:rPr>
                <w:rFonts w:ascii="Arial" w:hAnsi="Arial" w:cs="Arial"/>
              </w:rPr>
            </w:pPr>
            <w:r w:rsidRPr="002E51D5">
              <w:rPr>
                <w:rFonts w:ascii="Arial" w:hAnsi="Arial" w:cs="Arial"/>
              </w:rPr>
              <w:t>6</w:t>
            </w:r>
          </w:p>
        </w:tc>
        <w:tc>
          <w:tcPr>
            <w:tcW w:w="403" w:type="pct"/>
            <w:vAlign w:val="center"/>
            <w:hideMark/>
          </w:tcPr>
          <w:p w14:paraId="72FA9368" w14:textId="77777777" w:rsidR="002E51D5" w:rsidRPr="002E51D5" w:rsidRDefault="002E51D5" w:rsidP="00CF467D">
            <w:pPr>
              <w:jc w:val="center"/>
              <w:rPr>
                <w:rFonts w:ascii="Arial" w:hAnsi="Arial" w:cs="Arial"/>
              </w:rPr>
            </w:pPr>
            <w:r w:rsidRPr="002E51D5">
              <w:rPr>
                <w:rFonts w:ascii="Arial" w:hAnsi="Arial" w:cs="Arial"/>
              </w:rPr>
              <w:t>7</w:t>
            </w:r>
          </w:p>
        </w:tc>
        <w:tc>
          <w:tcPr>
            <w:tcW w:w="403" w:type="pct"/>
            <w:vAlign w:val="center"/>
            <w:hideMark/>
          </w:tcPr>
          <w:p w14:paraId="11F5E8E8" w14:textId="77777777" w:rsidR="002E51D5" w:rsidRPr="002E51D5" w:rsidRDefault="002E51D5" w:rsidP="00CF467D">
            <w:pPr>
              <w:jc w:val="center"/>
              <w:rPr>
                <w:rFonts w:ascii="Arial" w:hAnsi="Arial" w:cs="Arial"/>
                <w:color w:val="000000"/>
              </w:rPr>
            </w:pPr>
            <w:r w:rsidRPr="002E51D5">
              <w:rPr>
                <w:rFonts w:ascii="Arial" w:hAnsi="Arial" w:cs="Arial"/>
                <w:color w:val="000000"/>
              </w:rPr>
              <w:t>6</w:t>
            </w:r>
          </w:p>
        </w:tc>
        <w:tc>
          <w:tcPr>
            <w:tcW w:w="403" w:type="pct"/>
            <w:vAlign w:val="center"/>
            <w:hideMark/>
          </w:tcPr>
          <w:p w14:paraId="21F4C3F5" w14:textId="77777777" w:rsidR="002E51D5" w:rsidRPr="002E51D5" w:rsidRDefault="002E51D5" w:rsidP="00CF467D">
            <w:pPr>
              <w:jc w:val="center"/>
              <w:rPr>
                <w:rFonts w:ascii="Arial" w:hAnsi="Arial" w:cs="Arial"/>
                <w:color w:val="000000"/>
              </w:rPr>
            </w:pPr>
            <w:r w:rsidRPr="002E51D5">
              <w:rPr>
                <w:rFonts w:ascii="Arial" w:hAnsi="Arial" w:cs="Arial"/>
                <w:color w:val="000000"/>
              </w:rPr>
              <w:t>9</w:t>
            </w:r>
          </w:p>
        </w:tc>
        <w:tc>
          <w:tcPr>
            <w:tcW w:w="401" w:type="pct"/>
            <w:vAlign w:val="center"/>
            <w:hideMark/>
          </w:tcPr>
          <w:p w14:paraId="460E3FE8" w14:textId="77777777" w:rsidR="002E51D5" w:rsidRPr="002E51D5" w:rsidRDefault="002E51D5" w:rsidP="00CF467D">
            <w:pPr>
              <w:jc w:val="center"/>
              <w:rPr>
                <w:rFonts w:ascii="Arial" w:hAnsi="Arial" w:cs="Arial"/>
                <w:color w:val="000000"/>
              </w:rPr>
            </w:pPr>
            <w:r w:rsidRPr="002E51D5">
              <w:rPr>
                <w:rFonts w:ascii="Arial" w:hAnsi="Arial" w:cs="Arial"/>
                <w:color w:val="000000"/>
              </w:rPr>
              <w:t>5</w:t>
            </w:r>
          </w:p>
        </w:tc>
      </w:tr>
      <w:tr w:rsidR="002E51D5" w:rsidRPr="002E51D5" w14:paraId="4162C1BB" w14:textId="77777777" w:rsidTr="00A0207E">
        <w:trPr>
          <w:trHeight w:val="425"/>
        </w:trPr>
        <w:tc>
          <w:tcPr>
            <w:tcW w:w="580" w:type="pct"/>
            <w:vMerge/>
            <w:hideMark/>
          </w:tcPr>
          <w:p w14:paraId="135C15BF" w14:textId="77777777" w:rsidR="002E51D5" w:rsidRPr="002E51D5" w:rsidRDefault="002E51D5" w:rsidP="002E51D5">
            <w:pPr>
              <w:rPr>
                <w:rFonts w:ascii="Arial" w:hAnsi="Arial" w:cs="Arial"/>
              </w:rPr>
            </w:pPr>
          </w:p>
        </w:tc>
        <w:tc>
          <w:tcPr>
            <w:tcW w:w="2005" w:type="pct"/>
            <w:hideMark/>
          </w:tcPr>
          <w:p w14:paraId="4EBB06BE" w14:textId="77777777" w:rsidR="002E51D5" w:rsidRPr="002E51D5" w:rsidRDefault="002E51D5" w:rsidP="002E51D5">
            <w:pPr>
              <w:rPr>
                <w:rFonts w:ascii="Arial" w:hAnsi="Arial" w:cs="Arial"/>
              </w:rPr>
            </w:pPr>
            <w:r w:rsidRPr="002E51D5">
              <w:rPr>
                <w:rFonts w:ascii="Arial" w:hAnsi="Arial" w:cs="Arial"/>
              </w:rPr>
              <w:t>Number of students withdrawn</w:t>
            </w:r>
          </w:p>
        </w:tc>
        <w:tc>
          <w:tcPr>
            <w:tcW w:w="403" w:type="pct"/>
            <w:vAlign w:val="center"/>
            <w:hideMark/>
          </w:tcPr>
          <w:p w14:paraId="77FE965D" w14:textId="77777777" w:rsidR="002E51D5" w:rsidRPr="002E51D5" w:rsidRDefault="002E51D5" w:rsidP="00CF467D">
            <w:pPr>
              <w:jc w:val="center"/>
              <w:rPr>
                <w:rFonts w:ascii="Arial" w:hAnsi="Arial" w:cs="Arial"/>
              </w:rPr>
            </w:pPr>
            <w:r w:rsidRPr="002E51D5">
              <w:rPr>
                <w:rFonts w:ascii="Arial" w:hAnsi="Arial" w:cs="Arial"/>
              </w:rPr>
              <w:t>2</w:t>
            </w:r>
          </w:p>
        </w:tc>
        <w:tc>
          <w:tcPr>
            <w:tcW w:w="403" w:type="pct"/>
            <w:vAlign w:val="center"/>
            <w:hideMark/>
          </w:tcPr>
          <w:p w14:paraId="7CDB6AD6" w14:textId="77777777" w:rsidR="002E51D5" w:rsidRPr="002E51D5" w:rsidRDefault="002E51D5" w:rsidP="00CF467D">
            <w:pPr>
              <w:jc w:val="center"/>
              <w:rPr>
                <w:rFonts w:ascii="Arial" w:hAnsi="Arial" w:cs="Arial"/>
              </w:rPr>
            </w:pPr>
            <w:r w:rsidRPr="002E51D5">
              <w:rPr>
                <w:rFonts w:ascii="Arial" w:hAnsi="Arial" w:cs="Arial"/>
              </w:rPr>
              <w:t>17</w:t>
            </w:r>
          </w:p>
        </w:tc>
        <w:tc>
          <w:tcPr>
            <w:tcW w:w="403" w:type="pct"/>
            <w:vAlign w:val="center"/>
            <w:hideMark/>
          </w:tcPr>
          <w:p w14:paraId="089E9A18" w14:textId="77777777" w:rsidR="002E51D5" w:rsidRPr="002E51D5" w:rsidRDefault="002E51D5" w:rsidP="00CF467D">
            <w:pPr>
              <w:jc w:val="center"/>
              <w:rPr>
                <w:rFonts w:ascii="Arial" w:hAnsi="Arial" w:cs="Arial"/>
              </w:rPr>
            </w:pPr>
            <w:r w:rsidRPr="002E51D5">
              <w:rPr>
                <w:rFonts w:ascii="Arial" w:hAnsi="Arial" w:cs="Arial"/>
              </w:rPr>
              <w:t>24</w:t>
            </w:r>
          </w:p>
        </w:tc>
        <w:tc>
          <w:tcPr>
            <w:tcW w:w="403" w:type="pct"/>
            <w:vAlign w:val="center"/>
            <w:hideMark/>
          </w:tcPr>
          <w:p w14:paraId="478A320E" w14:textId="77777777" w:rsidR="002E51D5" w:rsidRPr="002E51D5" w:rsidRDefault="002E51D5" w:rsidP="00CF467D">
            <w:pPr>
              <w:jc w:val="center"/>
              <w:rPr>
                <w:rFonts w:ascii="Arial" w:hAnsi="Arial" w:cs="Arial"/>
                <w:color w:val="000000"/>
              </w:rPr>
            </w:pPr>
            <w:r w:rsidRPr="002E51D5">
              <w:rPr>
                <w:rFonts w:ascii="Arial" w:hAnsi="Arial" w:cs="Arial"/>
                <w:color w:val="000000"/>
              </w:rPr>
              <w:t>21</w:t>
            </w:r>
          </w:p>
        </w:tc>
        <w:tc>
          <w:tcPr>
            <w:tcW w:w="403" w:type="pct"/>
            <w:vAlign w:val="center"/>
            <w:hideMark/>
          </w:tcPr>
          <w:p w14:paraId="1BAF2ACA" w14:textId="77777777" w:rsidR="002E51D5" w:rsidRPr="002E51D5" w:rsidRDefault="002E51D5" w:rsidP="00CF467D">
            <w:pPr>
              <w:jc w:val="center"/>
              <w:rPr>
                <w:rFonts w:ascii="Arial" w:hAnsi="Arial" w:cs="Arial"/>
                <w:color w:val="000000"/>
              </w:rPr>
            </w:pPr>
            <w:r w:rsidRPr="002E51D5">
              <w:rPr>
                <w:rFonts w:ascii="Arial" w:hAnsi="Arial" w:cs="Arial"/>
                <w:color w:val="000000"/>
              </w:rPr>
              <w:t>19</w:t>
            </w:r>
          </w:p>
        </w:tc>
        <w:tc>
          <w:tcPr>
            <w:tcW w:w="401" w:type="pct"/>
            <w:vAlign w:val="center"/>
            <w:hideMark/>
          </w:tcPr>
          <w:p w14:paraId="2A0949D9" w14:textId="77777777" w:rsidR="002E51D5" w:rsidRPr="002E51D5" w:rsidRDefault="002E51D5" w:rsidP="00CF467D">
            <w:pPr>
              <w:jc w:val="center"/>
              <w:rPr>
                <w:rFonts w:ascii="Arial" w:hAnsi="Arial" w:cs="Arial"/>
                <w:color w:val="000000"/>
              </w:rPr>
            </w:pPr>
            <w:r w:rsidRPr="002E51D5">
              <w:rPr>
                <w:rFonts w:ascii="Arial" w:hAnsi="Arial" w:cs="Arial"/>
                <w:color w:val="000000"/>
              </w:rPr>
              <w:t>17</w:t>
            </w:r>
          </w:p>
        </w:tc>
      </w:tr>
      <w:tr w:rsidR="002E51D5" w:rsidRPr="002E51D5" w14:paraId="37551C81" w14:textId="77777777" w:rsidTr="00A0207E">
        <w:trPr>
          <w:trHeight w:val="425"/>
        </w:trPr>
        <w:tc>
          <w:tcPr>
            <w:tcW w:w="580" w:type="pct"/>
            <w:vMerge/>
            <w:hideMark/>
          </w:tcPr>
          <w:p w14:paraId="04AEE9BF" w14:textId="77777777" w:rsidR="002E51D5" w:rsidRPr="002E51D5" w:rsidRDefault="002E51D5" w:rsidP="002E51D5">
            <w:pPr>
              <w:rPr>
                <w:rFonts w:ascii="Arial" w:hAnsi="Arial" w:cs="Arial"/>
              </w:rPr>
            </w:pPr>
          </w:p>
        </w:tc>
        <w:tc>
          <w:tcPr>
            <w:tcW w:w="2005" w:type="pct"/>
            <w:hideMark/>
          </w:tcPr>
          <w:p w14:paraId="4549EA73" w14:textId="77777777" w:rsidR="002E51D5" w:rsidRPr="002E51D5" w:rsidRDefault="002E51D5" w:rsidP="002E51D5">
            <w:pPr>
              <w:rPr>
                <w:rFonts w:ascii="Arial" w:hAnsi="Arial" w:cs="Arial"/>
              </w:rPr>
            </w:pPr>
            <w:r w:rsidRPr="002E51D5">
              <w:rPr>
                <w:rFonts w:ascii="Arial" w:hAnsi="Arial" w:cs="Arial"/>
              </w:rPr>
              <w:t>Number of Indigenous students withdrawn</w:t>
            </w:r>
          </w:p>
        </w:tc>
        <w:tc>
          <w:tcPr>
            <w:tcW w:w="403" w:type="pct"/>
            <w:vAlign w:val="center"/>
            <w:hideMark/>
          </w:tcPr>
          <w:p w14:paraId="3FB4221B" w14:textId="77777777" w:rsidR="002E51D5" w:rsidRPr="002E51D5" w:rsidRDefault="002E51D5" w:rsidP="00CF467D">
            <w:pPr>
              <w:jc w:val="center"/>
              <w:rPr>
                <w:rFonts w:ascii="Arial" w:hAnsi="Arial" w:cs="Arial"/>
              </w:rPr>
            </w:pPr>
            <w:r w:rsidRPr="002E51D5">
              <w:rPr>
                <w:rFonts w:ascii="Arial" w:hAnsi="Arial" w:cs="Arial"/>
              </w:rPr>
              <w:t>1</w:t>
            </w:r>
          </w:p>
        </w:tc>
        <w:tc>
          <w:tcPr>
            <w:tcW w:w="403" w:type="pct"/>
            <w:vAlign w:val="center"/>
            <w:hideMark/>
          </w:tcPr>
          <w:p w14:paraId="7C8D47F6"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530EA69F" w14:textId="77777777" w:rsidR="002E51D5" w:rsidRPr="002E51D5" w:rsidRDefault="002E51D5" w:rsidP="00CF467D">
            <w:pPr>
              <w:jc w:val="center"/>
              <w:rPr>
                <w:rFonts w:ascii="Arial" w:hAnsi="Arial" w:cs="Arial"/>
              </w:rPr>
            </w:pPr>
            <w:r w:rsidRPr="002E51D5">
              <w:rPr>
                <w:rFonts w:ascii="Arial" w:hAnsi="Arial" w:cs="Arial"/>
              </w:rPr>
              <w:t>3</w:t>
            </w:r>
          </w:p>
        </w:tc>
        <w:tc>
          <w:tcPr>
            <w:tcW w:w="403" w:type="pct"/>
            <w:vAlign w:val="center"/>
            <w:hideMark/>
          </w:tcPr>
          <w:p w14:paraId="741AFE25" w14:textId="77777777" w:rsidR="002E51D5" w:rsidRPr="002E51D5" w:rsidRDefault="002E51D5" w:rsidP="00CF467D">
            <w:pPr>
              <w:jc w:val="center"/>
              <w:rPr>
                <w:rFonts w:ascii="Arial" w:hAnsi="Arial" w:cs="Arial"/>
                <w:color w:val="000000"/>
              </w:rPr>
            </w:pPr>
            <w:r w:rsidRPr="002E51D5">
              <w:rPr>
                <w:rFonts w:ascii="Arial" w:hAnsi="Arial" w:cs="Arial"/>
                <w:color w:val="000000"/>
              </w:rPr>
              <w:t>1</w:t>
            </w:r>
          </w:p>
        </w:tc>
        <w:tc>
          <w:tcPr>
            <w:tcW w:w="403" w:type="pct"/>
            <w:vAlign w:val="center"/>
            <w:hideMark/>
          </w:tcPr>
          <w:p w14:paraId="4A94D038" w14:textId="77777777" w:rsidR="002E51D5" w:rsidRPr="002E51D5" w:rsidRDefault="002E51D5" w:rsidP="00CF467D">
            <w:pPr>
              <w:jc w:val="center"/>
              <w:rPr>
                <w:rFonts w:ascii="Arial" w:hAnsi="Arial" w:cs="Arial"/>
                <w:color w:val="000000"/>
              </w:rPr>
            </w:pPr>
            <w:r w:rsidRPr="002E51D5">
              <w:rPr>
                <w:rFonts w:ascii="Arial" w:hAnsi="Arial" w:cs="Arial"/>
                <w:color w:val="000000"/>
              </w:rPr>
              <w:t>2</w:t>
            </w:r>
          </w:p>
        </w:tc>
        <w:tc>
          <w:tcPr>
            <w:tcW w:w="401" w:type="pct"/>
            <w:vAlign w:val="center"/>
            <w:hideMark/>
          </w:tcPr>
          <w:p w14:paraId="4A04DB12" w14:textId="77777777" w:rsidR="002E51D5" w:rsidRPr="002E51D5" w:rsidRDefault="002E51D5" w:rsidP="00CF467D">
            <w:pPr>
              <w:jc w:val="center"/>
              <w:rPr>
                <w:rFonts w:ascii="Arial" w:hAnsi="Arial" w:cs="Arial"/>
                <w:color w:val="000000"/>
              </w:rPr>
            </w:pPr>
            <w:r w:rsidRPr="002E51D5">
              <w:rPr>
                <w:rFonts w:ascii="Arial" w:hAnsi="Arial" w:cs="Arial"/>
                <w:color w:val="000000"/>
              </w:rPr>
              <w:t>2</w:t>
            </w:r>
          </w:p>
        </w:tc>
      </w:tr>
      <w:tr w:rsidR="002E51D5" w:rsidRPr="002E51D5" w14:paraId="23BD260B" w14:textId="77777777" w:rsidTr="00A0207E">
        <w:trPr>
          <w:trHeight w:val="425"/>
        </w:trPr>
        <w:tc>
          <w:tcPr>
            <w:tcW w:w="580" w:type="pct"/>
            <w:vMerge/>
            <w:hideMark/>
          </w:tcPr>
          <w:p w14:paraId="573347F8" w14:textId="77777777" w:rsidR="002E51D5" w:rsidRPr="002E51D5" w:rsidRDefault="002E51D5" w:rsidP="002E51D5">
            <w:pPr>
              <w:rPr>
                <w:rFonts w:ascii="Arial" w:hAnsi="Arial" w:cs="Arial"/>
              </w:rPr>
            </w:pPr>
          </w:p>
        </w:tc>
        <w:tc>
          <w:tcPr>
            <w:tcW w:w="2005" w:type="pct"/>
            <w:hideMark/>
          </w:tcPr>
          <w:p w14:paraId="655CDD64" w14:textId="77777777" w:rsidR="002E51D5" w:rsidRPr="002E51D5" w:rsidRDefault="002E51D5" w:rsidP="002E51D5">
            <w:pPr>
              <w:rPr>
                <w:rFonts w:ascii="Arial" w:hAnsi="Arial" w:cs="Arial"/>
              </w:rPr>
            </w:pPr>
            <w:r w:rsidRPr="002E51D5">
              <w:rPr>
                <w:rFonts w:ascii="Arial" w:hAnsi="Arial" w:cs="Arial"/>
              </w:rPr>
              <w:t>Number of students exempted</w:t>
            </w:r>
          </w:p>
        </w:tc>
        <w:tc>
          <w:tcPr>
            <w:tcW w:w="403" w:type="pct"/>
            <w:vAlign w:val="center"/>
            <w:hideMark/>
          </w:tcPr>
          <w:p w14:paraId="36A63F89" w14:textId="77777777" w:rsidR="002E51D5" w:rsidRPr="002E51D5" w:rsidRDefault="002E51D5" w:rsidP="00CF467D">
            <w:pPr>
              <w:jc w:val="center"/>
              <w:rPr>
                <w:rFonts w:ascii="Arial" w:hAnsi="Arial" w:cs="Arial"/>
              </w:rPr>
            </w:pPr>
            <w:r w:rsidRPr="002E51D5">
              <w:rPr>
                <w:rFonts w:ascii="Arial" w:hAnsi="Arial" w:cs="Arial"/>
              </w:rPr>
              <w:t>1</w:t>
            </w:r>
          </w:p>
        </w:tc>
        <w:tc>
          <w:tcPr>
            <w:tcW w:w="403" w:type="pct"/>
            <w:vAlign w:val="center"/>
            <w:hideMark/>
          </w:tcPr>
          <w:p w14:paraId="22E04E6D" w14:textId="77777777" w:rsidR="002E51D5" w:rsidRPr="002E51D5" w:rsidRDefault="002E51D5" w:rsidP="00CF467D">
            <w:pPr>
              <w:jc w:val="center"/>
              <w:rPr>
                <w:rFonts w:ascii="Arial" w:hAnsi="Arial" w:cs="Arial"/>
              </w:rPr>
            </w:pPr>
            <w:r w:rsidRPr="002E51D5">
              <w:rPr>
                <w:rFonts w:ascii="Arial" w:hAnsi="Arial" w:cs="Arial"/>
              </w:rPr>
              <w:t>46</w:t>
            </w:r>
          </w:p>
        </w:tc>
        <w:tc>
          <w:tcPr>
            <w:tcW w:w="403" w:type="pct"/>
            <w:vAlign w:val="center"/>
            <w:hideMark/>
          </w:tcPr>
          <w:p w14:paraId="122D7568" w14:textId="77777777" w:rsidR="002E51D5" w:rsidRPr="002E51D5" w:rsidRDefault="002E51D5" w:rsidP="00CF467D">
            <w:pPr>
              <w:jc w:val="center"/>
              <w:rPr>
                <w:rFonts w:ascii="Arial" w:hAnsi="Arial" w:cs="Arial"/>
              </w:rPr>
            </w:pPr>
            <w:r w:rsidRPr="002E51D5">
              <w:rPr>
                <w:rFonts w:ascii="Arial" w:hAnsi="Arial" w:cs="Arial"/>
              </w:rPr>
              <w:t>51</w:t>
            </w:r>
          </w:p>
        </w:tc>
        <w:tc>
          <w:tcPr>
            <w:tcW w:w="403" w:type="pct"/>
            <w:vAlign w:val="center"/>
            <w:hideMark/>
          </w:tcPr>
          <w:p w14:paraId="74FDC708" w14:textId="77777777" w:rsidR="002E51D5" w:rsidRPr="002E51D5" w:rsidRDefault="002E51D5" w:rsidP="00CF467D">
            <w:pPr>
              <w:jc w:val="center"/>
              <w:rPr>
                <w:rFonts w:ascii="Arial" w:hAnsi="Arial" w:cs="Arial"/>
                <w:color w:val="000000"/>
              </w:rPr>
            </w:pPr>
            <w:r w:rsidRPr="002E51D5">
              <w:rPr>
                <w:rFonts w:ascii="Arial" w:hAnsi="Arial" w:cs="Arial"/>
                <w:color w:val="000000"/>
              </w:rPr>
              <w:t>32</w:t>
            </w:r>
          </w:p>
        </w:tc>
        <w:tc>
          <w:tcPr>
            <w:tcW w:w="403" w:type="pct"/>
            <w:vAlign w:val="center"/>
            <w:hideMark/>
          </w:tcPr>
          <w:p w14:paraId="46C97D36" w14:textId="77777777" w:rsidR="002E51D5" w:rsidRPr="002E51D5" w:rsidRDefault="002E51D5" w:rsidP="00CF467D">
            <w:pPr>
              <w:jc w:val="center"/>
              <w:rPr>
                <w:rFonts w:ascii="Arial" w:hAnsi="Arial" w:cs="Arial"/>
                <w:color w:val="000000"/>
              </w:rPr>
            </w:pPr>
            <w:r w:rsidRPr="002E51D5">
              <w:rPr>
                <w:rFonts w:ascii="Arial" w:hAnsi="Arial" w:cs="Arial"/>
                <w:color w:val="000000"/>
              </w:rPr>
              <w:t>33</w:t>
            </w:r>
          </w:p>
        </w:tc>
        <w:tc>
          <w:tcPr>
            <w:tcW w:w="401" w:type="pct"/>
            <w:vAlign w:val="center"/>
            <w:hideMark/>
          </w:tcPr>
          <w:p w14:paraId="3AD54B79" w14:textId="77777777" w:rsidR="002E51D5" w:rsidRPr="002E51D5" w:rsidRDefault="002E51D5" w:rsidP="00CF467D">
            <w:pPr>
              <w:jc w:val="center"/>
              <w:rPr>
                <w:rFonts w:ascii="Arial" w:hAnsi="Arial" w:cs="Arial"/>
                <w:color w:val="000000"/>
              </w:rPr>
            </w:pPr>
            <w:r w:rsidRPr="002E51D5">
              <w:rPr>
                <w:rFonts w:ascii="Arial" w:hAnsi="Arial" w:cs="Arial"/>
                <w:color w:val="000000"/>
              </w:rPr>
              <w:t>63</w:t>
            </w:r>
          </w:p>
        </w:tc>
      </w:tr>
      <w:tr w:rsidR="002E51D5" w:rsidRPr="002E51D5" w14:paraId="3B5CEA99" w14:textId="77777777" w:rsidTr="00A0207E">
        <w:trPr>
          <w:trHeight w:val="425"/>
        </w:trPr>
        <w:tc>
          <w:tcPr>
            <w:tcW w:w="580" w:type="pct"/>
            <w:vMerge/>
            <w:hideMark/>
          </w:tcPr>
          <w:p w14:paraId="2A69399B" w14:textId="77777777" w:rsidR="002E51D5" w:rsidRPr="002E51D5" w:rsidRDefault="002E51D5" w:rsidP="002E51D5">
            <w:pPr>
              <w:rPr>
                <w:rFonts w:ascii="Arial" w:hAnsi="Arial" w:cs="Arial"/>
              </w:rPr>
            </w:pPr>
          </w:p>
        </w:tc>
        <w:tc>
          <w:tcPr>
            <w:tcW w:w="2005" w:type="pct"/>
            <w:hideMark/>
          </w:tcPr>
          <w:p w14:paraId="21D3BF56" w14:textId="77777777" w:rsidR="002E51D5" w:rsidRPr="002E51D5" w:rsidRDefault="002E51D5" w:rsidP="002E51D5">
            <w:pPr>
              <w:rPr>
                <w:rFonts w:ascii="Arial" w:hAnsi="Arial" w:cs="Arial"/>
              </w:rPr>
            </w:pPr>
            <w:r w:rsidRPr="002E51D5">
              <w:rPr>
                <w:rFonts w:ascii="Arial" w:hAnsi="Arial" w:cs="Arial"/>
              </w:rPr>
              <w:t>Number of Indigenous students exempted</w:t>
            </w:r>
          </w:p>
        </w:tc>
        <w:tc>
          <w:tcPr>
            <w:tcW w:w="403" w:type="pct"/>
            <w:vAlign w:val="center"/>
            <w:hideMark/>
          </w:tcPr>
          <w:p w14:paraId="535FF96B"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23F05A09" w14:textId="77777777" w:rsidR="002E51D5" w:rsidRPr="002E51D5" w:rsidRDefault="002E51D5" w:rsidP="00CF467D">
            <w:pPr>
              <w:jc w:val="center"/>
              <w:rPr>
                <w:rFonts w:ascii="Arial" w:hAnsi="Arial" w:cs="Arial"/>
              </w:rPr>
            </w:pPr>
            <w:r w:rsidRPr="002E51D5">
              <w:rPr>
                <w:rFonts w:ascii="Arial" w:hAnsi="Arial" w:cs="Arial"/>
              </w:rPr>
              <w:t>1</w:t>
            </w:r>
          </w:p>
        </w:tc>
        <w:tc>
          <w:tcPr>
            <w:tcW w:w="403" w:type="pct"/>
            <w:vAlign w:val="center"/>
            <w:hideMark/>
          </w:tcPr>
          <w:p w14:paraId="56BACEC7" w14:textId="77777777" w:rsidR="002E51D5" w:rsidRPr="002E51D5" w:rsidRDefault="002E51D5" w:rsidP="00CF467D">
            <w:pPr>
              <w:jc w:val="center"/>
              <w:rPr>
                <w:rFonts w:ascii="Arial" w:hAnsi="Arial" w:cs="Arial"/>
              </w:rPr>
            </w:pPr>
            <w:r w:rsidRPr="002E51D5">
              <w:rPr>
                <w:rFonts w:ascii="Arial" w:hAnsi="Arial" w:cs="Arial"/>
              </w:rPr>
              <w:t>8</w:t>
            </w:r>
          </w:p>
        </w:tc>
        <w:tc>
          <w:tcPr>
            <w:tcW w:w="403" w:type="pct"/>
            <w:vAlign w:val="center"/>
            <w:hideMark/>
          </w:tcPr>
          <w:p w14:paraId="579B9B62" w14:textId="77777777" w:rsidR="002E51D5" w:rsidRPr="002E51D5" w:rsidRDefault="002E51D5" w:rsidP="00CF467D">
            <w:pPr>
              <w:jc w:val="center"/>
              <w:rPr>
                <w:rFonts w:ascii="Arial" w:hAnsi="Arial" w:cs="Arial"/>
                <w:color w:val="000000"/>
              </w:rPr>
            </w:pPr>
            <w:r w:rsidRPr="002E51D5">
              <w:rPr>
                <w:rFonts w:ascii="Arial" w:hAnsi="Arial" w:cs="Arial"/>
                <w:color w:val="000000"/>
              </w:rPr>
              <w:t>5</w:t>
            </w:r>
          </w:p>
        </w:tc>
        <w:tc>
          <w:tcPr>
            <w:tcW w:w="403" w:type="pct"/>
            <w:vAlign w:val="center"/>
            <w:hideMark/>
          </w:tcPr>
          <w:p w14:paraId="07A4D872" w14:textId="77777777" w:rsidR="002E51D5" w:rsidRPr="002E51D5" w:rsidRDefault="002E51D5" w:rsidP="00CF467D">
            <w:pPr>
              <w:jc w:val="center"/>
              <w:rPr>
                <w:rFonts w:ascii="Arial" w:hAnsi="Arial" w:cs="Arial"/>
                <w:color w:val="000000"/>
              </w:rPr>
            </w:pPr>
            <w:r w:rsidRPr="002E51D5">
              <w:rPr>
                <w:rFonts w:ascii="Arial" w:hAnsi="Arial" w:cs="Arial"/>
                <w:color w:val="000000"/>
              </w:rPr>
              <w:t>5</w:t>
            </w:r>
          </w:p>
        </w:tc>
        <w:tc>
          <w:tcPr>
            <w:tcW w:w="401" w:type="pct"/>
            <w:vAlign w:val="center"/>
            <w:hideMark/>
          </w:tcPr>
          <w:p w14:paraId="5A1038B9" w14:textId="77777777" w:rsidR="002E51D5" w:rsidRPr="002E51D5" w:rsidRDefault="002E51D5" w:rsidP="00CF467D">
            <w:pPr>
              <w:jc w:val="center"/>
              <w:rPr>
                <w:rFonts w:ascii="Arial" w:hAnsi="Arial" w:cs="Arial"/>
                <w:color w:val="000000"/>
              </w:rPr>
            </w:pPr>
            <w:r w:rsidRPr="002E51D5">
              <w:rPr>
                <w:rFonts w:ascii="Arial" w:hAnsi="Arial" w:cs="Arial"/>
                <w:color w:val="000000"/>
              </w:rPr>
              <w:t>8</w:t>
            </w:r>
          </w:p>
        </w:tc>
      </w:tr>
      <w:tr w:rsidR="002E51D5" w:rsidRPr="002E51D5" w14:paraId="087E2ED7" w14:textId="77777777" w:rsidTr="00A0207E">
        <w:trPr>
          <w:trHeight w:val="425"/>
        </w:trPr>
        <w:tc>
          <w:tcPr>
            <w:tcW w:w="580" w:type="pct"/>
            <w:vMerge w:val="restart"/>
            <w:hideMark/>
          </w:tcPr>
          <w:p w14:paraId="76A0BDCE" w14:textId="77777777" w:rsidR="002E51D5" w:rsidRPr="002E51D5" w:rsidRDefault="002E51D5" w:rsidP="002E51D5">
            <w:pPr>
              <w:jc w:val="center"/>
              <w:rPr>
                <w:rFonts w:ascii="Arial" w:hAnsi="Arial" w:cs="Arial"/>
              </w:rPr>
            </w:pPr>
            <w:r w:rsidRPr="002E51D5">
              <w:rPr>
                <w:rFonts w:ascii="Arial" w:hAnsi="Arial" w:cs="Arial"/>
              </w:rPr>
              <w:t>Year 3 Numeracy</w:t>
            </w:r>
          </w:p>
        </w:tc>
        <w:tc>
          <w:tcPr>
            <w:tcW w:w="2005" w:type="pct"/>
            <w:hideMark/>
          </w:tcPr>
          <w:p w14:paraId="0F9E79F4" w14:textId="77777777" w:rsidR="002E51D5" w:rsidRPr="002E51D5" w:rsidRDefault="002E51D5" w:rsidP="002E51D5">
            <w:pPr>
              <w:rPr>
                <w:rFonts w:ascii="Arial" w:hAnsi="Arial" w:cs="Arial"/>
              </w:rPr>
            </w:pPr>
            <w:r w:rsidRPr="002E51D5">
              <w:rPr>
                <w:rFonts w:ascii="Arial" w:hAnsi="Arial" w:cs="Arial"/>
              </w:rPr>
              <w:t>Mean scale score</w:t>
            </w:r>
          </w:p>
        </w:tc>
        <w:tc>
          <w:tcPr>
            <w:tcW w:w="403" w:type="pct"/>
            <w:vAlign w:val="center"/>
            <w:hideMark/>
          </w:tcPr>
          <w:p w14:paraId="4DB951B1" w14:textId="77777777" w:rsidR="002E51D5" w:rsidRPr="002E51D5" w:rsidRDefault="002E51D5" w:rsidP="00CF467D">
            <w:pPr>
              <w:jc w:val="center"/>
              <w:rPr>
                <w:rFonts w:ascii="Arial" w:hAnsi="Arial" w:cs="Arial"/>
              </w:rPr>
            </w:pPr>
            <w:r w:rsidRPr="002E51D5">
              <w:rPr>
                <w:rFonts w:ascii="Arial" w:hAnsi="Arial" w:cs="Arial"/>
              </w:rPr>
              <w:t>374.3</w:t>
            </w:r>
          </w:p>
        </w:tc>
        <w:tc>
          <w:tcPr>
            <w:tcW w:w="403" w:type="pct"/>
            <w:vAlign w:val="center"/>
            <w:hideMark/>
          </w:tcPr>
          <w:p w14:paraId="597FDB26" w14:textId="77777777" w:rsidR="002E51D5" w:rsidRPr="002E51D5" w:rsidRDefault="002E51D5" w:rsidP="00CF467D">
            <w:pPr>
              <w:jc w:val="center"/>
              <w:rPr>
                <w:rFonts w:ascii="Arial" w:hAnsi="Arial" w:cs="Arial"/>
              </w:rPr>
            </w:pPr>
            <w:r w:rsidRPr="002E51D5">
              <w:rPr>
                <w:rFonts w:ascii="Arial" w:hAnsi="Arial" w:cs="Arial"/>
              </w:rPr>
              <w:t>375.9</w:t>
            </w:r>
          </w:p>
        </w:tc>
        <w:tc>
          <w:tcPr>
            <w:tcW w:w="403" w:type="pct"/>
            <w:vAlign w:val="center"/>
            <w:hideMark/>
          </w:tcPr>
          <w:p w14:paraId="19073792" w14:textId="77777777" w:rsidR="002E51D5" w:rsidRPr="002E51D5" w:rsidRDefault="002E51D5" w:rsidP="00CF467D">
            <w:pPr>
              <w:jc w:val="center"/>
              <w:rPr>
                <w:rFonts w:ascii="Arial" w:hAnsi="Arial" w:cs="Arial"/>
              </w:rPr>
            </w:pPr>
            <w:r w:rsidRPr="002E51D5">
              <w:rPr>
                <w:rFonts w:ascii="Arial" w:hAnsi="Arial" w:cs="Arial"/>
              </w:rPr>
              <w:t>369.4</w:t>
            </w:r>
          </w:p>
        </w:tc>
        <w:tc>
          <w:tcPr>
            <w:tcW w:w="403" w:type="pct"/>
            <w:vAlign w:val="center"/>
            <w:hideMark/>
          </w:tcPr>
          <w:p w14:paraId="44EB8BB2" w14:textId="77777777" w:rsidR="002E51D5" w:rsidRPr="002E51D5" w:rsidRDefault="002E51D5" w:rsidP="00CF467D">
            <w:pPr>
              <w:jc w:val="center"/>
              <w:rPr>
                <w:rFonts w:ascii="Arial" w:hAnsi="Arial" w:cs="Arial"/>
                <w:color w:val="000000"/>
              </w:rPr>
            </w:pPr>
            <w:r w:rsidRPr="002E51D5">
              <w:rPr>
                <w:rFonts w:ascii="Arial" w:hAnsi="Arial" w:cs="Arial"/>
                <w:color w:val="000000"/>
              </w:rPr>
              <w:t>378.5</w:t>
            </w:r>
          </w:p>
        </w:tc>
        <w:tc>
          <w:tcPr>
            <w:tcW w:w="403" w:type="pct"/>
            <w:vAlign w:val="center"/>
            <w:hideMark/>
          </w:tcPr>
          <w:p w14:paraId="1B5AF339" w14:textId="77777777" w:rsidR="002E51D5" w:rsidRPr="002E51D5" w:rsidRDefault="002E51D5" w:rsidP="00CF467D">
            <w:pPr>
              <w:jc w:val="center"/>
              <w:rPr>
                <w:rFonts w:ascii="Arial" w:hAnsi="Arial" w:cs="Arial"/>
                <w:color w:val="000000"/>
              </w:rPr>
            </w:pPr>
            <w:r w:rsidRPr="002E51D5">
              <w:rPr>
                <w:rFonts w:ascii="Arial" w:hAnsi="Arial" w:cs="Arial"/>
                <w:color w:val="000000"/>
              </w:rPr>
              <w:t>373.1</w:t>
            </w:r>
          </w:p>
        </w:tc>
        <w:tc>
          <w:tcPr>
            <w:tcW w:w="401" w:type="pct"/>
            <w:vAlign w:val="center"/>
            <w:hideMark/>
          </w:tcPr>
          <w:p w14:paraId="0B319718" w14:textId="77777777" w:rsidR="002E51D5" w:rsidRPr="002E51D5" w:rsidRDefault="002E51D5" w:rsidP="00CF467D">
            <w:pPr>
              <w:jc w:val="center"/>
              <w:rPr>
                <w:rFonts w:ascii="Arial" w:hAnsi="Arial" w:cs="Arial"/>
                <w:color w:val="000000"/>
              </w:rPr>
            </w:pPr>
            <w:r w:rsidRPr="002E51D5">
              <w:rPr>
                <w:rFonts w:ascii="Arial" w:hAnsi="Arial" w:cs="Arial"/>
                <w:color w:val="000000"/>
              </w:rPr>
              <w:t>370.3</w:t>
            </w:r>
          </w:p>
        </w:tc>
      </w:tr>
      <w:tr w:rsidR="002E51D5" w:rsidRPr="002E51D5" w14:paraId="364B60BD" w14:textId="77777777" w:rsidTr="00A0207E">
        <w:trPr>
          <w:trHeight w:val="425"/>
        </w:trPr>
        <w:tc>
          <w:tcPr>
            <w:tcW w:w="580" w:type="pct"/>
            <w:vMerge/>
            <w:hideMark/>
          </w:tcPr>
          <w:p w14:paraId="6BD7ADA4" w14:textId="77777777" w:rsidR="002E51D5" w:rsidRPr="002E51D5" w:rsidRDefault="002E51D5" w:rsidP="002E51D5">
            <w:pPr>
              <w:rPr>
                <w:rFonts w:ascii="Arial" w:hAnsi="Arial" w:cs="Arial"/>
              </w:rPr>
            </w:pPr>
          </w:p>
        </w:tc>
        <w:tc>
          <w:tcPr>
            <w:tcW w:w="2005" w:type="pct"/>
            <w:hideMark/>
          </w:tcPr>
          <w:p w14:paraId="4C2D6DFB" w14:textId="77777777" w:rsidR="002E51D5" w:rsidRPr="002E51D5" w:rsidRDefault="002E51D5" w:rsidP="002E51D5">
            <w:pPr>
              <w:rPr>
                <w:rFonts w:ascii="Arial" w:hAnsi="Arial" w:cs="Arial"/>
              </w:rPr>
            </w:pPr>
            <w:r w:rsidRPr="002E51D5">
              <w:rPr>
                <w:rFonts w:ascii="Arial" w:hAnsi="Arial" w:cs="Arial"/>
              </w:rPr>
              <w:t>Standard deviation</w:t>
            </w:r>
          </w:p>
        </w:tc>
        <w:tc>
          <w:tcPr>
            <w:tcW w:w="403" w:type="pct"/>
            <w:vAlign w:val="center"/>
            <w:hideMark/>
          </w:tcPr>
          <w:p w14:paraId="05E10456" w14:textId="77777777" w:rsidR="002E51D5" w:rsidRPr="002E51D5" w:rsidRDefault="002E51D5" w:rsidP="00CF467D">
            <w:pPr>
              <w:jc w:val="center"/>
              <w:rPr>
                <w:rFonts w:ascii="Arial" w:hAnsi="Arial" w:cs="Arial"/>
              </w:rPr>
            </w:pPr>
            <w:r w:rsidRPr="002E51D5">
              <w:rPr>
                <w:rFonts w:ascii="Arial" w:hAnsi="Arial" w:cs="Arial"/>
              </w:rPr>
              <w:t>72.7</w:t>
            </w:r>
          </w:p>
        </w:tc>
        <w:tc>
          <w:tcPr>
            <w:tcW w:w="403" w:type="pct"/>
            <w:vAlign w:val="center"/>
            <w:hideMark/>
          </w:tcPr>
          <w:p w14:paraId="24701C07" w14:textId="77777777" w:rsidR="002E51D5" w:rsidRPr="002E51D5" w:rsidRDefault="002E51D5" w:rsidP="00CF467D">
            <w:pPr>
              <w:jc w:val="center"/>
              <w:rPr>
                <w:rFonts w:ascii="Arial" w:hAnsi="Arial" w:cs="Arial"/>
              </w:rPr>
            </w:pPr>
            <w:r w:rsidRPr="002E51D5">
              <w:rPr>
                <w:rFonts w:ascii="Arial" w:hAnsi="Arial" w:cs="Arial"/>
              </w:rPr>
              <w:t>77.1</w:t>
            </w:r>
          </w:p>
        </w:tc>
        <w:tc>
          <w:tcPr>
            <w:tcW w:w="403" w:type="pct"/>
            <w:vAlign w:val="center"/>
            <w:hideMark/>
          </w:tcPr>
          <w:p w14:paraId="7BF008A3" w14:textId="77777777" w:rsidR="002E51D5" w:rsidRPr="002E51D5" w:rsidRDefault="002E51D5" w:rsidP="00CF467D">
            <w:pPr>
              <w:jc w:val="center"/>
              <w:rPr>
                <w:rFonts w:ascii="Arial" w:hAnsi="Arial" w:cs="Arial"/>
              </w:rPr>
            </w:pPr>
            <w:r w:rsidRPr="002E51D5">
              <w:rPr>
                <w:rFonts w:ascii="Arial" w:hAnsi="Arial" w:cs="Arial"/>
              </w:rPr>
              <w:t>74.1</w:t>
            </w:r>
          </w:p>
        </w:tc>
        <w:tc>
          <w:tcPr>
            <w:tcW w:w="403" w:type="pct"/>
            <w:vAlign w:val="center"/>
            <w:hideMark/>
          </w:tcPr>
          <w:p w14:paraId="42885C16" w14:textId="77777777" w:rsidR="002E51D5" w:rsidRPr="002E51D5" w:rsidRDefault="002E51D5" w:rsidP="00CF467D">
            <w:pPr>
              <w:jc w:val="center"/>
              <w:rPr>
                <w:rFonts w:ascii="Arial" w:hAnsi="Arial" w:cs="Arial"/>
                <w:color w:val="000000"/>
              </w:rPr>
            </w:pPr>
            <w:r w:rsidRPr="002E51D5">
              <w:rPr>
                <w:rFonts w:ascii="Arial" w:hAnsi="Arial" w:cs="Arial"/>
                <w:color w:val="000000"/>
              </w:rPr>
              <w:t>69.1</w:t>
            </w:r>
          </w:p>
        </w:tc>
        <w:tc>
          <w:tcPr>
            <w:tcW w:w="403" w:type="pct"/>
            <w:vAlign w:val="center"/>
            <w:hideMark/>
          </w:tcPr>
          <w:p w14:paraId="04419009" w14:textId="77777777" w:rsidR="002E51D5" w:rsidRPr="002E51D5" w:rsidRDefault="002E51D5" w:rsidP="00CF467D">
            <w:pPr>
              <w:jc w:val="center"/>
              <w:rPr>
                <w:rFonts w:ascii="Arial" w:hAnsi="Arial" w:cs="Arial"/>
                <w:color w:val="000000"/>
              </w:rPr>
            </w:pPr>
            <w:r w:rsidRPr="002E51D5">
              <w:rPr>
                <w:rFonts w:ascii="Arial" w:hAnsi="Arial" w:cs="Arial"/>
                <w:color w:val="000000"/>
              </w:rPr>
              <w:t>75.9</w:t>
            </w:r>
          </w:p>
        </w:tc>
        <w:tc>
          <w:tcPr>
            <w:tcW w:w="401" w:type="pct"/>
            <w:vAlign w:val="center"/>
            <w:hideMark/>
          </w:tcPr>
          <w:p w14:paraId="623F6D27" w14:textId="77777777" w:rsidR="002E51D5" w:rsidRPr="002E51D5" w:rsidRDefault="002E51D5" w:rsidP="00CF467D">
            <w:pPr>
              <w:jc w:val="center"/>
              <w:rPr>
                <w:rFonts w:ascii="Arial" w:hAnsi="Arial" w:cs="Arial"/>
                <w:color w:val="000000"/>
              </w:rPr>
            </w:pPr>
            <w:r w:rsidRPr="002E51D5">
              <w:rPr>
                <w:rFonts w:ascii="Arial" w:hAnsi="Arial" w:cs="Arial"/>
                <w:color w:val="000000"/>
              </w:rPr>
              <w:t>66.7</w:t>
            </w:r>
          </w:p>
        </w:tc>
      </w:tr>
      <w:tr w:rsidR="002E51D5" w:rsidRPr="002E51D5" w14:paraId="7011C49C" w14:textId="77777777" w:rsidTr="00A0207E">
        <w:trPr>
          <w:trHeight w:val="425"/>
        </w:trPr>
        <w:tc>
          <w:tcPr>
            <w:tcW w:w="580" w:type="pct"/>
            <w:vMerge/>
            <w:hideMark/>
          </w:tcPr>
          <w:p w14:paraId="04CAF7E6" w14:textId="77777777" w:rsidR="002E51D5" w:rsidRPr="002E51D5" w:rsidRDefault="002E51D5" w:rsidP="002E51D5">
            <w:pPr>
              <w:rPr>
                <w:rFonts w:ascii="Arial" w:hAnsi="Arial" w:cs="Arial"/>
              </w:rPr>
            </w:pPr>
          </w:p>
        </w:tc>
        <w:tc>
          <w:tcPr>
            <w:tcW w:w="2005" w:type="pct"/>
            <w:hideMark/>
          </w:tcPr>
          <w:p w14:paraId="7994DFBC" w14:textId="77777777" w:rsidR="002E51D5" w:rsidRPr="002E51D5" w:rsidRDefault="002E51D5" w:rsidP="002E51D5">
            <w:pPr>
              <w:rPr>
                <w:rFonts w:ascii="Arial" w:hAnsi="Arial" w:cs="Arial"/>
              </w:rPr>
            </w:pPr>
            <w:r w:rsidRPr="002E51D5">
              <w:rPr>
                <w:rFonts w:ascii="Arial" w:hAnsi="Arial" w:cs="Arial"/>
              </w:rPr>
              <w:t>Number of students at NMS</w:t>
            </w:r>
          </w:p>
        </w:tc>
        <w:tc>
          <w:tcPr>
            <w:tcW w:w="403" w:type="pct"/>
            <w:vAlign w:val="center"/>
            <w:hideMark/>
          </w:tcPr>
          <w:p w14:paraId="5F581D71" w14:textId="77777777" w:rsidR="002E51D5" w:rsidRPr="002E51D5" w:rsidRDefault="002E51D5" w:rsidP="00CF467D">
            <w:pPr>
              <w:jc w:val="center"/>
              <w:rPr>
                <w:rFonts w:ascii="Arial" w:hAnsi="Arial" w:cs="Arial"/>
              </w:rPr>
            </w:pPr>
            <w:r w:rsidRPr="002E51D5">
              <w:rPr>
                <w:rFonts w:ascii="Arial" w:hAnsi="Arial" w:cs="Arial"/>
              </w:rPr>
              <w:t>274</w:t>
            </w:r>
          </w:p>
        </w:tc>
        <w:tc>
          <w:tcPr>
            <w:tcW w:w="403" w:type="pct"/>
            <w:vAlign w:val="center"/>
            <w:hideMark/>
          </w:tcPr>
          <w:p w14:paraId="526E527D" w14:textId="77777777" w:rsidR="002E51D5" w:rsidRPr="002E51D5" w:rsidRDefault="002E51D5" w:rsidP="00CF467D">
            <w:pPr>
              <w:jc w:val="center"/>
              <w:rPr>
                <w:rFonts w:ascii="Arial" w:hAnsi="Arial" w:cs="Arial"/>
              </w:rPr>
            </w:pPr>
            <w:r w:rsidRPr="002E51D5">
              <w:rPr>
                <w:rFonts w:ascii="Arial" w:hAnsi="Arial" w:cs="Arial"/>
              </w:rPr>
              <w:t>317</w:t>
            </w:r>
          </w:p>
        </w:tc>
        <w:tc>
          <w:tcPr>
            <w:tcW w:w="403" w:type="pct"/>
            <w:vAlign w:val="center"/>
            <w:hideMark/>
          </w:tcPr>
          <w:p w14:paraId="6D5F6877" w14:textId="77777777" w:rsidR="002E51D5" w:rsidRPr="002E51D5" w:rsidRDefault="002E51D5" w:rsidP="00CF467D">
            <w:pPr>
              <w:jc w:val="center"/>
              <w:rPr>
                <w:rFonts w:ascii="Arial" w:hAnsi="Arial" w:cs="Arial"/>
              </w:rPr>
            </w:pPr>
            <w:r w:rsidRPr="002E51D5">
              <w:rPr>
                <w:rFonts w:ascii="Arial" w:hAnsi="Arial" w:cs="Arial"/>
              </w:rPr>
              <w:t>354</w:t>
            </w:r>
          </w:p>
        </w:tc>
        <w:tc>
          <w:tcPr>
            <w:tcW w:w="403" w:type="pct"/>
            <w:vAlign w:val="center"/>
            <w:hideMark/>
          </w:tcPr>
          <w:p w14:paraId="00377C05" w14:textId="77777777" w:rsidR="002E51D5" w:rsidRPr="002E51D5" w:rsidRDefault="002E51D5" w:rsidP="00CF467D">
            <w:pPr>
              <w:jc w:val="center"/>
              <w:rPr>
                <w:rFonts w:ascii="Arial" w:hAnsi="Arial" w:cs="Arial"/>
                <w:color w:val="000000"/>
              </w:rPr>
            </w:pPr>
            <w:r w:rsidRPr="002E51D5">
              <w:rPr>
                <w:rFonts w:ascii="Arial" w:hAnsi="Arial" w:cs="Arial"/>
                <w:color w:val="000000"/>
              </w:rPr>
              <w:t>369</w:t>
            </w:r>
          </w:p>
        </w:tc>
        <w:tc>
          <w:tcPr>
            <w:tcW w:w="403" w:type="pct"/>
            <w:vAlign w:val="center"/>
            <w:hideMark/>
          </w:tcPr>
          <w:p w14:paraId="6B9D76BF" w14:textId="77777777" w:rsidR="002E51D5" w:rsidRPr="002E51D5" w:rsidRDefault="002E51D5" w:rsidP="00CF467D">
            <w:pPr>
              <w:jc w:val="center"/>
              <w:rPr>
                <w:rFonts w:ascii="Arial" w:hAnsi="Arial" w:cs="Arial"/>
                <w:color w:val="000000"/>
              </w:rPr>
            </w:pPr>
            <w:r w:rsidRPr="002E51D5">
              <w:rPr>
                <w:rFonts w:ascii="Arial" w:hAnsi="Arial" w:cs="Arial"/>
                <w:color w:val="000000"/>
              </w:rPr>
              <w:t>285</w:t>
            </w:r>
          </w:p>
        </w:tc>
        <w:tc>
          <w:tcPr>
            <w:tcW w:w="401" w:type="pct"/>
            <w:vAlign w:val="center"/>
            <w:hideMark/>
          </w:tcPr>
          <w:p w14:paraId="12E180AA" w14:textId="77777777" w:rsidR="002E51D5" w:rsidRPr="002E51D5" w:rsidRDefault="002E51D5" w:rsidP="00CF467D">
            <w:pPr>
              <w:jc w:val="center"/>
              <w:rPr>
                <w:rFonts w:ascii="Arial" w:hAnsi="Arial" w:cs="Arial"/>
                <w:color w:val="000000"/>
              </w:rPr>
            </w:pPr>
            <w:r w:rsidRPr="002E51D5">
              <w:rPr>
                <w:rFonts w:ascii="Arial" w:hAnsi="Arial" w:cs="Arial"/>
                <w:color w:val="000000"/>
              </w:rPr>
              <w:t>269</w:t>
            </w:r>
          </w:p>
        </w:tc>
      </w:tr>
      <w:tr w:rsidR="002E51D5" w:rsidRPr="002E51D5" w14:paraId="72868809" w14:textId="77777777" w:rsidTr="00A0207E">
        <w:trPr>
          <w:trHeight w:val="425"/>
        </w:trPr>
        <w:tc>
          <w:tcPr>
            <w:tcW w:w="580" w:type="pct"/>
            <w:vMerge/>
            <w:hideMark/>
          </w:tcPr>
          <w:p w14:paraId="74B0801E" w14:textId="77777777" w:rsidR="002E51D5" w:rsidRPr="002E51D5" w:rsidRDefault="002E51D5" w:rsidP="002E51D5">
            <w:pPr>
              <w:rPr>
                <w:rFonts w:ascii="Arial" w:hAnsi="Arial" w:cs="Arial"/>
              </w:rPr>
            </w:pPr>
          </w:p>
        </w:tc>
        <w:tc>
          <w:tcPr>
            <w:tcW w:w="2005" w:type="pct"/>
            <w:hideMark/>
          </w:tcPr>
          <w:p w14:paraId="322FEB05" w14:textId="77777777" w:rsidR="002E51D5" w:rsidRPr="002E51D5" w:rsidRDefault="002E51D5" w:rsidP="002E51D5">
            <w:pPr>
              <w:rPr>
                <w:rFonts w:ascii="Arial" w:hAnsi="Arial" w:cs="Arial"/>
              </w:rPr>
            </w:pPr>
            <w:r w:rsidRPr="002E51D5">
              <w:rPr>
                <w:rFonts w:ascii="Arial" w:hAnsi="Arial" w:cs="Arial"/>
              </w:rPr>
              <w:t>Number of Indigenous students at NMS</w:t>
            </w:r>
          </w:p>
        </w:tc>
        <w:tc>
          <w:tcPr>
            <w:tcW w:w="403" w:type="pct"/>
            <w:vAlign w:val="center"/>
            <w:hideMark/>
          </w:tcPr>
          <w:p w14:paraId="7357FCD9" w14:textId="77777777" w:rsidR="002E51D5" w:rsidRPr="002E51D5" w:rsidRDefault="002E51D5" w:rsidP="00CF467D">
            <w:pPr>
              <w:jc w:val="center"/>
              <w:rPr>
                <w:rFonts w:ascii="Arial" w:hAnsi="Arial" w:cs="Arial"/>
              </w:rPr>
            </w:pPr>
            <w:r w:rsidRPr="002E51D5">
              <w:rPr>
                <w:rFonts w:ascii="Arial" w:hAnsi="Arial" w:cs="Arial"/>
              </w:rPr>
              <w:t>31</w:t>
            </w:r>
          </w:p>
        </w:tc>
        <w:tc>
          <w:tcPr>
            <w:tcW w:w="403" w:type="pct"/>
            <w:vAlign w:val="center"/>
            <w:hideMark/>
          </w:tcPr>
          <w:p w14:paraId="118C0F77" w14:textId="77777777" w:rsidR="002E51D5" w:rsidRPr="002E51D5" w:rsidRDefault="002E51D5" w:rsidP="00CF467D">
            <w:pPr>
              <w:jc w:val="center"/>
              <w:rPr>
                <w:rFonts w:ascii="Arial" w:hAnsi="Arial" w:cs="Arial"/>
              </w:rPr>
            </w:pPr>
            <w:r w:rsidRPr="002E51D5">
              <w:rPr>
                <w:rFonts w:ascii="Arial" w:hAnsi="Arial" w:cs="Arial"/>
              </w:rPr>
              <w:t>27</w:t>
            </w:r>
          </w:p>
        </w:tc>
        <w:tc>
          <w:tcPr>
            <w:tcW w:w="403" w:type="pct"/>
            <w:vAlign w:val="center"/>
            <w:hideMark/>
          </w:tcPr>
          <w:p w14:paraId="4539FACF" w14:textId="77777777" w:rsidR="002E51D5" w:rsidRPr="002E51D5" w:rsidRDefault="002E51D5" w:rsidP="00CF467D">
            <w:pPr>
              <w:jc w:val="center"/>
              <w:rPr>
                <w:rFonts w:ascii="Arial" w:hAnsi="Arial" w:cs="Arial"/>
              </w:rPr>
            </w:pPr>
            <w:r w:rsidRPr="002E51D5">
              <w:rPr>
                <w:rFonts w:ascii="Arial" w:hAnsi="Arial" w:cs="Arial"/>
              </w:rPr>
              <w:t>42</w:t>
            </w:r>
          </w:p>
        </w:tc>
        <w:tc>
          <w:tcPr>
            <w:tcW w:w="403" w:type="pct"/>
            <w:vAlign w:val="center"/>
            <w:hideMark/>
          </w:tcPr>
          <w:p w14:paraId="5C57A1FA" w14:textId="77777777" w:rsidR="002E51D5" w:rsidRPr="002E51D5" w:rsidRDefault="002E51D5" w:rsidP="00CF467D">
            <w:pPr>
              <w:jc w:val="center"/>
              <w:rPr>
                <w:rFonts w:ascii="Arial" w:hAnsi="Arial" w:cs="Arial"/>
                <w:color w:val="000000"/>
              </w:rPr>
            </w:pPr>
            <w:r w:rsidRPr="002E51D5">
              <w:rPr>
                <w:rFonts w:ascii="Arial" w:hAnsi="Arial" w:cs="Arial"/>
                <w:color w:val="000000"/>
              </w:rPr>
              <w:t>51</w:t>
            </w:r>
          </w:p>
        </w:tc>
        <w:tc>
          <w:tcPr>
            <w:tcW w:w="403" w:type="pct"/>
            <w:vAlign w:val="center"/>
            <w:hideMark/>
          </w:tcPr>
          <w:p w14:paraId="28EDD84D" w14:textId="77777777" w:rsidR="002E51D5" w:rsidRPr="002E51D5" w:rsidRDefault="002E51D5" w:rsidP="00CF467D">
            <w:pPr>
              <w:jc w:val="center"/>
              <w:rPr>
                <w:rFonts w:ascii="Arial" w:hAnsi="Arial" w:cs="Arial"/>
                <w:color w:val="000000"/>
              </w:rPr>
            </w:pPr>
            <w:r w:rsidRPr="002E51D5">
              <w:rPr>
                <w:rFonts w:ascii="Arial" w:hAnsi="Arial" w:cs="Arial"/>
                <w:color w:val="000000"/>
              </w:rPr>
              <w:t>37</w:t>
            </w:r>
          </w:p>
        </w:tc>
        <w:tc>
          <w:tcPr>
            <w:tcW w:w="401" w:type="pct"/>
            <w:vAlign w:val="center"/>
            <w:hideMark/>
          </w:tcPr>
          <w:p w14:paraId="478FCBB4" w14:textId="77777777" w:rsidR="002E51D5" w:rsidRPr="002E51D5" w:rsidRDefault="002E51D5" w:rsidP="00CF467D">
            <w:pPr>
              <w:jc w:val="center"/>
              <w:rPr>
                <w:rFonts w:ascii="Arial" w:hAnsi="Arial" w:cs="Arial"/>
                <w:color w:val="000000"/>
              </w:rPr>
            </w:pPr>
            <w:r w:rsidRPr="002E51D5">
              <w:rPr>
                <w:rFonts w:ascii="Arial" w:hAnsi="Arial" w:cs="Arial"/>
                <w:color w:val="000000"/>
              </w:rPr>
              <w:t>46</w:t>
            </w:r>
          </w:p>
        </w:tc>
      </w:tr>
      <w:tr w:rsidR="002E51D5" w:rsidRPr="002E51D5" w14:paraId="21CA7CAD" w14:textId="77777777" w:rsidTr="00A0207E">
        <w:trPr>
          <w:trHeight w:val="425"/>
        </w:trPr>
        <w:tc>
          <w:tcPr>
            <w:tcW w:w="580" w:type="pct"/>
            <w:vMerge/>
            <w:hideMark/>
          </w:tcPr>
          <w:p w14:paraId="2E1DC4B2" w14:textId="77777777" w:rsidR="002E51D5" w:rsidRPr="002E51D5" w:rsidRDefault="002E51D5" w:rsidP="002E51D5">
            <w:pPr>
              <w:rPr>
                <w:rFonts w:ascii="Arial" w:hAnsi="Arial" w:cs="Arial"/>
              </w:rPr>
            </w:pPr>
          </w:p>
        </w:tc>
        <w:tc>
          <w:tcPr>
            <w:tcW w:w="2005" w:type="pct"/>
            <w:hideMark/>
          </w:tcPr>
          <w:p w14:paraId="470FAB38" w14:textId="77777777" w:rsidR="002E51D5" w:rsidRPr="002E51D5" w:rsidRDefault="002E51D5" w:rsidP="002E51D5">
            <w:pPr>
              <w:rPr>
                <w:rFonts w:ascii="Arial" w:hAnsi="Arial" w:cs="Arial"/>
              </w:rPr>
            </w:pPr>
            <w:r w:rsidRPr="002E51D5">
              <w:rPr>
                <w:rFonts w:ascii="Arial" w:hAnsi="Arial" w:cs="Arial"/>
              </w:rPr>
              <w:t>Number of students below NMS</w:t>
            </w:r>
          </w:p>
        </w:tc>
        <w:tc>
          <w:tcPr>
            <w:tcW w:w="403" w:type="pct"/>
            <w:vAlign w:val="center"/>
            <w:hideMark/>
          </w:tcPr>
          <w:p w14:paraId="3F2852EB" w14:textId="77777777" w:rsidR="002E51D5" w:rsidRPr="002E51D5" w:rsidRDefault="002E51D5" w:rsidP="00CF467D">
            <w:pPr>
              <w:jc w:val="center"/>
              <w:rPr>
                <w:rFonts w:ascii="Arial" w:hAnsi="Arial" w:cs="Arial"/>
              </w:rPr>
            </w:pPr>
            <w:r w:rsidRPr="002E51D5">
              <w:rPr>
                <w:rFonts w:ascii="Arial" w:hAnsi="Arial" w:cs="Arial"/>
              </w:rPr>
              <w:t>155</w:t>
            </w:r>
          </w:p>
        </w:tc>
        <w:tc>
          <w:tcPr>
            <w:tcW w:w="403" w:type="pct"/>
            <w:vAlign w:val="center"/>
            <w:hideMark/>
          </w:tcPr>
          <w:p w14:paraId="0901D778" w14:textId="77777777" w:rsidR="002E51D5" w:rsidRPr="002E51D5" w:rsidRDefault="002E51D5" w:rsidP="00CF467D">
            <w:pPr>
              <w:jc w:val="center"/>
              <w:rPr>
                <w:rFonts w:ascii="Arial" w:hAnsi="Arial" w:cs="Arial"/>
              </w:rPr>
            </w:pPr>
            <w:r w:rsidRPr="002E51D5">
              <w:rPr>
                <w:rFonts w:ascii="Arial" w:hAnsi="Arial" w:cs="Arial"/>
              </w:rPr>
              <w:t>227</w:t>
            </w:r>
          </w:p>
        </w:tc>
        <w:tc>
          <w:tcPr>
            <w:tcW w:w="403" w:type="pct"/>
            <w:vAlign w:val="center"/>
            <w:hideMark/>
          </w:tcPr>
          <w:p w14:paraId="26B3BEC2" w14:textId="77777777" w:rsidR="002E51D5" w:rsidRPr="002E51D5" w:rsidRDefault="002E51D5" w:rsidP="00CF467D">
            <w:pPr>
              <w:jc w:val="center"/>
              <w:rPr>
                <w:rFonts w:ascii="Arial" w:hAnsi="Arial" w:cs="Arial"/>
              </w:rPr>
            </w:pPr>
            <w:r w:rsidRPr="002E51D5">
              <w:rPr>
                <w:rFonts w:ascii="Arial" w:hAnsi="Arial" w:cs="Arial"/>
              </w:rPr>
              <w:t>187</w:t>
            </w:r>
          </w:p>
        </w:tc>
        <w:tc>
          <w:tcPr>
            <w:tcW w:w="403" w:type="pct"/>
            <w:vAlign w:val="center"/>
            <w:hideMark/>
          </w:tcPr>
          <w:p w14:paraId="58A9D9BD" w14:textId="77777777" w:rsidR="002E51D5" w:rsidRPr="002E51D5" w:rsidRDefault="002E51D5" w:rsidP="00CF467D">
            <w:pPr>
              <w:jc w:val="center"/>
              <w:rPr>
                <w:rFonts w:ascii="Arial" w:hAnsi="Arial" w:cs="Arial"/>
                <w:color w:val="000000"/>
              </w:rPr>
            </w:pPr>
            <w:r w:rsidRPr="002E51D5">
              <w:rPr>
                <w:rFonts w:ascii="Arial" w:hAnsi="Arial" w:cs="Arial"/>
                <w:color w:val="000000"/>
              </w:rPr>
              <w:t>138</w:t>
            </w:r>
          </w:p>
        </w:tc>
        <w:tc>
          <w:tcPr>
            <w:tcW w:w="403" w:type="pct"/>
            <w:vAlign w:val="center"/>
            <w:hideMark/>
          </w:tcPr>
          <w:p w14:paraId="07130985" w14:textId="77777777" w:rsidR="002E51D5" w:rsidRPr="002E51D5" w:rsidRDefault="002E51D5" w:rsidP="00CF467D">
            <w:pPr>
              <w:jc w:val="center"/>
              <w:rPr>
                <w:rFonts w:ascii="Arial" w:hAnsi="Arial" w:cs="Arial"/>
                <w:color w:val="000000"/>
              </w:rPr>
            </w:pPr>
            <w:r w:rsidRPr="002E51D5">
              <w:rPr>
                <w:rFonts w:ascii="Arial" w:hAnsi="Arial" w:cs="Arial"/>
                <w:color w:val="000000"/>
              </w:rPr>
              <w:t>186</w:t>
            </w:r>
          </w:p>
        </w:tc>
        <w:tc>
          <w:tcPr>
            <w:tcW w:w="401" w:type="pct"/>
            <w:vAlign w:val="center"/>
            <w:hideMark/>
          </w:tcPr>
          <w:p w14:paraId="0060EF57" w14:textId="77777777" w:rsidR="002E51D5" w:rsidRPr="002E51D5" w:rsidRDefault="002E51D5" w:rsidP="00CF467D">
            <w:pPr>
              <w:jc w:val="center"/>
              <w:rPr>
                <w:rFonts w:ascii="Arial" w:hAnsi="Arial" w:cs="Arial"/>
                <w:color w:val="000000"/>
              </w:rPr>
            </w:pPr>
            <w:r w:rsidRPr="002E51D5">
              <w:rPr>
                <w:rFonts w:ascii="Arial" w:hAnsi="Arial" w:cs="Arial"/>
                <w:color w:val="000000"/>
              </w:rPr>
              <w:t>149</w:t>
            </w:r>
          </w:p>
        </w:tc>
      </w:tr>
      <w:tr w:rsidR="002E51D5" w:rsidRPr="002E51D5" w14:paraId="5BC5797E" w14:textId="77777777" w:rsidTr="00A0207E">
        <w:trPr>
          <w:trHeight w:val="425"/>
        </w:trPr>
        <w:tc>
          <w:tcPr>
            <w:tcW w:w="580" w:type="pct"/>
            <w:vMerge/>
            <w:hideMark/>
          </w:tcPr>
          <w:p w14:paraId="701DC8CC" w14:textId="77777777" w:rsidR="002E51D5" w:rsidRPr="002E51D5" w:rsidRDefault="002E51D5" w:rsidP="002E51D5">
            <w:pPr>
              <w:rPr>
                <w:rFonts w:ascii="Arial" w:hAnsi="Arial" w:cs="Arial"/>
              </w:rPr>
            </w:pPr>
          </w:p>
        </w:tc>
        <w:tc>
          <w:tcPr>
            <w:tcW w:w="2005" w:type="pct"/>
            <w:hideMark/>
          </w:tcPr>
          <w:p w14:paraId="41AD1B11" w14:textId="77777777" w:rsidR="002E51D5" w:rsidRPr="002E51D5" w:rsidRDefault="002E51D5" w:rsidP="002E51D5">
            <w:pPr>
              <w:rPr>
                <w:rFonts w:ascii="Arial" w:hAnsi="Arial" w:cs="Arial"/>
              </w:rPr>
            </w:pPr>
            <w:r w:rsidRPr="002E51D5">
              <w:rPr>
                <w:rFonts w:ascii="Arial" w:hAnsi="Arial" w:cs="Arial"/>
              </w:rPr>
              <w:t>Number of Indigenous students below NMS</w:t>
            </w:r>
          </w:p>
        </w:tc>
        <w:tc>
          <w:tcPr>
            <w:tcW w:w="403" w:type="pct"/>
            <w:vAlign w:val="center"/>
            <w:hideMark/>
          </w:tcPr>
          <w:p w14:paraId="28F436D1" w14:textId="77777777" w:rsidR="002E51D5" w:rsidRPr="002E51D5" w:rsidRDefault="002E51D5" w:rsidP="00CF467D">
            <w:pPr>
              <w:jc w:val="center"/>
              <w:rPr>
                <w:rFonts w:ascii="Arial" w:hAnsi="Arial" w:cs="Arial"/>
              </w:rPr>
            </w:pPr>
            <w:r w:rsidRPr="002E51D5">
              <w:rPr>
                <w:rFonts w:ascii="Arial" w:hAnsi="Arial" w:cs="Arial"/>
              </w:rPr>
              <w:t>28</w:t>
            </w:r>
          </w:p>
        </w:tc>
        <w:tc>
          <w:tcPr>
            <w:tcW w:w="403" w:type="pct"/>
            <w:vAlign w:val="center"/>
            <w:hideMark/>
          </w:tcPr>
          <w:p w14:paraId="3BE7A906" w14:textId="77777777" w:rsidR="002E51D5" w:rsidRPr="002E51D5" w:rsidRDefault="002E51D5" w:rsidP="00CF467D">
            <w:pPr>
              <w:jc w:val="center"/>
              <w:rPr>
                <w:rFonts w:ascii="Arial" w:hAnsi="Arial" w:cs="Arial"/>
              </w:rPr>
            </w:pPr>
            <w:r w:rsidRPr="002E51D5">
              <w:rPr>
                <w:rFonts w:ascii="Arial" w:hAnsi="Arial" w:cs="Arial"/>
              </w:rPr>
              <w:t>34</w:t>
            </w:r>
          </w:p>
        </w:tc>
        <w:tc>
          <w:tcPr>
            <w:tcW w:w="403" w:type="pct"/>
            <w:vAlign w:val="center"/>
            <w:hideMark/>
          </w:tcPr>
          <w:p w14:paraId="414C0E64" w14:textId="77777777" w:rsidR="002E51D5" w:rsidRPr="002E51D5" w:rsidRDefault="002E51D5" w:rsidP="00CF467D">
            <w:pPr>
              <w:jc w:val="center"/>
              <w:rPr>
                <w:rFonts w:ascii="Arial" w:hAnsi="Arial" w:cs="Arial"/>
              </w:rPr>
            </w:pPr>
            <w:r w:rsidRPr="002E51D5">
              <w:rPr>
                <w:rFonts w:ascii="Arial" w:hAnsi="Arial" w:cs="Arial"/>
              </w:rPr>
              <w:t>33</w:t>
            </w:r>
          </w:p>
        </w:tc>
        <w:tc>
          <w:tcPr>
            <w:tcW w:w="403" w:type="pct"/>
            <w:vAlign w:val="center"/>
            <w:hideMark/>
          </w:tcPr>
          <w:p w14:paraId="1DD0E98C" w14:textId="77777777" w:rsidR="002E51D5" w:rsidRPr="002E51D5" w:rsidRDefault="002E51D5" w:rsidP="00CF467D">
            <w:pPr>
              <w:jc w:val="center"/>
              <w:rPr>
                <w:rFonts w:ascii="Arial" w:hAnsi="Arial" w:cs="Arial"/>
                <w:color w:val="000000"/>
              </w:rPr>
            </w:pPr>
            <w:r w:rsidRPr="002E51D5">
              <w:rPr>
                <w:rFonts w:ascii="Arial" w:hAnsi="Arial" w:cs="Arial"/>
                <w:color w:val="000000"/>
              </w:rPr>
              <w:t>29</w:t>
            </w:r>
          </w:p>
        </w:tc>
        <w:tc>
          <w:tcPr>
            <w:tcW w:w="403" w:type="pct"/>
            <w:vAlign w:val="center"/>
            <w:hideMark/>
          </w:tcPr>
          <w:p w14:paraId="729C63D1" w14:textId="77777777" w:rsidR="002E51D5" w:rsidRPr="002E51D5" w:rsidRDefault="002E51D5" w:rsidP="00CF467D">
            <w:pPr>
              <w:jc w:val="center"/>
              <w:rPr>
                <w:rFonts w:ascii="Arial" w:hAnsi="Arial" w:cs="Arial"/>
                <w:color w:val="000000"/>
              </w:rPr>
            </w:pPr>
            <w:r w:rsidRPr="002E51D5">
              <w:rPr>
                <w:rFonts w:ascii="Arial" w:hAnsi="Arial" w:cs="Arial"/>
                <w:color w:val="000000"/>
              </w:rPr>
              <w:t>28</w:t>
            </w:r>
          </w:p>
        </w:tc>
        <w:tc>
          <w:tcPr>
            <w:tcW w:w="401" w:type="pct"/>
            <w:vAlign w:val="center"/>
            <w:hideMark/>
          </w:tcPr>
          <w:p w14:paraId="74AE3F76" w14:textId="77777777" w:rsidR="002E51D5" w:rsidRPr="002E51D5" w:rsidRDefault="002E51D5" w:rsidP="00CF467D">
            <w:pPr>
              <w:jc w:val="center"/>
              <w:rPr>
                <w:rFonts w:ascii="Arial" w:hAnsi="Arial" w:cs="Arial"/>
                <w:color w:val="000000"/>
              </w:rPr>
            </w:pPr>
            <w:r w:rsidRPr="002E51D5">
              <w:rPr>
                <w:rFonts w:ascii="Arial" w:hAnsi="Arial" w:cs="Arial"/>
                <w:color w:val="000000"/>
              </w:rPr>
              <w:t>25</w:t>
            </w:r>
          </w:p>
        </w:tc>
      </w:tr>
      <w:tr w:rsidR="002E51D5" w:rsidRPr="002E51D5" w14:paraId="49592133" w14:textId="77777777" w:rsidTr="00A0207E">
        <w:trPr>
          <w:trHeight w:val="425"/>
        </w:trPr>
        <w:tc>
          <w:tcPr>
            <w:tcW w:w="580" w:type="pct"/>
            <w:vMerge/>
            <w:hideMark/>
          </w:tcPr>
          <w:p w14:paraId="41D2B8B4" w14:textId="77777777" w:rsidR="002E51D5" w:rsidRPr="002E51D5" w:rsidRDefault="002E51D5" w:rsidP="002E51D5">
            <w:pPr>
              <w:rPr>
                <w:rFonts w:ascii="Arial" w:hAnsi="Arial" w:cs="Arial"/>
              </w:rPr>
            </w:pPr>
          </w:p>
        </w:tc>
        <w:tc>
          <w:tcPr>
            <w:tcW w:w="2005" w:type="pct"/>
            <w:hideMark/>
          </w:tcPr>
          <w:p w14:paraId="4C04BABD" w14:textId="77777777" w:rsidR="002E51D5" w:rsidRPr="002E51D5" w:rsidRDefault="002E51D5" w:rsidP="002E51D5">
            <w:pPr>
              <w:rPr>
                <w:rFonts w:ascii="Arial" w:hAnsi="Arial" w:cs="Arial"/>
              </w:rPr>
            </w:pPr>
            <w:r w:rsidRPr="002E51D5">
              <w:rPr>
                <w:rFonts w:ascii="Arial" w:hAnsi="Arial" w:cs="Arial"/>
              </w:rPr>
              <w:t>Number of students with scores</w:t>
            </w:r>
          </w:p>
        </w:tc>
        <w:tc>
          <w:tcPr>
            <w:tcW w:w="403" w:type="pct"/>
            <w:vAlign w:val="center"/>
            <w:hideMark/>
          </w:tcPr>
          <w:p w14:paraId="6C7CCD55" w14:textId="77777777" w:rsidR="002E51D5" w:rsidRPr="002E51D5" w:rsidRDefault="002E51D5" w:rsidP="00CF467D">
            <w:pPr>
              <w:jc w:val="center"/>
              <w:rPr>
                <w:rFonts w:ascii="Arial" w:hAnsi="Arial" w:cs="Arial"/>
              </w:rPr>
            </w:pPr>
            <w:r w:rsidRPr="002E51D5">
              <w:rPr>
                <w:rFonts w:ascii="Arial" w:hAnsi="Arial" w:cs="Arial"/>
              </w:rPr>
              <w:t>2021</w:t>
            </w:r>
          </w:p>
        </w:tc>
        <w:tc>
          <w:tcPr>
            <w:tcW w:w="403" w:type="pct"/>
            <w:vAlign w:val="center"/>
            <w:hideMark/>
          </w:tcPr>
          <w:p w14:paraId="0ADE2C92" w14:textId="77777777" w:rsidR="002E51D5" w:rsidRPr="002E51D5" w:rsidRDefault="002E51D5" w:rsidP="00CF467D">
            <w:pPr>
              <w:jc w:val="center"/>
              <w:rPr>
                <w:rFonts w:ascii="Arial" w:hAnsi="Arial" w:cs="Arial"/>
              </w:rPr>
            </w:pPr>
            <w:r w:rsidRPr="002E51D5">
              <w:rPr>
                <w:rFonts w:ascii="Arial" w:hAnsi="Arial" w:cs="Arial"/>
              </w:rPr>
              <w:t>1904</w:t>
            </w:r>
          </w:p>
        </w:tc>
        <w:tc>
          <w:tcPr>
            <w:tcW w:w="403" w:type="pct"/>
            <w:vAlign w:val="center"/>
            <w:hideMark/>
          </w:tcPr>
          <w:p w14:paraId="086085BB" w14:textId="77777777" w:rsidR="002E51D5" w:rsidRPr="002E51D5" w:rsidRDefault="002E51D5" w:rsidP="00CF467D">
            <w:pPr>
              <w:jc w:val="center"/>
              <w:rPr>
                <w:rFonts w:ascii="Arial" w:hAnsi="Arial" w:cs="Arial"/>
              </w:rPr>
            </w:pPr>
            <w:r w:rsidRPr="002E51D5">
              <w:rPr>
                <w:rFonts w:ascii="Arial" w:hAnsi="Arial" w:cs="Arial"/>
              </w:rPr>
              <w:t>1847</w:t>
            </w:r>
          </w:p>
        </w:tc>
        <w:tc>
          <w:tcPr>
            <w:tcW w:w="403" w:type="pct"/>
            <w:vAlign w:val="center"/>
            <w:hideMark/>
          </w:tcPr>
          <w:p w14:paraId="79F6FC3F" w14:textId="77777777" w:rsidR="002E51D5" w:rsidRPr="002E51D5" w:rsidRDefault="002E51D5" w:rsidP="00CF467D">
            <w:pPr>
              <w:jc w:val="center"/>
              <w:rPr>
                <w:rFonts w:ascii="Arial" w:hAnsi="Arial" w:cs="Arial"/>
                <w:color w:val="000000"/>
              </w:rPr>
            </w:pPr>
            <w:r w:rsidRPr="002E51D5">
              <w:rPr>
                <w:rFonts w:ascii="Arial" w:hAnsi="Arial" w:cs="Arial"/>
                <w:color w:val="000000"/>
              </w:rPr>
              <w:t>1876</w:t>
            </w:r>
          </w:p>
        </w:tc>
        <w:tc>
          <w:tcPr>
            <w:tcW w:w="403" w:type="pct"/>
            <w:vAlign w:val="center"/>
            <w:hideMark/>
          </w:tcPr>
          <w:p w14:paraId="1337E843" w14:textId="77777777" w:rsidR="002E51D5" w:rsidRPr="002E51D5" w:rsidRDefault="002E51D5" w:rsidP="00CF467D">
            <w:pPr>
              <w:jc w:val="center"/>
              <w:rPr>
                <w:rFonts w:ascii="Arial" w:hAnsi="Arial" w:cs="Arial"/>
                <w:color w:val="000000"/>
              </w:rPr>
            </w:pPr>
            <w:r w:rsidRPr="002E51D5">
              <w:rPr>
                <w:rFonts w:ascii="Arial" w:hAnsi="Arial" w:cs="Arial"/>
                <w:color w:val="000000"/>
              </w:rPr>
              <w:t>1819</w:t>
            </w:r>
          </w:p>
        </w:tc>
        <w:tc>
          <w:tcPr>
            <w:tcW w:w="401" w:type="pct"/>
            <w:vAlign w:val="center"/>
            <w:hideMark/>
          </w:tcPr>
          <w:p w14:paraId="62D6110E" w14:textId="77777777" w:rsidR="002E51D5" w:rsidRPr="002E51D5" w:rsidRDefault="002E51D5" w:rsidP="00CF467D">
            <w:pPr>
              <w:jc w:val="center"/>
              <w:rPr>
                <w:rFonts w:ascii="Arial" w:hAnsi="Arial" w:cs="Arial"/>
                <w:color w:val="000000"/>
              </w:rPr>
            </w:pPr>
            <w:r w:rsidRPr="002E51D5">
              <w:rPr>
                <w:rFonts w:ascii="Arial" w:hAnsi="Arial" w:cs="Arial"/>
                <w:color w:val="000000"/>
              </w:rPr>
              <w:t>1791</w:t>
            </w:r>
          </w:p>
        </w:tc>
      </w:tr>
      <w:tr w:rsidR="002E51D5" w:rsidRPr="002E51D5" w14:paraId="26479B1A" w14:textId="77777777" w:rsidTr="00A0207E">
        <w:trPr>
          <w:trHeight w:val="425"/>
        </w:trPr>
        <w:tc>
          <w:tcPr>
            <w:tcW w:w="580" w:type="pct"/>
            <w:vMerge/>
            <w:hideMark/>
          </w:tcPr>
          <w:p w14:paraId="7B5B7691" w14:textId="77777777" w:rsidR="002E51D5" w:rsidRPr="002E51D5" w:rsidRDefault="002E51D5" w:rsidP="002E51D5">
            <w:pPr>
              <w:rPr>
                <w:rFonts w:ascii="Arial" w:hAnsi="Arial" w:cs="Arial"/>
              </w:rPr>
            </w:pPr>
          </w:p>
        </w:tc>
        <w:tc>
          <w:tcPr>
            <w:tcW w:w="2005" w:type="pct"/>
            <w:hideMark/>
          </w:tcPr>
          <w:p w14:paraId="7EE09F18" w14:textId="77777777" w:rsidR="002E51D5" w:rsidRPr="002E51D5" w:rsidRDefault="002E51D5" w:rsidP="002E51D5">
            <w:pPr>
              <w:rPr>
                <w:rFonts w:ascii="Arial" w:hAnsi="Arial" w:cs="Arial"/>
              </w:rPr>
            </w:pPr>
            <w:r w:rsidRPr="002E51D5">
              <w:rPr>
                <w:rFonts w:ascii="Arial" w:hAnsi="Arial" w:cs="Arial"/>
              </w:rPr>
              <w:t>Number of Indigenous students with scores</w:t>
            </w:r>
          </w:p>
        </w:tc>
        <w:tc>
          <w:tcPr>
            <w:tcW w:w="403" w:type="pct"/>
            <w:vAlign w:val="center"/>
            <w:hideMark/>
          </w:tcPr>
          <w:p w14:paraId="0A4456D4" w14:textId="77777777" w:rsidR="002E51D5" w:rsidRPr="002E51D5" w:rsidRDefault="002E51D5" w:rsidP="00CF467D">
            <w:pPr>
              <w:jc w:val="center"/>
              <w:rPr>
                <w:rFonts w:ascii="Arial" w:hAnsi="Arial" w:cs="Arial"/>
              </w:rPr>
            </w:pPr>
            <w:r w:rsidRPr="002E51D5">
              <w:rPr>
                <w:rFonts w:ascii="Arial" w:hAnsi="Arial" w:cs="Arial"/>
              </w:rPr>
              <w:t>150</w:t>
            </w:r>
          </w:p>
        </w:tc>
        <w:tc>
          <w:tcPr>
            <w:tcW w:w="403" w:type="pct"/>
            <w:vAlign w:val="center"/>
            <w:hideMark/>
          </w:tcPr>
          <w:p w14:paraId="7AC3C746" w14:textId="77777777" w:rsidR="002E51D5" w:rsidRPr="002E51D5" w:rsidRDefault="002E51D5" w:rsidP="00CF467D">
            <w:pPr>
              <w:jc w:val="center"/>
              <w:rPr>
                <w:rFonts w:ascii="Arial" w:hAnsi="Arial" w:cs="Arial"/>
              </w:rPr>
            </w:pPr>
            <w:r w:rsidRPr="002E51D5">
              <w:rPr>
                <w:rFonts w:ascii="Arial" w:hAnsi="Arial" w:cs="Arial"/>
              </w:rPr>
              <w:t>134</w:t>
            </w:r>
          </w:p>
        </w:tc>
        <w:tc>
          <w:tcPr>
            <w:tcW w:w="403" w:type="pct"/>
            <w:vAlign w:val="center"/>
            <w:hideMark/>
          </w:tcPr>
          <w:p w14:paraId="43C0B47A" w14:textId="77777777" w:rsidR="002E51D5" w:rsidRPr="002E51D5" w:rsidRDefault="002E51D5" w:rsidP="00CF467D">
            <w:pPr>
              <w:jc w:val="center"/>
              <w:rPr>
                <w:rFonts w:ascii="Arial" w:hAnsi="Arial" w:cs="Arial"/>
              </w:rPr>
            </w:pPr>
            <w:r w:rsidRPr="002E51D5">
              <w:rPr>
                <w:rFonts w:ascii="Arial" w:hAnsi="Arial" w:cs="Arial"/>
              </w:rPr>
              <w:t>149</w:t>
            </w:r>
          </w:p>
        </w:tc>
        <w:tc>
          <w:tcPr>
            <w:tcW w:w="403" w:type="pct"/>
            <w:vAlign w:val="center"/>
            <w:hideMark/>
          </w:tcPr>
          <w:p w14:paraId="52D88376" w14:textId="77777777" w:rsidR="002E51D5" w:rsidRPr="002E51D5" w:rsidRDefault="002E51D5" w:rsidP="00CF467D">
            <w:pPr>
              <w:jc w:val="center"/>
              <w:rPr>
                <w:rFonts w:ascii="Arial" w:hAnsi="Arial" w:cs="Arial"/>
                <w:color w:val="000000"/>
              </w:rPr>
            </w:pPr>
            <w:r w:rsidRPr="002E51D5">
              <w:rPr>
                <w:rFonts w:ascii="Arial" w:hAnsi="Arial" w:cs="Arial"/>
                <w:color w:val="000000"/>
              </w:rPr>
              <w:t>160</w:t>
            </w:r>
          </w:p>
        </w:tc>
        <w:tc>
          <w:tcPr>
            <w:tcW w:w="403" w:type="pct"/>
            <w:vAlign w:val="center"/>
            <w:hideMark/>
          </w:tcPr>
          <w:p w14:paraId="57382939" w14:textId="77777777" w:rsidR="002E51D5" w:rsidRPr="002E51D5" w:rsidRDefault="002E51D5" w:rsidP="00CF467D">
            <w:pPr>
              <w:jc w:val="center"/>
              <w:rPr>
                <w:rFonts w:ascii="Arial" w:hAnsi="Arial" w:cs="Arial"/>
                <w:color w:val="000000"/>
              </w:rPr>
            </w:pPr>
            <w:r w:rsidRPr="002E51D5">
              <w:rPr>
                <w:rFonts w:ascii="Arial" w:hAnsi="Arial" w:cs="Arial"/>
                <w:color w:val="000000"/>
              </w:rPr>
              <w:t>159</w:t>
            </w:r>
          </w:p>
        </w:tc>
        <w:tc>
          <w:tcPr>
            <w:tcW w:w="401" w:type="pct"/>
            <w:vAlign w:val="center"/>
            <w:hideMark/>
          </w:tcPr>
          <w:p w14:paraId="20924401" w14:textId="77777777" w:rsidR="002E51D5" w:rsidRPr="002E51D5" w:rsidRDefault="002E51D5" w:rsidP="00CF467D">
            <w:pPr>
              <w:jc w:val="center"/>
              <w:rPr>
                <w:rFonts w:ascii="Arial" w:hAnsi="Arial" w:cs="Arial"/>
                <w:color w:val="000000"/>
              </w:rPr>
            </w:pPr>
            <w:r w:rsidRPr="002E51D5">
              <w:rPr>
                <w:rFonts w:ascii="Arial" w:hAnsi="Arial" w:cs="Arial"/>
                <w:color w:val="000000"/>
              </w:rPr>
              <w:t>183</w:t>
            </w:r>
          </w:p>
        </w:tc>
      </w:tr>
      <w:tr w:rsidR="002E51D5" w:rsidRPr="002E51D5" w14:paraId="4721E1B6" w14:textId="77777777" w:rsidTr="00A0207E">
        <w:trPr>
          <w:trHeight w:val="425"/>
        </w:trPr>
        <w:tc>
          <w:tcPr>
            <w:tcW w:w="580" w:type="pct"/>
            <w:vMerge/>
            <w:hideMark/>
          </w:tcPr>
          <w:p w14:paraId="24160BE3" w14:textId="77777777" w:rsidR="002E51D5" w:rsidRPr="002E51D5" w:rsidRDefault="002E51D5" w:rsidP="002E51D5">
            <w:pPr>
              <w:rPr>
                <w:rFonts w:ascii="Arial" w:hAnsi="Arial" w:cs="Arial"/>
              </w:rPr>
            </w:pPr>
          </w:p>
        </w:tc>
        <w:tc>
          <w:tcPr>
            <w:tcW w:w="2005" w:type="pct"/>
            <w:hideMark/>
          </w:tcPr>
          <w:p w14:paraId="7CD2DC54" w14:textId="77777777" w:rsidR="002E51D5" w:rsidRPr="002E51D5" w:rsidRDefault="002E51D5" w:rsidP="002E51D5">
            <w:pPr>
              <w:rPr>
                <w:rFonts w:ascii="Arial" w:hAnsi="Arial" w:cs="Arial"/>
              </w:rPr>
            </w:pPr>
            <w:r w:rsidRPr="002E51D5">
              <w:rPr>
                <w:rFonts w:ascii="Arial" w:hAnsi="Arial" w:cs="Arial"/>
              </w:rPr>
              <w:t>Number of students absent</w:t>
            </w:r>
          </w:p>
        </w:tc>
        <w:tc>
          <w:tcPr>
            <w:tcW w:w="403" w:type="pct"/>
            <w:vAlign w:val="center"/>
            <w:hideMark/>
          </w:tcPr>
          <w:p w14:paraId="405B6CB0" w14:textId="77777777" w:rsidR="002E51D5" w:rsidRPr="002E51D5" w:rsidRDefault="002E51D5" w:rsidP="00CF467D">
            <w:pPr>
              <w:jc w:val="center"/>
              <w:rPr>
                <w:rFonts w:ascii="Arial" w:hAnsi="Arial" w:cs="Arial"/>
              </w:rPr>
            </w:pPr>
            <w:r w:rsidRPr="002E51D5">
              <w:rPr>
                <w:rFonts w:ascii="Arial" w:hAnsi="Arial" w:cs="Arial"/>
              </w:rPr>
              <w:t>23</w:t>
            </w:r>
          </w:p>
        </w:tc>
        <w:tc>
          <w:tcPr>
            <w:tcW w:w="403" w:type="pct"/>
            <w:vAlign w:val="center"/>
            <w:hideMark/>
          </w:tcPr>
          <w:p w14:paraId="0E65849E" w14:textId="77777777" w:rsidR="002E51D5" w:rsidRPr="002E51D5" w:rsidRDefault="002E51D5" w:rsidP="00CF467D">
            <w:pPr>
              <w:jc w:val="center"/>
              <w:rPr>
                <w:rFonts w:ascii="Arial" w:hAnsi="Arial" w:cs="Arial"/>
              </w:rPr>
            </w:pPr>
            <w:r w:rsidRPr="002E51D5">
              <w:rPr>
                <w:rFonts w:ascii="Arial" w:hAnsi="Arial" w:cs="Arial"/>
              </w:rPr>
              <w:t>61</w:t>
            </w:r>
          </w:p>
        </w:tc>
        <w:tc>
          <w:tcPr>
            <w:tcW w:w="403" w:type="pct"/>
            <w:vAlign w:val="center"/>
            <w:hideMark/>
          </w:tcPr>
          <w:p w14:paraId="679D4B5B" w14:textId="77777777" w:rsidR="002E51D5" w:rsidRPr="002E51D5" w:rsidRDefault="002E51D5" w:rsidP="00CF467D">
            <w:pPr>
              <w:jc w:val="center"/>
              <w:rPr>
                <w:rFonts w:ascii="Arial" w:hAnsi="Arial" w:cs="Arial"/>
              </w:rPr>
            </w:pPr>
            <w:r w:rsidRPr="002E51D5">
              <w:rPr>
                <w:rFonts w:ascii="Arial" w:hAnsi="Arial" w:cs="Arial"/>
              </w:rPr>
              <w:t>45</w:t>
            </w:r>
          </w:p>
        </w:tc>
        <w:tc>
          <w:tcPr>
            <w:tcW w:w="403" w:type="pct"/>
            <w:vAlign w:val="center"/>
            <w:hideMark/>
          </w:tcPr>
          <w:p w14:paraId="1860D779" w14:textId="77777777" w:rsidR="002E51D5" w:rsidRPr="002E51D5" w:rsidRDefault="002E51D5" w:rsidP="00CF467D">
            <w:pPr>
              <w:jc w:val="center"/>
              <w:rPr>
                <w:rFonts w:ascii="Arial" w:hAnsi="Arial" w:cs="Arial"/>
              </w:rPr>
            </w:pPr>
            <w:r w:rsidRPr="002E51D5">
              <w:rPr>
                <w:rFonts w:ascii="Arial" w:hAnsi="Arial" w:cs="Arial"/>
              </w:rPr>
              <w:t>55</w:t>
            </w:r>
          </w:p>
        </w:tc>
        <w:tc>
          <w:tcPr>
            <w:tcW w:w="403" w:type="pct"/>
            <w:vAlign w:val="center"/>
            <w:hideMark/>
          </w:tcPr>
          <w:p w14:paraId="563708A2" w14:textId="77777777" w:rsidR="002E51D5" w:rsidRPr="002E51D5" w:rsidRDefault="002E51D5" w:rsidP="00CF467D">
            <w:pPr>
              <w:jc w:val="center"/>
              <w:rPr>
                <w:rFonts w:ascii="Arial" w:hAnsi="Arial" w:cs="Arial"/>
              </w:rPr>
            </w:pPr>
            <w:r w:rsidRPr="002E51D5">
              <w:rPr>
                <w:rFonts w:ascii="Arial" w:hAnsi="Arial" w:cs="Arial"/>
              </w:rPr>
              <w:t>66</w:t>
            </w:r>
          </w:p>
        </w:tc>
        <w:tc>
          <w:tcPr>
            <w:tcW w:w="401" w:type="pct"/>
            <w:vAlign w:val="center"/>
            <w:hideMark/>
          </w:tcPr>
          <w:p w14:paraId="18531A3A" w14:textId="77777777" w:rsidR="002E51D5" w:rsidRPr="002E51D5" w:rsidRDefault="002E51D5" w:rsidP="00CF467D">
            <w:pPr>
              <w:jc w:val="center"/>
              <w:rPr>
                <w:rFonts w:ascii="Arial" w:hAnsi="Arial" w:cs="Arial"/>
              </w:rPr>
            </w:pPr>
            <w:r w:rsidRPr="002E51D5">
              <w:rPr>
                <w:rFonts w:ascii="Arial" w:hAnsi="Arial" w:cs="Arial"/>
              </w:rPr>
              <w:t>64</w:t>
            </w:r>
          </w:p>
        </w:tc>
      </w:tr>
      <w:tr w:rsidR="002E51D5" w:rsidRPr="002E51D5" w14:paraId="0CF13CDA" w14:textId="77777777" w:rsidTr="00A0207E">
        <w:trPr>
          <w:trHeight w:val="425"/>
        </w:trPr>
        <w:tc>
          <w:tcPr>
            <w:tcW w:w="580" w:type="pct"/>
            <w:vMerge/>
            <w:hideMark/>
          </w:tcPr>
          <w:p w14:paraId="79DCD742" w14:textId="77777777" w:rsidR="002E51D5" w:rsidRPr="002E51D5" w:rsidRDefault="002E51D5" w:rsidP="002E51D5">
            <w:pPr>
              <w:rPr>
                <w:rFonts w:ascii="Arial" w:hAnsi="Arial" w:cs="Arial"/>
              </w:rPr>
            </w:pPr>
          </w:p>
        </w:tc>
        <w:tc>
          <w:tcPr>
            <w:tcW w:w="2005" w:type="pct"/>
            <w:hideMark/>
          </w:tcPr>
          <w:p w14:paraId="283AFE82" w14:textId="77777777" w:rsidR="002E51D5" w:rsidRPr="002E51D5" w:rsidRDefault="002E51D5" w:rsidP="002E51D5">
            <w:pPr>
              <w:rPr>
                <w:rFonts w:ascii="Arial" w:hAnsi="Arial" w:cs="Arial"/>
              </w:rPr>
            </w:pPr>
            <w:r w:rsidRPr="002E51D5">
              <w:rPr>
                <w:rFonts w:ascii="Arial" w:hAnsi="Arial" w:cs="Arial"/>
              </w:rPr>
              <w:t>Number of Indigenous students absent</w:t>
            </w:r>
          </w:p>
        </w:tc>
        <w:tc>
          <w:tcPr>
            <w:tcW w:w="403" w:type="pct"/>
            <w:vAlign w:val="center"/>
            <w:hideMark/>
          </w:tcPr>
          <w:p w14:paraId="7A427AB1" w14:textId="77777777" w:rsidR="002E51D5" w:rsidRPr="002E51D5" w:rsidRDefault="002E51D5" w:rsidP="00CF467D">
            <w:pPr>
              <w:jc w:val="center"/>
              <w:rPr>
                <w:rFonts w:ascii="Arial" w:hAnsi="Arial" w:cs="Arial"/>
              </w:rPr>
            </w:pPr>
            <w:r w:rsidRPr="002E51D5">
              <w:rPr>
                <w:rFonts w:ascii="Arial" w:hAnsi="Arial" w:cs="Arial"/>
              </w:rPr>
              <w:t>3</w:t>
            </w:r>
          </w:p>
        </w:tc>
        <w:tc>
          <w:tcPr>
            <w:tcW w:w="403" w:type="pct"/>
            <w:vAlign w:val="center"/>
            <w:hideMark/>
          </w:tcPr>
          <w:p w14:paraId="6369E4B7" w14:textId="77777777" w:rsidR="002E51D5" w:rsidRPr="002E51D5" w:rsidRDefault="002E51D5" w:rsidP="00CF467D">
            <w:pPr>
              <w:jc w:val="center"/>
              <w:rPr>
                <w:rFonts w:ascii="Arial" w:hAnsi="Arial" w:cs="Arial"/>
              </w:rPr>
            </w:pPr>
            <w:r w:rsidRPr="002E51D5">
              <w:rPr>
                <w:rFonts w:ascii="Arial" w:hAnsi="Arial" w:cs="Arial"/>
              </w:rPr>
              <w:t>7</w:t>
            </w:r>
          </w:p>
        </w:tc>
        <w:tc>
          <w:tcPr>
            <w:tcW w:w="403" w:type="pct"/>
            <w:vAlign w:val="center"/>
            <w:hideMark/>
          </w:tcPr>
          <w:p w14:paraId="7078299A" w14:textId="77777777" w:rsidR="002E51D5" w:rsidRPr="002E51D5" w:rsidRDefault="002E51D5" w:rsidP="00CF467D">
            <w:pPr>
              <w:jc w:val="center"/>
              <w:rPr>
                <w:rFonts w:ascii="Arial" w:hAnsi="Arial" w:cs="Arial"/>
              </w:rPr>
            </w:pPr>
            <w:r w:rsidRPr="002E51D5">
              <w:rPr>
                <w:rFonts w:ascii="Arial" w:hAnsi="Arial" w:cs="Arial"/>
              </w:rPr>
              <w:t>1</w:t>
            </w:r>
          </w:p>
        </w:tc>
        <w:tc>
          <w:tcPr>
            <w:tcW w:w="403" w:type="pct"/>
            <w:vAlign w:val="center"/>
            <w:hideMark/>
          </w:tcPr>
          <w:p w14:paraId="4CE0F314" w14:textId="77777777" w:rsidR="002E51D5" w:rsidRPr="002E51D5" w:rsidRDefault="002E51D5" w:rsidP="00CF467D">
            <w:pPr>
              <w:jc w:val="center"/>
              <w:rPr>
                <w:rFonts w:ascii="Arial" w:hAnsi="Arial" w:cs="Arial"/>
                <w:color w:val="000000"/>
              </w:rPr>
            </w:pPr>
            <w:r w:rsidRPr="002E51D5">
              <w:rPr>
                <w:rFonts w:ascii="Arial" w:hAnsi="Arial" w:cs="Arial"/>
                <w:color w:val="000000"/>
              </w:rPr>
              <w:t>8</w:t>
            </w:r>
          </w:p>
        </w:tc>
        <w:tc>
          <w:tcPr>
            <w:tcW w:w="403" w:type="pct"/>
            <w:vAlign w:val="center"/>
            <w:hideMark/>
          </w:tcPr>
          <w:p w14:paraId="6CDA2319" w14:textId="77777777" w:rsidR="002E51D5" w:rsidRPr="002E51D5" w:rsidRDefault="002E51D5" w:rsidP="00CF467D">
            <w:pPr>
              <w:jc w:val="center"/>
              <w:rPr>
                <w:rFonts w:ascii="Arial" w:hAnsi="Arial" w:cs="Arial"/>
                <w:color w:val="000000"/>
              </w:rPr>
            </w:pPr>
            <w:r w:rsidRPr="002E51D5">
              <w:rPr>
                <w:rFonts w:ascii="Arial" w:hAnsi="Arial" w:cs="Arial"/>
                <w:color w:val="000000"/>
              </w:rPr>
              <w:t>15</w:t>
            </w:r>
          </w:p>
        </w:tc>
        <w:tc>
          <w:tcPr>
            <w:tcW w:w="401" w:type="pct"/>
            <w:vAlign w:val="center"/>
            <w:hideMark/>
          </w:tcPr>
          <w:p w14:paraId="07817850" w14:textId="77777777" w:rsidR="002E51D5" w:rsidRPr="002E51D5" w:rsidRDefault="002E51D5" w:rsidP="00CF467D">
            <w:pPr>
              <w:jc w:val="center"/>
              <w:rPr>
                <w:rFonts w:ascii="Arial" w:hAnsi="Arial" w:cs="Arial"/>
                <w:color w:val="000000"/>
              </w:rPr>
            </w:pPr>
            <w:r w:rsidRPr="002E51D5">
              <w:rPr>
                <w:rFonts w:ascii="Arial" w:hAnsi="Arial" w:cs="Arial"/>
                <w:color w:val="000000"/>
              </w:rPr>
              <w:t>10</w:t>
            </w:r>
          </w:p>
        </w:tc>
      </w:tr>
      <w:tr w:rsidR="002E51D5" w:rsidRPr="002E51D5" w14:paraId="66EF1254" w14:textId="77777777" w:rsidTr="00A0207E">
        <w:trPr>
          <w:trHeight w:val="425"/>
        </w:trPr>
        <w:tc>
          <w:tcPr>
            <w:tcW w:w="580" w:type="pct"/>
            <w:vMerge/>
            <w:hideMark/>
          </w:tcPr>
          <w:p w14:paraId="1DB83BFB" w14:textId="77777777" w:rsidR="002E51D5" w:rsidRPr="002E51D5" w:rsidRDefault="002E51D5" w:rsidP="002E51D5">
            <w:pPr>
              <w:rPr>
                <w:rFonts w:ascii="Arial" w:hAnsi="Arial" w:cs="Arial"/>
              </w:rPr>
            </w:pPr>
          </w:p>
        </w:tc>
        <w:tc>
          <w:tcPr>
            <w:tcW w:w="2005" w:type="pct"/>
            <w:hideMark/>
          </w:tcPr>
          <w:p w14:paraId="3FE1DC48" w14:textId="77777777" w:rsidR="002E51D5" w:rsidRPr="002E51D5" w:rsidRDefault="002E51D5" w:rsidP="002E51D5">
            <w:pPr>
              <w:rPr>
                <w:rFonts w:ascii="Arial" w:hAnsi="Arial" w:cs="Arial"/>
              </w:rPr>
            </w:pPr>
            <w:r w:rsidRPr="002E51D5">
              <w:rPr>
                <w:rFonts w:ascii="Arial" w:hAnsi="Arial" w:cs="Arial"/>
              </w:rPr>
              <w:t>Number of students withdrawn</w:t>
            </w:r>
          </w:p>
        </w:tc>
        <w:tc>
          <w:tcPr>
            <w:tcW w:w="403" w:type="pct"/>
            <w:vAlign w:val="center"/>
            <w:hideMark/>
          </w:tcPr>
          <w:p w14:paraId="56CC96AA"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01BCCFCD" w14:textId="77777777" w:rsidR="002E51D5" w:rsidRPr="002E51D5" w:rsidRDefault="002E51D5" w:rsidP="00CF467D">
            <w:pPr>
              <w:jc w:val="center"/>
              <w:rPr>
                <w:rFonts w:ascii="Arial" w:hAnsi="Arial" w:cs="Arial"/>
              </w:rPr>
            </w:pPr>
            <w:r w:rsidRPr="002E51D5">
              <w:rPr>
                <w:rFonts w:ascii="Arial" w:hAnsi="Arial" w:cs="Arial"/>
              </w:rPr>
              <w:t>14</w:t>
            </w:r>
          </w:p>
        </w:tc>
        <w:tc>
          <w:tcPr>
            <w:tcW w:w="403" w:type="pct"/>
            <w:vAlign w:val="center"/>
            <w:hideMark/>
          </w:tcPr>
          <w:p w14:paraId="437CAF5C" w14:textId="77777777" w:rsidR="002E51D5" w:rsidRPr="002E51D5" w:rsidRDefault="002E51D5" w:rsidP="00CF467D">
            <w:pPr>
              <w:jc w:val="center"/>
              <w:rPr>
                <w:rFonts w:ascii="Arial" w:hAnsi="Arial" w:cs="Arial"/>
              </w:rPr>
            </w:pPr>
            <w:r w:rsidRPr="002E51D5">
              <w:rPr>
                <w:rFonts w:ascii="Arial" w:hAnsi="Arial" w:cs="Arial"/>
              </w:rPr>
              <w:t>18</w:t>
            </w:r>
          </w:p>
        </w:tc>
        <w:tc>
          <w:tcPr>
            <w:tcW w:w="403" w:type="pct"/>
            <w:vAlign w:val="center"/>
            <w:hideMark/>
          </w:tcPr>
          <w:p w14:paraId="216025A2" w14:textId="77777777" w:rsidR="002E51D5" w:rsidRPr="002E51D5" w:rsidRDefault="002E51D5" w:rsidP="00CF467D">
            <w:pPr>
              <w:jc w:val="center"/>
              <w:rPr>
                <w:rFonts w:ascii="Arial" w:hAnsi="Arial" w:cs="Arial"/>
              </w:rPr>
            </w:pPr>
            <w:r w:rsidRPr="002E51D5">
              <w:rPr>
                <w:rFonts w:ascii="Arial" w:hAnsi="Arial" w:cs="Arial"/>
              </w:rPr>
              <w:t>22</w:t>
            </w:r>
          </w:p>
        </w:tc>
        <w:tc>
          <w:tcPr>
            <w:tcW w:w="403" w:type="pct"/>
            <w:vAlign w:val="center"/>
            <w:hideMark/>
          </w:tcPr>
          <w:p w14:paraId="00906DBB" w14:textId="77777777" w:rsidR="002E51D5" w:rsidRPr="002E51D5" w:rsidRDefault="002E51D5" w:rsidP="00CF467D">
            <w:pPr>
              <w:jc w:val="center"/>
              <w:rPr>
                <w:rFonts w:ascii="Arial" w:hAnsi="Arial" w:cs="Arial"/>
              </w:rPr>
            </w:pPr>
            <w:r w:rsidRPr="002E51D5">
              <w:rPr>
                <w:rFonts w:ascii="Arial" w:hAnsi="Arial" w:cs="Arial"/>
              </w:rPr>
              <w:t>23</w:t>
            </w:r>
          </w:p>
        </w:tc>
        <w:tc>
          <w:tcPr>
            <w:tcW w:w="401" w:type="pct"/>
            <w:vAlign w:val="center"/>
            <w:hideMark/>
          </w:tcPr>
          <w:p w14:paraId="3FCE430D" w14:textId="77777777" w:rsidR="002E51D5" w:rsidRPr="002E51D5" w:rsidRDefault="002E51D5" w:rsidP="00CF467D">
            <w:pPr>
              <w:jc w:val="center"/>
              <w:rPr>
                <w:rFonts w:ascii="Arial" w:hAnsi="Arial" w:cs="Arial"/>
              </w:rPr>
            </w:pPr>
            <w:r w:rsidRPr="002E51D5">
              <w:rPr>
                <w:rFonts w:ascii="Arial" w:hAnsi="Arial" w:cs="Arial"/>
              </w:rPr>
              <w:t>15</w:t>
            </w:r>
          </w:p>
        </w:tc>
      </w:tr>
      <w:tr w:rsidR="002E51D5" w:rsidRPr="002E51D5" w14:paraId="3FE88082" w14:textId="77777777" w:rsidTr="00A0207E">
        <w:trPr>
          <w:trHeight w:val="425"/>
        </w:trPr>
        <w:tc>
          <w:tcPr>
            <w:tcW w:w="580" w:type="pct"/>
            <w:vMerge/>
            <w:hideMark/>
          </w:tcPr>
          <w:p w14:paraId="7C9F0631" w14:textId="77777777" w:rsidR="002E51D5" w:rsidRPr="002E51D5" w:rsidRDefault="002E51D5" w:rsidP="002E51D5">
            <w:pPr>
              <w:rPr>
                <w:rFonts w:ascii="Arial" w:hAnsi="Arial" w:cs="Arial"/>
              </w:rPr>
            </w:pPr>
          </w:p>
        </w:tc>
        <w:tc>
          <w:tcPr>
            <w:tcW w:w="2005" w:type="pct"/>
            <w:hideMark/>
          </w:tcPr>
          <w:p w14:paraId="7BBD724B" w14:textId="77777777" w:rsidR="002E51D5" w:rsidRPr="002E51D5" w:rsidRDefault="002E51D5" w:rsidP="002E51D5">
            <w:pPr>
              <w:rPr>
                <w:rFonts w:ascii="Arial" w:hAnsi="Arial" w:cs="Arial"/>
              </w:rPr>
            </w:pPr>
            <w:r w:rsidRPr="002E51D5">
              <w:rPr>
                <w:rFonts w:ascii="Arial" w:hAnsi="Arial" w:cs="Arial"/>
              </w:rPr>
              <w:t>Number of Indigenous students withdrawn</w:t>
            </w:r>
          </w:p>
        </w:tc>
        <w:tc>
          <w:tcPr>
            <w:tcW w:w="403" w:type="pct"/>
            <w:vAlign w:val="center"/>
            <w:hideMark/>
          </w:tcPr>
          <w:p w14:paraId="2DD6A80D"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1EF9B77E"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6D011C29"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5EA2445C" w14:textId="77777777" w:rsidR="002E51D5" w:rsidRPr="002E51D5" w:rsidRDefault="002E51D5" w:rsidP="00CF467D">
            <w:pPr>
              <w:jc w:val="center"/>
              <w:rPr>
                <w:rFonts w:ascii="Arial" w:hAnsi="Arial" w:cs="Arial"/>
                <w:color w:val="000000"/>
              </w:rPr>
            </w:pPr>
            <w:r w:rsidRPr="002E51D5">
              <w:rPr>
                <w:rFonts w:ascii="Arial" w:hAnsi="Arial" w:cs="Arial"/>
                <w:color w:val="000000"/>
              </w:rPr>
              <w:t>2</w:t>
            </w:r>
          </w:p>
        </w:tc>
        <w:tc>
          <w:tcPr>
            <w:tcW w:w="403" w:type="pct"/>
            <w:vAlign w:val="center"/>
            <w:hideMark/>
          </w:tcPr>
          <w:p w14:paraId="122553D1" w14:textId="77777777" w:rsidR="002E51D5" w:rsidRPr="002E51D5" w:rsidRDefault="002E51D5" w:rsidP="00CF467D">
            <w:pPr>
              <w:jc w:val="center"/>
              <w:rPr>
                <w:rFonts w:ascii="Arial" w:hAnsi="Arial" w:cs="Arial"/>
                <w:color w:val="000000"/>
              </w:rPr>
            </w:pPr>
            <w:r w:rsidRPr="002E51D5">
              <w:rPr>
                <w:rFonts w:ascii="Arial" w:hAnsi="Arial" w:cs="Arial"/>
                <w:color w:val="000000"/>
              </w:rPr>
              <w:t>2</w:t>
            </w:r>
          </w:p>
        </w:tc>
        <w:tc>
          <w:tcPr>
            <w:tcW w:w="401" w:type="pct"/>
            <w:vAlign w:val="center"/>
            <w:hideMark/>
          </w:tcPr>
          <w:p w14:paraId="3D0D3CF6" w14:textId="77777777" w:rsidR="002E51D5" w:rsidRPr="002E51D5" w:rsidRDefault="002E51D5" w:rsidP="00CF467D">
            <w:pPr>
              <w:jc w:val="center"/>
              <w:rPr>
                <w:rFonts w:ascii="Arial" w:hAnsi="Arial" w:cs="Arial"/>
                <w:color w:val="000000"/>
              </w:rPr>
            </w:pPr>
            <w:r w:rsidRPr="002E51D5">
              <w:rPr>
                <w:rFonts w:ascii="Arial" w:hAnsi="Arial" w:cs="Arial"/>
                <w:color w:val="000000"/>
              </w:rPr>
              <w:t>3</w:t>
            </w:r>
          </w:p>
        </w:tc>
      </w:tr>
      <w:tr w:rsidR="002E51D5" w:rsidRPr="002E51D5" w14:paraId="3DAC1C71" w14:textId="77777777" w:rsidTr="00A0207E">
        <w:trPr>
          <w:trHeight w:val="425"/>
        </w:trPr>
        <w:tc>
          <w:tcPr>
            <w:tcW w:w="580" w:type="pct"/>
            <w:vMerge/>
            <w:hideMark/>
          </w:tcPr>
          <w:p w14:paraId="5596DE95" w14:textId="77777777" w:rsidR="002E51D5" w:rsidRPr="002E51D5" w:rsidRDefault="002E51D5" w:rsidP="002E51D5">
            <w:pPr>
              <w:rPr>
                <w:rFonts w:ascii="Arial" w:hAnsi="Arial" w:cs="Arial"/>
              </w:rPr>
            </w:pPr>
          </w:p>
        </w:tc>
        <w:tc>
          <w:tcPr>
            <w:tcW w:w="2005" w:type="pct"/>
            <w:hideMark/>
          </w:tcPr>
          <w:p w14:paraId="17E5CE6D" w14:textId="77777777" w:rsidR="002E51D5" w:rsidRPr="002E51D5" w:rsidRDefault="002E51D5" w:rsidP="002E51D5">
            <w:pPr>
              <w:rPr>
                <w:rFonts w:ascii="Arial" w:hAnsi="Arial" w:cs="Arial"/>
              </w:rPr>
            </w:pPr>
            <w:r w:rsidRPr="002E51D5">
              <w:rPr>
                <w:rFonts w:ascii="Arial" w:hAnsi="Arial" w:cs="Arial"/>
              </w:rPr>
              <w:t>Number of students exempted</w:t>
            </w:r>
          </w:p>
        </w:tc>
        <w:tc>
          <w:tcPr>
            <w:tcW w:w="403" w:type="pct"/>
            <w:vAlign w:val="center"/>
            <w:hideMark/>
          </w:tcPr>
          <w:p w14:paraId="662CEC55"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647376AE" w14:textId="77777777" w:rsidR="002E51D5" w:rsidRPr="002E51D5" w:rsidRDefault="002E51D5" w:rsidP="00CF467D">
            <w:pPr>
              <w:jc w:val="center"/>
              <w:rPr>
                <w:rFonts w:ascii="Arial" w:hAnsi="Arial" w:cs="Arial"/>
              </w:rPr>
            </w:pPr>
            <w:r w:rsidRPr="002E51D5">
              <w:rPr>
                <w:rFonts w:ascii="Arial" w:hAnsi="Arial" w:cs="Arial"/>
              </w:rPr>
              <w:t>48</w:t>
            </w:r>
          </w:p>
        </w:tc>
        <w:tc>
          <w:tcPr>
            <w:tcW w:w="403" w:type="pct"/>
            <w:vAlign w:val="center"/>
            <w:hideMark/>
          </w:tcPr>
          <w:p w14:paraId="3C9CF071" w14:textId="77777777" w:rsidR="002E51D5" w:rsidRPr="002E51D5" w:rsidRDefault="002E51D5" w:rsidP="00CF467D">
            <w:pPr>
              <w:jc w:val="center"/>
              <w:rPr>
                <w:rFonts w:ascii="Arial" w:hAnsi="Arial" w:cs="Arial"/>
              </w:rPr>
            </w:pPr>
            <w:r w:rsidRPr="002E51D5">
              <w:rPr>
                <w:rFonts w:ascii="Arial" w:hAnsi="Arial" w:cs="Arial"/>
              </w:rPr>
              <w:t>57</w:t>
            </w:r>
          </w:p>
        </w:tc>
        <w:tc>
          <w:tcPr>
            <w:tcW w:w="403" w:type="pct"/>
            <w:vAlign w:val="center"/>
            <w:hideMark/>
          </w:tcPr>
          <w:p w14:paraId="6BC0E2DC" w14:textId="77777777" w:rsidR="002E51D5" w:rsidRPr="002E51D5" w:rsidRDefault="002E51D5" w:rsidP="00CF467D">
            <w:pPr>
              <w:jc w:val="center"/>
              <w:rPr>
                <w:rFonts w:ascii="Arial" w:hAnsi="Arial" w:cs="Arial"/>
                <w:color w:val="000000"/>
              </w:rPr>
            </w:pPr>
            <w:r w:rsidRPr="002E51D5">
              <w:rPr>
                <w:rFonts w:ascii="Arial" w:hAnsi="Arial" w:cs="Arial"/>
                <w:color w:val="000000"/>
              </w:rPr>
              <w:t>48</w:t>
            </w:r>
          </w:p>
        </w:tc>
        <w:tc>
          <w:tcPr>
            <w:tcW w:w="403" w:type="pct"/>
            <w:vAlign w:val="center"/>
            <w:hideMark/>
          </w:tcPr>
          <w:p w14:paraId="61CBFA85" w14:textId="77777777" w:rsidR="002E51D5" w:rsidRPr="002E51D5" w:rsidRDefault="002E51D5" w:rsidP="00CF467D">
            <w:pPr>
              <w:jc w:val="center"/>
              <w:rPr>
                <w:rFonts w:ascii="Arial" w:hAnsi="Arial" w:cs="Arial"/>
                <w:color w:val="000000"/>
              </w:rPr>
            </w:pPr>
            <w:r w:rsidRPr="002E51D5">
              <w:rPr>
                <w:rFonts w:ascii="Arial" w:hAnsi="Arial" w:cs="Arial"/>
                <w:color w:val="000000"/>
              </w:rPr>
              <w:t>45</w:t>
            </w:r>
          </w:p>
        </w:tc>
        <w:tc>
          <w:tcPr>
            <w:tcW w:w="401" w:type="pct"/>
            <w:vAlign w:val="center"/>
            <w:hideMark/>
          </w:tcPr>
          <w:p w14:paraId="6956B008" w14:textId="77777777" w:rsidR="002E51D5" w:rsidRPr="002E51D5" w:rsidRDefault="002E51D5" w:rsidP="00CF467D">
            <w:pPr>
              <w:jc w:val="center"/>
              <w:rPr>
                <w:rFonts w:ascii="Arial" w:hAnsi="Arial" w:cs="Arial"/>
                <w:color w:val="000000"/>
              </w:rPr>
            </w:pPr>
            <w:r w:rsidRPr="002E51D5">
              <w:rPr>
                <w:rFonts w:ascii="Arial" w:hAnsi="Arial" w:cs="Arial"/>
                <w:color w:val="000000"/>
              </w:rPr>
              <w:t>42</w:t>
            </w:r>
          </w:p>
        </w:tc>
      </w:tr>
      <w:tr w:rsidR="002E51D5" w:rsidRPr="002E51D5" w14:paraId="1F1A5351" w14:textId="77777777" w:rsidTr="00A0207E">
        <w:trPr>
          <w:trHeight w:val="425"/>
        </w:trPr>
        <w:tc>
          <w:tcPr>
            <w:tcW w:w="580" w:type="pct"/>
            <w:vMerge/>
            <w:hideMark/>
          </w:tcPr>
          <w:p w14:paraId="0ECBE65B" w14:textId="77777777" w:rsidR="002E51D5" w:rsidRPr="002E51D5" w:rsidRDefault="002E51D5" w:rsidP="002E51D5">
            <w:pPr>
              <w:rPr>
                <w:rFonts w:ascii="Arial" w:hAnsi="Arial" w:cs="Arial"/>
              </w:rPr>
            </w:pPr>
          </w:p>
        </w:tc>
        <w:tc>
          <w:tcPr>
            <w:tcW w:w="2005" w:type="pct"/>
            <w:hideMark/>
          </w:tcPr>
          <w:p w14:paraId="3F50F997" w14:textId="77777777" w:rsidR="002E51D5" w:rsidRPr="002E51D5" w:rsidRDefault="002E51D5" w:rsidP="002E51D5">
            <w:pPr>
              <w:rPr>
                <w:rFonts w:ascii="Arial" w:hAnsi="Arial" w:cs="Arial"/>
              </w:rPr>
            </w:pPr>
            <w:r w:rsidRPr="002E51D5">
              <w:rPr>
                <w:rFonts w:ascii="Arial" w:hAnsi="Arial" w:cs="Arial"/>
              </w:rPr>
              <w:t>Number of Indigenous students exempted</w:t>
            </w:r>
          </w:p>
        </w:tc>
        <w:tc>
          <w:tcPr>
            <w:tcW w:w="403" w:type="pct"/>
            <w:vAlign w:val="center"/>
            <w:hideMark/>
          </w:tcPr>
          <w:p w14:paraId="2083E91A"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7F925CB7" w14:textId="77777777" w:rsidR="002E51D5" w:rsidRPr="002E51D5" w:rsidRDefault="002E51D5" w:rsidP="00CF467D">
            <w:pPr>
              <w:jc w:val="center"/>
              <w:rPr>
                <w:rFonts w:ascii="Arial" w:hAnsi="Arial" w:cs="Arial"/>
              </w:rPr>
            </w:pPr>
            <w:r w:rsidRPr="002E51D5">
              <w:rPr>
                <w:rFonts w:ascii="Arial" w:hAnsi="Arial" w:cs="Arial"/>
              </w:rPr>
              <w:t>4</w:t>
            </w:r>
          </w:p>
        </w:tc>
        <w:tc>
          <w:tcPr>
            <w:tcW w:w="403" w:type="pct"/>
            <w:vAlign w:val="center"/>
            <w:hideMark/>
          </w:tcPr>
          <w:p w14:paraId="2CFBC341" w14:textId="77777777" w:rsidR="002E51D5" w:rsidRPr="002E51D5" w:rsidRDefault="002E51D5" w:rsidP="00CF467D">
            <w:pPr>
              <w:jc w:val="center"/>
              <w:rPr>
                <w:rFonts w:ascii="Arial" w:hAnsi="Arial" w:cs="Arial"/>
              </w:rPr>
            </w:pPr>
            <w:r w:rsidRPr="002E51D5">
              <w:rPr>
                <w:rFonts w:ascii="Arial" w:hAnsi="Arial" w:cs="Arial"/>
              </w:rPr>
              <w:t>10</w:t>
            </w:r>
          </w:p>
        </w:tc>
        <w:tc>
          <w:tcPr>
            <w:tcW w:w="403" w:type="pct"/>
            <w:vAlign w:val="center"/>
            <w:hideMark/>
          </w:tcPr>
          <w:p w14:paraId="517E684F" w14:textId="77777777" w:rsidR="002E51D5" w:rsidRPr="002E51D5" w:rsidRDefault="002E51D5" w:rsidP="00CF467D">
            <w:pPr>
              <w:jc w:val="center"/>
              <w:rPr>
                <w:rFonts w:ascii="Arial" w:hAnsi="Arial" w:cs="Arial"/>
                <w:color w:val="000000"/>
              </w:rPr>
            </w:pPr>
            <w:r w:rsidRPr="002E51D5">
              <w:rPr>
                <w:rFonts w:ascii="Arial" w:hAnsi="Arial" w:cs="Arial"/>
                <w:color w:val="000000"/>
              </w:rPr>
              <w:t>10</w:t>
            </w:r>
          </w:p>
        </w:tc>
        <w:tc>
          <w:tcPr>
            <w:tcW w:w="403" w:type="pct"/>
            <w:vAlign w:val="center"/>
            <w:hideMark/>
          </w:tcPr>
          <w:p w14:paraId="7974746A" w14:textId="77777777" w:rsidR="002E51D5" w:rsidRPr="002E51D5" w:rsidRDefault="002E51D5" w:rsidP="00CF467D">
            <w:pPr>
              <w:jc w:val="center"/>
              <w:rPr>
                <w:rFonts w:ascii="Arial" w:hAnsi="Arial" w:cs="Arial"/>
                <w:color w:val="000000"/>
              </w:rPr>
            </w:pPr>
            <w:r w:rsidRPr="002E51D5">
              <w:rPr>
                <w:rFonts w:ascii="Arial" w:hAnsi="Arial" w:cs="Arial"/>
                <w:color w:val="000000"/>
              </w:rPr>
              <w:t>3</w:t>
            </w:r>
          </w:p>
        </w:tc>
        <w:tc>
          <w:tcPr>
            <w:tcW w:w="401" w:type="pct"/>
            <w:vAlign w:val="center"/>
            <w:hideMark/>
          </w:tcPr>
          <w:p w14:paraId="03A2FEEC" w14:textId="77777777" w:rsidR="002E51D5" w:rsidRPr="002E51D5" w:rsidRDefault="002E51D5" w:rsidP="00CF467D">
            <w:pPr>
              <w:jc w:val="center"/>
              <w:rPr>
                <w:rFonts w:ascii="Arial" w:hAnsi="Arial" w:cs="Arial"/>
                <w:color w:val="000000"/>
              </w:rPr>
            </w:pPr>
            <w:r w:rsidRPr="002E51D5">
              <w:rPr>
                <w:rFonts w:ascii="Arial" w:hAnsi="Arial" w:cs="Arial"/>
                <w:color w:val="000000"/>
              </w:rPr>
              <w:t>5</w:t>
            </w:r>
          </w:p>
        </w:tc>
      </w:tr>
      <w:tr w:rsidR="002E51D5" w:rsidRPr="002E51D5" w14:paraId="66EF7152" w14:textId="77777777" w:rsidTr="00A0207E">
        <w:trPr>
          <w:trHeight w:val="425"/>
        </w:trPr>
        <w:tc>
          <w:tcPr>
            <w:tcW w:w="580" w:type="pct"/>
            <w:vMerge w:val="restart"/>
            <w:hideMark/>
          </w:tcPr>
          <w:p w14:paraId="4FFB0B03" w14:textId="77777777" w:rsidR="002E51D5" w:rsidRPr="002E51D5" w:rsidRDefault="002E51D5" w:rsidP="002E51D5">
            <w:pPr>
              <w:jc w:val="center"/>
              <w:rPr>
                <w:rFonts w:ascii="Arial" w:hAnsi="Arial" w:cs="Arial"/>
              </w:rPr>
            </w:pPr>
            <w:r w:rsidRPr="002E51D5">
              <w:rPr>
                <w:rFonts w:ascii="Arial" w:hAnsi="Arial" w:cs="Arial"/>
              </w:rPr>
              <w:t>Year 5 Numeracy</w:t>
            </w:r>
          </w:p>
        </w:tc>
        <w:tc>
          <w:tcPr>
            <w:tcW w:w="2005" w:type="pct"/>
            <w:hideMark/>
          </w:tcPr>
          <w:p w14:paraId="6CE261F5" w14:textId="77777777" w:rsidR="002E51D5" w:rsidRPr="002E51D5" w:rsidRDefault="002E51D5" w:rsidP="002E51D5">
            <w:pPr>
              <w:rPr>
                <w:rFonts w:ascii="Arial" w:hAnsi="Arial" w:cs="Arial"/>
              </w:rPr>
            </w:pPr>
            <w:r w:rsidRPr="002E51D5">
              <w:rPr>
                <w:rFonts w:ascii="Arial" w:hAnsi="Arial" w:cs="Arial"/>
              </w:rPr>
              <w:t>Mean scale score</w:t>
            </w:r>
          </w:p>
        </w:tc>
        <w:tc>
          <w:tcPr>
            <w:tcW w:w="403" w:type="pct"/>
            <w:vAlign w:val="center"/>
            <w:hideMark/>
          </w:tcPr>
          <w:p w14:paraId="43D4D51C" w14:textId="77777777" w:rsidR="002E51D5" w:rsidRPr="002E51D5" w:rsidRDefault="002E51D5" w:rsidP="00CF467D">
            <w:pPr>
              <w:jc w:val="center"/>
              <w:rPr>
                <w:rFonts w:ascii="Arial" w:hAnsi="Arial" w:cs="Arial"/>
              </w:rPr>
            </w:pPr>
            <w:r w:rsidRPr="002E51D5">
              <w:rPr>
                <w:rFonts w:ascii="Arial" w:hAnsi="Arial" w:cs="Arial"/>
              </w:rPr>
              <w:t>455.6</w:t>
            </w:r>
          </w:p>
        </w:tc>
        <w:tc>
          <w:tcPr>
            <w:tcW w:w="403" w:type="pct"/>
            <w:vAlign w:val="center"/>
            <w:hideMark/>
          </w:tcPr>
          <w:p w14:paraId="57007C98" w14:textId="77777777" w:rsidR="002E51D5" w:rsidRPr="002E51D5" w:rsidRDefault="002E51D5" w:rsidP="00CF467D">
            <w:pPr>
              <w:jc w:val="center"/>
              <w:rPr>
                <w:rFonts w:ascii="Arial" w:hAnsi="Arial" w:cs="Arial"/>
              </w:rPr>
            </w:pPr>
            <w:r w:rsidRPr="002E51D5">
              <w:rPr>
                <w:rFonts w:ascii="Arial" w:hAnsi="Arial" w:cs="Arial"/>
              </w:rPr>
              <w:t>470.8</w:t>
            </w:r>
          </w:p>
        </w:tc>
        <w:tc>
          <w:tcPr>
            <w:tcW w:w="403" w:type="pct"/>
            <w:vAlign w:val="center"/>
            <w:hideMark/>
          </w:tcPr>
          <w:p w14:paraId="48B8C2DD" w14:textId="77777777" w:rsidR="002E51D5" w:rsidRPr="002E51D5" w:rsidRDefault="002E51D5" w:rsidP="00CF467D">
            <w:pPr>
              <w:jc w:val="center"/>
              <w:rPr>
                <w:rFonts w:ascii="Arial" w:hAnsi="Arial" w:cs="Arial"/>
              </w:rPr>
            </w:pPr>
            <w:r w:rsidRPr="002E51D5">
              <w:rPr>
                <w:rFonts w:ascii="Arial" w:hAnsi="Arial" w:cs="Arial"/>
              </w:rPr>
              <w:t>467.0</w:t>
            </w:r>
          </w:p>
        </w:tc>
        <w:tc>
          <w:tcPr>
            <w:tcW w:w="403" w:type="pct"/>
            <w:vAlign w:val="center"/>
            <w:hideMark/>
          </w:tcPr>
          <w:p w14:paraId="7318647C" w14:textId="77777777" w:rsidR="002E51D5" w:rsidRPr="002E51D5" w:rsidRDefault="002E51D5" w:rsidP="00CF467D">
            <w:pPr>
              <w:jc w:val="center"/>
              <w:rPr>
                <w:rFonts w:ascii="Arial" w:hAnsi="Arial" w:cs="Arial"/>
                <w:color w:val="000000"/>
              </w:rPr>
            </w:pPr>
            <w:r w:rsidRPr="002E51D5">
              <w:rPr>
                <w:rFonts w:ascii="Arial" w:hAnsi="Arial" w:cs="Arial"/>
                <w:color w:val="000000"/>
              </w:rPr>
              <w:t>470.5</w:t>
            </w:r>
          </w:p>
        </w:tc>
        <w:tc>
          <w:tcPr>
            <w:tcW w:w="403" w:type="pct"/>
            <w:vAlign w:val="center"/>
            <w:hideMark/>
          </w:tcPr>
          <w:p w14:paraId="09D3DED6" w14:textId="77777777" w:rsidR="002E51D5" w:rsidRPr="002E51D5" w:rsidRDefault="002E51D5" w:rsidP="00CF467D">
            <w:pPr>
              <w:jc w:val="center"/>
              <w:rPr>
                <w:rFonts w:ascii="Arial" w:hAnsi="Arial" w:cs="Arial"/>
                <w:color w:val="000000"/>
              </w:rPr>
            </w:pPr>
            <w:r w:rsidRPr="002E51D5">
              <w:rPr>
                <w:rFonts w:ascii="Arial" w:hAnsi="Arial" w:cs="Arial"/>
                <w:color w:val="000000"/>
              </w:rPr>
              <w:t>466.2</w:t>
            </w:r>
          </w:p>
        </w:tc>
        <w:tc>
          <w:tcPr>
            <w:tcW w:w="401" w:type="pct"/>
            <w:vAlign w:val="center"/>
            <w:hideMark/>
          </w:tcPr>
          <w:p w14:paraId="20187FE7" w14:textId="77777777" w:rsidR="002E51D5" w:rsidRPr="002E51D5" w:rsidRDefault="002E51D5" w:rsidP="00CF467D">
            <w:pPr>
              <w:jc w:val="center"/>
              <w:rPr>
                <w:rFonts w:ascii="Arial" w:hAnsi="Arial" w:cs="Arial"/>
                <w:color w:val="000000"/>
              </w:rPr>
            </w:pPr>
            <w:r w:rsidRPr="002E51D5">
              <w:rPr>
                <w:rFonts w:ascii="Arial" w:hAnsi="Arial" w:cs="Arial"/>
                <w:color w:val="000000"/>
              </w:rPr>
              <w:t>460.9</w:t>
            </w:r>
          </w:p>
        </w:tc>
      </w:tr>
      <w:tr w:rsidR="002E51D5" w:rsidRPr="002E51D5" w14:paraId="29096281" w14:textId="77777777" w:rsidTr="00A0207E">
        <w:trPr>
          <w:trHeight w:val="425"/>
        </w:trPr>
        <w:tc>
          <w:tcPr>
            <w:tcW w:w="580" w:type="pct"/>
            <w:vMerge/>
            <w:hideMark/>
          </w:tcPr>
          <w:p w14:paraId="0ADB3DAB" w14:textId="77777777" w:rsidR="002E51D5" w:rsidRPr="002E51D5" w:rsidRDefault="002E51D5" w:rsidP="002E51D5">
            <w:pPr>
              <w:rPr>
                <w:rFonts w:ascii="Arial" w:hAnsi="Arial" w:cs="Arial"/>
              </w:rPr>
            </w:pPr>
          </w:p>
        </w:tc>
        <w:tc>
          <w:tcPr>
            <w:tcW w:w="2005" w:type="pct"/>
            <w:hideMark/>
          </w:tcPr>
          <w:p w14:paraId="17D98BA9" w14:textId="77777777" w:rsidR="002E51D5" w:rsidRPr="002E51D5" w:rsidRDefault="002E51D5" w:rsidP="002E51D5">
            <w:pPr>
              <w:rPr>
                <w:rFonts w:ascii="Arial" w:hAnsi="Arial" w:cs="Arial"/>
              </w:rPr>
            </w:pPr>
            <w:r w:rsidRPr="002E51D5">
              <w:rPr>
                <w:rFonts w:ascii="Arial" w:hAnsi="Arial" w:cs="Arial"/>
              </w:rPr>
              <w:t>Standard deviation</w:t>
            </w:r>
          </w:p>
        </w:tc>
        <w:tc>
          <w:tcPr>
            <w:tcW w:w="403" w:type="pct"/>
            <w:vAlign w:val="center"/>
            <w:hideMark/>
          </w:tcPr>
          <w:p w14:paraId="0FCF9143" w14:textId="77777777" w:rsidR="002E51D5" w:rsidRPr="002E51D5" w:rsidRDefault="002E51D5" w:rsidP="00CF467D">
            <w:pPr>
              <w:jc w:val="center"/>
              <w:rPr>
                <w:rFonts w:ascii="Arial" w:hAnsi="Arial" w:cs="Arial"/>
              </w:rPr>
            </w:pPr>
            <w:r w:rsidRPr="002E51D5">
              <w:rPr>
                <w:rFonts w:ascii="Arial" w:hAnsi="Arial" w:cs="Arial"/>
              </w:rPr>
              <w:t>67.9</w:t>
            </w:r>
          </w:p>
        </w:tc>
        <w:tc>
          <w:tcPr>
            <w:tcW w:w="403" w:type="pct"/>
            <w:vAlign w:val="center"/>
            <w:hideMark/>
          </w:tcPr>
          <w:p w14:paraId="29047A07" w14:textId="77777777" w:rsidR="002E51D5" w:rsidRPr="002E51D5" w:rsidRDefault="002E51D5" w:rsidP="00CF467D">
            <w:pPr>
              <w:jc w:val="center"/>
              <w:rPr>
                <w:rFonts w:ascii="Arial" w:hAnsi="Arial" w:cs="Arial"/>
              </w:rPr>
            </w:pPr>
            <w:r w:rsidRPr="002E51D5">
              <w:rPr>
                <w:rFonts w:ascii="Arial" w:hAnsi="Arial" w:cs="Arial"/>
              </w:rPr>
              <w:t>66.3</w:t>
            </w:r>
          </w:p>
        </w:tc>
        <w:tc>
          <w:tcPr>
            <w:tcW w:w="403" w:type="pct"/>
            <w:vAlign w:val="center"/>
            <w:hideMark/>
          </w:tcPr>
          <w:p w14:paraId="2BCA2B59" w14:textId="77777777" w:rsidR="002E51D5" w:rsidRPr="002E51D5" w:rsidRDefault="002E51D5" w:rsidP="00CF467D">
            <w:pPr>
              <w:jc w:val="center"/>
              <w:rPr>
                <w:rFonts w:ascii="Arial" w:hAnsi="Arial" w:cs="Arial"/>
              </w:rPr>
            </w:pPr>
            <w:r w:rsidRPr="002E51D5">
              <w:rPr>
                <w:rFonts w:ascii="Arial" w:hAnsi="Arial" w:cs="Arial"/>
              </w:rPr>
              <w:t>71.7</w:t>
            </w:r>
          </w:p>
        </w:tc>
        <w:tc>
          <w:tcPr>
            <w:tcW w:w="403" w:type="pct"/>
            <w:vAlign w:val="center"/>
            <w:hideMark/>
          </w:tcPr>
          <w:p w14:paraId="05EDAFC8" w14:textId="77777777" w:rsidR="002E51D5" w:rsidRPr="002E51D5" w:rsidRDefault="002E51D5" w:rsidP="00CF467D">
            <w:pPr>
              <w:jc w:val="center"/>
              <w:rPr>
                <w:rFonts w:ascii="Arial" w:hAnsi="Arial" w:cs="Arial"/>
                <w:color w:val="000000"/>
              </w:rPr>
            </w:pPr>
            <w:r w:rsidRPr="002E51D5">
              <w:rPr>
                <w:rFonts w:ascii="Arial" w:hAnsi="Arial" w:cs="Arial"/>
                <w:color w:val="000000"/>
              </w:rPr>
              <w:t>67.6</w:t>
            </w:r>
          </w:p>
        </w:tc>
        <w:tc>
          <w:tcPr>
            <w:tcW w:w="403" w:type="pct"/>
            <w:vAlign w:val="center"/>
            <w:hideMark/>
          </w:tcPr>
          <w:p w14:paraId="0A7D32D9" w14:textId="77777777" w:rsidR="002E51D5" w:rsidRPr="002E51D5" w:rsidRDefault="002E51D5" w:rsidP="00CF467D">
            <w:pPr>
              <w:jc w:val="center"/>
              <w:rPr>
                <w:rFonts w:ascii="Arial" w:hAnsi="Arial" w:cs="Arial"/>
                <w:color w:val="000000"/>
              </w:rPr>
            </w:pPr>
            <w:r w:rsidRPr="002E51D5">
              <w:rPr>
                <w:rFonts w:ascii="Arial" w:hAnsi="Arial" w:cs="Arial"/>
                <w:color w:val="000000"/>
              </w:rPr>
              <w:t>71.1</w:t>
            </w:r>
          </w:p>
        </w:tc>
        <w:tc>
          <w:tcPr>
            <w:tcW w:w="401" w:type="pct"/>
            <w:vAlign w:val="center"/>
            <w:hideMark/>
          </w:tcPr>
          <w:p w14:paraId="0014623D" w14:textId="77777777" w:rsidR="002E51D5" w:rsidRPr="002E51D5" w:rsidRDefault="002E51D5" w:rsidP="00CF467D">
            <w:pPr>
              <w:jc w:val="center"/>
              <w:rPr>
                <w:rFonts w:ascii="Arial" w:hAnsi="Arial" w:cs="Arial"/>
                <w:color w:val="000000"/>
              </w:rPr>
            </w:pPr>
            <w:r w:rsidRPr="002E51D5">
              <w:rPr>
                <w:rFonts w:ascii="Arial" w:hAnsi="Arial" w:cs="Arial"/>
                <w:color w:val="000000"/>
              </w:rPr>
              <w:t>71.9</w:t>
            </w:r>
          </w:p>
        </w:tc>
      </w:tr>
      <w:tr w:rsidR="002E51D5" w:rsidRPr="002E51D5" w14:paraId="4C2A313D" w14:textId="77777777" w:rsidTr="00A0207E">
        <w:trPr>
          <w:trHeight w:val="425"/>
        </w:trPr>
        <w:tc>
          <w:tcPr>
            <w:tcW w:w="580" w:type="pct"/>
            <w:vMerge/>
            <w:hideMark/>
          </w:tcPr>
          <w:p w14:paraId="6814A603" w14:textId="77777777" w:rsidR="002E51D5" w:rsidRPr="002E51D5" w:rsidRDefault="002E51D5" w:rsidP="002E51D5">
            <w:pPr>
              <w:rPr>
                <w:rFonts w:ascii="Arial" w:hAnsi="Arial" w:cs="Arial"/>
              </w:rPr>
            </w:pPr>
          </w:p>
        </w:tc>
        <w:tc>
          <w:tcPr>
            <w:tcW w:w="2005" w:type="pct"/>
            <w:hideMark/>
          </w:tcPr>
          <w:p w14:paraId="7B319C93" w14:textId="77777777" w:rsidR="002E51D5" w:rsidRPr="002E51D5" w:rsidRDefault="002E51D5" w:rsidP="002E51D5">
            <w:pPr>
              <w:rPr>
                <w:rFonts w:ascii="Arial" w:hAnsi="Arial" w:cs="Arial"/>
              </w:rPr>
            </w:pPr>
            <w:r w:rsidRPr="002E51D5">
              <w:rPr>
                <w:rFonts w:ascii="Arial" w:hAnsi="Arial" w:cs="Arial"/>
              </w:rPr>
              <w:t>Number of students at NMS</w:t>
            </w:r>
          </w:p>
        </w:tc>
        <w:tc>
          <w:tcPr>
            <w:tcW w:w="403" w:type="pct"/>
            <w:vAlign w:val="center"/>
            <w:hideMark/>
          </w:tcPr>
          <w:p w14:paraId="3950AB4A" w14:textId="77777777" w:rsidR="002E51D5" w:rsidRPr="002E51D5" w:rsidRDefault="002E51D5" w:rsidP="00CF467D">
            <w:pPr>
              <w:jc w:val="center"/>
              <w:rPr>
                <w:rFonts w:ascii="Arial" w:hAnsi="Arial" w:cs="Arial"/>
              </w:rPr>
            </w:pPr>
            <w:r w:rsidRPr="002E51D5">
              <w:rPr>
                <w:rFonts w:ascii="Arial" w:hAnsi="Arial" w:cs="Arial"/>
              </w:rPr>
              <w:t>537</w:t>
            </w:r>
          </w:p>
        </w:tc>
        <w:tc>
          <w:tcPr>
            <w:tcW w:w="403" w:type="pct"/>
            <w:vAlign w:val="center"/>
            <w:hideMark/>
          </w:tcPr>
          <w:p w14:paraId="66C80155" w14:textId="77777777" w:rsidR="002E51D5" w:rsidRPr="002E51D5" w:rsidRDefault="002E51D5" w:rsidP="00CF467D">
            <w:pPr>
              <w:jc w:val="center"/>
              <w:rPr>
                <w:rFonts w:ascii="Arial" w:hAnsi="Arial" w:cs="Arial"/>
              </w:rPr>
            </w:pPr>
            <w:r w:rsidRPr="002E51D5">
              <w:rPr>
                <w:rFonts w:ascii="Arial" w:hAnsi="Arial" w:cs="Arial"/>
              </w:rPr>
              <w:t>390</w:t>
            </w:r>
          </w:p>
        </w:tc>
        <w:tc>
          <w:tcPr>
            <w:tcW w:w="403" w:type="pct"/>
            <w:vAlign w:val="center"/>
            <w:hideMark/>
          </w:tcPr>
          <w:p w14:paraId="21E816B6" w14:textId="77777777" w:rsidR="002E51D5" w:rsidRPr="002E51D5" w:rsidRDefault="002E51D5" w:rsidP="00CF467D">
            <w:pPr>
              <w:jc w:val="center"/>
              <w:rPr>
                <w:rFonts w:ascii="Arial" w:hAnsi="Arial" w:cs="Arial"/>
              </w:rPr>
            </w:pPr>
            <w:r w:rsidRPr="002E51D5">
              <w:rPr>
                <w:rFonts w:ascii="Arial" w:hAnsi="Arial" w:cs="Arial"/>
              </w:rPr>
              <w:t>418</w:t>
            </w:r>
          </w:p>
        </w:tc>
        <w:tc>
          <w:tcPr>
            <w:tcW w:w="403" w:type="pct"/>
            <w:vAlign w:val="center"/>
            <w:hideMark/>
          </w:tcPr>
          <w:p w14:paraId="5FBC0F1E" w14:textId="77777777" w:rsidR="002E51D5" w:rsidRPr="002E51D5" w:rsidRDefault="002E51D5" w:rsidP="00CF467D">
            <w:pPr>
              <w:jc w:val="center"/>
              <w:rPr>
                <w:rFonts w:ascii="Arial" w:hAnsi="Arial" w:cs="Arial"/>
                <w:color w:val="000000"/>
              </w:rPr>
            </w:pPr>
            <w:r w:rsidRPr="002E51D5">
              <w:rPr>
                <w:rFonts w:ascii="Arial" w:hAnsi="Arial" w:cs="Arial"/>
                <w:color w:val="000000"/>
              </w:rPr>
              <w:t>306</w:t>
            </w:r>
          </w:p>
        </w:tc>
        <w:tc>
          <w:tcPr>
            <w:tcW w:w="403" w:type="pct"/>
            <w:vAlign w:val="center"/>
            <w:hideMark/>
          </w:tcPr>
          <w:p w14:paraId="4C9CEB48" w14:textId="77777777" w:rsidR="002E51D5" w:rsidRPr="002E51D5" w:rsidRDefault="002E51D5" w:rsidP="00CF467D">
            <w:pPr>
              <w:jc w:val="center"/>
              <w:rPr>
                <w:rFonts w:ascii="Arial" w:hAnsi="Arial" w:cs="Arial"/>
                <w:color w:val="000000"/>
              </w:rPr>
            </w:pPr>
            <w:r w:rsidRPr="002E51D5">
              <w:rPr>
                <w:rFonts w:ascii="Arial" w:hAnsi="Arial" w:cs="Arial"/>
                <w:color w:val="000000"/>
              </w:rPr>
              <w:t>324</w:t>
            </w:r>
          </w:p>
        </w:tc>
        <w:tc>
          <w:tcPr>
            <w:tcW w:w="401" w:type="pct"/>
            <w:vAlign w:val="center"/>
            <w:hideMark/>
          </w:tcPr>
          <w:p w14:paraId="3AFB0CE3" w14:textId="77777777" w:rsidR="002E51D5" w:rsidRPr="002E51D5" w:rsidRDefault="002E51D5" w:rsidP="00CF467D">
            <w:pPr>
              <w:jc w:val="center"/>
              <w:rPr>
                <w:rFonts w:ascii="Arial" w:hAnsi="Arial" w:cs="Arial"/>
                <w:color w:val="000000"/>
              </w:rPr>
            </w:pPr>
            <w:r w:rsidRPr="002E51D5">
              <w:rPr>
                <w:rFonts w:ascii="Arial" w:hAnsi="Arial" w:cs="Arial"/>
                <w:color w:val="000000"/>
              </w:rPr>
              <w:t>408</w:t>
            </w:r>
          </w:p>
        </w:tc>
      </w:tr>
      <w:tr w:rsidR="002E51D5" w:rsidRPr="002E51D5" w14:paraId="28DF762E" w14:textId="77777777" w:rsidTr="00A0207E">
        <w:trPr>
          <w:trHeight w:val="425"/>
        </w:trPr>
        <w:tc>
          <w:tcPr>
            <w:tcW w:w="580" w:type="pct"/>
            <w:vMerge/>
            <w:hideMark/>
          </w:tcPr>
          <w:p w14:paraId="09AFC3A9" w14:textId="77777777" w:rsidR="002E51D5" w:rsidRPr="002E51D5" w:rsidRDefault="002E51D5" w:rsidP="002E51D5">
            <w:pPr>
              <w:rPr>
                <w:rFonts w:ascii="Arial" w:hAnsi="Arial" w:cs="Arial"/>
              </w:rPr>
            </w:pPr>
          </w:p>
        </w:tc>
        <w:tc>
          <w:tcPr>
            <w:tcW w:w="2005" w:type="pct"/>
            <w:hideMark/>
          </w:tcPr>
          <w:p w14:paraId="36F1DD59" w14:textId="77777777" w:rsidR="002E51D5" w:rsidRPr="002E51D5" w:rsidRDefault="002E51D5" w:rsidP="002E51D5">
            <w:pPr>
              <w:rPr>
                <w:rFonts w:ascii="Arial" w:hAnsi="Arial" w:cs="Arial"/>
              </w:rPr>
            </w:pPr>
            <w:r w:rsidRPr="002E51D5">
              <w:rPr>
                <w:rFonts w:ascii="Arial" w:hAnsi="Arial" w:cs="Arial"/>
              </w:rPr>
              <w:t>Number of Indigenous students at NMS</w:t>
            </w:r>
          </w:p>
        </w:tc>
        <w:tc>
          <w:tcPr>
            <w:tcW w:w="403" w:type="pct"/>
            <w:vAlign w:val="center"/>
            <w:hideMark/>
          </w:tcPr>
          <w:p w14:paraId="77C56696" w14:textId="77777777" w:rsidR="002E51D5" w:rsidRPr="002E51D5" w:rsidRDefault="002E51D5" w:rsidP="00CF467D">
            <w:pPr>
              <w:jc w:val="center"/>
              <w:rPr>
                <w:rFonts w:ascii="Arial" w:hAnsi="Arial" w:cs="Arial"/>
              </w:rPr>
            </w:pPr>
            <w:r w:rsidRPr="002E51D5">
              <w:rPr>
                <w:rFonts w:ascii="Arial" w:hAnsi="Arial" w:cs="Arial"/>
              </w:rPr>
              <w:t>55</w:t>
            </w:r>
          </w:p>
        </w:tc>
        <w:tc>
          <w:tcPr>
            <w:tcW w:w="403" w:type="pct"/>
            <w:vAlign w:val="center"/>
            <w:hideMark/>
          </w:tcPr>
          <w:p w14:paraId="6AFD7EBA" w14:textId="77777777" w:rsidR="002E51D5" w:rsidRPr="002E51D5" w:rsidRDefault="002E51D5" w:rsidP="00CF467D">
            <w:pPr>
              <w:jc w:val="center"/>
              <w:rPr>
                <w:rFonts w:ascii="Arial" w:hAnsi="Arial" w:cs="Arial"/>
              </w:rPr>
            </w:pPr>
            <w:r w:rsidRPr="002E51D5">
              <w:rPr>
                <w:rFonts w:ascii="Arial" w:hAnsi="Arial" w:cs="Arial"/>
              </w:rPr>
              <w:t>42</w:t>
            </w:r>
          </w:p>
        </w:tc>
        <w:tc>
          <w:tcPr>
            <w:tcW w:w="403" w:type="pct"/>
            <w:vAlign w:val="center"/>
            <w:hideMark/>
          </w:tcPr>
          <w:p w14:paraId="19F397B0" w14:textId="77777777" w:rsidR="002E51D5" w:rsidRPr="002E51D5" w:rsidRDefault="002E51D5" w:rsidP="00CF467D">
            <w:pPr>
              <w:jc w:val="center"/>
              <w:rPr>
                <w:rFonts w:ascii="Arial" w:hAnsi="Arial" w:cs="Arial"/>
              </w:rPr>
            </w:pPr>
            <w:r w:rsidRPr="002E51D5">
              <w:rPr>
                <w:rFonts w:ascii="Arial" w:hAnsi="Arial" w:cs="Arial"/>
              </w:rPr>
              <w:t>63</w:t>
            </w:r>
          </w:p>
        </w:tc>
        <w:tc>
          <w:tcPr>
            <w:tcW w:w="403" w:type="pct"/>
            <w:vAlign w:val="center"/>
            <w:hideMark/>
          </w:tcPr>
          <w:p w14:paraId="310F06FE" w14:textId="77777777" w:rsidR="002E51D5" w:rsidRPr="002E51D5" w:rsidRDefault="002E51D5" w:rsidP="00CF467D">
            <w:pPr>
              <w:jc w:val="center"/>
              <w:rPr>
                <w:rFonts w:ascii="Arial" w:hAnsi="Arial" w:cs="Arial"/>
                <w:color w:val="000000"/>
              </w:rPr>
            </w:pPr>
            <w:r w:rsidRPr="002E51D5">
              <w:rPr>
                <w:rFonts w:ascii="Arial" w:hAnsi="Arial" w:cs="Arial"/>
                <w:color w:val="000000"/>
              </w:rPr>
              <w:t>42</w:t>
            </w:r>
          </w:p>
        </w:tc>
        <w:tc>
          <w:tcPr>
            <w:tcW w:w="403" w:type="pct"/>
            <w:vAlign w:val="center"/>
            <w:hideMark/>
          </w:tcPr>
          <w:p w14:paraId="288BFFC3" w14:textId="77777777" w:rsidR="002E51D5" w:rsidRPr="002E51D5" w:rsidRDefault="002E51D5" w:rsidP="00CF467D">
            <w:pPr>
              <w:jc w:val="center"/>
              <w:rPr>
                <w:rFonts w:ascii="Arial" w:hAnsi="Arial" w:cs="Arial"/>
                <w:color w:val="000000"/>
              </w:rPr>
            </w:pPr>
            <w:r w:rsidRPr="002E51D5">
              <w:rPr>
                <w:rFonts w:ascii="Arial" w:hAnsi="Arial" w:cs="Arial"/>
                <w:color w:val="000000"/>
              </w:rPr>
              <w:t>34</w:t>
            </w:r>
          </w:p>
        </w:tc>
        <w:tc>
          <w:tcPr>
            <w:tcW w:w="401" w:type="pct"/>
            <w:vAlign w:val="center"/>
            <w:hideMark/>
          </w:tcPr>
          <w:p w14:paraId="1DDFAC3E" w14:textId="77777777" w:rsidR="002E51D5" w:rsidRPr="002E51D5" w:rsidRDefault="002E51D5" w:rsidP="00CF467D">
            <w:pPr>
              <w:jc w:val="center"/>
              <w:rPr>
                <w:rFonts w:ascii="Arial" w:hAnsi="Arial" w:cs="Arial"/>
                <w:color w:val="000000"/>
              </w:rPr>
            </w:pPr>
            <w:r w:rsidRPr="002E51D5">
              <w:rPr>
                <w:rFonts w:ascii="Arial" w:hAnsi="Arial" w:cs="Arial"/>
                <w:color w:val="000000"/>
              </w:rPr>
              <w:t>55</w:t>
            </w:r>
          </w:p>
        </w:tc>
      </w:tr>
      <w:tr w:rsidR="002E51D5" w:rsidRPr="002E51D5" w14:paraId="35496D56" w14:textId="77777777" w:rsidTr="00A0207E">
        <w:trPr>
          <w:trHeight w:val="425"/>
        </w:trPr>
        <w:tc>
          <w:tcPr>
            <w:tcW w:w="580" w:type="pct"/>
            <w:vMerge/>
            <w:hideMark/>
          </w:tcPr>
          <w:p w14:paraId="1FC58A45" w14:textId="77777777" w:rsidR="002E51D5" w:rsidRPr="002E51D5" w:rsidRDefault="002E51D5" w:rsidP="002E51D5">
            <w:pPr>
              <w:rPr>
                <w:rFonts w:ascii="Arial" w:hAnsi="Arial" w:cs="Arial"/>
              </w:rPr>
            </w:pPr>
          </w:p>
        </w:tc>
        <w:tc>
          <w:tcPr>
            <w:tcW w:w="2005" w:type="pct"/>
            <w:hideMark/>
          </w:tcPr>
          <w:p w14:paraId="78563E72" w14:textId="77777777" w:rsidR="002E51D5" w:rsidRPr="002E51D5" w:rsidRDefault="002E51D5" w:rsidP="002E51D5">
            <w:pPr>
              <w:rPr>
                <w:rFonts w:ascii="Arial" w:hAnsi="Arial" w:cs="Arial"/>
              </w:rPr>
            </w:pPr>
            <w:r w:rsidRPr="002E51D5">
              <w:rPr>
                <w:rFonts w:ascii="Arial" w:hAnsi="Arial" w:cs="Arial"/>
              </w:rPr>
              <w:t>Number of students below NMS</w:t>
            </w:r>
          </w:p>
        </w:tc>
        <w:tc>
          <w:tcPr>
            <w:tcW w:w="403" w:type="pct"/>
            <w:vAlign w:val="center"/>
            <w:hideMark/>
          </w:tcPr>
          <w:p w14:paraId="1FA6A343" w14:textId="77777777" w:rsidR="002E51D5" w:rsidRPr="002E51D5" w:rsidRDefault="002E51D5" w:rsidP="00CF467D">
            <w:pPr>
              <w:jc w:val="center"/>
              <w:rPr>
                <w:rFonts w:ascii="Arial" w:hAnsi="Arial" w:cs="Arial"/>
              </w:rPr>
            </w:pPr>
            <w:r w:rsidRPr="002E51D5">
              <w:rPr>
                <w:rFonts w:ascii="Arial" w:hAnsi="Arial" w:cs="Arial"/>
              </w:rPr>
              <w:t>196</w:t>
            </w:r>
          </w:p>
        </w:tc>
        <w:tc>
          <w:tcPr>
            <w:tcW w:w="403" w:type="pct"/>
            <w:vAlign w:val="center"/>
            <w:hideMark/>
          </w:tcPr>
          <w:p w14:paraId="56D200F4" w14:textId="77777777" w:rsidR="002E51D5" w:rsidRPr="002E51D5" w:rsidRDefault="002E51D5" w:rsidP="00CF467D">
            <w:pPr>
              <w:jc w:val="center"/>
              <w:rPr>
                <w:rFonts w:ascii="Arial" w:hAnsi="Arial" w:cs="Arial"/>
              </w:rPr>
            </w:pPr>
            <w:r w:rsidRPr="002E51D5">
              <w:rPr>
                <w:rFonts w:ascii="Arial" w:hAnsi="Arial" w:cs="Arial"/>
              </w:rPr>
              <w:t>147</w:t>
            </w:r>
          </w:p>
        </w:tc>
        <w:tc>
          <w:tcPr>
            <w:tcW w:w="403" w:type="pct"/>
            <w:vAlign w:val="center"/>
            <w:hideMark/>
          </w:tcPr>
          <w:p w14:paraId="517B72A5" w14:textId="77777777" w:rsidR="002E51D5" w:rsidRPr="002E51D5" w:rsidRDefault="002E51D5" w:rsidP="00CF467D">
            <w:pPr>
              <w:jc w:val="center"/>
              <w:rPr>
                <w:rFonts w:ascii="Arial" w:hAnsi="Arial" w:cs="Arial"/>
              </w:rPr>
            </w:pPr>
            <w:r w:rsidRPr="002E51D5">
              <w:rPr>
                <w:rFonts w:ascii="Arial" w:hAnsi="Arial" w:cs="Arial"/>
              </w:rPr>
              <w:t>203</w:t>
            </w:r>
          </w:p>
        </w:tc>
        <w:tc>
          <w:tcPr>
            <w:tcW w:w="403" w:type="pct"/>
            <w:vAlign w:val="center"/>
            <w:hideMark/>
          </w:tcPr>
          <w:p w14:paraId="07EA1443" w14:textId="77777777" w:rsidR="002E51D5" w:rsidRPr="002E51D5" w:rsidRDefault="002E51D5" w:rsidP="00CF467D">
            <w:pPr>
              <w:jc w:val="center"/>
              <w:rPr>
                <w:rFonts w:ascii="Arial" w:hAnsi="Arial" w:cs="Arial"/>
                <w:color w:val="000000"/>
              </w:rPr>
            </w:pPr>
            <w:r w:rsidRPr="002E51D5">
              <w:rPr>
                <w:rFonts w:ascii="Arial" w:hAnsi="Arial" w:cs="Arial"/>
                <w:color w:val="000000"/>
              </w:rPr>
              <w:t>168</w:t>
            </w:r>
          </w:p>
        </w:tc>
        <w:tc>
          <w:tcPr>
            <w:tcW w:w="403" w:type="pct"/>
            <w:vAlign w:val="center"/>
            <w:hideMark/>
          </w:tcPr>
          <w:p w14:paraId="3A180C88" w14:textId="77777777" w:rsidR="002E51D5" w:rsidRPr="002E51D5" w:rsidRDefault="002E51D5" w:rsidP="00CF467D">
            <w:pPr>
              <w:jc w:val="center"/>
              <w:rPr>
                <w:rFonts w:ascii="Arial" w:hAnsi="Arial" w:cs="Arial"/>
                <w:color w:val="000000"/>
              </w:rPr>
            </w:pPr>
            <w:r w:rsidRPr="002E51D5">
              <w:rPr>
                <w:rFonts w:ascii="Arial" w:hAnsi="Arial" w:cs="Arial"/>
                <w:color w:val="000000"/>
              </w:rPr>
              <w:t>206</w:t>
            </w:r>
          </w:p>
        </w:tc>
        <w:tc>
          <w:tcPr>
            <w:tcW w:w="401" w:type="pct"/>
            <w:vAlign w:val="center"/>
            <w:hideMark/>
          </w:tcPr>
          <w:p w14:paraId="47A58E1B" w14:textId="77777777" w:rsidR="002E51D5" w:rsidRPr="002E51D5" w:rsidRDefault="002E51D5" w:rsidP="00CF467D">
            <w:pPr>
              <w:jc w:val="center"/>
              <w:rPr>
                <w:rFonts w:ascii="Arial" w:hAnsi="Arial" w:cs="Arial"/>
                <w:color w:val="000000"/>
              </w:rPr>
            </w:pPr>
            <w:r w:rsidRPr="002E51D5">
              <w:rPr>
                <w:rFonts w:ascii="Arial" w:hAnsi="Arial" w:cs="Arial"/>
                <w:color w:val="000000"/>
              </w:rPr>
              <w:t>236</w:t>
            </w:r>
          </w:p>
        </w:tc>
      </w:tr>
      <w:tr w:rsidR="002E51D5" w:rsidRPr="002E51D5" w14:paraId="160EB5EE" w14:textId="77777777" w:rsidTr="00A0207E">
        <w:trPr>
          <w:trHeight w:val="425"/>
        </w:trPr>
        <w:tc>
          <w:tcPr>
            <w:tcW w:w="580" w:type="pct"/>
            <w:vMerge/>
            <w:hideMark/>
          </w:tcPr>
          <w:p w14:paraId="5CF459AD" w14:textId="77777777" w:rsidR="002E51D5" w:rsidRPr="002E51D5" w:rsidRDefault="002E51D5" w:rsidP="002E51D5">
            <w:pPr>
              <w:rPr>
                <w:rFonts w:ascii="Arial" w:hAnsi="Arial" w:cs="Arial"/>
              </w:rPr>
            </w:pPr>
          </w:p>
        </w:tc>
        <w:tc>
          <w:tcPr>
            <w:tcW w:w="2005" w:type="pct"/>
            <w:hideMark/>
          </w:tcPr>
          <w:p w14:paraId="25212F18" w14:textId="77777777" w:rsidR="002E51D5" w:rsidRPr="002E51D5" w:rsidRDefault="002E51D5" w:rsidP="002E51D5">
            <w:pPr>
              <w:rPr>
                <w:rFonts w:ascii="Arial" w:hAnsi="Arial" w:cs="Arial"/>
              </w:rPr>
            </w:pPr>
            <w:r w:rsidRPr="002E51D5">
              <w:rPr>
                <w:rFonts w:ascii="Arial" w:hAnsi="Arial" w:cs="Arial"/>
              </w:rPr>
              <w:t>Number of Indigenous students below NMS</w:t>
            </w:r>
          </w:p>
        </w:tc>
        <w:tc>
          <w:tcPr>
            <w:tcW w:w="403" w:type="pct"/>
            <w:vAlign w:val="center"/>
            <w:hideMark/>
          </w:tcPr>
          <w:p w14:paraId="05187F1E" w14:textId="77777777" w:rsidR="002E51D5" w:rsidRPr="002E51D5" w:rsidRDefault="002E51D5" w:rsidP="00CF467D">
            <w:pPr>
              <w:jc w:val="center"/>
              <w:rPr>
                <w:rFonts w:ascii="Arial" w:hAnsi="Arial" w:cs="Arial"/>
              </w:rPr>
            </w:pPr>
            <w:r w:rsidRPr="002E51D5">
              <w:rPr>
                <w:rFonts w:ascii="Arial" w:hAnsi="Arial" w:cs="Arial"/>
              </w:rPr>
              <w:t>31</w:t>
            </w:r>
          </w:p>
        </w:tc>
        <w:tc>
          <w:tcPr>
            <w:tcW w:w="403" w:type="pct"/>
            <w:vAlign w:val="center"/>
            <w:hideMark/>
          </w:tcPr>
          <w:p w14:paraId="17D15BBF" w14:textId="77777777" w:rsidR="002E51D5" w:rsidRPr="002E51D5" w:rsidRDefault="002E51D5" w:rsidP="00CF467D">
            <w:pPr>
              <w:jc w:val="center"/>
              <w:rPr>
                <w:rFonts w:ascii="Arial" w:hAnsi="Arial" w:cs="Arial"/>
              </w:rPr>
            </w:pPr>
            <w:r w:rsidRPr="002E51D5">
              <w:rPr>
                <w:rFonts w:ascii="Arial" w:hAnsi="Arial" w:cs="Arial"/>
              </w:rPr>
              <w:t>18</w:t>
            </w:r>
          </w:p>
        </w:tc>
        <w:tc>
          <w:tcPr>
            <w:tcW w:w="403" w:type="pct"/>
            <w:vAlign w:val="center"/>
            <w:hideMark/>
          </w:tcPr>
          <w:p w14:paraId="55B96A8E" w14:textId="77777777" w:rsidR="002E51D5" w:rsidRPr="002E51D5" w:rsidRDefault="002E51D5" w:rsidP="00CF467D">
            <w:pPr>
              <w:jc w:val="center"/>
              <w:rPr>
                <w:rFonts w:ascii="Arial" w:hAnsi="Arial" w:cs="Arial"/>
              </w:rPr>
            </w:pPr>
            <w:r w:rsidRPr="002E51D5">
              <w:rPr>
                <w:rFonts w:ascii="Arial" w:hAnsi="Arial" w:cs="Arial"/>
              </w:rPr>
              <w:t>21</w:t>
            </w:r>
          </w:p>
        </w:tc>
        <w:tc>
          <w:tcPr>
            <w:tcW w:w="403" w:type="pct"/>
            <w:vAlign w:val="center"/>
            <w:hideMark/>
          </w:tcPr>
          <w:p w14:paraId="45399DF5" w14:textId="77777777" w:rsidR="002E51D5" w:rsidRPr="002E51D5" w:rsidRDefault="002E51D5" w:rsidP="00CF467D">
            <w:pPr>
              <w:jc w:val="center"/>
              <w:rPr>
                <w:rFonts w:ascii="Arial" w:hAnsi="Arial" w:cs="Arial"/>
                <w:color w:val="000000"/>
              </w:rPr>
            </w:pPr>
            <w:r w:rsidRPr="002E51D5">
              <w:rPr>
                <w:rFonts w:ascii="Arial" w:hAnsi="Arial" w:cs="Arial"/>
                <w:color w:val="000000"/>
              </w:rPr>
              <w:t>19</w:t>
            </w:r>
          </w:p>
        </w:tc>
        <w:tc>
          <w:tcPr>
            <w:tcW w:w="403" w:type="pct"/>
            <w:vAlign w:val="center"/>
            <w:hideMark/>
          </w:tcPr>
          <w:p w14:paraId="4E6D87B6" w14:textId="77777777" w:rsidR="002E51D5" w:rsidRPr="002E51D5" w:rsidRDefault="002E51D5" w:rsidP="00CF467D">
            <w:pPr>
              <w:jc w:val="center"/>
              <w:rPr>
                <w:rFonts w:ascii="Arial" w:hAnsi="Arial" w:cs="Arial"/>
                <w:color w:val="000000"/>
              </w:rPr>
            </w:pPr>
            <w:r w:rsidRPr="002E51D5">
              <w:rPr>
                <w:rFonts w:ascii="Arial" w:hAnsi="Arial" w:cs="Arial"/>
                <w:color w:val="000000"/>
              </w:rPr>
              <w:t>33</w:t>
            </w:r>
          </w:p>
        </w:tc>
        <w:tc>
          <w:tcPr>
            <w:tcW w:w="401" w:type="pct"/>
            <w:vAlign w:val="center"/>
            <w:hideMark/>
          </w:tcPr>
          <w:p w14:paraId="5AFC2470" w14:textId="77777777" w:rsidR="002E51D5" w:rsidRPr="002E51D5" w:rsidRDefault="002E51D5" w:rsidP="00CF467D">
            <w:pPr>
              <w:jc w:val="center"/>
              <w:rPr>
                <w:rFonts w:ascii="Arial" w:hAnsi="Arial" w:cs="Arial"/>
                <w:color w:val="000000"/>
              </w:rPr>
            </w:pPr>
            <w:r w:rsidRPr="002E51D5">
              <w:rPr>
                <w:rFonts w:ascii="Arial" w:hAnsi="Arial" w:cs="Arial"/>
                <w:color w:val="000000"/>
              </w:rPr>
              <w:t>44</w:t>
            </w:r>
          </w:p>
        </w:tc>
      </w:tr>
      <w:tr w:rsidR="002E51D5" w:rsidRPr="002E51D5" w14:paraId="637D1028" w14:textId="77777777" w:rsidTr="00A0207E">
        <w:trPr>
          <w:trHeight w:val="425"/>
        </w:trPr>
        <w:tc>
          <w:tcPr>
            <w:tcW w:w="580" w:type="pct"/>
            <w:vMerge/>
            <w:hideMark/>
          </w:tcPr>
          <w:p w14:paraId="4D662BC0" w14:textId="77777777" w:rsidR="002E51D5" w:rsidRPr="002E51D5" w:rsidRDefault="002E51D5" w:rsidP="002E51D5">
            <w:pPr>
              <w:rPr>
                <w:rFonts w:ascii="Arial" w:hAnsi="Arial" w:cs="Arial"/>
              </w:rPr>
            </w:pPr>
          </w:p>
        </w:tc>
        <w:tc>
          <w:tcPr>
            <w:tcW w:w="2005" w:type="pct"/>
            <w:hideMark/>
          </w:tcPr>
          <w:p w14:paraId="63A938BE" w14:textId="77777777" w:rsidR="002E51D5" w:rsidRPr="002E51D5" w:rsidRDefault="002E51D5" w:rsidP="002E51D5">
            <w:pPr>
              <w:rPr>
                <w:rFonts w:ascii="Arial" w:hAnsi="Arial" w:cs="Arial"/>
              </w:rPr>
            </w:pPr>
            <w:r w:rsidRPr="002E51D5">
              <w:rPr>
                <w:rFonts w:ascii="Arial" w:hAnsi="Arial" w:cs="Arial"/>
              </w:rPr>
              <w:t>Number of students with scores</w:t>
            </w:r>
          </w:p>
        </w:tc>
        <w:tc>
          <w:tcPr>
            <w:tcW w:w="403" w:type="pct"/>
            <w:vAlign w:val="center"/>
            <w:hideMark/>
          </w:tcPr>
          <w:p w14:paraId="6DF2C29D" w14:textId="77777777" w:rsidR="002E51D5" w:rsidRPr="002E51D5" w:rsidRDefault="002E51D5" w:rsidP="00CF467D">
            <w:pPr>
              <w:jc w:val="center"/>
              <w:rPr>
                <w:rFonts w:ascii="Arial" w:hAnsi="Arial" w:cs="Arial"/>
              </w:rPr>
            </w:pPr>
            <w:r w:rsidRPr="002E51D5">
              <w:rPr>
                <w:rFonts w:ascii="Arial" w:hAnsi="Arial" w:cs="Arial"/>
              </w:rPr>
              <w:t>2082</w:t>
            </w:r>
          </w:p>
        </w:tc>
        <w:tc>
          <w:tcPr>
            <w:tcW w:w="403" w:type="pct"/>
            <w:vAlign w:val="center"/>
            <w:hideMark/>
          </w:tcPr>
          <w:p w14:paraId="1520E8F7" w14:textId="77777777" w:rsidR="002E51D5" w:rsidRPr="002E51D5" w:rsidRDefault="002E51D5" w:rsidP="00CF467D">
            <w:pPr>
              <w:jc w:val="center"/>
              <w:rPr>
                <w:rFonts w:ascii="Arial" w:hAnsi="Arial" w:cs="Arial"/>
              </w:rPr>
            </w:pPr>
            <w:r w:rsidRPr="002E51D5">
              <w:rPr>
                <w:rFonts w:ascii="Arial" w:hAnsi="Arial" w:cs="Arial"/>
              </w:rPr>
              <w:t>1947</w:t>
            </w:r>
          </w:p>
        </w:tc>
        <w:tc>
          <w:tcPr>
            <w:tcW w:w="403" w:type="pct"/>
            <w:vAlign w:val="center"/>
            <w:hideMark/>
          </w:tcPr>
          <w:p w14:paraId="2A95FCCF" w14:textId="77777777" w:rsidR="002E51D5" w:rsidRPr="002E51D5" w:rsidRDefault="002E51D5" w:rsidP="00CF467D">
            <w:pPr>
              <w:jc w:val="center"/>
              <w:rPr>
                <w:rFonts w:ascii="Arial" w:hAnsi="Arial" w:cs="Arial"/>
              </w:rPr>
            </w:pPr>
            <w:r w:rsidRPr="002E51D5">
              <w:rPr>
                <w:rFonts w:ascii="Arial" w:hAnsi="Arial" w:cs="Arial"/>
              </w:rPr>
              <w:t>2013</w:t>
            </w:r>
          </w:p>
        </w:tc>
        <w:tc>
          <w:tcPr>
            <w:tcW w:w="403" w:type="pct"/>
            <w:vAlign w:val="center"/>
            <w:hideMark/>
          </w:tcPr>
          <w:p w14:paraId="57106A10" w14:textId="77777777" w:rsidR="002E51D5" w:rsidRPr="002E51D5" w:rsidRDefault="002E51D5" w:rsidP="00CF467D">
            <w:pPr>
              <w:jc w:val="center"/>
              <w:rPr>
                <w:rFonts w:ascii="Arial" w:hAnsi="Arial" w:cs="Arial"/>
                <w:color w:val="000000"/>
              </w:rPr>
            </w:pPr>
            <w:r w:rsidRPr="002E51D5">
              <w:rPr>
                <w:rFonts w:ascii="Arial" w:hAnsi="Arial" w:cs="Arial"/>
                <w:color w:val="000000"/>
              </w:rPr>
              <w:t>1869</w:t>
            </w:r>
          </w:p>
        </w:tc>
        <w:tc>
          <w:tcPr>
            <w:tcW w:w="403" w:type="pct"/>
            <w:vAlign w:val="center"/>
            <w:hideMark/>
          </w:tcPr>
          <w:p w14:paraId="2BC1D1FD" w14:textId="77777777" w:rsidR="002E51D5" w:rsidRPr="002E51D5" w:rsidRDefault="002E51D5" w:rsidP="00CF467D">
            <w:pPr>
              <w:jc w:val="center"/>
              <w:rPr>
                <w:rFonts w:ascii="Arial" w:hAnsi="Arial" w:cs="Arial"/>
                <w:color w:val="000000"/>
              </w:rPr>
            </w:pPr>
            <w:r w:rsidRPr="002E51D5">
              <w:rPr>
                <w:rFonts w:ascii="Arial" w:hAnsi="Arial" w:cs="Arial"/>
                <w:color w:val="000000"/>
              </w:rPr>
              <w:t>1791</w:t>
            </w:r>
          </w:p>
        </w:tc>
        <w:tc>
          <w:tcPr>
            <w:tcW w:w="401" w:type="pct"/>
            <w:vAlign w:val="center"/>
            <w:hideMark/>
          </w:tcPr>
          <w:p w14:paraId="45A19926" w14:textId="77777777" w:rsidR="002E51D5" w:rsidRPr="002E51D5" w:rsidRDefault="002E51D5" w:rsidP="00CF467D">
            <w:pPr>
              <w:jc w:val="center"/>
              <w:rPr>
                <w:rFonts w:ascii="Arial" w:hAnsi="Arial" w:cs="Arial"/>
                <w:color w:val="000000"/>
              </w:rPr>
            </w:pPr>
            <w:r w:rsidRPr="002E51D5">
              <w:rPr>
                <w:rFonts w:ascii="Arial" w:hAnsi="Arial" w:cs="Arial"/>
                <w:color w:val="000000"/>
              </w:rPr>
              <w:t>1808</w:t>
            </w:r>
          </w:p>
        </w:tc>
      </w:tr>
      <w:tr w:rsidR="002E51D5" w:rsidRPr="002E51D5" w14:paraId="5C8C84A7" w14:textId="77777777" w:rsidTr="00A0207E">
        <w:trPr>
          <w:trHeight w:val="425"/>
        </w:trPr>
        <w:tc>
          <w:tcPr>
            <w:tcW w:w="580" w:type="pct"/>
            <w:vMerge/>
            <w:hideMark/>
          </w:tcPr>
          <w:p w14:paraId="4FE1C810" w14:textId="77777777" w:rsidR="002E51D5" w:rsidRPr="002E51D5" w:rsidRDefault="002E51D5" w:rsidP="002E51D5">
            <w:pPr>
              <w:rPr>
                <w:rFonts w:ascii="Arial" w:hAnsi="Arial" w:cs="Arial"/>
              </w:rPr>
            </w:pPr>
          </w:p>
        </w:tc>
        <w:tc>
          <w:tcPr>
            <w:tcW w:w="2005" w:type="pct"/>
            <w:hideMark/>
          </w:tcPr>
          <w:p w14:paraId="23C4FF7B" w14:textId="77777777" w:rsidR="002E51D5" w:rsidRPr="002E51D5" w:rsidRDefault="002E51D5" w:rsidP="002E51D5">
            <w:pPr>
              <w:rPr>
                <w:rFonts w:ascii="Arial" w:hAnsi="Arial" w:cs="Arial"/>
              </w:rPr>
            </w:pPr>
            <w:r w:rsidRPr="002E51D5">
              <w:rPr>
                <w:rFonts w:ascii="Arial" w:hAnsi="Arial" w:cs="Arial"/>
              </w:rPr>
              <w:t>Number of Indigenous students with scores</w:t>
            </w:r>
          </w:p>
        </w:tc>
        <w:tc>
          <w:tcPr>
            <w:tcW w:w="403" w:type="pct"/>
            <w:vAlign w:val="center"/>
            <w:hideMark/>
          </w:tcPr>
          <w:p w14:paraId="5789DA37" w14:textId="77777777" w:rsidR="002E51D5" w:rsidRPr="002E51D5" w:rsidRDefault="002E51D5" w:rsidP="00CF467D">
            <w:pPr>
              <w:jc w:val="center"/>
              <w:rPr>
                <w:rFonts w:ascii="Arial" w:hAnsi="Arial" w:cs="Arial"/>
              </w:rPr>
            </w:pPr>
            <w:r w:rsidRPr="002E51D5">
              <w:rPr>
                <w:rFonts w:ascii="Arial" w:hAnsi="Arial" w:cs="Arial"/>
              </w:rPr>
              <w:t>144</w:t>
            </w:r>
          </w:p>
        </w:tc>
        <w:tc>
          <w:tcPr>
            <w:tcW w:w="403" w:type="pct"/>
            <w:vAlign w:val="center"/>
            <w:hideMark/>
          </w:tcPr>
          <w:p w14:paraId="5E854339" w14:textId="77777777" w:rsidR="002E51D5" w:rsidRPr="002E51D5" w:rsidRDefault="002E51D5" w:rsidP="00CF467D">
            <w:pPr>
              <w:jc w:val="center"/>
              <w:rPr>
                <w:rFonts w:ascii="Arial" w:hAnsi="Arial" w:cs="Arial"/>
              </w:rPr>
            </w:pPr>
            <w:r w:rsidRPr="002E51D5">
              <w:rPr>
                <w:rFonts w:ascii="Arial" w:hAnsi="Arial" w:cs="Arial"/>
              </w:rPr>
              <w:t>124</w:t>
            </w:r>
          </w:p>
        </w:tc>
        <w:tc>
          <w:tcPr>
            <w:tcW w:w="403" w:type="pct"/>
            <w:vAlign w:val="center"/>
            <w:hideMark/>
          </w:tcPr>
          <w:p w14:paraId="3970DA58" w14:textId="77777777" w:rsidR="002E51D5" w:rsidRPr="002E51D5" w:rsidRDefault="002E51D5" w:rsidP="00CF467D">
            <w:pPr>
              <w:jc w:val="center"/>
              <w:rPr>
                <w:rFonts w:ascii="Arial" w:hAnsi="Arial" w:cs="Arial"/>
              </w:rPr>
            </w:pPr>
            <w:r w:rsidRPr="002E51D5">
              <w:rPr>
                <w:rFonts w:ascii="Arial" w:hAnsi="Arial" w:cs="Arial"/>
              </w:rPr>
              <w:t>154</w:t>
            </w:r>
          </w:p>
        </w:tc>
        <w:tc>
          <w:tcPr>
            <w:tcW w:w="403" w:type="pct"/>
            <w:vAlign w:val="center"/>
            <w:hideMark/>
          </w:tcPr>
          <w:p w14:paraId="39752661" w14:textId="77777777" w:rsidR="002E51D5" w:rsidRPr="002E51D5" w:rsidRDefault="002E51D5" w:rsidP="00CF467D">
            <w:pPr>
              <w:jc w:val="center"/>
              <w:rPr>
                <w:rFonts w:ascii="Arial" w:hAnsi="Arial" w:cs="Arial"/>
                <w:color w:val="000000"/>
              </w:rPr>
            </w:pPr>
            <w:r w:rsidRPr="002E51D5">
              <w:rPr>
                <w:rFonts w:ascii="Arial" w:hAnsi="Arial" w:cs="Arial"/>
                <w:color w:val="000000"/>
              </w:rPr>
              <w:t>131</w:t>
            </w:r>
          </w:p>
        </w:tc>
        <w:tc>
          <w:tcPr>
            <w:tcW w:w="403" w:type="pct"/>
            <w:vAlign w:val="center"/>
            <w:hideMark/>
          </w:tcPr>
          <w:p w14:paraId="5E4E2ADB" w14:textId="77777777" w:rsidR="002E51D5" w:rsidRPr="002E51D5" w:rsidRDefault="002E51D5" w:rsidP="00CF467D">
            <w:pPr>
              <w:jc w:val="center"/>
              <w:rPr>
                <w:rFonts w:ascii="Arial" w:hAnsi="Arial" w:cs="Arial"/>
                <w:color w:val="000000"/>
              </w:rPr>
            </w:pPr>
            <w:r w:rsidRPr="002E51D5">
              <w:rPr>
                <w:rFonts w:ascii="Arial" w:hAnsi="Arial" w:cs="Arial"/>
                <w:color w:val="000000"/>
              </w:rPr>
              <w:t>154</w:t>
            </w:r>
          </w:p>
        </w:tc>
        <w:tc>
          <w:tcPr>
            <w:tcW w:w="401" w:type="pct"/>
            <w:vAlign w:val="center"/>
            <w:hideMark/>
          </w:tcPr>
          <w:p w14:paraId="77CF08AB" w14:textId="77777777" w:rsidR="002E51D5" w:rsidRPr="002E51D5" w:rsidRDefault="002E51D5" w:rsidP="00CF467D">
            <w:pPr>
              <w:jc w:val="center"/>
              <w:rPr>
                <w:rFonts w:ascii="Arial" w:hAnsi="Arial" w:cs="Arial"/>
                <w:color w:val="000000"/>
              </w:rPr>
            </w:pPr>
            <w:r w:rsidRPr="002E51D5">
              <w:rPr>
                <w:rFonts w:ascii="Arial" w:hAnsi="Arial" w:cs="Arial"/>
                <w:color w:val="000000"/>
              </w:rPr>
              <w:t>178</w:t>
            </w:r>
          </w:p>
        </w:tc>
      </w:tr>
      <w:tr w:rsidR="002E51D5" w:rsidRPr="002E51D5" w14:paraId="0A7A3FFC" w14:textId="77777777" w:rsidTr="00A0207E">
        <w:trPr>
          <w:trHeight w:val="425"/>
        </w:trPr>
        <w:tc>
          <w:tcPr>
            <w:tcW w:w="580" w:type="pct"/>
            <w:vMerge/>
            <w:hideMark/>
          </w:tcPr>
          <w:p w14:paraId="15C9D050" w14:textId="77777777" w:rsidR="002E51D5" w:rsidRPr="002E51D5" w:rsidRDefault="002E51D5" w:rsidP="002E51D5">
            <w:pPr>
              <w:rPr>
                <w:rFonts w:ascii="Arial" w:hAnsi="Arial" w:cs="Arial"/>
              </w:rPr>
            </w:pPr>
          </w:p>
        </w:tc>
        <w:tc>
          <w:tcPr>
            <w:tcW w:w="2005" w:type="pct"/>
            <w:hideMark/>
          </w:tcPr>
          <w:p w14:paraId="7A495823" w14:textId="77777777" w:rsidR="002E51D5" w:rsidRPr="002E51D5" w:rsidRDefault="002E51D5" w:rsidP="002E51D5">
            <w:pPr>
              <w:rPr>
                <w:rFonts w:ascii="Arial" w:hAnsi="Arial" w:cs="Arial"/>
              </w:rPr>
            </w:pPr>
            <w:r w:rsidRPr="002E51D5">
              <w:rPr>
                <w:rFonts w:ascii="Arial" w:hAnsi="Arial" w:cs="Arial"/>
              </w:rPr>
              <w:t>Number of students absent</w:t>
            </w:r>
          </w:p>
        </w:tc>
        <w:tc>
          <w:tcPr>
            <w:tcW w:w="403" w:type="pct"/>
            <w:vAlign w:val="center"/>
            <w:hideMark/>
          </w:tcPr>
          <w:p w14:paraId="6AC73711" w14:textId="77777777" w:rsidR="002E51D5" w:rsidRPr="002E51D5" w:rsidRDefault="002E51D5" w:rsidP="00CF467D">
            <w:pPr>
              <w:jc w:val="center"/>
              <w:rPr>
                <w:rFonts w:ascii="Arial" w:hAnsi="Arial" w:cs="Arial"/>
              </w:rPr>
            </w:pPr>
            <w:r w:rsidRPr="002E51D5">
              <w:rPr>
                <w:rFonts w:ascii="Arial" w:hAnsi="Arial" w:cs="Arial"/>
              </w:rPr>
              <w:t>28</w:t>
            </w:r>
          </w:p>
        </w:tc>
        <w:tc>
          <w:tcPr>
            <w:tcW w:w="403" w:type="pct"/>
            <w:vAlign w:val="center"/>
            <w:hideMark/>
          </w:tcPr>
          <w:p w14:paraId="779866DB" w14:textId="77777777" w:rsidR="002E51D5" w:rsidRPr="002E51D5" w:rsidRDefault="002E51D5" w:rsidP="00CF467D">
            <w:pPr>
              <w:jc w:val="center"/>
              <w:rPr>
                <w:rFonts w:ascii="Arial" w:hAnsi="Arial" w:cs="Arial"/>
              </w:rPr>
            </w:pPr>
            <w:r w:rsidRPr="002E51D5">
              <w:rPr>
                <w:rFonts w:ascii="Arial" w:hAnsi="Arial" w:cs="Arial"/>
              </w:rPr>
              <w:t>68</w:t>
            </w:r>
          </w:p>
        </w:tc>
        <w:tc>
          <w:tcPr>
            <w:tcW w:w="403" w:type="pct"/>
            <w:vAlign w:val="center"/>
            <w:hideMark/>
          </w:tcPr>
          <w:p w14:paraId="2CAEDE1D" w14:textId="77777777" w:rsidR="002E51D5" w:rsidRPr="002E51D5" w:rsidRDefault="002E51D5" w:rsidP="00CF467D">
            <w:pPr>
              <w:jc w:val="center"/>
              <w:rPr>
                <w:rFonts w:ascii="Arial" w:hAnsi="Arial" w:cs="Arial"/>
              </w:rPr>
            </w:pPr>
            <w:r w:rsidRPr="002E51D5">
              <w:rPr>
                <w:rFonts w:ascii="Arial" w:hAnsi="Arial" w:cs="Arial"/>
              </w:rPr>
              <w:t>49</w:t>
            </w:r>
          </w:p>
        </w:tc>
        <w:tc>
          <w:tcPr>
            <w:tcW w:w="403" w:type="pct"/>
            <w:vAlign w:val="center"/>
            <w:hideMark/>
          </w:tcPr>
          <w:p w14:paraId="4B8BD06E" w14:textId="77777777" w:rsidR="002E51D5" w:rsidRPr="002E51D5" w:rsidRDefault="002E51D5" w:rsidP="00CF467D">
            <w:pPr>
              <w:jc w:val="center"/>
              <w:rPr>
                <w:rFonts w:ascii="Arial" w:hAnsi="Arial" w:cs="Arial"/>
                <w:color w:val="000000"/>
              </w:rPr>
            </w:pPr>
            <w:r w:rsidRPr="002E51D5">
              <w:rPr>
                <w:rFonts w:ascii="Arial" w:hAnsi="Arial" w:cs="Arial"/>
                <w:color w:val="000000"/>
              </w:rPr>
              <w:t>45</w:t>
            </w:r>
          </w:p>
        </w:tc>
        <w:tc>
          <w:tcPr>
            <w:tcW w:w="403" w:type="pct"/>
            <w:vAlign w:val="center"/>
            <w:hideMark/>
          </w:tcPr>
          <w:p w14:paraId="4DC7FA41" w14:textId="77777777" w:rsidR="002E51D5" w:rsidRPr="002E51D5" w:rsidRDefault="002E51D5" w:rsidP="00CF467D">
            <w:pPr>
              <w:jc w:val="center"/>
              <w:rPr>
                <w:rFonts w:ascii="Arial" w:hAnsi="Arial" w:cs="Arial"/>
                <w:color w:val="000000"/>
              </w:rPr>
            </w:pPr>
            <w:r w:rsidRPr="002E51D5">
              <w:rPr>
                <w:rFonts w:ascii="Arial" w:hAnsi="Arial" w:cs="Arial"/>
                <w:color w:val="000000"/>
              </w:rPr>
              <w:t>86</w:t>
            </w:r>
          </w:p>
        </w:tc>
        <w:tc>
          <w:tcPr>
            <w:tcW w:w="401" w:type="pct"/>
            <w:vAlign w:val="center"/>
            <w:hideMark/>
          </w:tcPr>
          <w:p w14:paraId="0BD877D8" w14:textId="77777777" w:rsidR="002E51D5" w:rsidRPr="002E51D5" w:rsidRDefault="002E51D5" w:rsidP="00CF467D">
            <w:pPr>
              <w:jc w:val="center"/>
              <w:rPr>
                <w:rFonts w:ascii="Arial" w:hAnsi="Arial" w:cs="Arial"/>
                <w:color w:val="000000"/>
              </w:rPr>
            </w:pPr>
            <w:r w:rsidRPr="002E51D5">
              <w:rPr>
                <w:rFonts w:ascii="Arial" w:hAnsi="Arial" w:cs="Arial"/>
                <w:color w:val="000000"/>
              </w:rPr>
              <w:t>54</w:t>
            </w:r>
          </w:p>
        </w:tc>
      </w:tr>
      <w:tr w:rsidR="002E51D5" w:rsidRPr="002E51D5" w14:paraId="5C48AB93" w14:textId="77777777" w:rsidTr="00A0207E">
        <w:trPr>
          <w:trHeight w:val="425"/>
        </w:trPr>
        <w:tc>
          <w:tcPr>
            <w:tcW w:w="580" w:type="pct"/>
            <w:vMerge/>
            <w:hideMark/>
          </w:tcPr>
          <w:p w14:paraId="0EF567F6" w14:textId="77777777" w:rsidR="002E51D5" w:rsidRPr="002E51D5" w:rsidRDefault="002E51D5" w:rsidP="002E51D5">
            <w:pPr>
              <w:rPr>
                <w:rFonts w:ascii="Arial" w:hAnsi="Arial" w:cs="Arial"/>
              </w:rPr>
            </w:pPr>
          </w:p>
        </w:tc>
        <w:tc>
          <w:tcPr>
            <w:tcW w:w="2005" w:type="pct"/>
            <w:hideMark/>
          </w:tcPr>
          <w:p w14:paraId="77A211CB" w14:textId="77777777" w:rsidR="002E51D5" w:rsidRPr="002E51D5" w:rsidRDefault="002E51D5" w:rsidP="002E51D5">
            <w:pPr>
              <w:rPr>
                <w:rFonts w:ascii="Arial" w:hAnsi="Arial" w:cs="Arial"/>
              </w:rPr>
            </w:pPr>
            <w:r w:rsidRPr="002E51D5">
              <w:rPr>
                <w:rFonts w:ascii="Arial" w:hAnsi="Arial" w:cs="Arial"/>
              </w:rPr>
              <w:t>Number of Indigenous students absent</w:t>
            </w:r>
          </w:p>
        </w:tc>
        <w:tc>
          <w:tcPr>
            <w:tcW w:w="403" w:type="pct"/>
            <w:vAlign w:val="center"/>
            <w:hideMark/>
          </w:tcPr>
          <w:p w14:paraId="1F919940" w14:textId="77777777" w:rsidR="002E51D5" w:rsidRPr="002E51D5" w:rsidRDefault="002E51D5" w:rsidP="00CF467D">
            <w:pPr>
              <w:jc w:val="center"/>
              <w:rPr>
                <w:rFonts w:ascii="Arial" w:hAnsi="Arial" w:cs="Arial"/>
              </w:rPr>
            </w:pPr>
            <w:r w:rsidRPr="002E51D5">
              <w:rPr>
                <w:rFonts w:ascii="Arial" w:hAnsi="Arial" w:cs="Arial"/>
              </w:rPr>
              <w:t>3</w:t>
            </w:r>
          </w:p>
        </w:tc>
        <w:tc>
          <w:tcPr>
            <w:tcW w:w="403" w:type="pct"/>
            <w:vAlign w:val="center"/>
            <w:hideMark/>
          </w:tcPr>
          <w:p w14:paraId="2FB0F382" w14:textId="77777777" w:rsidR="002E51D5" w:rsidRPr="002E51D5" w:rsidRDefault="002E51D5" w:rsidP="00CF467D">
            <w:pPr>
              <w:jc w:val="center"/>
              <w:rPr>
                <w:rFonts w:ascii="Arial" w:hAnsi="Arial" w:cs="Arial"/>
              </w:rPr>
            </w:pPr>
            <w:r w:rsidRPr="002E51D5">
              <w:rPr>
                <w:rFonts w:ascii="Arial" w:hAnsi="Arial" w:cs="Arial"/>
              </w:rPr>
              <w:t>11</w:t>
            </w:r>
          </w:p>
        </w:tc>
        <w:tc>
          <w:tcPr>
            <w:tcW w:w="403" w:type="pct"/>
            <w:vAlign w:val="center"/>
            <w:hideMark/>
          </w:tcPr>
          <w:p w14:paraId="327A921A" w14:textId="77777777" w:rsidR="002E51D5" w:rsidRPr="002E51D5" w:rsidRDefault="002E51D5" w:rsidP="00CF467D">
            <w:pPr>
              <w:jc w:val="center"/>
              <w:rPr>
                <w:rFonts w:ascii="Arial" w:hAnsi="Arial" w:cs="Arial"/>
              </w:rPr>
            </w:pPr>
            <w:r w:rsidRPr="002E51D5">
              <w:rPr>
                <w:rFonts w:ascii="Arial" w:hAnsi="Arial" w:cs="Arial"/>
              </w:rPr>
              <w:t>9</w:t>
            </w:r>
          </w:p>
        </w:tc>
        <w:tc>
          <w:tcPr>
            <w:tcW w:w="403" w:type="pct"/>
            <w:vAlign w:val="center"/>
            <w:hideMark/>
          </w:tcPr>
          <w:p w14:paraId="2343BB0D" w14:textId="77777777" w:rsidR="002E51D5" w:rsidRPr="002E51D5" w:rsidRDefault="002E51D5" w:rsidP="00CF467D">
            <w:pPr>
              <w:jc w:val="center"/>
              <w:rPr>
                <w:rFonts w:ascii="Arial" w:hAnsi="Arial" w:cs="Arial"/>
                <w:color w:val="000000"/>
              </w:rPr>
            </w:pPr>
            <w:r w:rsidRPr="002E51D5">
              <w:rPr>
                <w:rFonts w:ascii="Arial" w:hAnsi="Arial" w:cs="Arial"/>
                <w:color w:val="000000"/>
              </w:rPr>
              <w:t>6</w:t>
            </w:r>
          </w:p>
        </w:tc>
        <w:tc>
          <w:tcPr>
            <w:tcW w:w="403" w:type="pct"/>
            <w:vAlign w:val="center"/>
            <w:hideMark/>
          </w:tcPr>
          <w:p w14:paraId="786B9FC3" w14:textId="77777777" w:rsidR="002E51D5" w:rsidRPr="002E51D5" w:rsidRDefault="002E51D5" w:rsidP="00CF467D">
            <w:pPr>
              <w:jc w:val="center"/>
              <w:rPr>
                <w:rFonts w:ascii="Arial" w:hAnsi="Arial" w:cs="Arial"/>
                <w:color w:val="000000"/>
              </w:rPr>
            </w:pPr>
            <w:r w:rsidRPr="002E51D5">
              <w:rPr>
                <w:rFonts w:ascii="Arial" w:hAnsi="Arial" w:cs="Arial"/>
                <w:color w:val="000000"/>
              </w:rPr>
              <w:t>11</w:t>
            </w:r>
          </w:p>
        </w:tc>
        <w:tc>
          <w:tcPr>
            <w:tcW w:w="401" w:type="pct"/>
            <w:vAlign w:val="center"/>
            <w:hideMark/>
          </w:tcPr>
          <w:p w14:paraId="53DCE4F7" w14:textId="77777777" w:rsidR="002E51D5" w:rsidRPr="002E51D5" w:rsidRDefault="002E51D5" w:rsidP="00CF467D">
            <w:pPr>
              <w:jc w:val="center"/>
              <w:rPr>
                <w:rFonts w:ascii="Arial" w:hAnsi="Arial" w:cs="Arial"/>
                <w:color w:val="000000"/>
              </w:rPr>
            </w:pPr>
            <w:r w:rsidRPr="002E51D5">
              <w:rPr>
                <w:rFonts w:ascii="Arial" w:hAnsi="Arial" w:cs="Arial"/>
                <w:color w:val="000000"/>
              </w:rPr>
              <w:t>7</w:t>
            </w:r>
          </w:p>
        </w:tc>
      </w:tr>
      <w:tr w:rsidR="002E51D5" w:rsidRPr="002E51D5" w14:paraId="7E369315" w14:textId="77777777" w:rsidTr="00A0207E">
        <w:trPr>
          <w:trHeight w:val="425"/>
        </w:trPr>
        <w:tc>
          <w:tcPr>
            <w:tcW w:w="580" w:type="pct"/>
            <w:vMerge/>
            <w:hideMark/>
          </w:tcPr>
          <w:p w14:paraId="6AEB0A0E" w14:textId="77777777" w:rsidR="002E51D5" w:rsidRPr="002E51D5" w:rsidRDefault="002E51D5" w:rsidP="002E51D5">
            <w:pPr>
              <w:rPr>
                <w:rFonts w:ascii="Arial" w:hAnsi="Arial" w:cs="Arial"/>
              </w:rPr>
            </w:pPr>
          </w:p>
        </w:tc>
        <w:tc>
          <w:tcPr>
            <w:tcW w:w="2005" w:type="pct"/>
            <w:hideMark/>
          </w:tcPr>
          <w:p w14:paraId="55EDAB41" w14:textId="77777777" w:rsidR="002E51D5" w:rsidRPr="002E51D5" w:rsidRDefault="002E51D5" w:rsidP="002E51D5">
            <w:pPr>
              <w:rPr>
                <w:rFonts w:ascii="Arial" w:hAnsi="Arial" w:cs="Arial"/>
              </w:rPr>
            </w:pPr>
            <w:r w:rsidRPr="002E51D5">
              <w:rPr>
                <w:rFonts w:ascii="Arial" w:hAnsi="Arial" w:cs="Arial"/>
              </w:rPr>
              <w:t>Number of students withdrawn</w:t>
            </w:r>
          </w:p>
        </w:tc>
        <w:tc>
          <w:tcPr>
            <w:tcW w:w="403" w:type="pct"/>
            <w:vAlign w:val="center"/>
            <w:hideMark/>
          </w:tcPr>
          <w:p w14:paraId="19CFB34F"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501E973E" w14:textId="77777777" w:rsidR="002E51D5" w:rsidRPr="002E51D5" w:rsidRDefault="002E51D5" w:rsidP="00CF467D">
            <w:pPr>
              <w:jc w:val="center"/>
              <w:rPr>
                <w:rFonts w:ascii="Arial" w:hAnsi="Arial" w:cs="Arial"/>
              </w:rPr>
            </w:pPr>
            <w:r w:rsidRPr="002E51D5">
              <w:rPr>
                <w:rFonts w:ascii="Arial" w:hAnsi="Arial" w:cs="Arial"/>
              </w:rPr>
              <w:t>16</w:t>
            </w:r>
          </w:p>
        </w:tc>
        <w:tc>
          <w:tcPr>
            <w:tcW w:w="403" w:type="pct"/>
            <w:vAlign w:val="center"/>
            <w:hideMark/>
          </w:tcPr>
          <w:p w14:paraId="409D128B" w14:textId="77777777" w:rsidR="002E51D5" w:rsidRPr="002E51D5" w:rsidRDefault="002E51D5" w:rsidP="00CF467D">
            <w:pPr>
              <w:jc w:val="center"/>
              <w:rPr>
                <w:rFonts w:ascii="Arial" w:hAnsi="Arial" w:cs="Arial"/>
              </w:rPr>
            </w:pPr>
            <w:r w:rsidRPr="002E51D5">
              <w:rPr>
                <w:rFonts w:ascii="Arial" w:hAnsi="Arial" w:cs="Arial"/>
              </w:rPr>
              <w:t>23</w:t>
            </w:r>
          </w:p>
        </w:tc>
        <w:tc>
          <w:tcPr>
            <w:tcW w:w="403" w:type="pct"/>
            <w:vAlign w:val="center"/>
            <w:hideMark/>
          </w:tcPr>
          <w:p w14:paraId="64DD4359" w14:textId="77777777" w:rsidR="002E51D5" w:rsidRPr="002E51D5" w:rsidRDefault="002E51D5" w:rsidP="00CF467D">
            <w:pPr>
              <w:jc w:val="center"/>
              <w:rPr>
                <w:rFonts w:ascii="Arial" w:hAnsi="Arial" w:cs="Arial"/>
                <w:color w:val="000000"/>
              </w:rPr>
            </w:pPr>
            <w:r w:rsidRPr="002E51D5">
              <w:rPr>
                <w:rFonts w:ascii="Arial" w:hAnsi="Arial" w:cs="Arial"/>
                <w:color w:val="000000"/>
              </w:rPr>
              <w:t>20</w:t>
            </w:r>
          </w:p>
        </w:tc>
        <w:tc>
          <w:tcPr>
            <w:tcW w:w="403" w:type="pct"/>
            <w:vAlign w:val="center"/>
            <w:hideMark/>
          </w:tcPr>
          <w:p w14:paraId="176D99E8" w14:textId="77777777" w:rsidR="002E51D5" w:rsidRPr="002E51D5" w:rsidRDefault="002E51D5" w:rsidP="00CF467D">
            <w:pPr>
              <w:jc w:val="center"/>
              <w:rPr>
                <w:rFonts w:ascii="Arial" w:hAnsi="Arial" w:cs="Arial"/>
                <w:color w:val="000000"/>
              </w:rPr>
            </w:pPr>
            <w:r w:rsidRPr="002E51D5">
              <w:rPr>
                <w:rFonts w:ascii="Arial" w:hAnsi="Arial" w:cs="Arial"/>
                <w:color w:val="000000"/>
              </w:rPr>
              <w:t>18</w:t>
            </w:r>
          </w:p>
        </w:tc>
        <w:tc>
          <w:tcPr>
            <w:tcW w:w="401" w:type="pct"/>
            <w:vAlign w:val="center"/>
            <w:hideMark/>
          </w:tcPr>
          <w:p w14:paraId="62B61453" w14:textId="77777777" w:rsidR="002E51D5" w:rsidRPr="002E51D5" w:rsidRDefault="002E51D5" w:rsidP="00CF467D">
            <w:pPr>
              <w:jc w:val="center"/>
              <w:rPr>
                <w:rFonts w:ascii="Arial" w:hAnsi="Arial" w:cs="Arial"/>
                <w:color w:val="000000"/>
              </w:rPr>
            </w:pPr>
            <w:r w:rsidRPr="002E51D5">
              <w:rPr>
                <w:rFonts w:ascii="Arial" w:hAnsi="Arial" w:cs="Arial"/>
                <w:color w:val="000000"/>
              </w:rPr>
              <w:t>17</w:t>
            </w:r>
          </w:p>
        </w:tc>
      </w:tr>
      <w:tr w:rsidR="002E51D5" w:rsidRPr="002E51D5" w14:paraId="75FC23DF" w14:textId="77777777" w:rsidTr="00A0207E">
        <w:trPr>
          <w:trHeight w:val="425"/>
        </w:trPr>
        <w:tc>
          <w:tcPr>
            <w:tcW w:w="580" w:type="pct"/>
            <w:vMerge/>
            <w:hideMark/>
          </w:tcPr>
          <w:p w14:paraId="0EB59228" w14:textId="77777777" w:rsidR="002E51D5" w:rsidRPr="002E51D5" w:rsidRDefault="002E51D5" w:rsidP="002E51D5">
            <w:pPr>
              <w:rPr>
                <w:rFonts w:ascii="Arial" w:hAnsi="Arial" w:cs="Arial"/>
              </w:rPr>
            </w:pPr>
          </w:p>
        </w:tc>
        <w:tc>
          <w:tcPr>
            <w:tcW w:w="2005" w:type="pct"/>
            <w:hideMark/>
          </w:tcPr>
          <w:p w14:paraId="66B4B004" w14:textId="77777777" w:rsidR="002E51D5" w:rsidRPr="002E51D5" w:rsidRDefault="002E51D5" w:rsidP="002E51D5">
            <w:pPr>
              <w:rPr>
                <w:rFonts w:ascii="Arial" w:hAnsi="Arial" w:cs="Arial"/>
              </w:rPr>
            </w:pPr>
            <w:r w:rsidRPr="002E51D5">
              <w:rPr>
                <w:rFonts w:ascii="Arial" w:hAnsi="Arial" w:cs="Arial"/>
              </w:rPr>
              <w:t>Number of Indigenous students withdrawn</w:t>
            </w:r>
          </w:p>
        </w:tc>
        <w:tc>
          <w:tcPr>
            <w:tcW w:w="403" w:type="pct"/>
            <w:vAlign w:val="center"/>
            <w:hideMark/>
          </w:tcPr>
          <w:p w14:paraId="3CD17F17"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4C0575F0"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088A5733" w14:textId="77777777" w:rsidR="002E51D5" w:rsidRPr="002E51D5" w:rsidRDefault="002E51D5" w:rsidP="00CF467D">
            <w:pPr>
              <w:jc w:val="center"/>
              <w:rPr>
                <w:rFonts w:ascii="Arial" w:hAnsi="Arial" w:cs="Arial"/>
              </w:rPr>
            </w:pPr>
            <w:r w:rsidRPr="002E51D5">
              <w:rPr>
                <w:rFonts w:ascii="Arial" w:hAnsi="Arial" w:cs="Arial"/>
              </w:rPr>
              <w:t>3</w:t>
            </w:r>
          </w:p>
        </w:tc>
        <w:tc>
          <w:tcPr>
            <w:tcW w:w="403" w:type="pct"/>
            <w:vAlign w:val="center"/>
            <w:hideMark/>
          </w:tcPr>
          <w:p w14:paraId="3E3FFF4B" w14:textId="77777777" w:rsidR="002E51D5" w:rsidRPr="002E51D5" w:rsidRDefault="002E51D5" w:rsidP="00CF467D">
            <w:pPr>
              <w:jc w:val="center"/>
              <w:rPr>
                <w:rFonts w:ascii="Arial" w:hAnsi="Arial" w:cs="Arial"/>
                <w:color w:val="000000"/>
              </w:rPr>
            </w:pPr>
            <w:r w:rsidRPr="002E51D5">
              <w:rPr>
                <w:rFonts w:ascii="Arial" w:hAnsi="Arial" w:cs="Arial"/>
                <w:color w:val="000000"/>
              </w:rPr>
              <w:t>1</w:t>
            </w:r>
          </w:p>
        </w:tc>
        <w:tc>
          <w:tcPr>
            <w:tcW w:w="403" w:type="pct"/>
            <w:vAlign w:val="center"/>
            <w:hideMark/>
          </w:tcPr>
          <w:p w14:paraId="3831A9D4" w14:textId="77777777" w:rsidR="002E51D5" w:rsidRPr="002E51D5" w:rsidRDefault="002E51D5" w:rsidP="00CF467D">
            <w:pPr>
              <w:jc w:val="center"/>
              <w:rPr>
                <w:rFonts w:ascii="Arial" w:hAnsi="Arial" w:cs="Arial"/>
                <w:color w:val="000000"/>
              </w:rPr>
            </w:pPr>
            <w:r w:rsidRPr="002E51D5">
              <w:rPr>
                <w:rFonts w:ascii="Arial" w:hAnsi="Arial" w:cs="Arial"/>
                <w:color w:val="000000"/>
              </w:rPr>
              <w:t>1</w:t>
            </w:r>
          </w:p>
        </w:tc>
        <w:tc>
          <w:tcPr>
            <w:tcW w:w="401" w:type="pct"/>
            <w:vAlign w:val="center"/>
            <w:hideMark/>
          </w:tcPr>
          <w:p w14:paraId="644CEBBA" w14:textId="77777777" w:rsidR="002E51D5" w:rsidRPr="002E51D5" w:rsidRDefault="002E51D5" w:rsidP="00CF467D">
            <w:pPr>
              <w:jc w:val="center"/>
              <w:rPr>
                <w:rFonts w:ascii="Arial" w:hAnsi="Arial" w:cs="Arial"/>
                <w:color w:val="000000"/>
              </w:rPr>
            </w:pPr>
            <w:r w:rsidRPr="002E51D5">
              <w:rPr>
                <w:rFonts w:ascii="Arial" w:hAnsi="Arial" w:cs="Arial"/>
                <w:color w:val="000000"/>
              </w:rPr>
              <w:t>2</w:t>
            </w:r>
          </w:p>
        </w:tc>
      </w:tr>
      <w:tr w:rsidR="002E51D5" w:rsidRPr="002E51D5" w14:paraId="6E6A396C" w14:textId="77777777" w:rsidTr="00A0207E">
        <w:trPr>
          <w:trHeight w:val="425"/>
        </w:trPr>
        <w:tc>
          <w:tcPr>
            <w:tcW w:w="580" w:type="pct"/>
            <w:vMerge/>
            <w:hideMark/>
          </w:tcPr>
          <w:p w14:paraId="64F91207" w14:textId="77777777" w:rsidR="002E51D5" w:rsidRPr="002E51D5" w:rsidRDefault="002E51D5" w:rsidP="002E51D5">
            <w:pPr>
              <w:rPr>
                <w:rFonts w:ascii="Arial" w:hAnsi="Arial" w:cs="Arial"/>
              </w:rPr>
            </w:pPr>
          </w:p>
        </w:tc>
        <w:tc>
          <w:tcPr>
            <w:tcW w:w="2005" w:type="pct"/>
            <w:hideMark/>
          </w:tcPr>
          <w:p w14:paraId="423585A9" w14:textId="77777777" w:rsidR="002E51D5" w:rsidRPr="002E51D5" w:rsidRDefault="002E51D5" w:rsidP="002E51D5">
            <w:pPr>
              <w:rPr>
                <w:rFonts w:ascii="Arial" w:hAnsi="Arial" w:cs="Arial"/>
              </w:rPr>
            </w:pPr>
            <w:r w:rsidRPr="002E51D5">
              <w:rPr>
                <w:rFonts w:ascii="Arial" w:hAnsi="Arial" w:cs="Arial"/>
              </w:rPr>
              <w:t>Number of students exempted</w:t>
            </w:r>
          </w:p>
        </w:tc>
        <w:tc>
          <w:tcPr>
            <w:tcW w:w="403" w:type="pct"/>
            <w:vAlign w:val="center"/>
            <w:hideMark/>
          </w:tcPr>
          <w:p w14:paraId="1A558C8C"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5EFD9CC4" w14:textId="77777777" w:rsidR="002E51D5" w:rsidRPr="002E51D5" w:rsidRDefault="002E51D5" w:rsidP="00CF467D">
            <w:pPr>
              <w:jc w:val="center"/>
              <w:rPr>
                <w:rFonts w:ascii="Arial" w:hAnsi="Arial" w:cs="Arial"/>
              </w:rPr>
            </w:pPr>
            <w:r w:rsidRPr="002E51D5">
              <w:rPr>
                <w:rFonts w:ascii="Arial" w:hAnsi="Arial" w:cs="Arial"/>
              </w:rPr>
              <w:t>46</w:t>
            </w:r>
          </w:p>
        </w:tc>
        <w:tc>
          <w:tcPr>
            <w:tcW w:w="403" w:type="pct"/>
            <w:vAlign w:val="center"/>
            <w:hideMark/>
          </w:tcPr>
          <w:p w14:paraId="4273F71A" w14:textId="77777777" w:rsidR="002E51D5" w:rsidRPr="002E51D5" w:rsidRDefault="002E51D5" w:rsidP="00CF467D">
            <w:pPr>
              <w:jc w:val="center"/>
              <w:rPr>
                <w:rFonts w:ascii="Arial" w:hAnsi="Arial" w:cs="Arial"/>
              </w:rPr>
            </w:pPr>
            <w:r w:rsidRPr="002E51D5">
              <w:rPr>
                <w:rFonts w:ascii="Arial" w:hAnsi="Arial" w:cs="Arial"/>
              </w:rPr>
              <w:t>50</w:t>
            </w:r>
          </w:p>
        </w:tc>
        <w:tc>
          <w:tcPr>
            <w:tcW w:w="403" w:type="pct"/>
            <w:vAlign w:val="center"/>
            <w:hideMark/>
          </w:tcPr>
          <w:p w14:paraId="75DB697F" w14:textId="77777777" w:rsidR="002E51D5" w:rsidRPr="002E51D5" w:rsidRDefault="002E51D5" w:rsidP="00CF467D">
            <w:pPr>
              <w:jc w:val="center"/>
              <w:rPr>
                <w:rFonts w:ascii="Arial" w:hAnsi="Arial" w:cs="Arial"/>
                <w:color w:val="000000"/>
              </w:rPr>
            </w:pPr>
            <w:r w:rsidRPr="002E51D5">
              <w:rPr>
                <w:rFonts w:ascii="Arial" w:hAnsi="Arial" w:cs="Arial"/>
                <w:color w:val="000000"/>
              </w:rPr>
              <w:t>33</w:t>
            </w:r>
          </w:p>
        </w:tc>
        <w:tc>
          <w:tcPr>
            <w:tcW w:w="403" w:type="pct"/>
            <w:vAlign w:val="center"/>
            <w:hideMark/>
          </w:tcPr>
          <w:p w14:paraId="7D6B3128" w14:textId="77777777" w:rsidR="002E51D5" w:rsidRPr="002E51D5" w:rsidRDefault="002E51D5" w:rsidP="00CF467D">
            <w:pPr>
              <w:jc w:val="center"/>
              <w:rPr>
                <w:rFonts w:ascii="Arial" w:hAnsi="Arial" w:cs="Arial"/>
                <w:color w:val="000000"/>
              </w:rPr>
            </w:pPr>
            <w:r w:rsidRPr="002E51D5">
              <w:rPr>
                <w:rFonts w:ascii="Arial" w:hAnsi="Arial" w:cs="Arial"/>
                <w:color w:val="000000"/>
              </w:rPr>
              <w:t>30</w:t>
            </w:r>
          </w:p>
        </w:tc>
        <w:tc>
          <w:tcPr>
            <w:tcW w:w="401" w:type="pct"/>
            <w:vAlign w:val="center"/>
            <w:hideMark/>
          </w:tcPr>
          <w:p w14:paraId="1449CDD6" w14:textId="77777777" w:rsidR="002E51D5" w:rsidRPr="002E51D5" w:rsidRDefault="002E51D5" w:rsidP="00CF467D">
            <w:pPr>
              <w:jc w:val="center"/>
              <w:rPr>
                <w:rFonts w:ascii="Arial" w:hAnsi="Arial" w:cs="Arial"/>
                <w:color w:val="000000"/>
              </w:rPr>
            </w:pPr>
            <w:r w:rsidRPr="002E51D5">
              <w:rPr>
                <w:rFonts w:ascii="Arial" w:hAnsi="Arial" w:cs="Arial"/>
                <w:color w:val="000000"/>
              </w:rPr>
              <w:t>59</w:t>
            </w:r>
          </w:p>
        </w:tc>
      </w:tr>
      <w:tr w:rsidR="002E51D5" w:rsidRPr="002E51D5" w14:paraId="1598F199" w14:textId="77777777" w:rsidTr="00A0207E">
        <w:trPr>
          <w:trHeight w:val="425"/>
        </w:trPr>
        <w:tc>
          <w:tcPr>
            <w:tcW w:w="580" w:type="pct"/>
            <w:vMerge/>
            <w:hideMark/>
          </w:tcPr>
          <w:p w14:paraId="7C29C44A" w14:textId="77777777" w:rsidR="002E51D5" w:rsidRPr="002E51D5" w:rsidRDefault="002E51D5" w:rsidP="002E51D5">
            <w:pPr>
              <w:rPr>
                <w:rFonts w:ascii="Arial" w:hAnsi="Arial" w:cs="Arial"/>
              </w:rPr>
            </w:pPr>
          </w:p>
        </w:tc>
        <w:tc>
          <w:tcPr>
            <w:tcW w:w="2005" w:type="pct"/>
            <w:hideMark/>
          </w:tcPr>
          <w:p w14:paraId="695C45FD" w14:textId="77777777" w:rsidR="002E51D5" w:rsidRPr="002E51D5" w:rsidRDefault="002E51D5" w:rsidP="002E51D5">
            <w:pPr>
              <w:rPr>
                <w:rFonts w:ascii="Arial" w:hAnsi="Arial" w:cs="Arial"/>
              </w:rPr>
            </w:pPr>
            <w:r w:rsidRPr="002E51D5">
              <w:rPr>
                <w:rFonts w:ascii="Arial" w:hAnsi="Arial" w:cs="Arial"/>
              </w:rPr>
              <w:t>Number of Indigenous students exempted</w:t>
            </w:r>
          </w:p>
        </w:tc>
        <w:tc>
          <w:tcPr>
            <w:tcW w:w="403" w:type="pct"/>
            <w:vAlign w:val="center"/>
            <w:hideMark/>
          </w:tcPr>
          <w:p w14:paraId="13F5E589" w14:textId="77777777" w:rsidR="002E51D5" w:rsidRPr="002E51D5" w:rsidRDefault="002E51D5" w:rsidP="00CF467D">
            <w:pPr>
              <w:jc w:val="center"/>
              <w:rPr>
                <w:rFonts w:ascii="Arial" w:hAnsi="Arial" w:cs="Arial"/>
              </w:rPr>
            </w:pPr>
            <w:r w:rsidRPr="002E51D5">
              <w:rPr>
                <w:rFonts w:ascii="Arial" w:hAnsi="Arial" w:cs="Arial"/>
              </w:rPr>
              <w:t>0</w:t>
            </w:r>
          </w:p>
        </w:tc>
        <w:tc>
          <w:tcPr>
            <w:tcW w:w="403" w:type="pct"/>
            <w:vAlign w:val="center"/>
            <w:hideMark/>
          </w:tcPr>
          <w:p w14:paraId="5B737E74" w14:textId="77777777" w:rsidR="002E51D5" w:rsidRPr="002E51D5" w:rsidRDefault="002E51D5" w:rsidP="00CF467D">
            <w:pPr>
              <w:jc w:val="center"/>
              <w:rPr>
                <w:rFonts w:ascii="Arial" w:hAnsi="Arial" w:cs="Arial"/>
              </w:rPr>
            </w:pPr>
            <w:r w:rsidRPr="002E51D5">
              <w:rPr>
                <w:rFonts w:ascii="Arial" w:hAnsi="Arial" w:cs="Arial"/>
              </w:rPr>
              <w:t>1</w:t>
            </w:r>
          </w:p>
        </w:tc>
        <w:tc>
          <w:tcPr>
            <w:tcW w:w="403" w:type="pct"/>
            <w:vAlign w:val="center"/>
            <w:hideMark/>
          </w:tcPr>
          <w:p w14:paraId="78C6FF21" w14:textId="77777777" w:rsidR="002E51D5" w:rsidRPr="002E51D5" w:rsidRDefault="002E51D5" w:rsidP="00CF467D">
            <w:pPr>
              <w:jc w:val="center"/>
              <w:rPr>
                <w:rFonts w:ascii="Arial" w:hAnsi="Arial" w:cs="Arial"/>
              </w:rPr>
            </w:pPr>
            <w:r w:rsidRPr="002E51D5">
              <w:rPr>
                <w:rFonts w:ascii="Arial" w:hAnsi="Arial" w:cs="Arial"/>
              </w:rPr>
              <w:t>7</w:t>
            </w:r>
          </w:p>
        </w:tc>
        <w:tc>
          <w:tcPr>
            <w:tcW w:w="403" w:type="pct"/>
            <w:vAlign w:val="center"/>
            <w:hideMark/>
          </w:tcPr>
          <w:p w14:paraId="053690C6" w14:textId="77777777" w:rsidR="002E51D5" w:rsidRPr="002E51D5" w:rsidRDefault="002E51D5" w:rsidP="00CF467D">
            <w:pPr>
              <w:jc w:val="center"/>
              <w:rPr>
                <w:rFonts w:ascii="Arial" w:hAnsi="Arial" w:cs="Arial"/>
                <w:color w:val="000000"/>
              </w:rPr>
            </w:pPr>
            <w:r w:rsidRPr="002E51D5">
              <w:rPr>
                <w:rFonts w:ascii="Arial" w:hAnsi="Arial" w:cs="Arial"/>
                <w:color w:val="000000"/>
              </w:rPr>
              <w:t>5</w:t>
            </w:r>
          </w:p>
        </w:tc>
        <w:tc>
          <w:tcPr>
            <w:tcW w:w="403" w:type="pct"/>
            <w:vAlign w:val="center"/>
            <w:hideMark/>
          </w:tcPr>
          <w:p w14:paraId="195CB21B" w14:textId="77777777" w:rsidR="002E51D5" w:rsidRPr="002E51D5" w:rsidRDefault="002E51D5" w:rsidP="00CF467D">
            <w:pPr>
              <w:jc w:val="center"/>
              <w:rPr>
                <w:rFonts w:ascii="Arial" w:hAnsi="Arial" w:cs="Arial"/>
                <w:color w:val="000000"/>
              </w:rPr>
            </w:pPr>
            <w:r w:rsidRPr="002E51D5">
              <w:rPr>
                <w:rFonts w:ascii="Arial" w:hAnsi="Arial" w:cs="Arial"/>
                <w:color w:val="000000"/>
              </w:rPr>
              <w:t>3</w:t>
            </w:r>
          </w:p>
        </w:tc>
        <w:tc>
          <w:tcPr>
            <w:tcW w:w="401" w:type="pct"/>
            <w:vAlign w:val="center"/>
            <w:hideMark/>
          </w:tcPr>
          <w:p w14:paraId="142975CD" w14:textId="77777777" w:rsidR="002E51D5" w:rsidRPr="002E51D5" w:rsidRDefault="002E51D5" w:rsidP="00CF467D">
            <w:pPr>
              <w:jc w:val="center"/>
              <w:rPr>
                <w:rFonts w:ascii="Arial" w:hAnsi="Arial" w:cs="Arial"/>
                <w:color w:val="000000"/>
              </w:rPr>
            </w:pPr>
            <w:r w:rsidRPr="002E51D5">
              <w:rPr>
                <w:rFonts w:ascii="Arial" w:hAnsi="Arial" w:cs="Arial"/>
                <w:color w:val="000000"/>
              </w:rPr>
              <w:t>7</w:t>
            </w:r>
          </w:p>
        </w:tc>
      </w:tr>
      <w:tr w:rsidR="002E51D5" w:rsidRPr="002E51D5" w14:paraId="380C20EB" w14:textId="77777777" w:rsidTr="00A0207E">
        <w:trPr>
          <w:trHeight w:val="1215"/>
        </w:trPr>
        <w:tc>
          <w:tcPr>
            <w:tcW w:w="580" w:type="pct"/>
            <w:hideMark/>
          </w:tcPr>
          <w:p w14:paraId="27792FEF" w14:textId="77777777" w:rsidR="002E51D5" w:rsidRPr="002E51D5" w:rsidRDefault="002E51D5" w:rsidP="002E51D5">
            <w:pPr>
              <w:rPr>
                <w:rFonts w:ascii="Arial" w:hAnsi="Arial" w:cs="Arial"/>
              </w:rPr>
            </w:pPr>
          </w:p>
        </w:tc>
        <w:tc>
          <w:tcPr>
            <w:tcW w:w="4420" w:type="pct"/>
            <w:gridSpan w:val="7"/>
            <w:hideMark/>
          </w:tcPr>
          <w:p w14:paraId="6F30A3E3" w14:textId="77777777" w:rsidR="002E51D5" w:rsidRPr="002E51D5" w:rsidRDefault="002E51D5" w:rsidP="002E51D5">
            <w:pPr>
              <w:rPr>
                <w:rFonts w:ascii="Arial" w:hAnsi="Arial" w:cs="Arial"/>
                <w:color w:val="000000"/>
              </w:rPr>
            </w:pPr>
            <w:r w:rsidRPr="00A0207E">
              <w:rPr>
                <w:rFonts w:ascii="Arial" w:hAnsi="Arial" w:cs="Arial"/>
                <w:i/>
                <w:iCs/>
                <w:color w:val="000000"/>
              </w:rPr>
              <w:t>Note</w:t>
            </w:r>
            <w:r w:rsidRPr="00A0207E">
              <w:rPr>
                <w:rFonts w:ascii="Arial" w:hAnsi="Arial" w:cs="Arial"/>
                <w:color w:val="000000"/>
              </w:rPr>
              <w:t xml:space="preserve">. Consistent with national reporting, students in the lowest band and students exempt from participating in NAPLAN are counted as below the NMS (national minimum standard).Participation information (absent, withdrawn and exempt) was defined slightly differently in 2008. For consistency across time focus 2009-2013 participation data. </w:t>
            </w:r>
          </w:p>
        </w:tc>
      </w:tr>
    </w:tbl>
    <w:p w14:paraId="6930D211" w14:textId="61A239BB" w:rsidR="002E51D5" w:rsidRPr="00620352" w:rsidRDefault="00620352" w:rsidP="00620352">
      <w:pPr>
        <w:rPr>
          <w:rFonts w:ascii="Corbel" w:eastAsia="Times New Roman" w:hAnsi="Corbel" w:cs="Times New Roman"/>
          <w:b/>
          <w:color w:val="244061" w:themeColor="accent1" w:themeShade="80"/>
          <w:sz w:val="28"/>
          <w:szCs w:val="23"/>
          <w:lang w:eastAsia="en-AU"/>
        </w:rPr>
      </w:pPr>
      <w:r>
        <w:rPr>
          <w:b/>
          <w:color w:val="244061" w:themeColor="accent1" w:themeShade="80"/>
          <w:sz w:val="28"/>
          <w:szCs w:val="23"/>
        </w:rPr>
        <w:br w:type="page"/>
      </w:r>
    </w:p>
    <w:p w14:paraId="2DAADCBA" w14:textId="61F1295A" w:rsidR="00A0207E" w:rsidRPr="00824EA6" w:rsidRDefault="00824EA6" w:rsidP="00120A97">
      <w:pPr>
        <w:pStyle w:val="Heading3"/>
      </w:pPr>
      <w:r w:rsidRPr="00824EA6">
        <w:t>Appendix E</w:t>
      </w:r>
    </w:p>
    <w:p w14:paraId="3E6F0534" w14:textId="540D8751" w:rsidR="00892F35" w:rsidRPr="00824EA6" w:rsidRDefault="00DD4FB7" w:rsidP="00120A97">
      <w:pPr>
        <w:pStyle w:val="Heading3"/>
        <w:rPr>
          <w:u w:val="single"/>
        </w:rPr>
      </w:pPr>
      <w:r w:rsidRPr="003D3E1E">
        <w:t>NSW Teacher Survey</w:t>
      </w:r>
    </w:p>
    <w:p w14:paraId="393E1436" w14:textId="77777777" w:rsidR="00DD4FB7" w:rsidRPr="003D3E1E" w:rsidRDefault="00DD4FB7" w:rsidP="00120A97">
      <w:r w:rsidRPr="003D3E1E">
        <w:t xml:space="preserve">The total number of teachers surveyed across Government, Independent and Catholic schools was 4058. </w:t>
      </w:r>
    </w:p>
    <w:tbl>
      <w:tblPr>
        <w:tblStyle w:val="TableGrid"/>
        <w:tblW w:w="0" w:type="auto"/>
        <w:tblLook w:val="04A0" w:firstRow="1" w:lastRow="0" w:firstColumn="1" w:lastColumn="0" w:noHBand="0" w:noVBand="1"/>
        <w:tblCaption w:val="NSW Teacher Survey"/>
        <w:tblDescription w:val="Number of years in current school"/>
      </w:tblPr>
      <w:tblGrid>
        <w:gridCol w:w="2802"/>
        <w:gridCol w:w="3118"/>
        <w:gridCol w:w="1843"/>
      </w:tblGrid>
      <w:tr w:rsidR="00DD4FB7" w:rsidRPr="003D3E1E" w14:paraId="6A3DFCC2" w14:textId="77777777" w:rsidTr="00273D45">
        <w:trPr>
          <w:trHeight w:val="340"/>
          <w:tblHeader/>
        </w:trPr>
        <w:tc>
          <w:tcPr>
            <w:tcW w:w="2802" w:type="dxa"/>
            <w:vMerge w:val="restart"/>
            <w:tcBorders>
              <w:top w:val="nil"/>
              <w:left w:val="nil"/>
            </w:tcBorders>
            <w:vAlign w:val="center"/>
          </w:tcPr>
          <w:p w14:paraId="3C304726" w14:textId="77777777" w:rsidR="00DD4FB7" w:rsidRPr="003D3E1E" w:rsidRDefault="00DD4FB7" w:rsidP="00F71777">
            <w:pPr>
              <w:pStyle w:val="Normalnumbered"/>
              <w:numPr>
                <w:ilvl w:val="0"/>
                <w:numId w:val="0"/>
              </w:numPr>
              <w:tabs>
                <w:tab w:val="num" w:pos="2160"/>
              </w:tabs>
              <w:jc w:val="center"/>
              <w:rPr>
                <w:rFonts w:ascii="Arial" w:hAnsi="Arial" w:cs="Arial"/>
                <w:b/>
                <w:color w:val="auto"/>
                <w:sz w:val="22"/>
                <w:szCs w:val="22"/>
              </w:rPr>
            </w:pPr>
            <w:r w:rsidRPr="003D3E1E">
              <w:rPr>
                <w:rFonts w:ascii="Arial" w:hAnsi="Arial" w:cs="Arial"/>
                <w:b/>
                <w:color w:val="auto"/>
                <w:sz w:val="22"/>
                <w:szCs w:val="22"/>
              </w:rPr>
              <w:t>Number of years in current school</w:t>
            </w:r>
          </w:p>
        </w:tc>
        <w:tc>
          <w:tcPr>
            <w:tcW w:w="3118" w:type="dxa"/>
            <w:vAlign w:val="center"/>
          </w:tcPr>
          <w:p w14:paraId="232643EA" w14:textId="77777777" w:rsidR="00DD4FB7" w:rsidRPr="003D3E1E" w:rsidRDefault="00DD4FB7" w:rsidP="00D77706">
            <w:pPr>
              <w:pStyle w:val="Normalnumbered"/>
              <w:numPr>
                <w:ilvl w:val="0"/>
                <w:numId w:val="0"/>
              </w:numPr>
              <w:tabs>
                <w:tab w:val="num" w:pos="2160"/>
              </w:tabs>
              <w:rPr>
                <w:rFonts w:ascii="Arial" w:hAnsi="Arial" w:cs="Arial"/>
                <w:color w:val="auto"/>
                <w:sz w:val="22"/>
                <w:szCs w:val="22"/>
              </w:rPr>
            </w:pPr>
            <w:r w:rsidRPr="003D3E1E">
              <w:rPr>
                <w:rFonts w:ascii="Arial" w:hAnsi="Arial" w:cs="Arial"/>
                <w:color w:val="auto"/>
                <w:sz w:val="22"/>
                <w:szCs w:val="22"/>
              </w:rPr>
              <w:t>0 to 5</w:t>
            </w:r>
          </w:p>
        </w:tc>
        <w:tc>
          <w:tcPr>
            <w:tcW w:w="1843" w:type="dxa"/>
            <w:vAlign w:val="center"/>
          </w:tcPr>
          <w:p w14:paraId="0E0829F3" w14:textId="77777777" w:rsidR="00DD4FB7" w:rsidRPr="003D3E1E" w:rsidRDefault="00DD4FB7" w:rsidP="00D77706">
            <w:pPr>
              <w:pStyle w:val="Normalnumbered"/>
              <w:numPr>
                <w:ilvl w:val="0"/>
                <w:numId w:val="0"/>
              </w:numPr>
              <w:tabs>
                <w:tab w:val="num" w:pos="2160"/>
              </w:tabs>
              <w:jc w:val="right"/>
              <w:rPr>
                <w:rFonts w:ascii="Arial" w:hAnsi="Arial" w:cs="Arial"/>
                <w:color w:val="auto"/>
                <w:sz w:val="22"/>
                <w:szCs w:val="22"/>
              </w:rPr>
            </w:pPr>
            <w:r w:rsidRPr="003D3E1E">
              <w:rPr>
                <w:rFonts w:ascii="Arial" w:hAnsi="Arial" w:cs="Arial"/>
                <w:color w:val="auto"/>
                <w:sz w:val="22"/>
                <w:szCs w:val="22"/>
              </w:rPr>
              <w:t>2010</w:t>
            </w:r>
          </w:p>
        </w:tc>
      </w:tr>
      <w:tr w:rsidR="00DD4FB7" w:rsidRPr="003D3E1E" w14:paraId="0E6CE7BF" w14:textId="77777777" w:rsidTr="00D77706">
        <w:trPr>
          <w:trHeight w:val="340"/>
        </w:trPr>
        <w:tc>
          <w:tcPr>
            <w:tcW w:w="2802" w:type="dxa"/>
            <w:vMerge/>
            <w:tcBorders>
              <w:left w:val="nil"/>
            </w:tcBorders>
          </w:tcPr>
          <w:p w14:paraId="67168221" w14:textId="77777777" w:rsidR="00DD4FB7" w:rsidRPr="003D3E1E" w:rsidRDefault="00DD4FB7" w:rsidP="00892F35">
            <w:pPr>
              <w:pStyle w:val="Normalnumbered"/>
              <w:numPr>
                <w:ilvl w:val="0"/>
                <w:numId w:val="0"/>
              </w:numPr>
              <w:tabs>
                <w:tab w:val="num" w:pos="2160"/>
              </w:tabs>
              <w:rPr>
                <w:rFonts w:ascii="Arial" w:hAnsi="Arial" w:cs="Arial"/>
                <w:b/>
                <w:color w:val="auto"/>
                <w:sz w:val="22"/>
                <w:szCs w:val="22"/>
              </w:rPr>
            </w:pPr>
          </w:p>
        </w:tc>
        <w:tc>
          <w:tcPr>
            <w:tcW w:w="3118" w:type="dxa"/>
            <w:vAlign w:val="center"/>
          </w:tcPr>
          <w:p w14:paraId="658B1C27" w14:textId="77777777" w:rsidR="00DD4FB7" w:rsidRPr="003D3E1E" w:rsidRDefault="00DD4FB7" w:rsidP="00D77706">
            <w:pPr>
              <w:pStyle w:val="Normalnumbered"/>
              <w:numPr>
                <w:ilvl w:val="0"/>
                <w:numId w:val="0"/>
              </w:numPr>
              <w:tabs>
                <w:tab w:val="num" w:pos="2160"/>
              </w:tabs>
              <w:rPr>
                <w:rFonts w:ascii="Arial" w:hAnsi="Arial" w:cs="Arial"/>
                <w:color w:val="auto"/>
                <w:sz w:val="22"/>
                <w:szCs w:val="22"/>
              </w:rPr>
            </w:pPr>
            <w:r w:rsidRPr="003D3E1E">
              <w:rPr>
                <w:rFonts w:ascii="Arial" w:hAnsi="Arial" w:cs="Arial"/>
                <w:color w:val="auto"/>
                <w:sz w:val="22"/>
                <w:szCs w:val="22"/>
              </w:rPr>
              <w:t>6 to 10</w:t>
            </w:r>
          </w:p>
        </w:tc>
        <w:tc>
          <w:tcPr>
            <w:tcW w:w="1843" w:type="dxa"/>
            <w:vAlign w:val="center"/>
          </w:tcPr>
          <w:p w14:paraId="24C40126" w14:textId="77777777" w:rsidR="00DD4FB7" w:rsidRPr="003D3E1E" w:rsidRDefault="00DD4FB7" w:rsidP="00D77706">
            <w:pPr>
              <w:pStyle w:val="Normalnumbered"/>
              <w:numPr>
                <w:ilvl w:val="0"/>
                <w:numId w:val="0"/>
              </w:numPr>
              <w:tabs>
                <w:tab w:val="num" w:pos="2160"/>
              </w:tabs>
              <w:jc w:val="right"/>
              <w:rPr>
                <w:rFonts w:ascii="Arial" w:hAnsi="Arial" w:cs="Arial"/>
                <w:color w:val="auto"/>
                <w:sz w:val="22"/>
                <w:szCs w:val="22"/>
              </w:rPr>
            </w:pPr>
            <w:r w:rsidRPr="003D3E1E">
              <w:rPr>
                <w:rFonts w:ascii="Arial" w:hAnsi="Arial" w:cs="Arial"/>
                <w:color w:val="auto"/>
                <w:sz w:val="22"/>
                <w:szCs w:val="22"/>
              </w:rPr>
              <w:t>1020</w:t>
            </w:r>
          </w:p>
        </w:tc>
      </w:tr>
      <w:tr w:rsidR="00DD4FB7" w:rsidRPr="003D3E1E" w14:paraId="486E9EFB" w14:textId="77777777" w:rsidTr="00D77706">
        <w:trPr>
          <w:trHeight w:val="340"/>
        </w:trPr>
        <w:tc>
          <w:tcPr>
            <w:tcW w:w="2802" w:type="dxa"/>
            <w:vMerge/>
            <w:tcBorders>
              <w:left w:val="nil"/>
            </w:tcBorders>
          </w:tcPr>
          <w:p w14:paraId="0303552B" w14:textId="77777777" w:rsidR="00DD4FB7" w:rsidRPr="003D3E1E" w:rsidRDefault="00DD4FB7" w:rsidP="00892F35">
            <w:pPr>
              <w:pStyle w:val="Normalnumbered"/>
              <w:numPr>
                <w:ilvl w:val="0"/>
                <w:numId w:val="0"/>
              </w:numPr>
              <w:tabs>
                <w:tab w:val="num" w:pos="2160"/>
              </w:tabs>
              <w:rPr>
                <w:rFonts w:ascii="Arial" w:hAnsi="Arial" w:cs="Arial"/>
                <w:b/>
                <w:color w:val="auto"/>
                <w:sz w:val="22"/>
                <w:szCs w:val="22"/>
              </w:rPr>
            </w:pPr>
          </w:p>
        </w:tc>
        <w:tc>
          <w:tcPr>
            <w:tcW w:w="3118" w:type="dxa"/>
            <w:vAlign w:val="center"/>
          </w:tcPr>
          <w:p w14:paraId="31E710BD" w14:textId="77777777" w:rsidR="00DD4FB7" w:rsidRPr="003D3E1E" w:rsidRDefault="00DD4FB7" w:rsidP="00D77706">
            <w:pPr>
              <w:pStyle w:val="Normalnumbered"/>
              <w:numPr>
                <w:ilvl w:val="0"/>
                <w:numId w:val="0"/>
              </w:numPr>
              <w:tabs>
                <w:tab w:val="num" w:pos="2160"/>
              </w:tabs>
              <w:rPr>
                <w:rFonts w:ascii="Arial" w:hAnsi="Arial" w:cs="Arial"/>
                <w:color w:val="auto"/>
                <w:sz w:val="22"/>
                <w:szCs w:val="22"/>
              </w:rPr>
            </w:pPr>
            <w:r w:rsidRPr="003D3E1E">
              <w:rPr>
                <w:rFonts w:ascii="Arial" w:hAnsi="Arial" w:cs="Arial"/>
                <w:color w:val="auto"/>
                <w:sz w:val="22"/>
                <w:szCs w:val="22"/>
              </w:rPr>
              <w:t>11 to 15</w:t>
            </w:r>
          </w:p>
        </w:tc>
        <w:tc>
          <w:tcPr>
            <w:tcW w:w="1843" w:type="dxa"/>
            <w:vAlign w:val="center"/>
          </w:tcPr>
          <w:p w14:paraId="0879EC65" w14:textId="77777777" w:rsidR="00DD4FB7" w:rsidRPr="003D3E1E" w:rsidRDefault="00DD4FB7" w:rsidP="00D77706">
            <w:pPr>
              <w:pStyle w:val="Normalnumbered"/>
              <w:numPr>
                <w:ilvl w:val="0"/>
                <w:numId w:val="0"/>
              </w:numPr>
              <w:tabs>
                <w:tab w:val="num" w:pos="2160"/>
              </w:tabs>
              <w:jc w:val="right"/>
              <w:rPr>
                <w:rFonts w:ascii="Arial" w:hAnsi="Arial" w:cs="Arial"/>
                <w:color w:val="auto"/>
                <w:sz w:val="22"/>
                <w:szCs w:val="22"/>
              </w:rPr>
            </w:pPr>
            <w:r w:rsidRPr="003D3E1E">
              <w:rPr>
                <w:rFonts w:ascii="Arial" w:hAnsi="Arial" w:cs="Arial"/>
                <w:color w:val="auto"/>
                <w:sz w:val="22"/>
                <w:szCs w:val="22"/>
              </w:rPr>
              <w:t>473</w:t>
            </w:r>
          </w:p>
        </w:tc>
      </w:tr>
      <w:tr w:rsidR="00DD4FB7" w:rsidRPr="003D3E1E" w14:paraId="0FB8CCE8" w14:textId="77777777" w:rsidTr="00D77706">
        <w:trPr>
          <w:trHeight w:val="340"/>
        </w:trPr>
        <w:tc>
          <w:tcPr>
            <w:tcW w:w="2802" w:type="dxa"/>
            <w:vMerge/>
            <w:tcBorders>
              <w:left w:val="nil"/>
              <w:bottom w:val="nil"/>
            </w:tcBorders>
          </w:tcPr>
          <w:p w14:paraId="56D5D72D" w14:textId="77777777" w:rsidR="00DD4FB7" w:rsidRPr="003D3E1E" w:rsidRDefault="00DD4FB7" w:rsidP="00892F35">
            <w:pPr>
              <w:pStyle w:val="Normalnumbered"/>
              <w:numPr>
                <w:ilvl w:val="0"/>
                <w:numId w:val="0"/>
              </w:numPr>
              <w:tabs>
                <w:tab w:val="num" w:pos="2160"/>
              </w:tabs>
              <w:rPr>
                <w:rFonts w:ascii="Arial" w:hAnsi="Arial" w:cs="Arial"/>
                <w:b/>
                <w:color w:val="auto"/>
                <w:sz w:val="22"/>
                <w:szCs w:val="22"/>
              </w:rPr>
            </w:pPr>
          </w:p>
        </w:tc>
        <w:tc>
          <w:tcPr>
            <w:tcW w:w="3118" w:type="dxa"/>
            <w:vAlign w:val="center"/>
          </w:tcPr>
          <w:p w14:paraId="64ACCAF0" w14:textId="77777777" w:rsidR="00DD4FB7" w:rsidRPr="003D3E1E" w:rsidRDefault="00DD4FB7" w:rsidP="00D77706">
            <w:pPr>
              <w:pStyle w:val="Normalnumbered"/>
              <w:numPr>
                <w:ilvl w:val="0"/>
                <w:numId w:val="0"/>
              </w:numPr>
              <w:tabs>
                <w:tab w:val="num" w:pos="2160"/>
              </w:tabs>
              <w:rPr>
                <w:rFonts w:ascii="Arial" w:hAnsi="Arial" w:cs="Arial"/>
                <w:color w:val="auto"/>
                <w:sz w:val="22"/>
                <w:szCs w:val="22"/>
              </w:rPr>
            </w:pPr>
            <w:r w:rsidRPr="003D3E1E">
              <w:rPr>
                <w:rFonts w:ascii="Arial" w:hAnsi="Arial" w:cs="Arial"/>
                <w:color w:val="auto"/>
                <w:sz w:val="22"/>
                <w:szCs w:val="22"/>
              </w:rPr>
              <w:t>15+</w:t>
            </w:r>
          </w:p>
        </w:tc>
        <w:tc>
          <w:tcPr>
            <w:tcW w:w="1843" w:type="dxa"/>
            <w:vAlign w:val="center"/>
          </w:tcPr>
          <w:p w14:paraId="53F2411D" w14:textId="77777777" w:rsidR="00DD4FB7" w:rsidRPr="003D3E1E" w:rsidRDefault="00DD4FB7" w:rsidP="00D77706">
            <w:pPr>
              <w:pStyle w:val="Normalnumbered"/>
              <w:numPr>
                <w:ilvl w:val="0"/>
                <w:numId w:val="0"/>
              </w:numPr>
              <w:tabs>
                <w:tab w:val="num" w:pos="2160"/>
              </w:tabs>
              <w:jc w:val="right"/>
              <w:rPr>
                <w:rFonts w:ascii="Arial" w:hAnsi="Arial" w:cs="Arial"/>
                <w:color w:val="auto"/>
                <w:sz w:val="22"/>
                <w:szCs w:val="22"/>
              </w:rPr>
            </w:pPr>
            <w:r w:rsidRPr="003D3E1E">
              <w:rPr>
                <w:rFonts w:ascii="Arial" w:hAnsi="Arial" w:cs="Arial"/>
                <w:color w:val="auto"/>
                <w:sz w:val="22"/>
                <w:szCs w:val="22"/>
              </w:rPr>
              <w:t>554</w:t>
            </w:r>
          </w:p>
        </w:tc>
      </w:tr>
    </w:tbl>
    <w:p w14:paraId="3F998BD1" w14:textId="77777777" w:rsidR="00DD4FB7" w:rsidRPr="003D3E1E" w:rsidRDefault="00DD4FB7" w:rsidP="00892F35">
      <w:pPr>
        <w:pStyle w:val="Normalnumbered"/>
        <w:numPr>
          <w:ilvl w:val="0"/>
          <w:numId w:val="0"/>
        </w:numPr>
        <w:tabs>
          <w:tab w:val="num" w:pos="2160"/>
        </w:tabs>
        <w:ind w:left="567" w:hanging="567"/>
        <w:rPr>
          <w:rFonts w:ascii="Arial" w:hAnsi="Arial" w:cs="Arial"/>
          <w:b/>
          <w:color w:val="244061" w:themeColor="accent1" w:themeShade="80"/>
          <w:sz w:val="22"/>
          <w:szCs w:val="22"/>
        </w:rPr>
      </w:pPr>
    </w:p>
    <w:tbl>
      <w:tblPr>
        <w:tblStyle w:val="TableGrid"/>
        <w:tblW w:w="0" w:type="auto"/>
        <w:tblLook w:val="04A0" w:firstRow="1" w:lastRow="0" w:firstColumn="1" w:lastColumn="0" w:noHBand="0" w:noVBand="1"/>
        <w:tblCaption w:val="NSW Teacher Survey"/>
        <w:tblDescription w:val="Number of years teaching"/>
      </w:tblPr>
      <w:tblGrid>
        <w:gridCol w:w="2802"/>
        <w:gridCol w:w="3118"/>
        <w:gridCol w:w="1843"/>
      </w:tblGrid>
      <w:tr w:rsidR="00DD4FB7" w:rsidRPr="003D3E1E" w14:paraId="3E4991AF" w14:textId="77777777" w:rsidTr="00273D45">
        <w:trPr>
          <w:trHeight w:val="340"/>
          <w:tblHeader/>
        </w:trPr>
        <w:tc>
          <w:tcPr>
            <w:tcW w:w="2802" w:type="dxa"/>
            <w:vMerge w:val="restart"/>
            <w:tcBorders>
              <w:top w:val="nil"/>
              <w:left w:val="nil"/>
            </w:tcBorders>
            <w:vAlign w:val="center"/>
          </w:tcPr>
          <w:p w14:paraId="0615F1CA" w14:textId="77777777" w:rsidR="00DD4FB7" w:rsidRPr="003D3E1E" w:rsidRDefault="00DD4FB7" w:rsidP="00F71777">
            <w:pPr>
              <w:pStyle w:val="Normalnumbered"/>
              <w:numPr>
                <w:ilvl w:val="0"/>
                <w:numId w:val="0"/>
              </w:numPr>
              <w:tabs>
                <w:tab w:val="num" w:pos="2160"/>
              </w:tabs>
              <w:jc w:val="center"/>
              <w:rPr>
                <w:rFonts w:ascii="Arial" w:hAnsi="Arial" w:cs="Arial"/>
                <w:b/>
                <w:color w:val="auto"/>
                <w:sz w:val="22"/>
                <w:szCs w:val="22"/>
              </w:rPr>
            </w:pPr>
            <w:r w:rsidRPr="003D3E1E">
              <w:rPr>
                <w:rFonts w:ascii="Arial" w:hAnsi="Arial" w:cs="Arial"/>
                <w:b/>
                <w:color w:val="auto"/>
                <w:sz w:val="22"/>
                <w:szCs w:val="22"/>
              </w:rPr>
              <w:t>Number of years teaching</w:t>
            </w:r>
          </w:p>
        </w:tc>
        <w:tc>
          <w:tcPr>
            <w:tcW w:w="3118" w:type="dxa"/>
          </w:tcPr>
          <w:p w14:paraId="12E978E6" w14:textId="77777777" w:rsidR="00DD4FB7" w:rsidRPr="003D3E1E" w:rsidRDefault="00DD4FB7" w:rsidP="002F0925">
            <w:pPr>
              <w:pStyle w:val="Normalnumbered"/>
              <w:numPr>
                <w:ilvl w:val="0"/>
                <w:numId w:val="0"/>
              </w:numPr>
              <w:tabs>
                <w:tab w:val="num" w:pos="2160"/>
              </w:tabs>
              <w:rPr>
                <w:rFonts w:ascii="Arial" w:hAnsi="Arial" w:cs="Arial"/>
                <w:color w:val="auto"/>
                <w:sz w:val="22"/>
                <w:szCs w:val="22"/>
              </w:rPr>
            </w:pPr>
            <w:r w:rsidRPr="003D3E1E">
              <w:rPr>
                <w:rFonts w:ascii="Arial" w:hAnsi="Arial" w:cs="Arial"/>
                <w:color w:val="auto"/>
                <w:sz w:val="22"/>
                <w:szCs w:val="22"/>
              </w:rPr>
              <w:t>0 to 5</w:t>
            </w:r>
          </w:p>
        </w:tc>
        <w:tc>
          <w:tcPr>
            <w:tcW w:w="1843" w:type="dxa"/>
            <w:vAlign w:val="center"/>
          </w:tcPr>
          <w:p w14:paraId="21CFDC77" w14:textId="77777777" w:rsidR="00DD4FB7" w:rsidRPr="003D3E1E" w:rsidRDefault="00DD4FB7" w:rsidP="00D77706">
            <w:pPr>
              <w:pStyle w:val="Normalnumbered"/>
              <w:numPr>
                <w:ilvl w:val="0"/>
                <w:numId w:val="0"/>
              </w:numPr>
              <w:tabs>
                <w:tab w:val="num" w:pos="2160"/>
              </w:tabs>
              <w:jc w:val="right"/>
              <w:rPr>
                <w:rFonts w:ascii="Arial" w:hAnsi="Arial" w:cs="Arial"/>
                <w:color w:val="auto"/>
                <w:sz w:val="22"/>
                <w:szCs w:val="22"/>
              </w:rPr>
            </w:pPr>
            <w:r w:rsidRPr="003D3E1E">
              <w:rPr>
                <w:rFonts w:ascii="Arial" w:hAnsi="Arial" w:cs="Arial"/>
                <w:color w:val="auto"/>
                <w:sz w:val="22"/>
                <w:szCs w:val="22"/>
              </w:rPr>
              <w:t>982</w:t>
            </w:r>
          </w:p>
        </w:tc>
      </w:tr>
      <w:tr w:rsidR="00DD4FB7" w:rsidRPr="003D3E1E" w14:paraId="55B1DB7A" w14:textId="77777777" w:rsidTr="00273D45">
        <w:trPr>
          <w:trHeight w:val="340"/>
          <w:tblHeader/>
        </w:trPr>
        <w:tc>
          <w:tcPr>
            <w:tcW w:w="2802" w:type="dxa"/>
            <w:vMerge/>
            <w:tcBorders>
              <w:left w:val="nil"/>
            </w:tcBorders>
          </w:tcPr>
          <w:p w14:paraId="2766CB6E" w14:textId="77777777" w:rsidR="00DD4FB7" w:rsidRPr="003D3E1E" w:rsidRDefault="00DD4FB7" w:rsidP="002F0925">
            <w:pPr>
              <w:pStyle w:val="Normalnumbered"/>
              <w:numPr>
                <w:ilvl w:val="0"/>
                <w:numId w:val="0"/>
              </w:numPr>
              <w:tabs>
                <w:tab w:val="num" w:pos="2160"/>
              </w:tabs>
              <w:rPr>
                <w:rFonts w:ascii="Arial" w:hAnsi="Arial" w:cs="Arial"/>
                <w:b/>
                <w:color w:val="auto"/>
                <w:sz w:val="22"/>
                <w:szCs w:val="22"/>
              </w:rPr>
            </w:pPr>
          </w:p>
        </w:tc>
        <w:tc>
          <w:tcPr>
            <w:tcW w:w="3118" w:type="dxa"/>
          </w:tcPr>
          <w:p w14:paraId="2D97012C" w14:textId="77777777" w:rsidR="00DD4FB7" w:rsidRPr="003D3E1E" w:rsidRDefault="00DD4FB7" w:rsidP="002F0925">
            <w:pPr>
              <w:pStyle w:val="Normalnumbered"/>
              <w:numPr>
                <w:ilvl w:val="0"/>
                <w:numId w:val="0"/>
              </w:numPr>
              <w:tabs>
                <w:tab w:val="num" w:pos="2160"/>
              </w:tabs>
              <w:rPr>
                <w:rFonts w:ascii="Arial" w:hAnsi="Arial" w:cs="Arial"/>
                <w:color w:val="auto"/>
                <w:sz w:val="22"/>
                <w:szCs w:val="22"/>
              </w:rPr>
            </w:pPr>
            <w:r w:rsidRPr="003D3E1E">
              <w:rPr>
                <w:rFonts w:ascii="Arial" w:hAnsi="Arial" w:cs="Arial"/>
                <w:color w:val="auto"/>
                <w:sz w:val="22"/>
                <w:szCs w:val="22"/>
              </w:rPr>
              <w:t>6 to 10</w:t>
            </w:r>
          </w:p>
        </w:tc>
        <w:tc>
          <w:tcPr>
            <w:tcW w:w="1843" w:type="dxa"/>
            <w:vAlign w:val="center"/>
          </w:tcPr>
          <w:p w14:paraId="1514B008" w14:textId="77777777" w:rsidR="00DD4FB7" w:rsidRPr="003D3E1E" w:rsidRDefault="00DD4FB7" w:rsidP="00D77706">
            <w:pPr>
              <w:pStyle w:val="Normalnumbered"/>
              <w:numPr>
                <w:ilvl w:val="0"/>
                <w:numId w:val="0"/>
              </w:numPr>
              <w:tabs>
                <w:tab w:val="num" w:pos="2160"/>
              </w:tabs>
              <w:jc w:val="right"/>
              <w:rPr>
                <w:rFonts w:ascii="Arial" w:hAnsi="Arial" w:cs="Arial"/>
                <w:color w:val="auto"/>
                <w:sz w:val="22"/>
                <w:szCs w:val="22"/>
              </w:rPr>
            </w:pPr>
            <w:r w:rsidRPr="003D3E1E">
              <w:rPr>
                <w:rFonts w:ascii="Arial" w:hAnsi="Arial" w:cs="Arial"/>
                <w:color w:val="auto"/>
                <w:sz w:val="22"/>
                <w:szCs w:val="22"/>
              </w:rPr>
              <w:t>762</w:t>
            </w:r>
          </w:p>
        </w:tc>
      </w:tr>
      <w:tr w:rsidR="00DD4FB7" w:rsidRPr="003D3E1E" w14:paraId="13BEF7CD" w14:textId="77777777" w:rsidTr="00273D45">
        <w:trPr>
          <w:trHeight w:val="340"/>
          <w:tblHeader/>
        </w:trPr>
        <w:tc>
          <w:tcPr>
            <w:tcW w:w="2802" w:type="dxa"/>
            <w:vMerge/>
            <w:tcBorders>
              <w:left w:val="nil"/>
            </w:tcBorders>
          </w:tcPr>
          <w:p w14:paraId="233DB67B" w14:textId="77777777" w:rsidR="00DD4FB7" w:rsidRPr="003D3E1E" w:rsidRDefault="00DD4FB7" w:rsidP="002F0925">
            <w:pPr>
              <w:pStyle w:val="Normalnumbered"/>
              <w:numPr>
                <w:ilvl w:val="0"/>
                <w:numId w:val="0"/>
              </w:numPr>
              <w:tabs>
                <w:tab w:val="num" w:pos="2160"/>
              </w:tabs>
              <w:rPr>
                <w:rFonts w:ascii="Arial" w:hAnsi="Arial" w:cs="Arial"/>
                <w:b/>
                <w:color w:val="auto"/>
                <w:sz w:val="22"/>
                <w:szCs w:val="22"/>
              </w:rPr>
            </w:pPr>
          </w:p>
        </w:tc>
        <w:tc>
          <w:tcPr>
            <w:tcW w:w="3118" w:type="dxa"/>
          </w:tcPr>
          <w:p w14:paraId="118E5A63" w14:textId="77777777" w:rsidR="00DD4FB7" w:rsidRPr="003D3E1E" w:rsidRDefault="00DD4FB7" w:rsidP="002F0925">
            <w:pPr>
              <w:pStyle w:val="Normalnumbered"/>
              <w:numPr>
                <w:ilvl w:val="0"/>
                <w:numId w:val="0"/>
              </w:numPr>
              <w:tabs>
                <w:tab w:val="num" w:pos="2160"/>
              </w:tabs>
              <w:rPr>
                <w:rFonts w:ascii="Arial" w:hAnsi="Arial" w:cs="Arial"/>
                <w:color w:val="auto"/>
                <w:sz w:val="22"/>
                <w:szCs w:val="22"/>
              </w:rPr>
            </w:pPr>
            <w:r w:rsidRPr="003D3E1E">
              <w:rPr>
                <w:rFonts w:ascii="Arial" w:hAnsi="Arial" w:cs="Arial"/>
                <w:color w:val="auto"/>
                <w:sz w:val="22"/>
                <w:szCs w:val="22"/>
              </w:rPr>
              <w:t>11 to 15</w:t>
            </w:r>
          </w:p>
        </w:tc>
        <w:tc>
          <w:tcPr>
            <w:tcW w:w="1843" w:type="dxa"/>
            <w:vAlign w:val="center"/>
          </w:tcPr>
          <w:p w14:paraId="1D2E494E" w14:textId="77777777" w:rsidR="00DD4FB7" w:rsidRPr="003D3E1E" w:rsidRDefault="00DD4FB7" w:rsidP="00D77706">
            <w:pPr>
              <w:pStyle w:val="Normalnumbered"/>
              <w:numPr>
                <w:ilvl w:val="0"/>
                <w:numId w:val="0"/>
              </w:numPr>
              <w:tabs>
                <w:tab w:val="num" w:pos="2160"/>
              </w:tabs>
              <w:jc w:val="right"/>
              <w:rPr>
                <w:rFonts w:ascii="Arial" w:hAnsi="Arial" w:cs="Arial"/>
                <w:color w:val="auto"/>
                <w:sz w:val="22"/>
                <w:szCs w:val="22"/>
              </w:rPr>
            </w:pPr>
            <w:r w:rsidRPr="003D3E1E">
              <w:rPr>
                <w:rFonts w:ascii="Arial" w:hAnsi="Arial" w:cs="Arial"/>
                <w:color w:val="auto"/>
                <w:sz w:val="22"/>
                <w:szCs w:val="22"/>
              </w:rPr>
              <w:t>556</w:t>
            </w:r>
          </w:p>
        </w:tc>
      </w:tr>
      <w:tr w:rsidR="00DD4FB7" w:rsidRPr="003D3E1E" w14:paraId="3E84524F" w14:textId="77777777" w:rsidTr="00273D45">
        <w:trPr>
          <w:trHeight w:val="340"/>
          <w:tblHeader/>
        </w:trPr>
        <w:tc>
          <w:tcPr>
            <w:tcW w:w="2802" w:type="dxa"/>
            <w:vMerge/>
            <w:tcBorders>
              <w:left w:val="nil"/>
              <w:bottom w:val="nil"/>
            </w:tcBorders>
          </w:tcPr>
          <w:p w14:paraId="20352B5F" w14:textId="77777777" w:rsidR="00DD4FB7" w:rsidRPr="003D3E1E" w:rsidRDefault="00DD4FB7" w:rsidP="002F0925">
            <w:pPr>
              <w:pStyle w:val="Normalnumbered"/>
              <w:numPr>
                <w:ilvl w:val="0"/>
                <w:numId w:val="0"/>
              </w:numPr>
              <w:tabs>
                <w:tab w:val="num" w:pos="2160"/>
              </w:tabs>
              <w:rPr>
                <w:rFonts w:ascii="Arial" w:hAnsi="Arial" w:cs="Arial"/>
                <w:b/>
                <w:color w:val="auto"/>
                <w:sz w:val="22"/>
                <w:szCs w:val="22"/>
              </w:rPr>
            </w:pPr>
          </w:p>
        </w:tc>
        <w:tc>
          <w:tcPr>
            <w:tcW w:w="3118" w:type="dxa"/>
          </w:tcPr>
          <w:p w14:paraId="32CDA252" w14:textId="77777777" w:rsidR="00DD4FB7" w:rsidRPr="003D3E1E" w:rsidRDefault="00DD4FB7" w:rsidP="002F0925">
            <w:pPr>
              <w:pStyle w:val="Normalnumbered"/>
              <w:numPr>
                <w:ilvl w:val="0"/>
                <w:numId w:val="0"/>
              </w:numPr>
              <w:tabs>
                <w:tab w:val="num" w:pos="2160"/>
              </w:tabs>
              <w:rPr>
                <w:rFonts w:ascii="Arial" w:hAnsi="Arial" w:cs="Arial"/>
                <w:color w:val="auto"/>
                <w:sz w:val="22"/>
                <w:szCs w:val="22"/>
              </w:rPr>
            </w:pPr>
            <w:r w:rsidRPr="003D3E1E">
              <w:rPr>
                <w:rFonts w:ascii="Arial" w:hAnsi="Arial" w:cs="Arial"/>
                <w:color w:val="auto"/>
                <w:sz w:val="22"/>
                <w:szCs w:val="22"/>
              </w:rPr>
              <w:t>15+</w:t>
            </w:r>
          </w:p>
        </w:tc>
        <w:tc>
          <w:tcPr>
            <w:tcW w:w="1843" w:type="dxa"/>
            <w:vAlign w:val="center"/>
          </w:tcPr>
          <w:p w14:paraId="15D8F038" w14:textId="77777777" w:rsidR="00DD4FB7" w:rsidRPr="003D3E1E" w:rsidRDefault="00DD4FB7" w:rsidP="00D77706">
            <w:pPr>
              <w:pStyle w:val="Normalnumbered"/>
              <w:numPr>
                <w:ilvl w:val="0"/>
                <w:numId w:val="0"/>
              </w:numPr>
              <w:tabs>
                <w:tab w:val="num" w:pos="2160"/>
              </w:tabs>
              <w:jc w:val="right"/>
              <w:rPr>
                <w:rFonts w:ascii="Arial" w:hAnsi="Arial" w:cs="Arial"/>
                <w:color w:val="auto"/>
                <w:sz w:val="22"/>
                <w:szCs w:val="22"/>
              </w:rPr>
            </w:pPr>
            <w:r w:rsidRPr="003D3E1E">
              <w:rPr>
                <w:rFonts w:ascii="Arial" w:hAnsi="Arial" w:cs="Arial"/>
                <w:color w:val="auto"/>
                <w:sz w:val="22"/>
                <w:szCs w:val="22"/>
              </w:rPr>
              <w:t>1758</w:t>
            </w:r>
          </w:p>
        </w:tc>
      </w:tr>
    </w:tbl>
    <w:p w14:paraId="755682DA" w14:textId="77777777" w:rsidR="00892F35" w:rsidRPr="003D3E1E" w:rsidRDefault="00892F35" w:rsidP="00F71777">
      <w:pPr>
        <w:pStyle w:val="Normalnumbered"/>
        <w:numPr>
          <w:ilvl w:val="0"/>
          <w:numId w:val="0"/>
        </w:numPr>
        <w:tabs>
          <w:tab w:val="num" w:pos="2160"/>
        </w:tabs>
        <w:rPr>
          <w:rFonts w:ascii="Arial" w:hAnsi="Arial" w:cs="Arial"/>
          <w:b/>
          <w:sz w:val="22"/>
          <w:szCs w:val="22"/>
        </w:rPr>
      </w:pPr>
    </w:p>
    <w:tbl>
      <w:tblPr>
        <w:tblStyle w:val="TableGrid"/>
        <w:tblW w:w="0" w:type="auto"/>
        <w:tblLook w:val="04A0" w:firstRow="1" w:lastRow="0" w:firstColumn="1" w:lastColumn="0" w:noHBand="0" w:noVBand="1"/>
        <w:tblCaption w:val="NSW Teacher Survey"/>
        <w:tblDescription w:val="Year taught"/>
      </w:tblPr>
      <w:tblGrid>
        <w:gridCol w:w="2802"/>
        <w:gridCol w:w="3118"/>
        <w:gridCol w:w="1843"/>
      </w:tblGrid>
      <w:tr w:rsidR="00DD4FB7" w:rsidRPr="003D3E1E" w14:paraId="3BD81195" w14:textId="77777777" w:rsidTr="00273D45">
        <w:trPr>
          <w:trHeight w:val="340"/>
          <w:tblHeader/>
        </w:trPr>
        <w:tc>
          <w:tcPr>
            <w:tcW w:w="2802" w:type="dxa"/>
            <w:vMerge w:val="restart"/>
            <w:tcBorders>
              <w:top w:val="nil"/>
              <w:left w:val="nil"/>
            </w:tcBorders>
            <w:vAlign w:val="center"/>
          </w:tcPr>
          <w:p w14:paraId="3EB08F2A" w14:textId="77777777" w:rsidR="00DD4FB7" w:rsidRPr="003D3E1E" w:rsidRDefault="00DD4FB7" w:rsidP="00F71777">
            <w:pPr>
              <w:pStyle w:val="Normalnumbered"/>
              <w:numPr>
                <w:ilvl w:val="0"/>
                <w:numId w:val="0"/>
              </w:numPr>
              <w:tabs>
                <w:tab w:val="num" w:pos="2160"/>
              </w:tabs>
              <w:jc w:val="center"/>
              <w:rPr>
                <w:rFonts w:ascii="Arial" w:hAnsi="Arial" w:cs="Arial"/>
                <w:b/>
                <w:sz w:val="22"/>
                <w:szCs w:val="22"/>
              </w:rPr>
            </w:pPr>
            <w:r w:rsidRPr="003D3E1E">
              <w:rPr>
                <w:rFonts w:ascii="Arial" w:hAnsi="Arial" w:cs="Arial"/>
                <w:b/>
                <w:sz w:val="22"/>
                <w:szCs w:val="22"/>
              </w:rPr>
              <w:t>Year taught</w:t>
            </w:r>
          </w:p>
        </w:tc>
        <w:tc>
          <w:tcPr>
            <w:tcW w:w="3118" w:type="dxa"/>
          </w:tcPr>
          <w:p w14:paraId="167116AD" w14:textId="77777777" w:rsidR="00DD4FB7" w:rsidRPr="003D3E1E" w:rsidRDefault="00DD4FB7" w:rsidP="00892F35">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K</w:t>
            </w:r>
          </w:p>
        </w:tc>
        <w:tc>
          <w:tcPr>
            <w:tcW w:w="1843" w:type="dxa"/>
            <w:vAlign w:val="center"/>
          </w:tcPr>
          <w:p w14:paraId="0B7FAB37"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339</w:t>
            </w:r>
          </w:p>
        </w:tc>
      </w:tr>
      <w:tr w:rsidR="00DD4FB7" w:rsidRPr="003D3E1E" w14:paraId="0EE56FC1" w14:textId="77777777" w:rsidTr="00273D45">
        <w:trPr>
          <w:trHeight w:val="340"/>
          <w:tblHeader/>
        </w:trPr>
        <w:tc>
          <w:tcPr>
            <w:tcW w:w="2802" w:type="dxa"/>
            <w:vMerge/>
            <w:tcBorders>
              <w:left w:val="nil"/>
            </w:tcBorders>
          </w:tcPr>
          <w:p w14:paraId="6B27483C" w14:textId="77777777" w:rsidR="00DD4FB7" w:rsidRPr="003D3E1E" w:rsidRDefault="00DD4FB7" w:rsidP="00892F35">
            <w:pPr>
              <w:pStyle w:val="Normalnumbered"/>
              <w:numPr>
                <w:ilvl w:val="0"/>
                <w:numId w:val="0"/>
              </w:numPr>
              <w:tabs>
                <w:tab w:val="num" w:pos="2160"/>
              </w:tabs>
              <w:rPr>
                <w:rFonts w:ascii="Arial" w:hAnsi="Arial" w:cs="Arial"/>
                <w:b/>
                <w:sz w:val="22"/>
                <w:szCs w:val="22"/>
              </w:rPr>
            </w:pPr>
          </w:p>
        </w:tc>
        <w:tc>
          <w:tcPr>
            <w:tcW w:w="3118" w:type="dxa"/>
          </w:tcPr>
          <w:p w14:paraId="5D0B0E18" w14:textId="77777777" w:rsidR="00DD4FB7" w:rsidRPr="003D3E1E" w:rsidRDefault="00DD4FB7" w:rsidP="00892F35">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1</w:t>
            </w:r>
          </w:p>
        </w:tc>
        <w:tc>
          <w:tcPr>
            <w:tcW w:w="1843" w:type="dxa"/>
            <w:vAlign w:val="center"/>
          </w:tcPr>
          <w:p w14:paraId="0C28A8EE"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373</w:t>
            </w:r>
          </w:p>
        </w:tc>
      </w:tr>
      <w:tr w:rsidR="00DD4FB7" w:rsidRPr="003D3E1E" w14:paraId="2FEE4CFA" w14:textId="77777777" w:rsidTr="00273D45">
        <w:trPr>
          <w:trHeight w:val="340"/>
          <w:tblHeader/>
        </w:trPr>
        <w:tc>
          <w:tcPr>
            <w:tcW w:w="2802" w:type="dxa"/>
            <w:vMerge/>
            <w:tcBorders>
              <w:left w:val="nil"/>
            </w:tcBorders>
          </w:tcPr>
          <w:p w14:paraId="12FD08EC" w14:textId="77777777" w:rsidR="00DD4FB7" w:rsidRPr="003D3E1E" w:rsidRDefault="00DD4FB7" w:rsidP="00892F35">
            <w:pPr>
              <w:pStyle w:val="Normalnumbered"/>
              <w:numPr>
                <w:ilvl w:val="0"/>
                <w:numId w:val="0"/>
              </w:numPr>
              <w:tabs>
                <w:tab w:val="num" w:pos="2160"/>
              </w:tabs>
              <w:rPr>
                <w:rFonts w:ascii="Arial" w:hAnsi="Arial" w:cs="Arial"/>
                <w:b/>
                <w:sz w:val="22"/>
                <w:szCs w:val="22"/>
              </w:rPr>
            </w:pPr>
          </w:p>
        </w:tc>
        <w:tc>
          <w:tcPr>
            <w:tcW w:w="3118" w:type="dxa"/>
          </w:tcPr>
          <w:p w14:paraId="104BF5FE" w14:textId="77777777" w:rsidR="00DD4FB7" w:rsidRPr="003D3E1E" w:rsidRDefault="00DD4FB7" w:rsidP="00892F35">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2</w:t>
            </w:r>
          </w:p>
        </w:tc>
        <w:tc>
          <w:tcPr>
            <w:tcW w:w="1843" w:type="dxa"/>
            <w:vAlign w:val="center"/>
          </w:tcPr>
          <w:p w14:paraId="4D28C3D9"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378</w:t>
            </w:r>
          </w:p>
        </w:tc>
      </w:tr>
      <w:tr w:rsidR="00DD4FB7" w:rsidRPr="003D3E1E" w14:paraId="524BF7E0" w14:textId="77777777" w:rsidTr="00273D45">
        <w:trPr>
          <w:trHeight w:val="340"/>
          <w:tblHeader/>
        </w:trPr>
        <w:tc>
          <w:tcPr>
            <w:tcW w:w="2802" w:type="dxa"/>
            <w:vMerge/>
            <w:tcBorders>
              <w:left w:val="nil"/>
            </w:tcBorders>
          </w:tcPr>
          <w:p w14:paraId="640BD0EF" w14:textId="77777777" w:rsidR="00DD4FB7" w:rsidRPr="003D3E1E" w:rsidRDefault="00DD4FB7" w:rsidP="00892F35">
            <w:pPr>
              <w:pStyle w:val="Normalnumbered"/>
              <w:numPr>
                <w:ilvl w:val="0"/>
                <w:numId w:val="0"/>
              </w:numPr>
              <w:tabs>
                <w:tab w:val="num" w:pos="2160"/>
              </w:tabs>
              <w:rPr>
                <w:rFonts w:ascii="Arial" w:hAnsi="Arial" w:cs="Arial"/>
                <w:b/>
                <w:sz w:val="22"/>
                <w:szCs w:val="22"/>
              </w:rPr>
            </w:pPr>
          </w:p>
        </w:tc>
        <w:tc>
          <w:tcPr>
            <w:tcW w:w="3118" w:type="dxa"/>
          </w:tcPr>
          <w:p w14:paraId="345B50EB" w14:textId="77777777" w:rsidR="00DD4FB7" w:rsidRPr="003D3E1E" w:rsidRDefault="00DD4FB7" w:rsidP="00892F35">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3</w:t>
            </w:r>
          </w:p>
        </w:tc>
        <w:tc>
          <w:tcPr>
            <w:tcW w:w="1843" w:type="dxa"/>
            <w:vAlign w:val="center"/>
          </w:tcPr>
          <w:p w14:paraId="2E3C1705"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416</w:t>
            </w:r>
          </w:p>
        </w:tc>
      </w:tr>
      <w:tr w:rsidR="00DD4FB7" w:rsidRPr="003D3E1E" w14:paraId="25CAD0B9" w14:textId="77777777" w:rsidTr="00273D45">
        <w:trPr>
          <w:trHeight w:val="340"/>
          <w:tblHeader/>
        </w:trPr>
        <w:tc>
          <w:tcPr>
            <w:tcW w:w="2802" w:type="dxa"/>
            <w:vMerge/>
            <w:tcBorders>
              <w:left w:val="nil"/>
            </w:tcBorders>
          </w:tcPr>
          <w:p w14:paraId="47713D24" w14:textId="77777777" w:rsidR="00DD4FB7" w:rsidRPr="003D3E1E" w:rsidRDefault="00DD4FB7" w:rsidP="00892F35">
            <w:pPr>
              <w:pStyle w:val="Normalnumbered"/>
              <w:numPr>
                <w:ilvl w:val="0"/>
                <w:numId w:val="0"/>
              </w:numPr>
              <w:tabs>
                <w:tab w:val="num" w:pos="2160"/>
              </w:tabs>
              <w:rPr>
                <w:rFonts w:ascii="Arial" w:hAnsi="Arial" w:cs="Arial"/>
                <w:b/>
                <w:sz w:val="22"/>
                <w:szCs w:val="22"/>
              </w:rPr>
            </w:pPr>
          </w:p>
        </w:tc>
        <w:tc>
          <w:tcPr>
            <w:tcW w:w="3118" w:type="dxa"/>
          </w:tcPr>
          <w:p w14:paraId="5E437614" w14:textId="77777777" w:rsidR="00DD4FB7" w:rsidRPr="003D3E1E" w:rsidRDefault="00DD4FB7" w:rsidP="00892F35">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4</w:t>
            </w:r>
          </w:p>
        </w:tc>
        <w:tc>
          <w:tcPr>
            <w:tcW w:w="1843" w:type="dxa"/>
            <w:vAlign w:val="center"/>
          </w:tcPr>
          <w:p w14:paraId="5D15BB99"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419</w:t>
            </w:r>
          </w:p>
        </w:tc>
      </w:tr>
      <w:tr w:rsidR="00DD4FB7" w:rsidRPr="003D3E1E" w14:paraId="443FFB63" w14:textId="77777777" w:rsidTr="00273D45">
        <w:trPr>
          <w:trHeight w:val="340"/>
          <w:tblHeader/>
        </w:trPr>
        <w:tc>
          <w:tcPr>
            <w:tcW w:w="2802" w:type="dxa"/>
            <w:vMerge/>
            <w:tcBorders>
              <w:left w:val="nil"/>
            </w:tcBorders>
          </w:tcPr>
          <w:p w14:paraId="70B61183" w14:textId="77777777" w:rsidR="00DD4FB7" w:rsidRPr="003D3E1E" w:rsidRDefault="00DD4FB7" w:rsidP="00892F35">
            <w:pPr>
              <w:pStyle w:val="Normalnumbered"/>
              <w:numPr>
                <w:ilvl w:val="0"/>
                <w:numId w:val="0"/>
              </w:numPr>
              <w:tabs>
                <w:tab w:val="num" w:pos="2160"/>
              </w:tabs>
              <w:rPr>
                <w:rFonts w:ascii="Arial" w:hAnsi="Arial" w:cs="Arial"/>
                <w:b/>
                <w:sz w:val="22"/>
                <w:szCs w:val="22"/>
              </w:rPr>
            </w:pPr>
          </w:p>
        </w:tc>
        <w:tc>
          <w:tcPr>
            <w:tcW w:w="3118" w:type="dxa"/>
          </w:tcPr>
          <w:p w14:paraId="13CAB34C" w14:textId="77777777" w:rsidR="00DD4FB7" w:rsidRPr="003D3E1E" w:rsidRDefault="00DD4FB7" w:rsidP="00892F35">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5</w:t>
            </w:r>
          </w:p>
        </w:tc>
        <w:tc>
          <w:tcPr>
            <w:tcW w:w="1843" w:type="dxa"/>
            <w:vAlign w:val="center"/>
          </w:tcPr>
          <w:p w14:paraId="624D22E1"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409</w:t>
            </w:r>
          </w:p>
        </w:tc>
      </w:tr>
      <w:tr w:rsidR="00DD4FB7" w:rsidRPr="003D3E1E" w14:paraId="235DB163" w14:textId="77777777" w:rsidTr="00273D45">
        <w:trPr>
          <w:trHeight w:val="340"/>
          <w:tblHeader/>
        </w:trPr>
        <w:tc>
          <w:tcPr>
            <w:tcW w:w="2802" w:type="dxa"/>
            <w:vMerge/>
            <w:tcBorders>
              <w:left w:val="nil"/>
            </w:tcBorders>
          </w:tcPr>
          <w:p w14:paraId="659BE326" w14:textId="77777777" w:rsidR="00DD4FB7" w:rsidRPr="003D3E1E" w:rsidRDefault="00DD4FB7" w:rsidP="00892F35">
            <w:pPr>
              <w:pStyle w:val="Normalnumbered"/>
              <w:numPr>
                <w:ilvl w:val="0"/>
                <w:numId w:val="0"/>
              </w:numPr>
              <w:tabs>
                <w:tab w:val="num" w:pos="2160"/>
              </w:tabs>
              <w:rPr>
                <w:rFonts w:ascii="Arial" w:hAnsi="Arial" w:cs="Arial"/>
                <w:b/>
                <w:sz w:val="22"/>
                <w:szCs w:val="22"/>
              </w:rPr>
            </w:pPr>
          </w:p>
        </w:tc>
        <w:tc>
          <w:tcPr>
            <w:tcW w:w="3118" w:type="dxa"/>
          </w:tcPr>
          <w:p w14:paraId="28660F02" w14:textId="77777777" w:rsidR="00DD4FB7" w:rsidRPr="003D3E1E" w:rsidRDefault="00DD4FB7" w:rsidP="00892F35">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6</w:t>
            </w:r>
          </w:p>
        </w:tc>
        <w:tc>
          <w:tcPr>
            <w:tcW w:w="1843" w:type="dxa"/>
            <w:vAlign w:val="center"/>
          </w:tcPr>
          <w:p w14:paraId="6E5A9046"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417</w:t>
            </w:r>
          </w:p>
        </w:tc>
      </w:tr>
      <w:tr w:rsidR="00DD4FB7" w:rsidRPr="003D3E1E" w14:paraId="36A0D440" w14:textId="77777777" w:rsidTr="00273D45">
        <w:trPr>
          <w:trHeight w:val="340"/>
          <w:tblHeader/>
        </w:trPr>
        <w:tc>
          <w:tcPr>
            <w:tcW w:w="2802" w:type="dxa"/>
            <w:vMerge/>
            <w:tcBorders>
              <w:left w:val="nil"/>
            </w:tcBorders>
          </w:tcPr>
          <w:p w14:paraId="5C6AE26D" w14:textId="77777777" w:rsidR="00DD4FB7" w:rsidRPr="003D3E1E" w:rsidRDefault="00DD4FB7" w:rsidP="00892F35">
            <w:pPr>
              <w:pStyle w:val="Normalnumbered"/>
              <w:numPr>
                <w:ilvl w:val="0"/>
                <w:numId w:val="0"/>
              </w:numPr>
              <w:tabs>
                <w:tab w:val="num" w:pos="2160"/>
              </w:tabs>
              <w:rPr>
                <w:rFonts w:ascii="Arial" w:hAnsi="Arial" w:cs="Arial"/>
                <w:b/>
                <w:sz w:val="22"/>
                <w:szCs w:val="22"/>
              </w:rPr>
            </w:pPr>
          </w:p>
        </w:tc>
        <w:tc>
          <w:tcPr>
            <w:tcW w:w="3118" w:type="dxa"/>
          </w:tcPr>
          <w:p w14:paraId="0B7D6A09" w14:textId="77777777" w:rsidR="00DD4FB7" w:rsidRPr="003D3E1E" w:rsidRDefault="00DD4FB7" w:rsidP="00892F35">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7</w:t>
            </w:r>
          </w:p>
        </w:tc>
        <w:tc>
          <w:tcPr>
            <w:tcW w:w="1843" w:type="dxa"/>
            <w:vAlign w:val="center"/>
          </w:tcPr>
          <w:p w14:paraId="6559871A"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15</w:t>
            </w:r>
          </w:p>
        </w:tc>
      </w:tr>
      <w:tr w:rsidR="00DD4FB7" w:rsidRPr="003D3E1E" w14:paraId="222CB760" w14:textId="77777777" w:rsidTr="00273D45">
        <w:trPr>
          <w:trHeight w:val="340"/>
          <w:tblHeader/>
        </w:trPr>
        <w:tc>
          <w:tcPr>
            <w:tcW w:w="2802" w:type="dxa"/>
            <w:vMerge/>
            <w:tcBorders>
              <w:left w:val="nil"/>
              <w:bottom w:val="nil"/>
            </w:tcBorders>
          </w:tcPr>
          <w:p w14:paraId="52FB72FD" w14:textId="77777777" w:rsidR="00DD4FB7" w:rsidRPr="003D3E1E" w:rsidRDefault="00DD4FB7" w:rsidP="00892F35">
            <w:pPr>
              <w:pStyle w:val="Normalnumbered"/>
              <w:numPr>
                <w:ilvl w:val="0"/>
                <w:numId w:val="0"/>
              </w:numPr>
              <w:tabs>
                <w:tab w:val="num" w:pos="2160"/>
              </w:tabs>
              <w:rPr>
                <w:rFonts w:ascii="Arial" w:hAnsi="Arial" w:cs="Arial"/>
                <w:b/>
                <w:sz w:val="22"/>
                <w:szCs w:val="22"/>
              </w:rPr>
            </w:pPr>
          </w:p>
        </w:tc>
        <w:tc>
          <w:tcPr>
            <w:tcW w:w="3118" w:type="dxa"/>
          </w:tcPr>
          <w:p w14:paraId="137748A7" w14:textId="77777777" w:rsidR="00DD4FB7" w:rsidRPr="003D3E1E" w:rsidRDefault="00DD4FB7" w:rsidP="00892F35">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8</w:t>
            </w:r>
          </w:p>
        </w:tc>
        <w:tc>
          <w:tcPr>
            <w:tcW w:w="1843" w:type="dxa"/>
            <w:vAlign w:val="center"/>
          </w:tcPr>
          <w:p w14:paraId="622AE1FE"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9</w:t>
            </w:r>
          </w:p>
        </w:tc>
      </w:tr>
    </w:tbl>
    <w:p w14:paraId="28839925" w14:textId="77777777" w:rsidR="00892F35" w:rsidRPr="003D3E1E" w:rsidRDefault="00892F35" w:rsidP="00892F35">
      <w:pPr>
        <w:pStyle w:val="Normalnumbered"/>
        <w:numPr>
          <w:ilvl w:val="0"/>
          <w:numId w:val="0"/>
        </w:numPr>
        <w:tabs>
          <w:tab w:val="num" w:pos="2160"/>
        </w:tabs>
        <w:ind w:left="567" w:hanging="567"/>
        <w:rPr>
          <w:rFonts w:ascii="Arial" w:hAnsi="Arial" w:cs="Arial"/>
          <w:sz w:val="22"/>
          <w:szCs w:val="22"/>
        </w:rPr>
      </w:pPr>
    </w:p>
    <w:tbl>
      <w:tblPr>
        <w:tblStyle w:val="TableGrid"/>
        <w:tblW w:w="0" w:type="auto"/>
        <w:tblLook w:val="04A0" w:firstRow="1" w:lastRow="0" w:firstColumn="1" w:lastColumn="0" w:noHBand="0" w:noVBand="1"/>
        <w:tblCaption w:val="NSW Teacher Survey"/>
        <w:tblDescription w:val="KLA taught in"/>
      </w:tblPr>
      <w:tblGrid>
        <w:gridCol w:w="2802"/>
        <w:gridCol w:w="3118"/>
        <w:gridCol w:w="1843"/>
      </w:tblGrid>
      <w:tr w:rsidR="00DD4FB7" w:rsidRPr="003D3E1E" w14:paraId="0C9ECB99" w14:textId="77777777" w:rsidTr="00273D45">
        <w:trPr>
          <w:trHeight w:val="340"/>
          <w:tblHeader/>
        </w:trPr>
        <w:tc>
          <w:tcPr>
            <w:tcW w:w="2802" w:type="dxa"/>
            <w:vMerge w:val="restart"/>
            <w:tcBorders>
              <w:top w:val="nil"/>
              <w:left w:val="nil"/>
            </w:tcBorders>
            <w:vAlign w:val="center"/>
          </w:tcPr>
          <w:p w14:paraId="4832232B" w14:textId="77777777" w:rsidR="00DD4FB7" w:rsidRPr="003D3E1E" w:rsidRDefault="00DD4FB7" w:rsidP="00F71777">
            <w:pPr>
              <w:pStyle w:val="Normalnumbered"/>
              <w:numPr>
                <w:ilvl w:val="0"/>
                <w:numId w:val="0"/>
              </w:numPr>
              <w:tabs>
                <w:tab w:val="num" w:pos="2160"/>
              </w:tabs>
              <w:jc w:val="center"/>
              <w:rPr>
                <w:rFonts w:ascii="Arial" w:hAnsi="Arial" w:cs="Arial"/>
                <w:b/>
                <w:sz w:val="22"/>
                <w:szCs w:val="22"/>
              </w:rPr>
            </w:pPr>
            <w:r w:rsidRPr="003D3E1E">
              <w:rPr>
                <w:rFonts w:ascii="Arial" w:hAnsi="Arial" w:cs="Arial"/>
                <w:b/>
                <w:sz w:val="22"/>
                <w:szCs w:val="22"/>
              </w:rPr>
              <w:t>KLA taught in</w:t>
            </w:r>
          </w:p>
        </w:tc>
        <w:tc>
          <w:tcPr>
            <w:tcW w:w="3118" w:type="dxa"/>
            <w:vAlign w:val="center"/>
          </w:tcPr>
          <w:p w14:paraId="467BF772" w14:textId="77777777" w:rsidR="00DD4FB7" w:rsidRPr="003D3E1E" w:rsidRDefault="00DD4FB7" w:rsidP="00D77706">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English</w:t>
            </w:r>
          </w:p>
        </w:tc>
        <w:tc>
          <w:tcPr>
            <w:tcW w:w="1843" w:type="dxa"/>
            <w:vAlign w:val="center"/>
          </w:tcPr>
          <w:p w14:paraId="1CD0AD8D"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757</w:t>
            </w:r>
          </w:p>
        </w:tc>
      </w:tr>
      <w:tr w:rsidR="00DD4FB7" w:rsidRPr="003D3E1E" w14:paraId="7252CF10" w14:textId="77777777" w:rsidTr="00273D45">
        <w:trPr>
          <w:trHeight w:val="340"/>
          <w:tblHeader/>
        </w:trPr>
        <w:tc>
          <w:tcPr>
            <w:tcW w:w="2802" w:type="dxa"/>
            <w:vMerge/>
            <w:tcBorders>
              <w:left w:val="nil"/>
            </w:tcBorders>
          </w:tcPr>
          <w:p w14:paraId="42F56A19" w14:textId="77777777" w:rsidR="00DD4FB7" w:rsidRPr="003D3E1E" w:rsidRDefault="00DD4FB7" w:rsidP="002F0925">
            <w:pPr>
              <w:pStyle w:val="Normalnumbered"/>
              <w:numPr>
                <w:ilvl w:val="0"/>
                <w:numId w:val="0"/>
              </w:numPr>
              <w:tabs>
                <w:tab w:val="num" w:pos="2160"/>
              </w:tabs>
              <w:rPr>
                <w:rFonts w:ascii="Arial" w:hAnsi="Arial" w:cs="Arial"/>
                <w:b/>
                <w:sz w:val="22"/>
                <w:szCs w:val="22"/>
              </w:rPr>
            </w:pPr>
          </w:p>
        </w:tc>
        <w:tc>
          <w:tcPr>
            <w:tcW w:w="3118" w:type="dxa"/>
            <w:vAlign w:val="center"/>
          </w:tcPr>
          <w:p w14:paraId="5BF41FCA" w14:textId="77777777" w:rsidR="00DD4FB7" w:rsidRPr="003D3E1E" w:rsidRDefault="00DD4FB7" w:rsidP="00D77706">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Maths</w:t>
            </w:r>
          </w:p>
        </w:tc>
        <w:tc>
          <w:tcPr>
            <w:tcW w:w="1843" w:type="dxa"/>
            <w:vAlign w:val="center"/>
          </w:tcPr>
          <w:p w14:paraId="3F747900"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557</w:t>
            </w:r>
          </w:p>
        </w:tc>
      </w:tr>
      <w:tr w:rsidR="00DD4FB7" w:rsidRPr="003D3E1E" w14:paraId="37B37D18" w14:textId="77777777" w:rsidTr="00273D45">
        <w:trPr>
          <w:trHeight w:val="340"/>
          <w:tblHeader/>
        </w:trPr>
        <w:tc>
          <w:tcPr>
            <w:tcW w:w="2802" w:type="dxa"/>
            <w:vMerge/>
            <w:tcBorders>
              <w:left w:val="nil"/>
            </w:tcBorders>
          </w:tcPr>
          <w:p w14:paraId="6DDE7F63" w14:textId="77777777" w:rsidR="00DD4FB7" w:rsidRPr="003D3E1E" w:rsidRDefault="00DD4FB7" w:rsidP="002F0925">
            <w:pPr>
              <w:pStyle w:val="Normalnumbered"/>
              <w:numPr>
                <w:ilvl w:val="0"/>
                <w:numId w:val="0"/>
              </w:numPr>
              <w:tabs>
                <w:tab w:val="num" w:pos="2160"/>
              </w:tabs>
              <w:rPr>
                <w:rFonts w:ascii="Arial" w:hAnsi="Arial" w:cs="Arial"/>
                <w:b/>
                <w:sz w:val="22"/>
                <w:szCs w:val="22"/>
              </w:rPr>
            </w:pPr>
          </w:p>
        </w:tc>
        <w:tc>
          <w:tcPr>
            <w:tcW w:w="3118" w:type="dxa"/>
            <w:vAlign w:val="center"/>
          </w:tcPr>
          <w:p w14:paraId="0BC9EC6F" w14:textId="77777777" w:rsidR="00DD4FB7" w:rsidRPr="003D3E1E" w:rsidRDefault="00DD4FB7" w:rsidP="00D77706">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Science</w:t>
            </w:r>
          </w:p>
        </w:tc>
        <w:tc>
          <w:tcPr>
            <w:tcW w:w="1843" w:type="dxa"/>
            <w:vAlign w:val="center"/>
          </w:tcPr>
          <w:p w14:paraId="5C800E5A"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406</w:t>
            </w:r>
          </w:p>
        </w:tc>
      </w:tr>
      <w:tr w:rsidR="00DD4FB7" w:rsidRPr="003D3E1E" w14:paraId="30FAB5D6" w14:textId="77777777" w:rsidTr="00273D45">
        <w:trPr>
          <w:trHeight w:val="340"/>
          <w:tblHeader/>
        </w:trPr>
        <w:tc>
          <w:tcPr>
            <w:tcW w:w="2802" w:type="dxa"/>
            <w:vMerge/>
            <w:tcBorders>
              <w:left w:val="nil"/>
            </w:tcBorders>
          </w:tcPr>
          <w:p w14:paraId="7BD2D8DB" w14:textId="77777777" w:rsidR="00DD4FB7" w:rsidRPr="003D3E1E" w:rsidRDefault="00DD4FB7" w:rsidP="002F0925">
            <w:pPr>
              <w:pStyle w:val="Normalnumbered"/>
              <w:numPr>
                <w:ilvl w:val="0"/>
                <w:numId w:val="0"/>
              </w:numPr>
              <w:tabs>
                <w:tab w:val="num" w:pos="2160"/>
              </w:tabs>
              <w:rPr>
                <w:rFonts w:ascii="Arial" w:hAnsi="Arial" w:cs="Arial"/>
                <w:b/>
                <w:sz w:val="22"/>
                <w:szCs w:val="22"/>
              </w:rPr>
            </w:pPr>
          </w:p>
        </w:tc>
        <w:tc>
          <w:tcPr>
            <w:tcW w:w="3118" w:type="dxa"/>
            <w:vAlign w:val="center"/>
          </w:tcPr>
          <w:p w14:paraId="62D65346" w14:textId="77777777" w:rsidR="00DD4FB7" w:rsidRPr="003D3E1E" w:rsidRDefault="00DD4FB7" w:rsidP="00D77706">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Creative and Performing Arts</w:t>
            </w:r>
          </w:p>
        </w:tc>
        <w:tc>
          <w:tcPr>
            <w:tcW w:w="1843" w:type="dxa"/>
            <w:vAlign w:val="center"/>
          </w:tcPr>
          <w:p w14:paraId="53459F3C"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288</w:t>
            </w:r>
          </w:p>
        </w:tc>
      </w:tr>
      <w:tr w:rsidR="00DD4FB7" w:rsidRPr="003D3E1E" w14:paraId="451585B8" w14:textId="77777777" w:rsidTr="00273D45">
        <w:trPr>
          <w:trHeight w:val="340"/>
          <w:tblHeader/>
        </w:trPr>
        <w:tc>
          <w:tcPr>
            <w:tcW w:w="2802" w:type="dxa"/>
            <w:vMerge/>
            <w:tcBorders>
              <w:left w:val="nil"/>
            </w:tcBorders>
          </w:tcPr>
          <w:p w14:paraId="1D1EA1F2" w14:textId="77777777" w:rsidR="00DD4FB7" w:rsidRPr="003D3E1E" w:rsidRDefault="00DD4FB7" w:rsidP="002F0925">
            <w:pPr>
              <w:pStyle w:val="Normalnumbered"/>
              <w:numPr>
                <w:ilvl w:val="0"/>
                <w:numId w:val="0"/>
              </w:numPr>
              <w:tabs>
                <w:tab w:val="num" w:pos="2160"/>
              </w:tabs>
              <w:rPr>
                <w:rFonts w:ascii="Arial" w:hAnsi="Arial" w:cs="Arial"/>
                <w:b/>
                <w:sz w:val="22"/>
                <w:szCs w:val="22"/>
              </w:rPr>
            </w:pPr>
          </w:p>
        </w:tc>
        <w:tc>
          <w:tcPr>
            <w:tcW w:w="3118" w:type="dxa"/>
            <w:vAlign w:val="center"/>
          </w:tcPr>
          <w:p w14:paraId="3B37742A" w14:textId="77777777" w:rsidR="00DD4FB7" w:rsidRPr="003D3E1E" w:rsidRDefault="00DD4FB7" w:rsidP="00D77706">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PDHPE</w:t>
            </w:r>
          </w:p>
        </w:tc>
        <w:tc>
          <w:tcPr>
            <w:tcW w:w="1843" w:type="dxa"/>
            <w:vAlign w:val="center"/>
          </w:tcPr>
          <w:p w14:paraId="59705263"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347</w:t>
            </w:r>
          </w:p>
        </w:tc>
      </w:tr>
      <w:tr w:rsidR="00DD4FB7" w:rsidRPr="003D3E1E" w14:paraId="3984658C" w14:textId="77777777" w:rsidTr="00273D45">
        <w:trPr>
          <w:trHeight w:val="340"/>
          <w:tblHeader/>
        </w:trPr>
        <w:tc>
          <w:tcPr>
            <w:tcW w:w="2802" w:type="dxa"/>
            <w:vMerge/>
            <w:tcBorders>
              <w:left w:val="nil"/>
            </w:tcBorders>
          </w:tcPr>
          <w:p w14:paraId="65B7B0F1" w14:textId="77777777" w:rsidR="00DD4FB7" w:rsidRPr="003D3E1E" w:rsidRDefault="00DD4FB7" w:rsidP="002F0925">
            <w:pPr>
              <w:pStyle w:val="Normalnumbered"/>
              <w:numPr>
                <w:ilvl w:val="0"/>
                <w:numId w:val="0"/>
              </w:numPr>
              <w:tabs>
                <w:tab w:val="num" w:pos="2160"/>
              </w:tabs>
              <w:rPr>
                <w:rFonts w:ascii="Arial" w:hAnsi="Arial" w:cs="Arial"/>
                <w:b/>
                <w:sz w:val="22"/>
                <w:szCs w:val="22"/>
              </w:rPr>
            </w:pPr>
          </w:p>
        </w:tc>
        <w:tc>
          <w:tcPr>
            <w:tcW w:w="3118" w:type="dxa"/>
            <w:vAlign w:val="center"/>
          </w:tcPr>
          <w:p w14:paraId="530C0A3B" w14:textId="77777777" w:rsidR="00DD4FB7" w:rsidRPr="003D3E1E" w:rsidRDefault="00DD4FB7" w:rsidP="00D77706">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LOTE</w:t>
            </w:r>
          </w:p>
        </w:tc>
        <w:tc>
          <w:tcPr>
            <w:tcW w:w="1843" w:type="dxa"/>
            <w:vAlign w:val="center"/>
          </w:tcPr>
          <w:p w14:paraId="0FF15CDE"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94</w:t>
            </w:r>
          </w:p>
        </w:tc>
      </w:tr>
      <w:tr w:rsidR="00DD4FB7" w:rsidRPr="003D3E1E" w14:paraId="6BA2E8D5" w14:textId="77777777" w:rsidTr="00273D45">
        <w:trPr>
          <w:trHeight w:val="340"/>
          <w:tblHeader/>
        </w:trPr>
        <w:tc>
          <w:tcPr>
            <w:tcW w:w="2802" w:type="dxa"/>
            <w:vMerge/>
            <w:tcBorders>
              <w:left w:val="nil"/>
            </w:tcBorders>
          </w:tcPr>
          <w:p w14:paraId="27388ED7" w14:textId="77777777" w:rsidR="00DD4FB7" w:rsidRPr="003D3E1E" w:rsidRDefault="00DD4FB7" w:rsidP="002F0925">
            <w:pPr>
              <w:pStyle w:val="Normalnumbered"/>
              <w:numPr>
                <w:ilvl w:val="0"/>
                <w:numId w:val="0"/>
              </w:numPr>
              <w:tabs>
                <w:tab w:val="num" w:pos="2160"/>
              </w:tabs>
              <w:rPr>
                <w:rFonts w:ascii="Arial" w:hAnsi="Arial" w:cs="Arial"/>
                <w:b/>
                <w:sz w:val="22"/>
                <w:szCs w:val="22"/>
              </w:rPr>
            </w:pPr>
          </w:p>
        </w:tc>
        <w:tc>
          <w:tcPr>
            <w:tcW w:w="3118" w:type="dxa"/>
            <w:vAlign w:val="center"/>
          </w:tcPr>
          <w:p w14:paraId="3FCCA5EC" w14:textId="77777777" w:rsidR="00DD4FB7" w:rsidRPr="003D3E1E" w:rsidRDefault="00DD4FB7" w:rsidP="00D77706">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D&amp;T</w:t>
            </w:r>
          </w:p>
        </w:tc>
        <w:tc>
          <w:tcPr>
            <w:tcW w:w="1843" w:type="dxa"/>
            <w:vAlign w:val="center"/>
          </w:tcPr>
          <w:p w14:paraId="29062414"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386</w:t>
            </w:r>
          </w:p>
        </w:tc>
      </w:tr>
      <w:tr w:rsidR="00DD4FB7" w:rsidRPr="003D3E1E" w14:paraId="3B14349A" w14:textId="77777777" w:rsidTr="00273D45">
        <w:trPr>
          <w:trHeight w:val="340"/>
          <w:tblHeader/>
        </w:trPr>
        <w:tc>
          <w:tcPr>
            <w:tcW w:w="2802" w:type="dxa"/>
            <w:vMerge/>
            <w:tcBorders>
              <w:left w:val="nil"/>
              <w:bottom w:val="nil"/>
            </w:tcBorders>
          </w:tcPr>
          <w:p w14:paraId="63CB1DDA" w14:textId="77777777" w:rsidR="00DD4FB7" w:rsidRPr="003D3E1E" w:rsidRDefault="00DD4FB7" w:rsidP="002F0925">
            <w:pPr>
              <w:pStyle w:val="Normalnumbered"/>
              <w:numPr>
                <w:ilvl w:val="0"/>
                <w:numId w:val="0"/>
              </w:numPr>
              <w:tabs>
                <w:tab w:val="num" w:pos="2160"/>
              </w:tabs>
              <w:rPr>
                <w:rFonts w:ascii="Arial" w:hAnsi="Arial" w:cs="Arial"/>
                <w:b/>
                <w:sz w:val="22"/>
                <w:szCs w:val="22"/>
              </w:rPr>
            </w:pPr>
          </w:p>
        </w:tc>
        <w:tc>
          <w:tcPr>
            <w:tcW w:w="3118" w:type="dxa"/>
            <w:vAlign w:val="center"/>
          </w:tcPr>
          <w:p w14:paraId="02451262" w14:textId="77777777" w:rsidR="00DD4FB7" w:rsidRPr="003D3E1E" w:rsidRDefault="00DD4FB7" w:rsidP="00D77706">
            <w:pPr>
              <w:pStyle w:val="Normalnumbered"/>
              <w:numPr>
                <w:ilvl w:val="0"/>
                <w:numId w:val="0"/>
              </w:numPr>
              <w:tabs>
                <w:tab w:val="num" w:pos="2160"/>
              </w:tabs>
              <w:rPr>
                <w:rFonts w:ascii="Arial" w:hAnsi="Arial" w:cs="Arial"/>
                <w:sz w:val="22"/>
                <w:szCs w:val="22"/>
              </w:rPr>
            </w:pPr>
            <w:r w:rsidRPr="003D3E1E">
              <w:rPr>
                <w:rFonts w:ascii="Arial" w:hAnsi="Arial" w:cs="Arial"/>
                <w:sz w:val="22"/>
                <w:szCs w:val="22"/>
              </w:rPr>
              <w:t>HSIE</w:t>
            </w:r>
          </w:p>
        </w:tc>
        <w:tc>
          <w:tcPr>
            <w:tcW w:w="1843" w:type="dxa"/>
            <w:vAlign w:val="center"/>
          </w:tcPr>
          <w:p w14:paraId="2EDEF971" w14:textId="77777777" w:rsidR="00DD4FB7" w:rsidRPr="003D3E1E" w:rsidRDefault="00DD4FB7" w:rsidP="00D77706">
            <w:pPr>
              <w:pStyle w:val="Normalnumbered"/>
              <w:numPr>
                <w:ilvl w:val="0"/>
                <w:numId w:val="0"/>
              </w:numPr>
              <w:tabs>
                <w:tab w:val="num" w:pos="2160"/>
              </w:tabs>
              <w:jc w:val="right"/>
              <w:rPr>
                <w:rFonts w:ascii="Arial" w:hAnsi="Arial" w:cs="Arial"/>
                <w:sz w:val="22"/>
                <w:szCs w:val="22"/>
              </w:rPr>
            </w:pPr>
            <w:r w:rsidRPr="003D3E1E">
              <w:rPr>
                <w:rFonts w:ascii="Arial" w:hAnsi="Arial" w:cs="Arial"/>
                <w:sz w:val="22"/>
                <w:szCs w:val="22"/>
              </w:rPr>
              <w:t>499</w:t>
            </w:r>
          </w:p>
        </w:tc>
      </w:tr>
    </w:tbl>
    <w:p w14:paraId="64DDA6BE" w14:textId="77777777" w:rsidR="00892F35" w:rsidRDefault="00892F35" w:rsidP="00892F35">
      <w:pPr>
        <w:pStyle w:val="Normalnumbered"/>
        <w:numPr>
          <w:ilvl w:val="0"/>
          <w:numId w:val="0"/>
        </w:numPr>
        <w:tabs>
          <w:tab w:val="num" w:pos="2160"/>
        </w:tabs>
        <w:ind w:left="567" w:hanging="567"/>
        <w:rPr>
          <w:szCs w:val="23"/>
        </w:rPr>
      </w:pPr>
    </w:p>
    <w:p w14:paraId="2652B459" w14:textId="77777777" w:rsidR="00892F35" w:rsidRPr="00892F35" w:rsidRDefault="00892F35" w:rsidP="00DD4FB7">
      <w:pPr>
        <w:pStyle w:val="Normalnumbered"/>
        <w:numPr>
          <w:ilvl w:val="0"/>
          <w:numId w:val="0"/>
        </w:numPr>
        <w:tabs>
          <w:tab w:val="num" w:pos="2160"/>
        </w:tabs>
        <w:rPr>
          <w:szCs w:val="23"/>
        </w:rPr>
        <w:sectPr w:rsidR="00892F35" w:rsidRPr="00892F35" w:rsidSect="00892F35">
          <w:pgSz w:w="11906" w:h="16838"/>
          <w:pgMar w:top="1134" w:right="851" w:bottom="1134" w:left="1418" w:header="709" w:footer="709" w:gutter="0"/>
          <w:cols w:space="708"/>
          <w:docGrid w:linePitch="360"/>
        </w:sectPr>
      </w:pPr>
    </w:p>
    <w:tbl>
      <w:tblPr>
        <w:tblStyle w:val="TableGrid1"/>
        <w:tblpPr w:leftFromText="180" w:rightFromText="180" w:vertAnchor="page" w:horzAnchor="margin" w:tblpY="2092"/>
        <w:tblW w:w="0" w:type="auto"/>
        <w:tblLook w:val="04A0" w:firstRow="1" w:lastRow="0" w:firstColumn="1" w:lastColumn="0" w:noHBand="0" w:noVBand="1"/>
        <w:tblCaption w:val="Appendix E - NSW Teacher Survey - Literacy"/>
        <w:tblDescription w:val="Data relating to the NSW Teacher Survey: Literacy"/>
      </w:tblPr>
      <w:tblGrid>
        <w:gridCol w:w="5040"/>
        <w:gridCol w:w="963"/>
        <w:gridCol w:w="955"/>
        <w:gridCol w:w="977"/>
        <w:gridCol w:w="963"/>
        <w:gridCol w:w="955"/>
      </w:tblGrid>
      <w:tr w:rsidR="00D40D78" w:rsidRPr="00D40D78" w14:paraId="7C0D9C6E" w14:textId="77777777" w:rsidTr="00273D45">
        <w:trPr>
          <w:trHeight w:val="439"/>
          <w:tblHeader/>
        </w:trPr>
        <w:tc>
          <w:tcPr>
            <w:tcW w:w="0" w:type="auto"/>
            <w:hideMark/>
          </w:tcPr>
          <w:p w14:paraId="4DDD6E55" w14:textId="77777777" w:rsidR="00D40D78" w:rsidRPr="00D40D78" w:rsidRDefault="00292847" w:rsidP="00AB720F">
            <w:pPr>
              <w:rPr>
                <w:rFonts w:ascii="Corbel" w:hAnsi="Corbel"/>
                <w:b/>
                <w:bCs/>
                <w:color w:val="FF0000"/>
                <w:sz w:val="28"/>
                <w:szCs w:val="28"/>
              </w:rPr>
            </w:pPr>
            <w:r w:rsidRPr="007C4963">
              <w:rPr>
                <w:rFonts w:ascii="Corbel" w:hAnsi="Corbel"/>
                <w:b/>
                <w:bCs/>
                <w:color w:val="244061" w:themeColor="accent1" w:themeShade="80"/>
                <w:sz w:val="28"/>
                <w:szCs w:val="28"/>
              </w:rPr>
              <w:t xml:space="preserve">NSW </w:t>
            </w:r>
            <w:r w:rsidR="00D40D78" w:rsidRPr="00D40D78">
              <w:rPr>
                <w:rFonts w:ascii="Corbel" w:hAnsi="Corbel"/>
                <w:b/>
                <w:bCs/>
                <w:color w:val="244061" w:themeColor="accent1" w:themeShade="80"/>
                <w:sz w:val="28"/>
                <w:szCs w:val="28"/>
              </w:rPr>
              <w:t>Teacher Survey - Literacy</w:t>
            </w:r>
          </w:p>
        </w:tc>
        <w:tc>
          <w:tcPr>
            <w:tcW w:w="963" w:type="dxa"/>
            <w:vAlign w:val="center"/>
            <w:hideMark/>
          </w:tcPr>
          <w:p w14:paraId="42DE8EF7" w14:textId="77777777" w:rsidR="00D40D78" w:rsidRPr="00D40D78" w:rsidRDefault="00D40D78" w:rsidP="00AB720F">
            <w:pPr>
              <w:jc w:val="center"/>
              <w:rPr>
                <w:rFonts w:ascii="Corbel" w:hAnsi="Corbel"/>
                <w:b/>
                <w:bCs/>
                <w:color w:val="000000"/>
                <w:szCs w:val="18"/>
              </w:rPr>
            </w:pPr>
            <w:r w:rsidRPr="00D40D78">
              <w:rPr>
                <w:rFonts w:ascii="Corbel" w:hAnsi="Corbel"/>
                <w:b/>
                <w:bCs/>
                <w:color w:val="000000"/>
                <w:szCs w:val="18"/>
              </w:rPr>
              <w:t>Strongly agree</w:t>
            </w:r>
          </w:p>
        </w:tc>
        <w:tc>
          <w:tcPr>
            <w:tcW w:w="955" w:type="dxa"/>
            <w:vAlign w:val="center"/>
            <w:hideMark/>
          </w:tcPr>
          <w:p w14:paraId="6F1F7CA2" w14:textId="77777777" w:rsidR="00D40D78" w:rsidRPr="00D40D78" w:rsidRDefault="00D40D78" w:rsidP="00AB720F">
            <w:pPr>
              <w:jc w:val="center"/>
              <w:rPr>
                <w:rFonts w:ascii="Corbel" w:hAnsi="Corbel"/>
                <w:b/>
                <w:bCs/>
                <w:color w:val="000000"/>
                <w:szCs w:val="18"/>
              </w:rPr>
            </w:pPr>
            <w:r w:rsidRPr="00D40D78">
              <w:rPr>
                <w:rFonts w:ascii="Corbel" w:hAnsi="Corbel"/>
                <w:b/>
                <w:bCs/>
                <w:color w:val="000000"/>
                <w:szCs w:val="18"/>
              </w:rPr>
              <w:t>Agree</w:t>
            </w:r>
          </w:p>
        </w:tc>
        <w:tc>
          <w:tcPr>
            <w:tcW w:w="977" w:type="dxa"/>
            <w:vAlign w:val="center"/>
            <w:hideMark/>
          </w:tcPr>
          <w:p w14:paraId="25FD4A10" w14:textId="77777777" w:rsidR="00D40D78" w:rsidRPr="00D40D78" w:rsidRDefault="00D40D78" w:rsidP="00AB720F">
            <w:pPr>
              <w:jc w:val="center"/>
              <w:rPr>
                <w:rFonts w:ascii="Corbel" w:hAnsi="Corbel"/>
                <w:b/>
                <w:bCs/>
                <w:color w:val="000000"/>
                <w:szCs w:val="18"/>
              </w:rPr>
            </w:pPr>
            <w:r w:rsidRPr="00D40D78">
              <w:rPr>
                <w:rFonts w:ascii="Corbel" w:hAnsi="Corbel"/>
                <w:b/>
                <w:bCs/>
                <w:color w:val="000000"/>
                <w:szCs w:val="18"/>
              </w:rPr>
              <w:t>Disagree</w:t>
            </w:r>
          </w:p>
        </w:tc>
        <w:tc>
          <w:tcPr>
            <w:tcW w:w="963" w:type="dxa"/>
            <w:vAlign w:val="center"/>
            <w:hideMark/>
          </w:tcPr>
          <w:p w14:paraId="010F215B" w14:textId="77777777" w:rsidR="00D40D78" w:rsidRPr="00D40D78" w:rsidRDefault="00D40D78" w:rsidP="00AB720F">
            <w:pPr>
              <w:jc w:val="center"/>
              <w:rPr>
                <w:rFonts w:ascii="Corbel" w:hAnsi="Corbel"/>
                <w:b/>
                <w:bCs/>
                <w:color w:val="000000"/>
                <w:szCs w:val="18"/>
              </w:rPr>
            </w:pPr>
            <w:r w:rsidRPr="00D40D78">
              <w:rPr>
                <w:rFonts w:ascii="Corbel" w:hAnsi="Corbel"/>
                <w:b/>
                <w:bCs/>
                <w:color w:val="000000"/>
                <w:szCs w:val="18"/>
              </w:rPr>
              <w:t>Strongly disagree</w:t>
            </w:r>
          </w:p>
        </w:tc>
        <w:tc>
          <w:tcPr>
            <w:tcW w:w="955" w:type="dxa"/>
            <w:vAlign w:val="center"/>
            <w:hideMark/>
          </w:tcPr>
          <w:p w14:paraId="3C7F55DC" w14:textId="77777777" w:rsidR="00D40D78" w:rsidRPr="00D40D78" w:rsidRDefault="00D40D78" w:rsidP="00AB720F">
            <w:pPr>
              <w:jc w:val="center"/>
              <w:rPr>
                <w:rFonts w:ascii="Corbel" w:hAnsi="Corbel"/>
                <w:b/>
                <w:bCs/>
                <w:color w:val="000000"/>
                <w:szCs w:val="18"/>
              </w:rPr>
            </w:pPr>
            <w:r w:rsidRPr="00D40D78">
              <w:rPr>
                <w:rFonts w:ascii="Corbel" w:hAnsi="Corbel"/>
                <w:b/>
                <w:bCs/>
                <w:color w:val="000000"/>
                <w:szCs w:val="18"/>
              </w:rPr>
              <w:t>Don’t know</w:t>
            </w:r>
          </w:p>
        </w:tc>
      </w:tr>
      <w:tr w:rsidR="00D40D78" w:rsidRPr="00D40D78" w14:paraId="58BA4C27" w14:textId="77777777" w:rsidTr="00AB720F">
        <w:trPr>
          <w:trHeight w:val="439"/>
        </w:trPr>
        <w:tc>
          <w:tcPr>
            <w:tcW w:w="0" w:type="auto"/>
            <w:vMerge w:val="restart"/>
            <w:hideMark/>
          </w:tcPr>
          <w:p w14:paraId="31372684" w14:textId="7B162634" w:rsidR="00D40D78" w:rsidRPr="00D40D78" w:rsidRDefault="00D40D78" w:rsidP="00273D45">
            <w:pPr>
              <w:rPr>
                <w:rFonts w:ascii="Corbel" w:hAnsi="Corbel"/>
                <w:b/>
                <w:color w:val="000000"/>
              </w:rPr>
            </w:pPr>
            <w:r w:rsidRPr="00D40D78">
              <w:rPr>
                <w:rFonts w:ascii="Corbel" w:hAnsi="Corbel"/>
                <w:b/>
                <w:color w:val="000000"/>
              </w:rPr>
              <w:t>1. I have a deeper understanding of the teaching of literacy skills.</w:t>
            </w:r>
          </w:p>
        </w:tc>
        <w:tc>
          <w:tcPr>
            <w:tcW w:w="963" w:type="dxa"/>
            <w:vAlign w:val="bottom"/>
            <w:hideMark/>
          </w:tcPr>
          <w:p w14:paraId="2BCD67D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934</w:t>
            </w:r>
          </w:p>
        </w:tc>
        <w:tc>
          <w:tcPr>
            <w:tcW w:w="955" w:type="dxa"/>
            <w:vAlign w:val="bottom"/>
            <w:hideMark/>
          </w:tcPr>
          <w:p w14:paraId="0215DE21"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1829</w:t>
            </w:r>
          </w:p>
        </w:tc>
        <w:tc>
          <w:tcPr>
            <w:tcW w:w="977" w:type="dxa"/>
            <w:vAlign w:val="bottom"/>
            <w:hideMark/>
          </w:tcPr>
          <w:p w14:paraId="1BF759D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154</w:t>
            </w:r>
          </w:p>
        </w:tc>
        <w:tc>
          <w:tcPr>
            <w:tcW w:w="963" w:type="dxa"/>
            <w:vAlign w:val="bottom"/>
            <w:hideMark/>
          </w:tcPr>
          <w:p w14:paraId="7B3ECD12"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34</w:t>
            </w:r>
          </w:p>
        </w:tc>
        <w:tc>
          <w:tcPr>
            <w:tcW w:w="955" w:type="dxa"/>
            <w:vAlign w:val="bottom"/>
            <w:hideMark/>
          </w:tcPr>
          <w:p w14:paraId="334E2A52"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40</w:t>
            </w:r>
          </w:p>
        </w:tc>
      </w:tr>
      <w:tr w:rsidR="00D40D78" w:rsidRPr="00D40D78" w14:paraId="15E66021" w14:textId="77777777" w:rsidTr="00AB720F">
        <w:trPr>
          <w:trHeight w:val="439"/>
        </w:trPr>
        <w:tc>
          <w:tcPr>
            <w:tcW w:w="0" w:type="auto"/>
            <w:vMerge/>
            <w:hideMark/>
          </w:tcPr>
          <w:p w14:paraId="7E084F21" w14:textId="77777777" w:rsidR="00D40D78" w:rsidRPr="00D40D78" w:rsidRDefault="00D40D78" w:rsidP="00AB720F">
            <w:pPr>
              <w:rPr>
                <w:rFonts w:ascii="Corbel" w:hAnsi="Corbel"/>
                <w:b/>
                <w:color w:val="000000"/>
              </w:rPr>
            </w:pPr>
          </w:p>
        </w:tc>
        <w:tc>
          <w:tcPr>
            <w:tcW w:w="963" w:type="dxa"/>
            <w:vAlign w:val="bottom"/>
            <w:hideMark/>
          </w:tcPr>
          <w:p w14:paraId="1FD09276"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31.2%</w:t>
            </w:r>
          </w:p>
        </w:tc>
        <w:tc>
          <w:tcPr>
            <w:tcW w:w="955" w:type="dxa"/>
            <w:vAlign w:val="bottom"/>
            <w:hideMark/>
          </w:tcPr>
          <w:p w14:paraId="1F8F7AE2"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61.2%</w:t>
            </w:r>
          </w:p>
        </w:tc>
        <w:tc>
          <w:tcPr>
            <w:tcW w:w="977" w:type="dxa"/>
            <w:vAlign w:val="bottom"/>
            <w:hideMark/>
          </w:tcPr>
          <w:p w14:paraId="5E69E48D"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5.1%</w:t>
            </w:r>
          </w:p>
        </w:tc>
        <w:tc>
          <w:tcPr>
            <w:tcW w:w="963" w:type="dxa"/>
            <w:vAlign w:val="bottom"/>
            <w:hideMark/>
          </w:tcPr>
          <w:p w14:paraId="1F71D4C2"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1.1%</w:t>
            </w:r>
          </w:p>
        </w:tc>
        <w:tc>
          <w:tcPr>
            <w:tcW w:w="955" w:type="dxa"/>
            <w:vAlign w:val="bottom"/>
            <w:hideMark/>
          </w:tcPr>
          <w:p w14:paraId="6CFBE0A7"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1.3%</w:t>
            </w:r>
          </w:p>
        </w:tc>
      </w:tr>
      <w:tr w:rsidR="00D40D78" w:rsidRPr="00D40D78" w14:paraId="00F3B40E" w14:textId="77777777" w:rsidTr="00AB720F">
        <w:trPr>
          <w:trHeight w:val="439"/>
        </w:trPr>
        <w:tc>
          <w:tcPr>
            <w:tcW w:w="0" w:type="auto"/>
            <w:vMerge w:val="restart"/>
            <w:hideMark/>
          </w:tcPr>
          <w:p w14:paraId="42029666" w14:textId="1BC4981F" w:rsidR="00D40D78" w:rsidRPr="00D40D78" w:rsidRDefault="00D40D78" w:rsidP="00273D45">
            <w:pPr>
              <w:rPr>
                <w:rFonts w:ascii="Corbel" w:hAnsi="Corbel"/>
                <w:b/>
                <w:color w:val="000000"/>
              </w:rPr>
            </w:pPr>
            <w:r w:rsidRPr="00D40D78">
              <w:rPr>
                <w:rFonts w:ascii="Corbel" w:hAnsi="Corbel"/>
                <w:b/>
                <w:color w:val="000000"/>
              </w:rPr>
              <w:t>2. I am responsible for my students’ literacy skill development.</w:t>
            </w:r>
          </w:p>
        </w:tc>
        <w:tc>
          <w:tcPr>
            <w:tcW w:w="963" w:type="dxa"/>
            <w:vAlign w:val="bottom"/>
            <w:hideMark/>
          </w:tcPr>
          <w:p w14:paraId="78509AAC"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1474</w:t>
            </w:r>
          </w:p>
        </w:tc>
        <w:tc>
          <w:tcPr>
            <w:tcW w:w="955" w:type="dxa"/>
            <w:vAlign w:val="bottom"/>
            <w:hideMark/>
          </w:tcPr>
          <w:p w14:paraId="474AAD99"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1462</w:t>
            </w:r>
          </w:p>
        </w:tc>
        <w:tc>
          <w:tcPr>
            <w:tcW w:w="977" w:type="dxa"/>
            <w:vAlign w:val="bottom"/>
            <w:hideMark/>
          </w:tcPr>
          <w:p w14:paraId="16F29CD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49</w:t>
            </w:r>
          </w:p>
        </w:tc>
        <w:tc>
          <w:tcPr>
            <w:tcW w:w="963" w:type="dxa"/>
            <w:vAlign w:val="bottom"/>
            <w:hideMark/>
          </w:tcPr>
          <w:p w14:paraId="7477271C"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10</w:t>
            </w:r>
          </w:p>
        </w:tc>
        <w:tc>
          <w:tcPr>
            <w:tcW w:w="955" w:type="dxa"/>
            <w:vAlign w:val="bottom"/>
            <w:hideMark/>
          </w:tcPr>
          <w:p w14:paraId="1A2462EC"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18</w:t>
            </w:r>
          </w:p>
        </w:tc>
      </w:tr>
      <w:tr w:rsidR="00D40D78" w:rsidRPr="00D40D78" w14:paraId="2A90EFD9" w14:textId="77777777" w:rsidTr="00AB720F">
        <w:trPr>
          <w:trHeight w:val="439"/>
        </w:trPr>
        <w:tc>
          <w:tcPr>
            <w:tcW w:w="0" w:type="auto"/>
            <w:vMerge/>
            <w:hideMark/>
          </w:tcPr>
          <w:p w14:paraId="204F3908" w14:textId="77777777" w:rsidR="00D40D78" w:rsidRPr="00D40D78" w:rsidRDefault="00D40D78" w:rsidP="00AB720F">
            <w:pPr>
              <w:rPr>
                <w:rFonts w:ascii="Corbel" w:hAnsi="Corbel"/>
                <w:b/>
                <w:color w:val="000000"/>
              </w:rPr>
            </w:pPr>
          </w:p>
        </w:tc>
        <w:tc>
          <w:tcPr>
            <w:tcW w:w="963" w:type="dxa"/>
            <w:vAlign w:val="bottom"/>
            <w:hideMark/>
          </w:tcPr>
          <w:p w14:paraId="1A4BA760"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48.9%</w:t>
            </w:r>
          </w:p>
        </w:tc>
        <w:tc>
          <w:tcPr>
            <w:tcW w:w="955" w:type="dxa"/>
            <w:vAlign w:val="bottom"/>
            <w:hideMark/>
          </w:tcPr>
          <w:p w14:paraId="6360C715"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48.5%</w:t>
            </w:r>
          </w:p>
        </w:tc>
        <w:tc>
          <w:tcPr>
            <w:tcW w:w="977" w:type="dxa"/>
            <w:vAlign w:val="bottom"/>
            <w:hideMark/>
          </w:tcPr>
          <w:p w14:paraId="12C2517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1.6%</w:t>
            </w:r>
          </w:p>
        </w:tc>
        <w:tc>
          <w:tcPr>
            <w:tcW w:w="963" w:type="dxa"/>
            <w:vAlign w:val="bottom"/>
            <w:hideMark/>
          </w:tcPr>
          <w:p w14:paraId="43BC7336"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0.3%</w:t>
            </w:r>
          </w:p>
        </w:tc>
        <w:tc>
          <w:tcPr>
            <w:tcW w:w="955" w:type="dxa"/>
            <w:vAlign w:val="bottom"/>
            <w:hideMark/>
          </w:tcPr>
          <w:p w14:paraId="2F9CB9CE"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0.6%</w:t>
            </w:r>
          </w:p>
        </w:tc>
      </w:tr>
      <w:tr w:rsidR="00D40D78" w:rsidRPr="00D40D78" w14:paraId="20BEF692" w14:textId="77777777" w:rsidTr="00AB720F">
        <w:trPr>
          <w:trHeight w:val="439"/>
        </w:trPr>
        <w:tc>
          <w:tcPr>
            <w:tcW w:w="0" w:type="auto"/>
            <w:vMerge w:val="restart"/>
            <w:hideMark/>
          </w:tcPr>
          <w:p w14:paraId="154E33C6" w14:textId="600CA112" w:rsidR="00D40D78" w:rsidRPr="00D40D78" w:rsidRDefault="00D40D78" w:rsidP="00273D45">
            <w:pPr>
              <w:rPr>
                <w:rFonts w:ascii="Corbel" w:hAnsi="Corbel"/>
                <w:b/>
                <w:color w:val="000000"/>
              </w:rPr>
            </w:pPr>
            <w:r w:rsidRPr="00D40D78">
              <w:rPr>
                <w:rFonts w:ascii="Corbel" w:hAnsi="Corbel"/>
                <w:b/>
                <w:color w:val="000000"/>
              </w:rPr>
              <w:t>3. I hold high expectations that all of my students will succeed in literacy.</w:t>
            </w:r>
          </w:p>
        </w:tc>
        <w:tc>
          <w:tcPr>
            <w:tcW w:w="963" w:type="dxa"/>
            <w:vAlign w:val="bottom"/>
            <w:hideMark/>
          </w:tcPr>
          <w:p w14:paraId="7424E188"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1429</w:t>
            </w:r>
          </w:p>
        </w:tc>
        <w:tc>
          <w:tcPr>
            <w:tcW w:w="955" w:type="dxa"/>
            <w:vAlign w:val="bottom"/>
            <w:hideMark/>
          </w:tcPr>
          <w:p w14:paraId="45ED1DDC"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1398</w:t>
            </w:r>
          </w:p>
        </w:tc>
        <w:tc>
          <w:tcPr>
            <w:tcW w:w="977" w:type="dxa"/>
            <w:vAlign w:val="bottom"/>
            <w:hideMark/>
          </w:tcPr>
          <w:p w14:paraId="349F59B7"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136</w:t>
            </w:r>
          </w:p>
        </w:tc>
        <w:tc>
          <w:tcPr>
            <w:tcW w:w="963" w:type="dxa"/>
            <w:vAlign w:val="bottom"/>
            <w:hideMark/>
          </w:tcPr>
          <w:p w14:paraId="60417E52"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6</w:t>
            </w:r>
          </w:p>
        </w:tc>
        <w:tc>
          <w:tcPr>
            <w:tcW w:w="955" w:type="dxa"/>
            <w:vAlign w:val="bottom"/>
            <w:hideMark/>
          </w:tcPr>
          <w:p w14:paraId="4B97FC82"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44</w:t>
            </w:r>
          </w:p>
        </w:tc>
      </w:tr>
      <w:tr w:rsidR="00D40D78" w:rsidRPr="00D40D78" w14:paraId="591FBFBB" w14:textId="77777777" w:rsidTr="00AB720F">
        <w:trPr>
          <w:trHeight w:val="439"/>
        </w:trPr>
        <w:tc>
          <w:tcPr>
            <w:tcW w:w="0" w:type="auto"/>
            <w:vMerge/>
            <w:hideMark/>
          </w:tcPr>
          <w:p w14:paraId="590615BB" w14:textId="77777777" w:rsidR="00D40D78" w:rsidRPr="00D40D78" w:rsidRDefault="00D40D78" w:rsidP="00AB720F">
            <w:pPr>
              <w:rPr>
                <w:rFonts w:ascii="Corbel" w:hAnsi="Corbel"/>
                <w:b/>
                <w:color w:val="000000"/>
              </w:rPr>
            </w:pPr>
          </w:p>
        </w:tc>
        <w:tc>
          <w:tcPr>
            <w:tcW w:w="963" w:type="dxa"/>
            <w:vAlign w:val="bottom"/>
            <w:hideMark/>
          </w:tcPr>
          <w:p w14:paraId="597C86D7"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47.4%</w:t>
            </w:r>
          </w:p>
        </w:tc>
        <w:tc>
          <w:tcPr>
            <w:tcW w:w="955" w:type="dxa"/>
            <w:vAlign w:val="bottom"/>
            <w:hideMark/>
          </w:tcPr>
          <w:p w14:paraId="194DD321"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46.4%</w:t>
            </w:r>
          </w:p>
        </w:tc>
        <w:tc>
          <w:tcPr>
            <w:tcW w:w="977" w:type="dxa"/>
            <w:vAlign w:val="bottom"/>
            <w:hideMark/>
          </w:tcPr>
          <w:p w14:paraId="59A9577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4.5%</w:t>
            </w:r>
          </w:p>
        </w:tc>
        <w:tc>
          <w:tcPr>
            <w:tcW w:w="963" w:type="dxa"/>
            <w:vAlign w:val="bottom"/>
            <w:hideMark/>
          </w:tcPr>
          <w:p w14:paraId="508DCFE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0.2%</w:t>
            </w:r>
          </w:p>
        </w:tc>
        <w:tc>
          <w:tcPr>
            <w:tcW w:w="955" w:type="dxa"/>
            <w:vAlign w:val="bottom"/>
            <w:hideMark/>
          </w:tcPr>
          <w:p w14:paraId="6B6D3F3C"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1.5%</w:t>
            </w:r>
          </w:p>
        </w:tc>
      </w:tr>
      <w:tr w:rsidR="00D40D78" w:rsidRPr="00D40D78" w14:paraId="4F2DC8E8" w14:textId="77777777" w:rsidTr="00AB720F">
        <w:trPr>
          <w:trHeight w:val="439"/>
        </w:trPr>
        <w:tc>
          <w:tcPr>
            <w:tcW w:w="0" w:type="auto"/>
            <w:vMerge w:val="restart"/>
            <w:hideMark/>
          </w:tcPr>
          <w:p w14:paraId="320B482B" w14:textId="5F8C1823" w:rsidR="00D40D78" w:rsidRPr="00D40D78" w:rsidRDefault="00D40D78" w:rsidP="00273D45">
            <w:pPr>
              <w:rPr>
                <w:rFonts w:ascii="Corbel" w:hAnsi="Corbel"/>
                <w:b/>
                <w:color w:val="000000"/>
              </w:rPr>
            </w:pPr>
            <w:r w:rsidRPr="00D40D78">
              <w:rPr>
                <w:rFonts w:ascii="Corbel" w:hAnsi="Corbel"/>
                <w:b/>
                <w:color w:val="000000"/>
              </w:rPr>
              <w:t>4. My school has increased its use of data from the Literacy Continuum K-10 to inform teaching and learning.</w:t>
            </w:r>
          </w:p>
        </w:tc>
        <w:tc>
          <w:tcPr>
            <w:tcW w:w="963" w:type="dxa"/>
            <w:vAlign w:val="bottom"/>
            <w:hideMark/>
          </w:tcPr>
          <w:p w14:paraId="75DC6E49"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1212</w:t>
            </w:r>
          </w:p>
        </w:tc>
        <w:tc>
          <w:tcPr>
            <w:tcW w:w="955" w:type="dxa"/>
            <w:vAlign w:val="bottom"/>
            <w:hideMark/>
          </w:tcPr>
          <w:p w14:paraId="247FF077"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1506</w:t>
            </w:r>
          </w:p>
        </w:tc>
        <w:tc>
          <w:tcPr>
            <w:tcW w:w="977" w:type="dxa"/>
            <w:vAlign w:val="bottom"/>
            <w:hideMark/>
          </w:tcPr>
          <w:p w14:paraId="5B38C82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95</w:t>
            </w:r>
          </w:p>
        </w:tc>
        <w:tc>
          <w:tcPr>
            <w:tcW w:w="963" w:type="dxa"/>
            <w:vAlign w:val="bottom"/>
            <w:hideMark/>
          </w:tcPr>
          <w:p w14:paraId="2C62EEC9"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22</w:t>
            </w:r>
          </w:p>
        </w:tc>
        <w:tc>
          <w:tcPr>
            <w:tcW w:w="955" w:type="dxa"/>
            <w:vAlign w:val="bottom"/>
            <w:hideMark/>
          </w:tcPr>
          <w:p w14:paraId="6A6F6976"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177</w:t>
            </w:r>
          </w:p>
        </w:tc>
      </w:tr>
      <w:tr w:rsidR="00D40D78" w:rsidRPr="00D40D78" w14:paraId="38047B57" w14:textId="77777777" w:rsidTr="00AB720F">
        <w:trPr>
          <w:trHeight w:val="439"/>
        </w:trPr>
        <w:tc>
          <w:tcPr>
            <w:tcW w:w="0" w:type="auto"/>
            <w:vMerge/>
            <w:hideMark/>
          </w:tcPr>
          <w:p w14:paraId="2A813B7B" w14:textId="77777777" w:rsidR="00D40D78" w:rsidRPr="00D40D78" w:rsidRDefault="00D40D78" w:rsidP="00AB720F">
            <w:pPr>
              <w:rPr>
                <w:rFonts w:ascii="Corbel" w:hAnsi="Corbel"/>
                <w:b/>
                <w:color w:val="000000"/>
              </w:rPr>
            </w:pPr>
          </w:p>
        </w:tc>
        <w:tc>
          <w:tcPr>
            <w:tcW w:w="963" w:type="dxa"/>
            <w:vAlign w:val="bottom"/>
            <w:hideMark/>
          </w:tcPr>
          <w:p w14:paraId="3AD3B74C"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40.2%</w:t>
            </w:r>
          </w:p>
        </w:tc>
        <w:tc>
          <w:tcPr>
            <w:tcW w:w="955" w:type="dxa"/>
            <w:vAlign w:val="bottom"/>
            <w:hideMark/>
          </w:tcPr>
          <w:p w14:paraId="672BC1BD"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50.0%</w:t>
            </w:r>
          </w:p>
        </w:tc>
        <w:tc>
          <w:tcPr>
            <w:tcW w:w="977" w:type="dxa"/>
            <w:vAlign w:val="bottom"/>
            <w:hideMark/>
          </w:tcPr>
          <w:p w14:paraId="14B4556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3.2%</w:t>
            </w:r>
          </w:p>
        </w:tc>
        <w:tc>
          <w:tcPr>
            <w:tcW w:w="963" w:type="dxa"/>
            <w:vAlign w:val="bottom"/>
            <w:hideMark/>
          </w:tcPr>
          <w:p w14:paraId="653D909B"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0.7%</w:t>
            </w:r>
          </w:p>
        </w:tc>
        <w:tc>
          <w:tcPr>
            <w:tcW w:w="955" w:type="dxa"/>
            <w:vAlign w:val="bottom"/>
            <w:hideMark/>
          </w:tcPr>
          <w:p w14:paraId="05E186FE"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5.9%</w:t>
            </w:r>
          </w:p>
        </w:tc>
      </w:tr>
      <w:tr w:rsidR="00D40D78" w:rsidRPr="00D40D78" w14:paraId="793E384F" w14:textId="77777777" w:rsidTr="00AB720F">
        <w:trPr>
          <w:trHeight w:val="439"/>
        </w:trPr>
        <w:tc>
          <w:tcPr>
            <w:tcW w:w="0" w:type="auto"/>
            <w:vMerge w:val="restart"/>
            <w:hideMark/>
          </w:tcPr>
          <w:p w14:paraId="1EFC93DF" w14:textId="1C86E66F" w:rsidR="00D40D78" w:rsidRPr="00D40D78" w:rsidRDefault="00D40D78" w:rsidP="00273D45">
            <w:pPr>
              <w:rPr>
                <w:rFonts w:ascii="Corbel" w:hAnsi="Corbel"/>
                <w:b/>
                <w:color w:val="000000"/>
              </w:rPr>
            </w:pPr>
            <w:r w:rsidRPr="00D40D78">
              <w:rPr>
                <w:rFonts w:ascii="Corbel" w:hAnsi="Corbel"/>
                <w:b/>
                <w:color w:val="000000"/>
              </w:rPr>
              <w:t>5. Whole-school strategies have improved student performance in literacy.</w:t>
            </w:r>
          </w:p>
        </w:tc>
        <w:tc>
          <w:tcPr>
            <w:tcW w:w="963" w:type="dxa"/>
            <w:vAlign w:val="bottom"/>
            <w:hideMark/>
          </w:tcPr>
          <w:p w14:paraId="5AC18EA1"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869</w:t>
            </w:r>
          </w:p>
        </w:tc>
        <w:tc>
          <w:tcPr>
            <w:tcW w:w="955" w:type="dxa"/>
            <w:vAlign w:val="bottom"/>
            <w:hideMark/>
          </w:tcPr>
          <w:p w14:paraId="4E898E4E"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1553</w:t>
            </w:r>
          </w:p>
        </w:tc>
        <w:tc>
          <w:tcPr>
            <w:tcW w:w="977" w:type="dxa"/>
            <w:vAlign w:val="bottom"/>
            <w:hideMark/>
          </w:tcPr>
          <w:p w14:paraId="0E251BAF"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153</w:t>
            </w:r>
          </w:p>
        </w:tc>
        <w:tc>
          <w:tcPr>
            <w:tcW w:w="963" w:type="dxa"/>
            <w:vAlign w:val="bottom"/>
            <w:hideMark/>
          </w:tcPr>
          <w:p w14:paraId="40A3B7C8"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19</w:t>
            </w:r>
          </w:p>
        </w:tc>
        <w:tc>
          <w:tcPr>
            <w:tcW w:w="955" w:type="dxa"/>
            <w:vAlign w:val="bottom"/>
            <w:hideMark/>
          </w:tcPr>
          <w:p w14:paraId="63CE37C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418</w:t>
            </w:r>
          </w:p>
        </w:tc>
      </w:tr>
      <w:tr w:rsidR="00D40D78" w:rsidRPr="00D40D78" w14:paraId="33C404B9" w14:textId="77777777" w:rsidTr="00AB720F">
        <w:trPr>
          <w:trHeight w:val="439"/>
        </w:trPr>
        <w:tc>
          <w:tcPr>
            <w:tcW w:w="0" w:type="auto"/>
            <w:vMerge/>
            <w:hideMark/>
          </w:tcPr>
          <w:p w14:paraId="6303344B" w14:textId="77777777" w:rsidR="00D40D78" w:rsidRPr="00D40D78" w:rsidRDefault="00D40D78" w:rsidP="00AB720F">
            <w:pPr>
              <w:rPr>
                <w:rFonts w:ascii="Corbel" w:hAnsi="Corbel"/>
                <w:b/>
                <w:color w:val="000000"/>
              </w:rPr>
            </w:pPr>
          </w:p>
        </w:tc>
        <w:tc>
          <w:tcPr>
            <w:tcW w:w="963" w:type="dxa"/>
            <w:vAlign w:val="bottom"/>
            <w:hideMark/>
          </w:tcPr>
          <w:p w14:paraId="0CFA1C5B"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28.9%</w:t>
            </w:r>
          </w:p>
        </w:tc>
        <w:tc>
          <w:tcPr>
            <w:tcW w:w="955" w:type="dxa"/>
            <w:vAlign w:val="bottom"/>
            <w:hideMark/>
          </w:tcPr>
          <w:p w14:paraId="721E933E"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51.6%</w:t>
            </w:r>
          </w:p>
        </w:tc>
        <w:tc>
          <w:tcPr>
            <w:tcW w:w="977" w:type="dxa"/>
            <w:vAlign w:val="bottom"/>
            <w:hideMark/>
          </w:tcPr>
          <w:p w14:paraId="1A03969B"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5.1%</w:t>
            </w:r>
          </w:p>
        </w:tc>
        <w:tc>
          <w:tcPr>
            <w:tcW w:w="963" w:type="dxa"/>
            <w:vAlign w:val="bottom"/>
            <w:hideMark/>
          </w:tcPr>
          <w:p w14:paraId="16B56D23"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0.6%</w:t>
            </w:r>
          </w:p>
        </w:tc>
        <w:tc>
          <w:tcPr>
            <w:tcW w:w="955" w:type="dxa"/>
            <w:vAlign w:val="bottom"/>
            <w:hideMark/>
          </w:tcPr>
          <w:p w14:paraId="49288D5D"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13.9%</w:t>
            </w:r>
          </w:p>
        </w:tc>
      </w:tr>
      <w:tr w:rsidR="00D40D78" w:rsidRPr="00D40D78" w14:paraId="31C818C7" w14:textId="77777777" w:rsidTr="00AB720F">
        <w:trPr>
          <w:trHeight w:val="439"/>
        </w:trPr>
        <w:tc>
          <w:tcPr>
            <w:tcW w:w="0" w:type="auto"/>
            <w:vMerge w:val="restart"/>
            <w:hideMark/>
          </w:tcPr>
          <w:p w14:paraId="01F6022E" w14:textId="7E43037E" w:rsidR="00D40D78" w:rsidRPr="00D40D78" w:rsidRDefault="00D40D78" w:rsidP="00273D45">
            <w:pPr>
              <w:rPr>
                <w:rFonts w:ascii="Corbel" w:hAnsi="Corbel"/>
                <w:b/>
                <w:color w:val="000000"/>
              </w:rPr>
            </w:pPr>
            <w:r w:rsidRPr="00D40D78">
              <w:rPr>
                <w:rFonts w:ascii="Corbel" w:hAnsi="Corbel"/>
                <w:b/>
                <w:color w:val="000000"/>
              </w:rPr>
              <w:t>6. Targeted approaches have improved student performance in literacy.</w:t>
            </w:r>
          </w:p>
        </w:tc>
        <w:tc>
          <w:tcPr>
            <w:tcW w:w="963" w:type="dxa"/>
            <w:vAlign w:val="bottom"/>
            <w:hideMark/>
          </w:tcPr>
          <w:p w14:paraId="55BE5170"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949</w:t>
            </w:r>
          </w:p>
        </w:tc>
        <w:tc>
          <w:tcPr>
            <w:tcW w:w="955" w:type="dxa"/>
            <w:vAlign w:val="bottom"/>
            <w:hideMark/>
          </w:tcPr>
          <w:p w14:paraId="01470E69"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1614</w:t>
            </w:r>
          </w:p>
        </w:tc>
        <w:tc>
          <w:tcPr>
            <w:tcW w:w="977" w:type="dxa"/>
            <w:vAlign w:val="bottom"/>
            <w:hideMark/>
          </w:tcPr>
          <w:p w14:paraId="1E0078A9"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99</w:t>
            </w:r>
          </w:p>
        </w:tc>
        <w:tc>
          <w:tcPr>
            <w:tcW w:w="963" w:type="dxa"/>
            <w:vAlign w:val="bottom"/>
            <w:hideMark/>
          </w:tcPr>
          <w:p w14:paraId="1321ACD0"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15</w:t>
            </w:r>
          </w:p>
        </w:tc>
        <w:tc>
          <w:tcPr>
            <w:tcW w:w="955" w:type="dxa"/>
            <w:vAlign w:val="bottom"/>
            <w:hideMark/>
          </w:tcPr>
          <w:p w14:paraId="0DEF5622"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335</w:t>
            </w:r>
          </w:p>
        </w:tc>
      </w:tr>
      <w:tr w:rsidR="00D40D78" w:rsidRPr="00D40D78" w14:paraId="38B25F7A" w14:textId="77777777" w:rsidTr="00AB720F">
        <w:trPr>
          <w:trHeight w:val="439"/>
        </w:trPr>
        <w:tc>
          <w:tcPr>
            <w:tcW w:w="0" w:type="auto"/>
            <w:vMerge/>
            <w:hideMark/>
          </w:tcPr>
          <w:p w14:paraId="646B51E3" w14:textId="77777777" w:rsidR="00D40D78" w:rsidRPr="00D40D78" w:rsidRDefault="00D40D78" w:rsidP="00AB720F">
            <w:pPr>
              <w:rPr>
                <w:rFonts w:ascii="Corbel" w:hAnsi="Corbel"/>
                <w:b/>
                <w:color w:val="000000"/>
              </w:rPr>
            </w:pPr>
          </w:p>
        </w:tc>
        <w:tc>
          <w:tcPr>
            <w:tcW w:w="963" w:type="dxa"/>
            <w:vAlign w:val="bottom"/>
            <w:hideMark/>
          </w:tcPr>
          <w:p w14:paraId="04314D85"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31.5%</w:t>
            </w:r>
          </w:p>
        </w:tc>
        <w:tc>
          <w:tcPr>
            <w:tcW w:w="955" w:type="dxa"/>
            <w:vAlign w:val="bottom"/>
            <w:hideMark/>
          </w:tcPr>
          <w:p w14:paraId="72778D3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53.6%</w:t>
            </w:r>
          </w:p>
        </w:tc>
        <w:tc>
          <w:tcPr>
            <w:tcW w:w="977" w:type="dxa"/>
            <w:vAlign w:val="bottom"/>
            <w:hideMark/>
          </w:tcPr>
          <w:p w14:paraId="6F71E6D3"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3.3%</w:t>
            </w:r>
          </w:p>
        </w:tc>
        <w:tc>
          <w:tcPr>
            <w:tcW w:w="963" w:type="dxa"/>
            <w:vAlign w:val="bottom"/>
            <w:hideMark/>
          </w:tcPr>
          <w:p w14:paraId="7FB1171F"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0.5%</w:t>
            </w:r>
          </w:p>
        </w:tc>
        <w:tc>
          <w:tcPr>
            <w:tcW w:w="955" w:type="dxa"/>
            <w:vAlign w:val="bottom"/>
            <w:hideMark/>
          </w:tcPr>
          <w:p w14:paraId="47D104CF"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11.1%</w:t>
            </w:r>
          </w:p>
        </w:tc>
      </w:tr>
      <w:tr w:rsidR="00D40D78" w:rsidRPr="00D40D78" w14:paraId="535B3476" w14:textId="77777777" w:rsidTr="00AB720F">
        <w:trPr>
          <w:trHeight w:val="439"/>
        </w:trPr>
        <w:tc>
          <w:tcPr>
            <w:tcW w:w="0" w:type="auto"/>
            <w:vMerge w:val="restart"/>
            <w:hideMark/>
          </w:tcPr>
          <w:p w14:paraId="2E05A2D7" w14:textId="6BE9EA70" w:rsidR="00D40D78" w:rsidRPr="00D40D78" w:rsidRDefault="00D40D78" w:rsidP="00273D45">
            <w:pPr>
              <w:rPr>
                <w:rFonts w:ascii="Corbel" w:hAnsi="Corbel"/>
                <w:b/>
                <w:color w:val="000000"/>
              </w:rPr>
            </w:pPr>
            <w:r w:rsidRPr="00D40D78">
              <w:rPr>
                <w:rFonts w:ascii="Corbel" w:hAnsi="Corbel"/>
                <w:b/>
                <w:color w:val="000000"/>
              </w:rPr>
              <w:t>7. My teaching of literacy contributes to the achievements of my school’s literacy targets.</w:t>
            </w:r>
          </w:p>
        </w:tc>
        <w:tc>
          <w:tcPr>
            <w:tcW w:w="963" w:type="dxa"/>
            <w:vAlign w:val="bottom"/>
            <w:hideMark/>
          </w:tcPr>
          <w:p w14:paraId="2944CB9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1277</w:t>
            </w:r>
          </w:p>
        </w:tc>
        <w:tc>
          <w:tcPr>
            <w:tcW w:w="955" w:type="dxa"/>
            <w:vAlign w:val="bottom"/>
            <w:hideMark/>
          </w:tcPr>
          <w:p w14:paraId="4F42AC7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1589</w:t>
            </w:r>
          </w:p>
        </w:tc>
        <w:tc>
          <w:tcPr>
            <w:tcW w:w="977" w:type="dxa"/>
            <w:vAlign w:val="bottom"/>
            <w:hideMark/>
          </w:tcPr>
          <w:p w14:paraId="4BDEC71D"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44</w:t>
            </w:r>
          </w:p>
        </w:tc>
        <w:tc>
          <w:tcPr>
            <w:tcW w:w="963" w:type="dxa"/>
            <w:vAlign w:val="bottom"/>
            <w:hideMark/>
          </w:tcPr>
          <w:p w14:paraId="3C898FBB"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8</w:t>
            </w:r>
          </w:p>
        </w:tc>
        <w:tc>
          <w:tcPr>
            <w:tcW w:w="955" w:type="dxa"/>
            <w:vAlign w:val="bottom"/>
            <w:hideMark/>
          </w:tcPr>
          <w:p w14:paraId="045BDDDE"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94</w:t>
            </w:r>
          </w:p>
        </w:tc>
      </w:tr>
      <w:tr w:rsidR="00D40D78" w:rsidRPr="00D40D78" w14:paraId="7C2C3D06" w14:textId="77777777" w:rsidTr="00AB720F">
        <w:trPr>
          <w:trHeight w:val="439"/>
        </w:trPr>
        <w:tc>
          <w:tcPr>
            <w:tcW w:w="0" w:type="auto"/>
            <w:vMerge/>
            <w:hideMark/>
          </w:tcPr>
          <w:p w14:paraId="6CF87027" w14:textId="77777777" w:rsidR="00D40D78" w:rsidRPr="00D40D78" w:rsidRDefault="00D40D78" w:rsidP="00AB720F">
            <w:pPr>
              <w:rPr>
                <w:rFonts w:ascii="Corbel" w:hAnsi="Corbel"/>
                <w:b/>
                <w:color w:val="000000"/>
              </w:rPr>
            </w:pPr>
          </w:p>
        </w:tc>
        <w:tc>
          <w:tcPr>
            <w:tcW w:w="963" w:type="dxa"/>
            <w:vAlign w:val="bottom"/>
            <w:hideMark/>
          </w:tcPr>
          <w:p w14:paraId="11F3677B"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42.4%</w:t>
            </w:r>
          </w:p>
        </w:tc>
        <w:tc>
          <w:tcPr>
            <w:tcW w:w="955" w:type="dxa"/>
            <w:vAlign w:val="bottom"/>
            <w:hideMark/>
          </w:tcPr>
          <w:p w14:paraId="41D58EF5"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52.8%</w:t>
            </w:r>
          </w:p>
        </w:tc>
        <w:tc>
          <w:tcPr>
            <w:tcW w:w="977" w:type="dxa"/>
            <w:vAlign w:val="bottom"/>
            <w:hideMark/>
          </w:tcPr>
          <w:p w14:paraId="38DA2C77"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1.5%</w:t>
            </w:r>
          </w:p>
        </w:tc>
        <w:tc>
          <w:tcPr>
            <w:tcW w:w="963" w:type="dxa"/>
            <w:vAlign w:val="bottom"/>
            <w:hideMark/>
          </w:tcPr>
          <w:p w14:paraId="24E89471"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0.3%</w:t>
            </w:r>
          </w:p>
        </w:tc>
        <w:tc>
          <w:tcPr>
            <w:tcW w:w="955" w:type="dxa"/>
            <w:vAlign w:val="bottom"/>
            <w:hideMark/>
          </w:tcPr>
          <w:p w14:paraId="09938A45"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3.1%</w:t>
            </w:r>
          </w:p>
        </w:tc>
      </w:tr>
      <w:tr w:rsidR="00D40D78" w:rsidRPr="00D40D78" w14:paraId="4613DAB4" w14:textId="77777777" w:rsidTr="00AB720F">
        <w:trPr>
          <w:trHeight w:val="439"/>
        </w:trPr>
        <w:tc>
          <w:tcPr>
            <w:tcW w:w="0" w:type="auto"/>
            <w:vMerge w:val="restart"/>
            <w:hideMark/>
          </w:tcPr>
          <w:p w14:paraId="482E05B7" w14:textId="07D3B9A9" w:rsidR="00D40D78" w:rsidRPr="00D40D78" w:rsidRDefault="00D40D78" w:rsidP="00273D45">
            <w:pPr>
              <w:rPr>
                <w:rFonts w:ascii="Corbel" w:hAnsi="Corbel"/>
                <w:b/>
                <w:color w:val="000000"/>
              </w:rPr>
            </w:pPr>
            <w:r w:rsidRPr="00D40D78">
              <w:rPr>
                <w:rFonts w:ascii="Corbel" w:hAnsi="Corbel"/>
                <w:b/>
                <w:color w:val="000000"/>
              </w:rPr>
              <w:t>8. The range of strategies to explicitly address students’ literacy needs in my teaching program has increased.</w:t>
            </w:r>
          </w:p>
        </w:tc>
        <w:tc>
          <w:tcPr>
            <w:tcW w:w="963" w:type="dxa"/>
            <w:vAlign w:val="bottom"/>
            <w:hideMark/>
          </w:tcPr>
          <w:p w14:paraId="289E251C"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1161</w:t>
            </w:r>
          </w:p>
        </w:tc>
        <w:tc>
          <w:tcPr>
            <w:tcW w:w="955" w:type="dxa"/>
            <w:vAlign w:val="bottom"/>
            <w:hideMark/>
          </w:tcPr>
          <w:p w14:paraId="56025EA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1653</w:t>
            </w:r>
          </w:p>
        </w:tc>
        <w:tc>
          <w:tcPr>
            <w:tcW w:w="977" w:type="dxa"/>
            <w:vAlign w:val="bottom"/>
            <w:hideMark/>
          </w:tcPr>
          <w:p w14:paraId="33F6822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150</w:t>
            </w:r>
          </w:p>
        </w:tc>
        <w:tc>
          <w:tcPr>
            <w:tcW w:w="963" w:type="dxa"/>
            <w:vAlign w:val="bottom"/>
            <w:hideMark/>
          </w:tcPr>
          <w:p w14:paraId="12EB658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14</w:t>
            </w:r>
          </w:p>
        </w:tc>
        <w:tc>
          <w:tcPr>
            <w:tcW w:w="955" w:type="dxa"/>
            <w:vAlign w:val="bottom"/>
            <w:hideMark/>
          </w:tcPr>
          <w:p w14:paraId="6BA22289"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35</w:t>
            </w:r>
          </w:p>
        </w:tc>
      </w:tr>
      <w:tr w:rsidR="00D40D78" w:rsidRPr="00D40D78" w14:paraId="13907698" w14:textId="77777777" w:rsidTr="00AB720F">
        <w:trPr>
          <w:trHeight w:val="439"/>
        </w:trPr>
        <w:tc>
          <w:tcPr>
            <w:tcW w:w="0" w:type="auto"/>
            <w:vMerge/>
            <w:hideMark/>
          </w:tcPr>
          <w:p w14:paraId="02BA0BD4" w14:textId="77777777" w:rsidR="00D40D78" w:rsidRPr="00D40D78" w:rsidRDefault="00D40D78" w:rsidP="00AB720F">
            <w:pPr>
              <w:rPr>
                <w:rFonts w:ascii="Corbel" w:hAnsi="Corbel"/>
                <w:b/>
                <w:color w:val="000000"/>
              </w:rPr>
            </w:pPr>
          </w:p>
        </w:tc>
        <w:tc>
          <w:tcPr>
            <w:tcW w:w="963" w:type="dxa"/>
            <w:vAlign w:val="bottom"/>
            <w:hideMark/>
          </w:tcPr>
          <w:p w14:paraId="36646EB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38.5%</w:t>
            </w:r>
          </w:p>
        </w:tc>
        <w:tc>
          <w:tcPr>
            <w:tcW w:w="955" w:type="dxa"/>
            <w:vAlign w:val="bottom"/>
            <w:hideMark/>
          </w:tcPr>
          <w:p w14:paraId="45F89D9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54.9%</w:t>
            </w:r>
          </w:p>
        </w:tc>
        <w:tc>
          <w:tcPr>
            <w:tcW w:w="977" w:type="dxa"/>
            <w:vAlign w:val="bottom"/>
            <w:hideMark/>
          </w:tcPr>
          <w:p w14:paraId="6DC21699"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5.0%</w:t>
            </w:r>
          </w:p>
        </w:tc>
        <w:tc>
          <w:tcPr>
            <w:tcW w:w="963" w:type="dxa"/>
            <w:vAlign w:val="bottom"/>
            <w:hideMark/>
          </w:tcPr>
          <w:p w14:paraId="49E9D1A2"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0.5%</w:t>
            </w:r>
          </w:p>
        </w:tc>
        <w:tc>
          <w:tcPr>
            <w:tcW w:w="955" w:type="dxa"/>
            <w:vAlign w:val="bottom"/>
            <w:hideMark/>
          </w:tcPr>
          <w:p w14:paraId="2A1C1CF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1.2%</w:t>
            </w:r>
          </w:p>
        </w:tc>
      </w:tr>
      <w:tr w:rsidR="00D40D78" w:rsidRPr="00D40D78" w14:paraId="30CCD780" w14:textId="77777777" w:rsidTr="00AB720F">
        <w:trPr>
          <w:trHeight w:val="439"/>
        </w:trPr>
        <w:tc>
          <w:tcPr>
            <w:tcW w:w="0" w:type="auto"/>
            <w:vMerge w:val="restart"/>
            <w:hideMark/>
          </w:tcPr>
          <w:p w14:paraId="28225B8B" w14:textId="60863C51" w:rsidR="00D40D78" w:rsidRPr="00D40D78" w:rsidRDefault="00D40D78" w:rsidP="00273D45">
            <w:pPr>
              <w:rPr>
                <w:rFonts w:ascii="Corbel" w:hAnsi="Corbel"/>
                <w:b/>
                <w:color w:val="000000"/>
              </w:rPr>
            </w:pPr>
            <w:r w:rsidRPr="00D40D78">
              <w:rPr>
                <w:rFonts w:ascii="Corbel" w:hAnsi="Corbel"/>
                <w:b/>
                <w:color w:val="000000"/>
              </w:rPr>
              <w:t>9. I teach the vocabulary and metalanguage of literacy.</w:t>
            </w:r>
          </w:p>
        </w:tc>
        <w:tc>
          <w:tcPr>
            <w:tcW w:w="963" w:type="dxa"/>
            <w:vAlign w:val="bottom"/>
            <w:hideMark/>
          </w:tcPr>
          <w:p w14:paraId="491EB16C"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1295</w:t>
            </w:r>
          </w:p>
        </w:tc>
        <w:tc>
          <w:tcPr>
            <w:tcW w:w="955" w:type="dxa"/>
            <w:vAlign w:val="bottom"/>
            <w:hideMark/>
          </w:tcPr>
          <w:p w14:paraId="3989527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1569</w:t>
            </w:r>
          </w:p>
        </w:tc>
        <w:tc>
          <w:tcPr>
            <w:tcW w:w="977" w:type="dxa"/>
            <w:vAlign w:val="bottom"/>
            <w:hideMark/>
          </w:tcPr>
          <w:p w14:paraId="642DEEC8"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98</w:t>
            </w:r>
          </w:p>
        </w:tc>
        <w:tc>
          <w:tcPr>
            <w:tcW w:w="963" w:type="dxa"/>
            <w:vAlign w:val="bottom"/>
            <w:hideMark/>
          </w:tcPr>
          <w:p w14:paraId="512E4E0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9</w:t>
            </w:r>
          </w:p>
        </w:tc>
        <w:tc>
          <w:tcPr>
            <w:tcW w:w="955" w:type="dxa"/>
            <w:vAlign w:val="bottom"/>
            <w:hideMark/>
          </w:tcPr>
          <w:p w14:paraId="7874B83C"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41</w:t>
            </w:r>
          </w:p>
        </w:tc>
      </w:tr>
      <w:tr w:rsidR="00D40D78" w:rsidRPr="00D40D78" w14:paraId="6915FE05" w14:textId="77777777" w:rsidTr="00AB720F">
        <w:trPr>
          <w:trHeight w:val="439"/>
        </w:trPr>
        <w:tc>
          <w:tcPr>
            <w:tcW w:w="0" w:type="auto"/>
            <w:vMerge/>
            <w:hideMark/>
          </w:tcPr>
          <w:p w14:paraId="3D740D29" w14:textId="77777777" w:rsidR="00D40D78" w:rsidRPr="00D40D78" w:rsidRDefault="00D40D78" w:rsidP="00AB720F">
            <w:pPr>
              <w:rPr>
                <w:rFonts w:ascii="Corbel" w:hAnsi="Corbel"/>
                <w:b/>
                <w:color w:val="000000"/>
              </w:rPr>
            </w:pPr>
          </w:p>
        </w:tc>
        <w:tc>
          <w:tcPr>
            <w:tcW w:w="963" w:type="dxa"/>
            <w:vAlign w:val="bottom"/>
            <w:hideMark/>
          </w:tcPr>
          <w:p w14:paraId="2829B88F"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43.0%</w:t>
            </w:r>
          </w:p>
        </w:tc>
        <w:tc>
          <w:tcPr>
            <w:tcW w:w="955" w:type="dxa"/>
            <w:vAlign w:val="bottom"/>
            <w:hideMark/>
          </w:tcPr>
          <w:p w14:paraId="639A178B"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52.1%</w:t>
            </w:r>
          </w:p>
        </w:tc>
        <w:tc>
          <w:tcPr>
            <w:tcW w:w="977" w:type="dxa"/>
            <w:vAlign w:val="bottom"/>
            <w:hideMark/>
          </w:tcPr>
          <w:p w14:paraId="29862848"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3.3%</w:t>
            </w:r>
          </w:p>
        </w:tc>
        <w:tc>
          <w:tcPr>
            <w:tcW w:w="963" w:type="dxa"/>
            <w:vAlign w:val="bottom"/>
            <w:hideMark/>
          </w:tcPr>
          <w:p w14:paraId="1AC42481"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0.3%</w:t>
            </w:r>
          </w:p>
        </w:tc>
        <w:tc>
          <w:tcPr>
            <w:tcW w:w="955" w:type="dxa"/>
            <w:vAlign w:val="bottom"/>
            <w:hideMark/>
          </w:tcPr>
          <w:p w14:paraId="71B9343D"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1.4%</w:t>
            </w:r>
          </w:p>
        </w:tc>
      </w:tr>
      <w:tr w:rsidR="00D40D78" w:rsidRPr="00D40D78" w14:paraId="60E79119" w14:textId="77777777" w:rsidTr="00AB720F">
        <w:trPr>
          <w:trHeight w:val="439"/>
        </w:trPr>
        <w:tc>
          <w:tcPr>
            <w:tcW w:w="0" w:type="auto"/>
            <w:vMerge w:val="restart"/>
            <w:hideMark/>
          </w:tcPr>
          <w:p w14:paraId="0BBEFB62" w14:textId="1D56A68C" w:rsidR="00D40D78" w:rsidRPr="00D40D78" w:rsidRDefault="00273D45" w:rsidP="00AB720F">
            <w:pPr>
              <w:rPr>
                <w:rFonts w:ascii="Corbel" w:hAnsi="Corbel"/>
                <w:b/>
                <w:color w:val="000000"/>
              </w:rPr>
            </w:pPr>
            <w:r>
              <w:rPr>
                <w:rFonts w:ascii="Corbel" w:hAnsi="Corbel"/>
                <w:b/>
                <w:color w:val="000000"/>
              </w:rPr>
              <w:t>10.</w:t>
            </w:r>
            <w:r w:rsidR="00D40D78" w:rsidRPr="00D40D78">
              <w:rPr>
                <w:rFonts w:ascii="Corbel" w:hAnsi="Corbel"/>
                <w:b/>
                <w:color w:val="000000"/>
              </w:rPr>
              <w:t xml:space="preserve"> I integrate the teaching of literacy across key learning areas.</w:t>
            </w:r>
          </w:p>
        </w:tc>
        <w:tc>
          <w:tcPr>
            <w:tcW w:w="963" w:type="dxa"/>
            <w:vAlign w:val="bottom"/>
            <w:hideMark/>
          </w:tcPr>
          <w:p w14:paraId="38BE91D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1310</w:t>
            </w:r>
          </w:p>
        </w:tc>
        <w:tc>
          <w:tcPr>
            <w:tcW w:w="955" w:type="dxa"/>
            <w:vAlign w:val="bottom"/>
            <w:hideMark/>
          </w:tcPr>
          <w:p w14:paraId="01EE3B5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1552</w:t>
            </w:r>
          </w:p>
        </w:tc>
        <w:tc>
          <w:tcPr>
            <w:tcW w:w="977" w:type="dxa"/>
            <w:vAlign w:val="bottom"/>
            <w:hideMark/>
          </w:tcPr>
          <w:p w14:paraId="2B66C4E8"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76</w:t>
            </w:r>
          </w:p>
        </w:tc>
        <w:tc>
          <w:tcPr>
            <w:tcW w:w="963" w:type="dxa"/>
            <w:vAlign w:val="bottom"/>
            <w:hideMark/>
          </w:tcPr>
          <w:p w14:paraId="209CC563"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11</w:t>
            </w:r>
          </w:p>
        </w:tc>
        <w:tc>
          <w:tcPr>
            <w:tcW w:w="955" w:type="dxa"/>
            <w:vAlign w:val="bottom"/>
            <w:hideMark/>
          </w:tcPr>
          <w:p w14:paraId="394D2DEC"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62</w:t>
            </w:r>
          </w:p>
        </w:tc>
      </w:tr>
      <w:tr w:rsidR="00D40D78" w:rsidRPr="00D40D78" w14:paraId="247A20EE" w14:textId="77777777" w:rsidTr="00AB720F">
        <w:trPr>
          <w:trHeight w:val="439"/>
        </w:trPr>
        <w:tc>
          <w:tcPr>
            <w:tcW w:w="0" w:type="auto"/>
            <w:vMerge/>
            <w:hideMark/>
          </w:tcPr>
          <w:p w14:paraId="2EB6482C" w14:textId="77777777" w:rsidR="00D40D78" w:rsidRPr="00D40D78" w:rsidRDefault="00D40D78" w:rsidP="00AB720F">
            <w:pPr>
              <w:rPr>
                <w:rFonts w:ascii="Corbel" w:hAnsi="Corbel"/>
                <w:b/>
                <w:color w:val="000000"/>
              </w:rPr>
            </w:pPr>
          </w:p>
        </w:tc>
        <w:tc>
          <w:tcPr>
            <w:tcW w:w="963" w:type="dxa"/>
            <w:vAlign w:val="bottom"/>
            <w:hideMark/>
          </w:tcPr>
          <w:p w14:paraId="21FB7C87"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43.5%</w:t>
            </w:r>
          </w:p>
        </w:tc>
        <w:tc>
          <w:tcPr>
            <w:tcW w:w="955" w:type="dxa"/>
            <w:vAlign w:val="bottom"/>
            <w:hideMark/>
          </w:tcPr>
          <w:p w14:paraId="47E517E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51.5%</w:t>
            </w:r>
          </w:p>
        </w:tc>
        <w:tc>
          <w:tcPr>
            <w:tcW w:w="977" w:type="dxa"/>
            <w:vAlign w:val="bottom"/>
            <w:hideMark/>
          </w:tcPr>
          <w:p w14:paraId="3AD25F4B"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2.5%</w:t>
            </w:r>
          </w:p>
        </w:tc>
        <w:tc>
          <w:tcPr>
            <w:tcW w:w="963" w:type="dxa"/>
            <w:vAlign w:val="bottom"/>
            <w:hideMark/>
          </w:tcPr>
          <w:p w14:paraId="339E9571"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0.4%</w:t>
            </w:r>
          </w:p>
        </w:tc>
        <w:tc>
          <w:tcPr>
            <w:tcW w:w="955" w:type="dxa"/>
            <w:vAlign w:val="bottom"/>
            <w:hideMark/>
          </w:tcPr>
          <w:p w14:paraId="65D7D7AE"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2.1%</w:t>
            </w:r>
          </w:p>
        </w:tc>
      </w:tr>
      <w:tr w:rsidR="00D40D78" w:rsidRPr="00D40D78" w14:paraId="7AE3F34F" w14:textId="77777777" w:rsidTr="00AB720F">
        <w:trPr>
          <w:trHeight w:val="439"/>
        </w:trPr>
        <w:tc>
          <w:tcPr>
            <w:tcW w:w="0" w:type="auto"/>
            <w:vMerge w:val="restart"/>
            <w:hideMark/>
          </w:tcPr>
          <w:p w14:paraId="7C4E0174" w14:textId="53A60B0F" w:rsidR="00D40D78" w:rsidRPr="00D40D78" w:rsidRDefault="00273D45" w:rsidP="00AB720F">
            <w:pPr>
              <w:rPr>
                <w:rFonts w:ascii="Corbel" w:hAnsi="Corbel"/>
                <w:b/>
                <w:color w:val="000000"/>
              </w:rPr>
            </w:pPr>
            <w:r>
              <w:rPr>
                <w:rFonts w:ascii="Corbel" w:hAnsi="Corbel"/>
                <w:b/>
                <w:color w:val="000000"/>
              </w:rPr>
              <w:t>11.</w:t>
            </w:r>
            <w:r w:rsidR="00D40D78" w:rsidRPr="00D40D78">
              <w:rPr>
                <w:rFonts w:ascii="Corbel" w:hAnsi="Corbel"/>
                <w:b/>
                <w:color w:val="000000"/>
              </w:rPr>
              <w:t xml:space="preserve"> I have increased my use of explicit criteria as a reference point for assessing student work in literacy.</w:t>
            </w:r>
          </w:p>
        </w:tc>
        <w:tc>
          <w:tcPr>
            <w:tcW w:w="963" w:type="dxa"/>
            <w:vAlign w:val="bottom"/>
            <w:hideMark/>
          </w:tcPr>
          <w:p w14:paraId="579ACBC8"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927</w:t>
            </w:r>
          </w:p>
        </w:tc>
        <w:tc>
          <w:tcPr>
            <w:tcW w:w="955" w:type="dxa"/>
            <w:vAlign w:val="bottom"/>
            <w:hideMark/>
          </w:tcPr>
          <w:p w14:paraId="68888F3F"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1705</w:t>
            </w:r>
          </w:p>
        </w:tc>
        <w:tc>
          <w:tcPr>
            <w:tcW w:w="977" w:type="dxa"/>
            <w:vAlign w:val="bottom"/>
            <w:hideMark/>
          </w:tcPr>
          <w:p w14:paraId="59EC4AB0"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251</w:t>
            </w:r>
          </w:p>
        </w:tc>
        <w:tc>
          <w:tcPr>
            <w:tcW w:w="963" w:type="dxa"/>
            <w:vAlign w:val="bottom"/>
            <w:hideMark/>
          </w:tcPr>
          <w:p w14:paraId="58FA23DE"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22</w:t>
            </w:r>
          </w:p>
        </w:tc>
        <w:tc>
          <w:tcPr>
            <w:tcW w:w="955" w:type="dxa"/>
            <w:vAlign w:val="bottom"/>
            <w:hideMark/>
          </w:tcPr>
          <w:p w14:paraId="0F3EE500"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106</w:t>
            </w:r>
          </w:p>
        </w:tc>
      </w:tr>
      <w:tr w:rsidR="00D40D78" w:rsidRPr="00D40D78" w14:paraId="17436732" w14:textId="77777777" w:rsidTr="00AB720F">
        <w:trPr>
          <w:trHeight w:val="439"/>
        </w:trPr>
        <w:tc>
          <w:tcPr>
            <w:tcW w:w="0" w:type="auto"/>
            <w:vMerge/>
            <w:hideMark/>
          </w:tcPr>
          <w:p w14:paraId="15FA1463" w14:textId="77777777" w:rsidR="00D40D78" w:rsidRPr="00D40D78" w:rsidRDefault="00D40D78" w:rsidP="00AB720F">
            <w:pPr>
              <w:rPr>
                <w:rFonts w:ascii="Corbel" w:hAnsi="Corbel"/>
                <w:b/>
                <w:color w:val="000000"/>
              </w:rPr>
            </w:pPr>
          </w:p>
        </w:tc>
        <w:tc>
          <w:tcPr>
            <w:tcW w:w="963" w:type="dxa"/>
            <w:vAlign w:val="bottom"/>
            <w:hideMark/>
          </w:tcPr>
          <w:p w14:paraId="35ECE904"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30.8%</w:t>
            </w:r>
          </w:p>
        </w:tc>
        <w:tc>
          <w:tcPr>
            <w:tcW w:w="955" w:type="dxa"/>
            <w:vAlign w:val="bottom"/>
            <w:hideMark/>
          </w:tcPr>
          <w:p w14:paraId="5CB40A21"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56.6%</w:t>
            </w:r>
          </w:p>
        </w:tc>
        <w:tc>
          <w:tcPr>
            <w:tcW w:w="977" w:type="dxa"/>
            <w:vAlign w:val="bottom"/>
            <w:hideMark/>
          </w:tcPr>
          <w:p w14:paraId="01F57F5D"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8.3%</w:t>
            </w:r>
          </w:p>
        </w:tc>
        <w:tc>
          <w:tcPr>
            <w:tcW w:w="963" w:type="dxa"/>
            <w:vAlign w:val="bottom"/>
            <w:hideMark/>
          </w:tcPr>
          <w:p w14:paraId="4223D16D"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0.7%</w:t>
            </w:r>
          </w:p>
        </w:tc>
        <w:tc>
          <w:tcPr>
            <w:tcW w:w="955" w:type="dxa"/>
            <w:vAlign w:val="bottom"/>
            <w:hideMark/>
          </w:tcPr>
          <w:p w14:paraId="732616BE"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3.5%</w:t>
            </w:r>
          </w:p>
        </w:tc>
      </w:tr>
      <w:tr w:rsidR="00D40D78" w:rsidRPr="00D40D78" w14:paraId="373E0DC6" w14:textId="77777777" w:rsidTr="00AB720F">
        <w:trPr>
          <w:trHeight w:val="439"/>
        </w:trPr>
        <w:tc>
          <w:tcPr>
            <w:tcW w:w="0" w:type="auto"/>
            <w:vMerge w:val="restart"/>
            <w:hideMark/>
          </w:tcPr>
          <w:p w14:paraId="0FDA997F" w14:textId="24D34B8D" w:rsidR="00D40D78" w:rsidRPr="00D40D78" w:rsidRDefault="00273D45" w:rsidP="00AB720F">
            <w:pPr>
              <w:rPr>
                <w:rFonts w:ascii="Corbel" w:hAnsi="Corbel"/>
                <w:b/>
                <w:color w:val="000000"/>
              </w:rPr>
            </w:pPr>
            <w:r>
              <w:rPr>
                <w:rFonts w:ascii="Corbel" w:hAnsi="Corbel"/>
                <w:b/>
                <w:color w:val="000000"/>
              </w:rPr>
              <w:t>12.</w:t>
            </w:r>
            <w:r w:rsidR="00D40D78" w:rsidRPr="00D40D78">
              <w:rPr>
                <w:rFonts w:ascii="Corbel" w:hAnsi="Corbel"/>
                <w:b/>
                <w:color w:val="000000"/>
              </w:rPr>
              <w:t xml:space="preserve"> I give more explicit feedback to my students about what they are doing well and how to improve their literacy skills.</w:t>
            </w:r>
          </w:p>
        </w:tc>
        <w:tc>
          <w:tcPr>
            <w:tcW w:w="963" w:type="dxa"/>
            <w:vAlign w:val="bottom"/>
            <w:hideMark/>
          </w:tcPr>
          <w:p w14:paraId="503F56AE"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994</w:t>
            </w:r>
          </w:p>
        </w:tc>
        <w:tc>
          <w:tcPr>
            <w:tcW w:w="955" w:type="dxa"/>
            <w:vAlign w:val="bottom"/>
            <w:hideMark/>
          </w:tcPr>
          <w:p w14:paraId="28ED3E3C"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1723</w:t>
            </w:r>
          </w:p>
        </w:tc>
        <w:tc>
          <w:tcPr>
            <w:tcW w:w="977" w:type="dxa"/>
            <w:vAlign w:val="bottom"/>
            <w:hideMark/>
          </w:tcPr>
          <w:p w14:paraId="3079424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225</w:t>
            </w:r>
          </w:p>
        </w:tc>
        <w:tc>
          <w:tcPr>
            <w:tcW w:w="963" w:type="dxa"/>
            <w:vAlign w:val="bottom"/>
            <w:hideMark/>
          </w:tcPr>
          <w:p w14:paraId="36F0D717"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20</w:t>
            </w:r>
          </w:p>
        </w:tc>
        <w:tc>
          <w:tcPr>
            <w:tcW w:w="955" w:type="dxa"/>
            <w:vAlign w:val="bottom"/>
            <w:hideMark/>
          </w:tcPr>
          <w:p w14:paraId="50786EC3"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51</w:t>
            </w:r>
          </w:p>
        </w:tc>
      </w:tr>
      <w:tr w:rsidR="00D40D78" w:rsidRPr="00D40D78" w14:paraId="2BDE8474" w14:textId="77777777" w:rsidTr="00AB720F">
        <w:trPr>
          <w:trHeight w:val="439"/>
        </w:trPr>
        <w:tc>
          <w:tcPr>
            <w:tcW w:w="0" w:type="auto"/>
            <w:vMerge/>
            <w:hideMark/>
          </w:tcPr>
          <w:p w14:paraId="62A34416" w14:textId="77777777" w:rsidR="00D40D78" w:rsidRPr="00D40D78" w:rsidRDefault="00D40D78" w:rsidP="00AB720F">
            <w:pPr>
              <w:rPr>
                <w:rFonts w:ascii="Corbel" w:hAnsi="Corbel"/>
                <w:color w:val="000000"/>
              </w:rPr>
            </w:pPr>
          </w:p>
        </w:tc>
        <w:tc>
          <w:tcPr>
            <w:tcW w:w="963" w:type="dxa"/>
            <w:vAlign w:val="bottom"/>
            <w:hideMark/>
          </w:tcPr>
          <w:p w14:paraId="2C77F40F"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33.0%</w:t>
            </w:r>
          </w:p>
        </w:tc>
        <w:tc>
          <w:tcPr>
            <w:tcW w:w="955" w:type="dxa"/>
            <w:vAlign w:val="bottom"/>
            <w:hideMark/>
          </w:tcPr>
          <w:p w14:paraId="10DAA4C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57.2%</w:t>
            </w:r>
          </w:p>
        </w:tc>
        <w:tc>
          <w:tcPr>
            <w:tcW w:w="977" w:type="dxa"/>
            <w:vAlign w:val="bottom"/>
            <w:hideMark/>
          </w:tcPr>
          <w:p w14:paraId="2EF09BD8"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7.5%</w:t>
            </w:r>
          </w:p>
        </w:tc>
        <w:tc>
          <w:tcPr>
            <w:tcW w:w="963" w:type="dxa"/>
            <w:vAlign w:val="bottom"/>
            <w:hideMark/>
          </w:tcPr>
          <w:p w14:paraId="5F978BBA"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0.7%</w:t>
            </w:r>
          </w:p>
        </w:tc>
        <w:tc>
          <w:tcPr>
            <w:tcW w:w="955" w:type="dxa"/>
            <w:vAlign w:val="bottom"/>
            <w:hideMark/>
          </w:tcPr>
          <w:p w14:paraId="53D84BBD" w14:textId="77777777" w:rsidR="00D40D78" w:rsidRPr="00D40D78" w:rsidRDefault="00D40D78" w:rsidP="00AB720F">
            <w:pPr>
              <w:jc w:val="right"/>
              <w:rPr>
                <w:rFonts w:ascii="Corbel" w:hAnsi="Corbel"/>
                <w:color w:val="000000"/>
                <w:sz w:val="24"/>
                <w:szCs w:val="24"/>
              </w:rPr>
            </w:pPr>
            <w:r w:rsidRPr="00D40D78">
              <w:rPr>
                <w:rFonts w:ascii="Corbel" w:hAnsi="Corbel"/>
                <w:color w:val="000000"/>
                <w:sz w:val="24"/>
                <w:szCs w:val="24"/>
              </w:rPr>
              <w:t>1.7%</w:t>
            </w:r>
          </w:p>
        </w:tc>
      </w:tr>
    </w:tbl>
    <w:p w14:paraId="128C141C" w14:textId="77777777" w:rsidR="00AB720F" w:rsidRPr="00AB720F" w:rsidRDefault="00AB720F" w:rsidP="00844576">
      <w:pPr>
        <w:pStyle w:val="Heading3"/>
      </w:pPr>
      <w:r>
        <w:t>Appendix E</w:t>
      </w:r>
    </w:p>
    <w:p w14:paraId="22EC31F7" w14:textId="77777777" w:rsidR="00442F91" w:rsidRDefault="00442F91" w:rsidP="00AB720F">
      <w:pPr>
        <w:jc w:val="right"/>
        <w:rPr>
          <w:rFonts w:cs="Arial"/>
          <w:sz w:val="24"/>
          <w:szCs w:val="24"/>
        </w:rPr>
      </w:pPr>
    </w:p>
    <w:tbl>
      <w:tblPr>
        <w:tblStyle w:val="TableGrid1"/>
        <w:tblW w:w="0" w:type="auto"/>
        <w:tblLook w:val="04A0" w:firstRow="1" w:lastRow="0" w:firstColumn="1" w:lastColumn="0" w:noHBand="0" w:noVBand="1"/>
        <w:tblCaption w:val="Appendix E - NSW Teacher Survey: Numeracy"/>
        <w:tblDescription w:val="Data realating to the NSW Teacher Survey: Numeracy"/>
      </w:tblPr>
      <w:tblGrid>
        <w:gridCol w:w="4956"/>
        <w:gridCol w:w="979"/>
        <w:gridCol w:w="979"/>
        <w:gridCol w:w="980"/>
        <w:gridCol w:w="979"/>
        <w:gridCol w:w="980"/>
      </w:tblGrid>
      <w:tr w:rsidR="007C4963" w:rsidRPr="00292847" w14:paraId="20839C15" w14:textId="77777777" w:rsidTr="00273D45">
        <w:trPr>
          <w:trHeight w:val="439"/>
          <w:tblHeader/>
        </w:trPr>
        <w:tc>
          <w:tcPr>
            <w:tcW w:w="0" w:type="auto"/>
            <w:hideMark/>
          </w:tcPr>
          <w:p w14:paraId="0CF5CC7E" w14:textId="77777777" w:rsidR="00292847" w:rsidRPr="00292847" w:rsidRDefault="00292847" w:rsidP="00292847">
            <w:pPr>
              <w:rPr>
                <w:rFonts w:ascii="Corbel" w:hAnsi="Corbel"/>
                <w:b/>
                <w:bCs/>
                <w:color w:val="FF0000"/>
                <w:sz w:val="28"/>
                <w:szCs w:val="28"/>
              </w:rPr>
            </w:pPr>
            <w:r w:rsidRPr="007C4963">
              <w:rPr>
                <w:rFonts w:ascii="Corbel" w:hAnsi="Corbel"/>
                <w:b/>
                <w:bCs/>
                <w:color w:val="244061" w:themeColor="accent1" w:themeShade="80"/>
                <w:sz w:val="28"/>
                <w:szCs w:val="28"/>
              </w:rPr>
              <w:t xml:space="preserve">NSW </w:t>
            </w:r>
            <w:r w:rsidRPr="00292847">
              <w:rPr>
                <w:rFonts w:ascii="Corbel" w:hAnsi="Corbel"/>
                <w:b/>
                <w:bCs/>
                <w:color w:val="244061" w:themeColor="accent1" w:themeShade="80"/>
                <w:sz w:val="28"/>
                <w:szCs w:val="28"/>
              </w:rPr>
              <w:t>Teacher Survey - Numeracy</w:t>
            </w:r>
          </w:p>
        </w:tc>
        <w:tc>
          <w:tcPr>
            <w:tcW w:w="979" w:type="dxa"/>
            <w:hideMark/>
          </w:tcPr>
          <w:p w14:paraId="4CB2A962" w14:textId="77777777" w:rsidR="00292847" w:rsidRPr="00292847" w:rsidRDefault="00292847" w:rsidP="007C4963">
            <w:pPr>
              <w:jc w:val="center"/>
              <w:rPr>
                <w:rFonts w:ascii="Corbel" w:hAnsi="Corbel"/>
                <w:b/>
                <w:bCs/>
                <w:color w:val="000000"/>
                <w:szCs w:val="18"/>
              </w:rPr>
            </w:pPr>
            <w:r w:rsidRPr="00292847">
              <w:rPr>
                <w:rFonts w:ascii="Corbel" w:hAnsi="Corbel"/>
                <w:b/>
                <w:bCs/>
                <w:color w:val="000000"/>
                <w:szCs w:val="18"/>
              </w:rPr>
              <w:t>Strongly agree</w:t>
            </w:r>
          </w:p>
        </w:tc>
        <w:tc>
          <w:tcPr>
            <w:tcW w:w="979" w:type="dxa"/>
            <w:hideMark/>
          </w:tcPr>
          <w:p w14:paraId="7D18E37F" w14:textId="77777777" w:rsidR="00292847" w:rsidRPr="00292847" w:rsidRDefault="00292847" w:rsidP="007C4963">
            <w:pPr>
              <w:jc w:val="center"/>
              <w:rPr>
                <w:rFonts w:ascii="Corbel" w:hAnsi="Corbel"/>
                <w:b/>
                <w:bCs/>
                <w:color w:val="000000"/>
                <w:szCs w:val="18"/>
              </w:rPr>
            </w:pPr>
            <w:r w:rsidRPr="00292847">
              <w:rPr>
                <w:rFonts w:ascii="Corbel" w:hAnsi="Corbel"/>
                <w:b/>
                <w:bCs/>
                <w:color w:val="000000"/>
                <w:szCs w:val="18"/>
              </w:rPr>
              <w:t>Agree</w:t>
            </w:r>
          </w:p>
        </w:tc>
        <w:tc>
          <w:tcPr>
            <w:tcW w:w="980" w:type="dxa"/>
            <w:hideMark/>
          </w:tcPr>
          <w:p w14:paraId="3EDC899B" w14:textId="77777777" w:rsidR="00292847" w:rsidRPr="00292847" w:rsidRDefault="00292847" w:rsidP="007C4963">
            <w:pPr>
              <w:jc w:val="center"/>
              <w:rPr>
                <w:rFonts w:ascii="Corbel" w:hAnsi="Corbel"/>
                <w:b/>
                <w:bCs/>
                <w:color w:val="000000"/>
                <w:szCs w:val="18"/>
              </w:rPr>
            </w:pPr>
            <w:r w:rsidRPr="00292847">
              <w:rPr>
                <w:rFonts w:ascii="Corbel" w:hAnsi="Corbel"/>
                <w:b/>
                <w:bCs/>
                <w:color w:val="000000"/>
                <w:szCs w:val="18"/>
              </w:rPr>
              <w:t>Disagree</w:t>
            </w:r>
          </w:p>
        </w:tc>
        <w:tc>
          <w:tcPr>
            <w:tcW w:w="979" w:type="dxa"/>
            <w:hideMark/>
          </w:tcPr>
          <w:p w14:paraId="2D97CC90" w14:textId="77777777" w:rsidR="00292847" w:rsidRPr="00292847" w:rsidRDefault="00292847" w:rsidP="007C4963">
            <w:pPr>
              <w:jc w:val="center"/>
              <w:rPr>
                <w:rFonts w:ascii="Corbel" w:hAnsi="Corbel"/>
                <w:b/>
                <w:bCs/>
                <w:color w:val="000000"/>
                <w:szCs w:val="18"/>
              </w:rPr>
            </w:pPr>
            <w:r w:rsidRPr="00292847">
              <w:rPr>
                <w:rFonts w:ascii="Corbel" w:hAnsi="Corbel"/>
                <w:b/>
                <w:bCs/>
                <w:color w:val="000000"/>
                <w:szCs w:val="18"/>
              </w:rPr>
              <w:t>Strongly disagree</w:t>
            </w:r>
          </w:p>
        </w:tc>
        <w:tc>
          <w:tcPr>
            <w:tcW w:w="980" w:type="dxa"/>
            <w:hideMark/>
          </w:tcPr>
          <w:p w14:paraId="338F6E34" w14:textId="77777777" w:rsidR="00292847" w:rsidRPr="00292847" w:rsidRDefault="00292847" w:rsidP="007C4963">
            <w:pPr>
              <w:jc w:val="center"/>
              <w:rPr>
                <w:rFonts w:ascii="Corbel" w:hAnsi="Corbel"/>
                <w:b/>
                <w:bCs/>
                <w:color w:val="000000"/>
                <w:szCs w:val="18"/>
              </w:rPr>
            </w:pPr>
            <w:r w:rsidRPr="00292847">
              <w:rPr>
                <w:rFonts w:ascii="Corbel" w:hAnsi="Corbel"/>
                <w:b/>
                <w:bCs/>
                <w:color w:val="000000"/>
                <w:szCs w:val="18"/>
              </w:rPr>
              <w:t>Don’t know</w:t>
            </w:r>
          </w:p>
        </w:tc>
      </w:tr>
      <w:tr w:rsidR="00292847" w:rsidRPr="00292847" w14:paraId="3FB693BB" w14:textId="77777777" w:rsidTr="00CE5A4B">
        <w:trPr>
          <w:trHeight w:val="439"/>
        </w:trPr>
        <w:tc>
          <w:tcPr>
            <w:tcW w:w="0" w:type="auto"/>
            <w:vMerge w:val="restart"/>
            <w:hideMark/>
          </w:tcPr>
          <w:p w14:paraId="74078746" w14:textId="18C4EAE9" w:rsidR="00292847" w:rsidRPr="00292847" w:rsidRDefault="00292847" w:rsidP="00273D45">
            <w:pPr>
              <w:rPr>
                <w:rFonts w:ascii="Corbel" w:hAnsi="Corbel"/>
                <w:b/>
                <w:color w:val="000000"/>
              </w:rPr>
            </w:pPr>
            <w:r w:rsidRPr="00292847">
              <w:rPr>
                <w:rFonts w:ascii="Corbel" w:hAnsi="Corbel"/>
                <w:b/>
                <w:color w:val="000000"/>
              </w:rPr>
              <w:t>1. I have a deeper understanding of the teaching of numeracy skills.</w:t>
            </w:r>
          </w:p>
        </w:tc>
        <w:tc>
          <w:tcPr>
            <w:tcW w:w="979" w:type="dxa"/>
            <w:hideMark/>
          </w:tcPr>
          <w:p w14:paraId="5FDD8AB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364</w:t>
            </w:r>
          </w:p>
        </w:tc>
        <w:tc>
          <w:tcPr>
            <w:tcW w:w="979" w:type="dxa"/>
            <w:hideMark/>
          </w:tcPr>
          <w:p w14:paraId="511FFCF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634</w:t>
            </w:r>
          </w:p>
        </w:tc>
        <w:tc>
          <w:tcPr>
            <w:tcW w:w="980" w:type="dxa"/>
            <w:hideMark/>
          </w:tcPr>
          <w:p w14:paraId="5338E2E1"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77</w:t>
            </w:r>
          </w:p>
        </w:tc>
        <w:tc>
          <w:tcPr>
            <w:tcW w:w="979" w:type="dxa"/>
            <w:hideMark/>
          </w:tcPr>
          <w:p w14:paraId="4864A65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11</w:t>
            </w:r>
          </w:p>
        </w:tc>
        <w:tc>
          <w:tcPr>
            <w:tcW w:w="980" w:type="dxa"/>
            <w:hideMark/>
          </w:tcPr>
          <w:p w14:paraId="584DE77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20</w:t>
            </w:r>
          </w:p>
        </w:tc>
      </w:tr>
      <w:tr w:rsidR="00292847" w:rsidRPr="00292847" w14:paraId="016DD268" w14:textId="77777777" w:rsidTr="00CE5A4B">
        <w:trPr>
          <w:trHeight w:val="439"/>
        </w:trPr>
        <w:tc>
          <w:tcPr>
            <w:tcW w:w="0" w:type="auto"/>
            <w:vMerge/>
            <w:hideMark/>
          </w:tcPr>
          <w:p w14:paraId="5A4E474C" w14:textId="77777777" w:rsidR="00292847" w:rsidRPr="00292847" w:rsidRDefault="00292847" w:rsidP="00292847">
            <w:pPr>
              <w:rPr>
                <w:rFonts w:ascii="Corbel" w:hAnsi="Corbel"/>
                <w:b/>
                <w:color w:val="000000"/>
              </w:rPr>
            </w:pPr>
          </w:p>
        </w:tc>
        <w:tc>
          <w:tcPr>
            <w:tcW w:w="979" w:type="dxa"/>
            <w:hideMark/>
          </w:tcPr>
          <w:p w14:paraId="08120AB3"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32.9%</w:t>
            </w:r>
          </w:p>
        </w:tc>
        <w:tc>
          <w:tcPr>
            <w:tcW w:w="979" w:type="dxa"/>
            <w:hideMark/>
          </w:tcPr>
          <w:p w14:paraId="37313192"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57.3%</w:t>
            </w:r>
          </w:p>
        </w:tc>
        <w:tc>
          <w:tcPr>
            <w:tcW w:w="980" w:type="dxa"/>
            <w:hideMark/>
          </w:tcPr>
          <w:p w14:paraId="75477EE2"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7.0%</w:t>
            </w:r>
          </w:p>
        </w:tc>
        <w:tc>
          <w:tcPr>
            <w:tcW w:w="979" w:type="dxa"/>
            <w:hideMark/>
          </w:tcPr>
          <w:p w14:paraId="52DBA3EE"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1.0%</w:t>
            </w:r>
          </w:p>
        </w:tc>
        <w:tc>
          <w:tcPr>
            <w:tcW w:w="980" w:type="dxa"/>
            <w:hideMark/>
          </w:tcPr>
          <w:p w14:paraId="4F2CB6CE"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1.8%</w:t>
            </w:r>
          </w:p>
        </w:tc>
      </w:tr>
      <w:tr w:rsidR="00292847" w:rsidRPr="00292847" w14:paraId="2EF63ACF" w14:textId="77777777" w:rsidTr="00CE5A4B">
        <w:trPr>
          <w:trHeight w:val="439"/>
        </w:trPr>
        <w:tc>
          <w:tcPr>
            <w:tcW w:w="0" w:type="auto"/>
            <w:vMerge w:val="restart"/>
            <w:hideMark/>
          </w:tcPr>
          <w:p w14:paraId="6D2DA3E3" w14:textId="5574AD4F" w:rsidR="00292847" w:rsidRPr="00292847" w:rsidRDefault="00292847" w:rsidP="00273D45">
            <w:pPr>
              <w:rPr>
                <w:rFonts w:ascii="Corbel" w:hAnsi="Corbel"/>
                <w:b/>
                <w:color w:val="000000"/>
              </w:rPr>
            </w:pPr>
            <w:r w:rsidRPr="00292847">
              <w:rPr>
                <w:rFonts w:ascii="Corbel" w:hAnsi="Corbel"/>
                <w:b/>
                <w:color w:val="000000"/>
              </w:rPr>
              <w:t>2. I am responsible for my students’ numeracy skill development.</w:t>
            </w:r>
          </w:p>
        </w:tc>
        <w:tc>
          <w:tcPr>
            <w:tcW w:w="979" w:type="dxa"/>
            <w:hideMark/>
          </w:tcPr>
          <w:p w14:paraId="0AF53FF1"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556</w:t>
            </w:r>
          </w:p>
        </w:tc>
        <w:tc>
          <w:tcPr>
            <w:tcW w:w="979" w:type="dxa"/>
            <w:hideMark/>
          </w:tcPr>
          <w:p w14:paraId="7DA2C4F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508</w:t>
            </w:r>
          </w:p>
        </w:tc>
        <w:tc>
          <w:tcPr>
            <w:tcW w:w="980" w:type="dxa"/>
            <w:hideMark/>
          </w:tcPr>
          <w:p w14:paraId="686AE4FC"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27</w:t>
            </w:r>
          </w:p>
        </w:tc>
        <w:tc>
          <w:tcPr>
            <w:tcW w:w="979" w:type="dxa"/>
            <w:hideMark/>
          </w:tcPr>
          <w:p w14:paraId="67DF8CA8"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w:t>
            </w:r>
          </w:p>
        </w:tc>
        <w:tc>
          <w:tcPr>
            <w:tcW w:w="980" w:type="dxa"/>
            <w:hideMark/>
          </w:tcPr>
          <w:p w14:paraId="06240591"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9</w:t>
            </w:r>
          </w:p>
        </w:tc>
      </w:tr>
      <w:tr w:rsidR="00292847" w:rsidRPr="00292847" w14:paraId="02933712" w14:textId="77777777" w:rsidTr="00CE5A4B">
        <w:trPr>
          <w:trHeight w:val="439"/>
        </w:trPr>
        <w:tc>
          <w:tcPr>
            <w:tcW w:w="0" w:type="auto"/>
            <w:vMerge/>
            <w:hideMark/>
          </w:tcPr>
          <w:p w14:paraId="373AD457" w14:textId="77777777" w:rsidR="00292847" w:rsidRPr="00292847" w:rsidRDefault="00292847" w:rsidP="00292847">
            <w:pPr>
              <w:rPr>
                <w:rFonts w:ascii="Corbel" w:hAnsi="Corbel"/>
                <w:b/>
                <w:color w:val="000000"/>
              </w:rPr>
            </w:pPr>
          </w:p>
        </w:tc>
        <w:tc>
          <w:tcPr>
            <w:tcW w:w="979" w:type="dxa"/>
            <w:hideMark/>
          </w:tcPr>
          <w:p w14:paraId="66F0EFD6"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50.3%</w:t>
            </w:r>
          </w:p>
        </w:tc>
        <w:tc>
          <w:tcPr>
            <w:tcW w:w="979" w:type="dxa"/>
            <w:hideMark/>
          </w:tcPr>
          <w:p w14:paraId="442DC39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46.0%</w:t>
            </w:r>
          </w:p>
        </w:tc>
        <w:tc>
          <w:tcPr>
            <w:tcW w:w="980" w:type="dxa"/>
            <w:hideMark/>
          </w:tcPr>
          <w:p w14:paraId="2AB5C323"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2.4%</w:t>
            </w:r>
          </w:p>
        </w:tc>
        <w:tc>
          <w:tcPr>
            <w:tcW w:w="979" w:type="dxa"/>
            <w:hideMark/>
          </w:tcPr>
          <w:p w14:paraId="1A0BE78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0.5%</w:t>
            </w:r>
          </w:p>
        </w:tc>
        <w:tc>
          <w:tcPr>
            <w:tcW w:w="980" w:type="dxa"/>
            <w:hideMark/>
          </w:tcPr>
          <w:p w14:paraId="55BE5A18"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0.8%</w:t>
            </w:r>
          </w:p>
        </w:tc>
      </w:tr>
      <w:tr w:rsidR="00292847" w:rsidRPr="00292847" w14:paraId="0C650CD5" w14:textId="77777777" w:rsidTr="00CE5A4B">
        <w:trPr>
          <w:trHeight w:val="439"/>
        </w:trPr>
        <w:tc>
          <w:tcPr>
            <w:tcW w:w="0" w:type="auto"/>
            <w:vMerge w:val="restart"/>
            <w:hideMark/>
          </w:tcPr>
          <w:p w14:paraId="64B453AD" w14:textId="7829802B" w:rsidR="00292847" w:rsidRPr="00292847" w:rsidRDefault="00292847" w:rsidP="00273D45">
            <w:pPr>
              <w:rPr>
                <w:rFonts w:ascii="Corbel" w:hAnsi="Corbel"/>
                <w:b/>
                <w:color w:val="000000"/>
              </w:rPr>
            </w:pPr>
            <w:r w:rsidRPr="00292847">
              <w:rPr>
                <w:rFonts w:ascii="Corbel" w:hAnsi="Corbel"/>
                <w:b/>
                <w:color w:val="000000"/>
              </w:rPr>
              <w:t>3. I hold high expectations that all of my students will succeed in numeracy.</w:t>
            </w:r>
          </w:p>
        </w:tc>
        <w:tc>
          <w:tcPr>
            <w:tcW w:w="979" w:type="dxa"/>
            <w:hideMark/>
          </w:tcPr>
          <w:p w14:paraId="74FAFF2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542</w:t>
            </w:r>
          </w:p>
        </w:tc>
        <w:tc>
          <w:tcPr>
            <w:tcW w:w="979" w:type="dxa"/>
            <w:hideMark/>
          </w:tcPr>
          <w:p w14:paraId="5C1B237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499</w:t>
            </w:r>
          </w:p>
        </w:tc>
        <w:tc>
          <w:tcPr>
            <w:tcW w:w="980" w:type="dxa"/>
            <w:hideMark/>
          </w:tcPr>
          <w:p w14:paraId="182CF509"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47</w:t>
            </w:r>
          </w:p>
        </w:tc>
        <w:tc>
          <w:tcPr>
            <w:tcW w:w="979" w:type="dxa"/>
            <w:hideMark/>
          </w:tcPr>
          <w:p w14:paraId="0FC11B76"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w:t>
            </w:r>
          </w:p>
        </w:tc>
        <w:tc>
          <w:tcPr>
            <w:tcW w:w="980" w:type="dxa"/>
            <w:hideMark/>
          </w:tcPr>
          <w:p w14:paraId="7E473263"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13</w:t>
            </w:r>
          </w:p>
        </w:tc>
      </w:tr>
      <w:tr w:rsidR="00292847" w:rsidRPr="00292847" w14:paraId="0F1F9DF1" w14:textId="77777777" w:rsidTr="00CE5A4B">
        <w:trPr>
          <w:trHeight w:val="439"/>
        </w:trPr>
        <w:tc>
          <w:tcPr>
            <w:tcW w:w="0" w:type="auto"/>
            <w:vMerge/>
            <w:hideMark/>
          </w:tcPr>
          <w:p w14:paraId="1BAA0D70" w14:textId="77777777" w:rsidR="00292847" w:rsidRPr="00292847" w:rsidRDefault="00292847" w:rsidP="00292847">
            <w:pPr>
              <w:rPr>
                <w:rFonts w:ascii="Corbel" w:hAnsi="Corbel"/>
                <w:b/>
                <w:color w:val="000000"/>
              </w:rPr>
            </w:pPr>
          </w:p>
        </w:tc>
        <w:tc>
          <w:tcPr>
            <w:tcW w:w="979" w:type="dxa"/>
            <w:hideMark/>
          </w:tcPr>
          <w:p w14:paraId="65D25528"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49.0%</w:t>
            </w:r>
          </w:p>
        </w:tc>
        <w:tc>
          <w:tcPr>
            <w:tcW w:w="979" w:type="dxa"/>
            <w:hideMark/>
          </w:tcPr>
          <w:p w14:paraId="5119C6B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45.1%</w:t>
            </w:r>
          </w:p>
        </w:tc>
        <w:tc>
          <w:tcPr>
            <w:tcW w:w="980" w:type="dxa"/>
            <w:hideMark/>
          </w:tcPr>
          <w:p w14:paraId="64E8EC29"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4.2%</w:t>
            </w:r>
          </w:p>
        </w:tc>
        <w:tc>
          <w:tcPr>
            <w:tcW w:w="979" w:type="dxa"/>
            <w:hideMark/>
          </w:tcPr>
          <w:p w14:paraId="56B8DC00"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0.5%</w:t>
            </w:r>
          </w:p>
        </w:tc>
        <w:tc>
          <w:tcPr>
            <w:tcW w:w="980" w:type="dxa"/>
            <w:hideMark/>
          </w:tcPr>
          <w:p w14:paraId="0CDCD68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1.2%</w:t>
            </w:r>
          </w:p>
        </w:tc>
      </w:tr>
      <w:tr w:rsidR="00292847" w:rsidRPr="00292847" w14:paraId="557BC58E" w14:textId="77777777" w:rsidTr="00CE5A4B">
        <w:trPr>
          <w:trHeight w:val="439"/>
        </w:trPr>
        <w:tc>
          <w:tcPr>
            <w:tcW w:w="0" w:type="auto"/>
            <w:vMerge w:val="restart"/>
            <w:hideMark/>
          </w:tcPr>
          <w:p w14:paraId="4AFADB4D" w14:textId="6B26F4F8" w:rsidR="00292847" w:rsidRPr="00292847" w:rsidRDefault="00292847" w:rsidP="00273D45">
            <w:pPr>
              <w:rPr>
                <w:rFonts w:ascii="Corbel" w:hAnsi="Corbel"/>
                <w:b/>
                <w:color w:val="000000"/>
              </w:rPr>
            </w:pPr>
            <w:r w:rsidRPr="00292847">
              <w:rPr>
                <w:rFonts w:ascii="Corbel" w:hAnsi="Corbel"/>
                <w:b/>
                <w:color w:val="000000"/>
              </w:rPr>
              <w:t>4. My school has increased its use of data from the Numeracy Continuum K-10 to inform teaching and learning.</w:t>
            </w:r>
          </w:p>
        </w:tc>
        <w:tc>
          <w:tcPr>
            <w:tcW w:w="979" w:type="dxa"/>
            <w:hideMark/>
          </w:tcPr>
          <w:p w14:paraId="14BBEE0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428</w:t>
            </w:r>
          </w:p>
        </w:tc>
        <w:tc>
          <w:tcPr>
            <w:tcW w:w="979" w:type="dxa"/>
            <w:hideMark/>
          </w:tcPr>
          <w:p w14:paraId="08A6EF84"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558</w:t>
            </w:r>
          </w:p>
        </w:tc>
        <w:tc>
          <w:tcPr>
            <w:tcW w:w="980" w:type="dxa"/>
            <w:hideMark/>
          </w:tcPr>
          <w:p w14:paraId="073F4930"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31</w:t>
            </w:r>
          </w:p>
        </w:tc>
        <w:tc>
          <w:tcPr>
            <w:tcW w:w="979" w:type="dxa"/>
            <w:hideMark/>
          </w:tcPr>
          <w:p w14:paraId="21E76CB0"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11</w:t>
            </w:r>
          </w:p>
        </w:tc>
        <w:tc>
          <w:tcPr>
            <w:tcW w:w="980" w:type="dxa"/>
            <w:hideMark/>
          </w:tcPr>
          <w:p w14:paraId="464162E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75</w:t>
            </w:r>
          </w:p>
        </w:tc>
      </w:tr>
      <w:tr w:rsidR="00292847" w:rsidRPr="00292847" w14:paraId="078C77AE" w14:textId="77777777" w:rsidTr="00CE5A4B">
        <w:trPr>
          <w:trHeight w:val="439"/>
        </w:trPr>
        <w:tc>
          <w:tcPr>
            <w:tcW w:w="0" w:type="auto"/>
            <w:vMerge/>
            <w:hideMark/>
          </w:tcPr>
          <w:p w14:paraId="0856B4AD" w14:textId="77777777" w:rsidR="00292847" w:rsidRPr="00292847" w:rsidRDefault="00292847" w:rsidP="00292847">
            <w:pPr>
              <w:rPr>
                <w:rFonts w:ascii="Corbel" w:hAnsi="Corbel"/>
                <w:b/>
                <w:color w:val="000000"/>
              </w:rPr>
            </w:pPr>
          </w:p>
        </w:tc>
        <w:tc>
          <w:tcPr>
            <w:tcW w:w="979" w:type="dxa"/>
            <w:hideMark/>
          </w:tcPr>
          <w:p w14:paraId="015E0D6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38.8%</w:t>
            </w:r>
          </w:p>
        </w:tc>
        <w:tc>
          <w:tcPr>
            <w:tcW w:w="979" w:type="dxa"/>
            <w:hideMark/>
          </w:tcPr>
          <w:p w14:paraId="1034862E"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50.6%</w:t>
            </w:r>
          </w:p>
        </w:tc>
        <w:tc>
          <w:tcPr>
            <w:tcW w:w="980" w:type="dxa"/>
            <w:hideMark/>
          </w:tcPr>
          <w:p w14:paraId="4A0C45D0"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2.8%</w:t>
            </w:r>
          </w:p>
        </w:tc>
        <w:tc>
          <w:tcPr>
            <w:tcW w:w="979" w:type="dxa"/>
            <w:hideMark/>
          </w:tcPr>
          <w:p w14:paraId="53DF1D42"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1.0%</w:t>
            </w:r>
          </w:p>
        </w:tc>
        <w:tc>
          <w:tcPr>
            <w:tcW w:w="980" w:type="dxa"/>
            <w:hideMark/>
          </w:tcPr>
          <w:p w14:paraId="3172434C"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6.8%</w:t>
            </w:r>
          </w:p>
        </w:tc>
      </w:tr>
      <w:tr w:rsidR="00292847" w:rsidRPr="00292847" w14:paraId="674A351B" w14:textId="77777777" w:rsidTr="00CE5A4B">
        <w:trPr>
          <w:trHeight w:val="439"/>
        </w:trPr>
        <w:tc>
          <w:tcPr>
            <w:tcW w:w="0" w:type="auto"/>
            <w:vMerge w:val="restart"/>
            <w:hideMark/>
          </w:tcPr>
          <w:p w14:paraId="32D8031D" w14:textId="5090B7F7" w:rsidR="00292847" w:rsidRPr="00292847" w:rsidRDefault="00292847" w:rsidP="00273D45">
            <w:pPr>
              <w:rPr>
                <w:rFonts w:ascii="Corbel" w:hAnsi="Corbel"/>
                <w:b/>
                <w:color w:val="000000"/>
              </w:rPr>
            </w:pPr>
            <w:r w:rsidRPr="00292847">
              <w:rPr>
                <w:rFonts w:ascii="Corbel" w:hAnsi="Corbel"/>
                <w:b/>
                <w:color w:val="000000"/>
              </w:rPr>
              <w:t>5. Whole-school strategies have improved student performance in numeracy.</w:t>
            </w:r>
          </w:p>
        </w:tc>
        <w:tc>
          <w:tcPr>
            <w:tcW w:w="979" w:type="dxa"/>
            <w:hideMark/>
          </w:tcPr>
          <w:p w14:paraId="23FC2C27"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312</w:t>
            </w:r>
          </w:p>
        </w:tc>
        <w:tc>
          <w:tcPr>
            <w:tcW w:w="979" w:type="dxa"/>
            <w:hideMark/>
          </w:tcPr>
          <w:p w14:paraId="1C36ABF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570</w:t>
            </w:r>
          </w:p>
        </w:tc>
        <w:tc>
          <w:tcPr>
            <w:tcW w:w="980" w:type="dxa"/>
            <w:hideMark/>
          </w:tcPr>
          <w:p w14:paraId="7870B7E3"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78</w:t>
            </w:r>
          </w:p>
        </w:tc>
        <w:tc>
          <w:tcPr>
            <w:tcW w:w="979" w:type="dxa"/>
            <w:hideMark/>
          </w:tcPr>
          <w:p w14:paraId="174B7B66"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9</w:t>
            </w:r>
          </w:p>
        </w:tc>
        <w:tc>
          <w:tcPr>
            <w:tcW w:w="980" w:type="dxa"/>
            <w:hideMark/>
          </w:tcPr>
          <w:p w14:paraId="45C9BC50"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134</w:t>
            </w:r>
          </w:p>
        </w:tc>
      </w:tr>
      <w:tr w:rsidR="00292847" w:rsidRPr="00292847" w14:paraId="42B84B73" w14:textId="77777777" w:rsidTr="00CE5A4B">
        <w:trPr>
          <w:trHeight w:val="439"/>
        </w:trPr>
        <w:tc>
          <w:tcPr>
            <w:tcW w:w="0" w:type="auto"/>
            <w:vMerge/>
            <w:hideMark/>
          </w:tcPr>
          <w:p w14:paraId="24E44A2A" w14:textId="77777777" w:rsidR="00292847" w:rsidRPr="00292847" w:rsidRDefault="00292847" w:rsidP="00292847">
            <w:pPr>
              <w:rPr>
                <w:rFonts w:ascii="Corbel" w:hAnsi="Corbel"/>
                <w:b/>
                <w:color w:val="000000"/>
              </w:rPr>
            </w:pPr>
          </w:p>
        </w:tc>
        <w:tc>
          <w:tcPr>
            <w:tcW w:w="979" w:type="dxa"/>
            <w:hideMark/>
          </w:tcPr>
          <w:p w14:paraId="64FE02A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28.3%</w:t>
            </w:r>
          </w:p>
        </w:tc>
        <w:tc>
          <w:tcPr>
            <w:tcW w:w="979" w:type="dxa"/>
            <w:hideMark/>
          </w:tcPr>
          <w:p w14:paraId="7FB98361"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51.7%</w:t>
            </w:r>
          </w:p>
        </w:tc>
        <w:tc>
          <w:tcPr>
            <w:tcW w:w="980" w:type="dxa"/>
            <w:hideMark/>
          </w:tcPr>
          <w:p w14:paraId="0AF22CF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7.1%</w:t>
            </w:r>
          </w:p>
        </w:tc>
        <w:tc>
          <w:tcPr>
            <w:tcW w:w="979" w:type="dxa"/>
            <w:hideMark/>
          </w:tcPr>
          <w:p w14:paraId="07B36B47"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0.8%</w:t>
            </w:r>
          </w:p>
        </w:tc>
        <w:tc>
          <w:tcPr>
            <w:tcW w:w="980" w:type="dxa"/>
            <w:hideMark/>
          </w:tcPr>
          <w:p w14:paraId="0927461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12.1%</w:t>
            </w:r>
          </w:p>
        </w:tc>
      </w:tr>
      <w:tr w:rsidR="00292847" w:rsidRPr="00292847" w14:paraId="130C852A" w14:textId="77777777" w:rsidTr="00CE5A4B">
        <w:trPr>
          <w:trHeight w:val="439"/>
        </w:trPr>
        <w:tc>
          <w:tcPr>
            <w:tcW w:w="0" w:type="auto"/>
            <w:vMerge w:val="restart"/>
            <w:hideMark/>
          </w:tcPr>
          <w:p w14:paraId="333360FB" w14:textId="5AEE71E5" w:rsidR="00292847" w:rsidRPr="00292847" w:rsidRDefault="00292847" w:rsidP="00273D45">
            <w:pPr>
              <w:rPr>
                <w:rFonts w:ascii="Corbel" w:hAnsi="Corbel"/>
                <w:b/>
                <w:color w:val="000000"/>
              </w:rPr>
            </w:pPr>
            <w:r w:rsidRPr="00292847">
              <w:rPr>
                <w:rFonts w:ascii="Corbel" w:hAnsi="Corbel"/>
                <w:b/>
                <w:color w:val="000000"/>
              </w:rPr>
              <w:t>6. Targeted approaches have improved student performance in numeracy.</w:t>
            </w:r>
          </w:p>
        </w:tc>
        <w:tc>
          <w:tcPr>
            <w:tcW w:w="979" w:type="dxa"/>
            <w:hideMark/>
          </w:tcPr>
          <w:p w14:paraId="551C4DBB"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360</w:t>
            </w:r>
          </w:p>
        </w:tc>
        <w:tc>
          <w:tcPr>
            <w:tcW w:w="979" w:type="dxa"/>
            <w:hideMark/>
          </w:tcPr>
          <w:p w14:paraId="39DEE2E3"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586</w:t>
            </w:r>
          </w:p>
        </w:tc>
        <w:tc>
          <w:tcPr>
            <w:tcW w:w="980" w:type="dxa"/>
            <w:hideMark/>
          </w:tcPr>
          <w:p w14:paraId="36B3042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45</w:t>
            </w:r>
          </w:p>
        </w:tc>
        <w:tc>
          <w:tcPr>
            <w:tcW w:w="979" w:type="dxa"/>
            <w:hideMark/>
          </w:tcPr>
          <w:p w14:paraId="0CB2C594"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w:t>
            </w:r>
          </w:p>
        </w:tc>
        <w:tc>
          <w:tcPr>
            <w:tcW w:w="980" w:type="dxa"/>
            <w:hideMark/>
          </w:tcPr>
          <w:p w14:paraId="415272D7"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108</w:t>
            </w:r>
          </w:p>
        </w:tc>
      </w:tr>
      <w:tr w:rsidR="00292847" w:rsidRPr="00292847" w14:paraId="0FBE1BCD" w14:textId="77777777" w:rsidTr="00CE5A4B">
        <w:trPr>
          <w:trHeight w:val="439"/>
        </w:trPr>
        <w:tc>
          <w:tcPr>
            <w:tcW w:w="0" w:type="auto"/>
            <w:vMerge/>
            <w:hideMark/>
          </w:tcPr>
          <w:p w14:paraId="625D54AD" w14:textId="77777777" w:rsidR="00292847" w:rsidRPr="00292847" w:rsidRDefault="00292847" w:rsidP="00292847">
            <w:pPr>
              <w:rPr>
                <w:rFonts w:ascii="Corbel" w:hAnsi="Corbel"/>
                <w:b/>
                <w:color w:val="000000"/>
              </w:rPr>
            </w:pPr>
          </w:p>
        </w:tc>
        <w:tc>
          <w:tcPr>
            <w:tcW w:w="979" w:type="dxa"/>
            <w:hideMark/>
          </w:tcPr>
          <w:p w14:paraId="3186686F"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32.6%</w:t>
            </w:r>
          </w:p>
        </w:tc>
        <w:tc>
          <w:tcPr>
            <w:tcW w:w="979" w:type="dxa"/>
            <w:hideMark/>
          </w:tcPr>
          <w:p w14:paraId="0C61404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53.0%</w:t>
            </w:r>
          </w:p>
        </w:tc>
        <w:tc>
          <w:tcPr>
            <w:tcW w:w="980" w:type="dxa"/>
            <w:hideMark/>
          </w:tcPr>
          <w:p w14:paraId="09EB57A9"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4.1%</w:t>
            </w:r>
          </w:p>
        </w:tc>
        <w:tc>
          <w:tcPr>
            <w:tcW w:w="979" w:type="dxa"/>
            <w:hideMark/>
          </w:tcPr>
          <w:p w14:paraId="248E918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0.5%</w:t>
            </w:r>
          </w:p>
        </w:tc>
        <w:tc>
          <w:tcPr>
            <w:tcW w:w="980" w:type="dxa"/>
            <w:hideMark/>
          </w:tcPr>
          <w:p w14:paraId="0C7215E1"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9.8%</w:t>
            </w:r>
          </w:p>
        </w:tc>
      </w:tr>
      <w:tr w:rsidR="00292847" w:rsidRPr="00292847" w14:paraId="1FCF10D1" w14:textId="77777777" w:rsidTr="00CE5A4B">
        <w:trPr>
          <w:trHeight w:val="439"/>
        </w:trPr>
        <w:tc>
          <w:tcPr>
            <w:tcW w:w="0" w:type="auto"/>
            <w:vMerge w:val="restart"/>
            <w:hideMark/>
          </w:tcPr>
          <w:p w14:paraId="0B3D50C2" w14:textId="08943F01" w:rsidR="00292847" w:rsidRPr="00292847" w:rsidRDefault="00292847" w:rsidP="00273D45">
            <w:pPr>
              <w:rPr>
                <w:rFonts w:ascii="Corbel" w:hAnsi="Corbel"/>
                <w:b/>
                <w:color w:val="000000"/>
              </w:rPr>
            </w:pPr>
            <w:r w:rsidRPr="00292847">
              <w:rPr>
                <w:rFonts w:ascii="Corbel" w:hAnsi="Corbel"/>
                <w:b/>
                <w:color w:val="000000"/>
              </w:rPr>
              <w:t>7. My teaching of numeracy contributes to the achievements of my school’s numeracy targets.</w:t>
            </w:r>
          </w:p>
        </w:tc>
        <w:tc>
          <w:tcPr>
            <w:tcW w:w="979" w:type="dxa"/>
            <w:hideMark/>
          </w:tcPr>
          <w:p w14:paraId="4A4FC851"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467</w:t>
            </w:r>
          </w:p>
        </w:tc>
        <w:tc>
          <w:tcPr>
            <w:tcW w:w="979" w:type="dxa"/>
            <w:hideMark/>
          </w:tcPr>
          <w:p w14:paraId="71C49AD9"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559</w:t>
            </w:r>
          </w:p>
        </w:tc>
        <w:tc>
          <w:tcPr>
            <w:tcW w:w="980" w:type="dxa"/>
            <w:hideMark/>
          </w:tcPr>
          <w:p w14:paraId="1E75655B"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27</w:t>
            </w:r>
          </w:p>
        </w:tc>
        <w:tc>
          <w:tcPr>
            <w:tcW w:w="979" w:type="dxa"/>
            <w:hideMark/>
          </w:tcPr>
          <w:p w14:paraId="18BE048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w:t>
            </w:r>
          </w:p>
        </w:tc>
        <w:tc>
          <w:tcPr>
            <w:tcW w:w="980" w:type="dxa"/>
            <w:hideMark/>
          </w:tcPr>
          <w:p w14:paraId="4CC0E99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49</w:t>
            </w:r>
          </w:p>
        </w:tc>
      </w:tr>
      <w:tr w:rsidR="00292847" w:rsidRPr="00292847" w14:paraId="65F2D172" w14:textId="77777777" w:rsidTr="00CE5A4B">
        <w:trPr>
          <w:trHeight w:val="439"/>
        </w:trPr>
        <w:tc>
          <w:tcPr>
            <w:tcW w:w="0" w:type="auto"/>
            <w:vMerge/>
            <w:hideMark/>
          </w:tcPr>
          <w:p w14:paraId="65C4E12A" w14:textId="77777777" w:rsidR="00292847" w:rsidRPr="00292847" w:rsidRDefault="00292847" w:rsidP="00292847">
            <w:pPr>
              <w:rPr>
                <w:rFonts w:ascii="Corbel" w:hAnsi="Corbel"/>
                <w:b/>
                <w:color w:val="000000"/>
              </w:rPr>
            </w:pPr>
          </w:p>
        </w:tc>
        <w:tc>
          <w:tcPr>
            <w:tcW w:w="979" w:type="dxa"/>
            <w:hideMark/>
          </w:tcPr>
          <w:p w14:paraId="4CFEEDC9"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42.3%</w:t>
            </w:r>
          </w:p>
        </w:tc>
        <w:tc>
          <w:tcPr>
            <w:tcW w:w="979" w:type="dxa"/>
            <w:hideMark/>
          </w:tcPr>
          <w:p w14:paraId="6AF51694"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50.6%</w:t>
            </w:r>
          </w:p>
        </w:tc>
        <w:tc>
          <w:tcPr>
            <w:tcW w:w="980" w:type="dxa"/>
            <w:hideMark/>
          </w:tcPr>
          <w:p w14:paraId="57700E72"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2.4%</w:t>
            </w:r>
          </w:p>
        </w:tc>
        <w:tc>
          <w:tcPr>
            <w:tcW w:w="979" w:type="dxa"/>
            <w:hideMark/>
          </w:tcPr>
          <w:p w14:paraId="00E70DC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0.3%</w:t>
            </w:r>
          </w:p>
        </w:tc>
        <w:tc>
          <w:tcPr>
            <w:tcW w:w="980" w:type="dxa"/>
            <w:hideMark/>
          </w:tcPr>
          <w:p w14:paraId="3B09118B"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4.4%</w:t>
            </w:r>
          </w:p>
        </w:tc>
      </w:tr>
      <w:tr w:rsidR="00292847" w:rsidRPr="00292847" w14:paraId="74DD633D" w14:textId="77777777" w:rsidTr="00CE5A4B">
        <w:trPr>
          <w:trHeight w:val="439"/>
        </w:trPr>
        <w:tc>
          <w:tcPr>
            <w:tcW w:w="0" w:type="auto"/>
            <w:vMerge w:val="restart"/>
            <w:hideMark/>
          </w:tcPr>
          <w:p w14:paraId="2F59E073" w14:textId="3A41B08D" w:rsidR="00292847" w:rsidRPr="00292847" w:rsidRDefault="00292847" w:rsidP="00273D45">
            <w:pPr>
              <w:rPr>
                <w:rFonts w:ascii="Corbel" w:hAnsi="Corbel"/>
                <w:b/>
                <w:color w:val="000000"/>
              </w:rPr>
            </w:pPr>
            <w:r w:rsidRPr="00292847">
              <w:rPr>
                <w:rFonts w:ascii="Corbel" w:hAnsi="Corbel"/>
                <w:b/>
                <w:color w:val="000000"/>
              </w:rPr>
              <w:t>8. The range of strategies to explicitly address students’ numeracy needs in my teaching program has increased.</w:t>
            </w:r>
          </w:p>
        </w:tc>
        <w:tc>
          <w:tcPr>
            <w:tcW w:w="979" w:type="dxa"/>
            <w:hideMark/>
          </w:tcPr>
          <w:p w14:paraId="2604740B"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397</w:t>
            </w:r>
          </w:p>
        </w:tc>
        <w:tc>
          <w:tcPr>
            <w:tcW w:w="979" w:type="dxa"/>
            <w:hideMark/>
          </w:tcPr>
          <w:p w14:paraId="13E4A2C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604</w:t>
            </w:r>
          </w:p>
        </w:tc>
        <w:tc>
          <w:tcPr>
            <w:tcW w:w="980" w:type="dxa"/>
            <w:hideMark/>
          </w:tcPr>
          <w:p w14:paraId="4545DC39"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67</w:t>
            </w:r>
          </w:p>
        </w:tc>
        <w:tc>
          <w:tcPr>
            <w:tcW w:w="979" w:type="dxa"/>
            <w:hideMark/>
          </w:tcPr>
          <w:p w14:paraId="241E636E"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w:t>
            </w:r>
          </w:p>
        </w:tc>
        <w:tc>
          <w:tcPr>
            <w:tcW w:w="980" w:type="dxa"/>
            <w:hideMark/>
          </w:tcPr>
          <w:p w14:paraId="3CD93BF1"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32</w:t>
            </w:r>
          </w:p>
        </w:tc>
      </w:tr>
      <w:tr w:rsidR="00292847" w:rsidRPr="00292847" w14:paraId="2EC0E836" w14:textId="77777777" w:rsidTr="00CE5A4B">
        <w:trPr>
          <w:trHeight w:val="439"/>
        </w:trPr>
        <w:tc>
          <w:tcPr>
            <w:tcW w:w="0" w:type="auto"/>
            <w:vMerge/>
            <w:hideMark/>
          </w:tcPr>
          <w:p w14:paraId="6C35216E" w14:textId="77777777" w:rsidR="00292847" w:rsidRPr="00292847" w:rsidRDefault="00292847" w:rsidP="00292847">
            <w:pPr>
              <w:rPr>
                <w:rFonts w:ascii="Corbel" w:hAnsi="Corbel"/>
                <w:b/>
                <w:color w:val="000000"/>
              </w:rPr>
            </w:pPr>
          </w:p>
        </w:tc>
        <w:tc>
          <w:tcPr>
            <w:tcW w:w="979" w:type="dxa"/>
            <w:hideMark/>
          </w:tcPr>
          <w:p w14:paraId="4D5065FB"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35.9%</w:t>
            </w:r>
          </w:p>
        </w:tc>
        <w:tc>
          <w:tcPr>
            <w:tcW w:w="979" w:type="dxa"/>
            <w:hideMark/>
          </w:tcPr>
          <w:p w14:paraId="2065331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54.7%</w:t>
            </w:r>
          </w:p>
        </w:tc>
        <w:tc>
          <w:tcPr>
            <w:tcW w:w="980" w:type="dxa"/>
            <w:hideMark/>
          </w:tcPr>
          <w:p w14:paraId="6566ACB6"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6.1%</w:t>
            </w:r>
          </w:p>
        </w:tc>
        <w:tc>
          <w:tcPr>
            <w:tcW w:w="979" w:type="dxa"/>
            <w:hideMark/>
          </w:tcPr>
          <w:p w14:paraId="2EFC9F67"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0.5%</w:t>
            </w:r>
          </w:p>
        </w:tc>
        <w:tc>
          <w:tcPr>
            <w:tcW w:w="980" w:type="dxa"/>
            <w:hideMark/>
          </w:tcPr>
          <w:p w14:paraId="2C7C11B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2.9%</w:t>
            </w:r>
          </w:p>
        </w:tc>
      </w:tr>
      <w:tr w:rsidR="00292847" w:rsidRPr="00292847" w14:paraId="45D5B12C" w14:textId="77777777" w:rsidTr="00CE5A4B">
        <w:trPr>
          <w:trHeight w:val="439"/>
        </w:trPr>
        <w:tc>
          <w:tcPr>
            <w:tcW w:w="0" w:type="auto"/>
            <w:vMerge w:val="restart"/>
            <w:hideMark/>
          </w:tcPr>
          <w:p w14:paraId="399918B7" w14:textId="051EEAFE" w:rsidR="00292847" w:rsidRPr="00292847" w:rsidRDefault="00292847" w:rsidP="00273D45">
            <w:pPr>
              <w:rPr>
                <w:rFonts w:ascii="Corbel" w:hAnsi="Corbel"/>
                <w:b/>
                <w:color w:val="000000"/>
              </w:rPr>
            </w:pPr>
            <w:r w:rsidRPr="00292847">
              <w:rPr>
                <w:rFonts w:ascii="Corbel" w:hAnsi="Corbel"/>
                <w:b/>
                <w:color w:val="000000"/>
              </w:rPr>
              <w:t>9. I teach the vocabulary and metalanguage of numeracy.</w:t>
            </w:r>
          </w:p>
        </w:tc>
        <w:tc>
          <w:tcPr>
            <w:tcW w:w="979" w:type="dxa"/>
            <w:hideMark/>
          </w:tcPr>
          <w:p w14:paraId="4155E7B1"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413</w:t>
            </w:r>
          </w:p>
        </w:tc>
        <w:tc>
          <w:tcPr>
            <w:tcW w:w="979" w:type="dxa"/>
            <w:hideMark/>
          </w:tcPr>
          <w:p w14:paraId="17A6488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604</w:t>
            </w:r>
          </w:p>
        </w:tc>
        <w:tc>
          <w:tcPr>
            <w:tcW w:w="980" w:type="dxa"/>
            <w:hideMark/>
          </w:tcPr>
          <w:p w14:paraId="6138DA46"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48</w:t>
            </w:r>
          </w:p>
        </w:tc>
        <w:tc>
          <w:tcPr>
            <w:tcW w:w="979" w:type="dxa"/>
            <w:hideMark/>
          </w:tcPr>
          <w:p w14:paraId="5D1AA5F7"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w:t>
            </w:r>
          </w:p>
        </w:tc>
        <w:tc>
          <w:tcPr>
            <w:tcW w:w="980" w:type="dxa"/>
            <w:hideMark/>
          </w:tcPr>
          <w:p w14:paraId="625DDC34"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18</w:t>
            </w:r>
          </w:p>
        </w:tc>
      </w:tr>
      <w:tr w:rsidR="00292847" w:rsidRPr="00292847" w14:paraId="456E8DA7" w14:textId="77777777" w:rsidTr="00CE5A4B">
        <w:trPr>
          <w:trHeight w:val="439"/>
        </w:trPr>
        <w:tc>
          <w:tcPr>
            <w:tcW w:w="0" w:type="auto"/>
            <w:vMerge/>
            <w:hideMark/>
          </w:tcPr>
          <w:p w14:paraId="31FACF9C" w14:textId="77777777" w:rsidR="00292847" w:rsidRPr="00292847" w:rsidRDefault="00292847" w:rsidP="00292847">
            <w:pPr>
              <w:rPr>
                <w:rFonts w:ascii="Corbel" w:hAnsi="Corbel"/>
                <w:b/>
                <w:color w:val="000000"/>
              </w:rPr>
            </w:pPr>
          </w:p>
        </w:tc>
        <w:tc>
          <w:tcPr>
            <w:tcW w:w="979" w:type="dxa"/>
            <w:hideMark/>
          </w:tcPr>
          <w:p w14:paraId="7DFB595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37.9%</w:t>
            </w:r>
          </w:p>
        </w:tc>
        <w:tc>
          <w:tcPr>
            <w:tcW w:w="979" w:type="dxa"/>
            <w:hideMark/>
          </w:tcPr>
          <w:p w14:paraId="2E9FCF0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55.5%</w:t>
            </w:r>
          </w:p>
        </w:tc>
        <w:tc>
          <w:tcPr>
            <w:tcW w:w="980" w:type="dxa"/>
            <w:hideMark/>
          </w:tcPr>
          <w:p w14:paraId="43D6FB37"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4.4%</w:t>
            </w:r>
          </w:p>
        </w:tc>
        <w:tc>
          <w:tcPr>
            <w:tcW w:w="979" w:type="dxa"/>
            <w:hideMark/>
          </w:tcPr>
          <w:p w14:paraId="2970507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0.6%</w:t>
            </w:r>
          </w:p>
        </w:tc>
        <w:tc>
          <w:tcPr>
            <w:tcW w:w="980" w:type="dxa"/>
            <w:hideMark/>
          </w:tcPr>
          <w:p w14:paraId="54CC8747"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1.7%</w:t>
            </w:r>
          </w:p>
        </w:tc>
      </w:tr>
      <w:tr w:rsidR="00292847" w:rsidRPr="00292847" w14:paraId="1391F2C0" w14:textId="77777777" w:rsidTr="00CE5A4B">
        <w:trPr>
          <w:trHeight w:val="439"/>
        </w:trPr>
        <w:tc>
          <w:tcPr>
            <w:tcW w:w="0" w:type="auto"/>
            <w:vMerge w:val="restart"/>
            <w:hideMark/>
          </w:tcPr>
          <w:p w14:paraId="3D3D17DC" w14:textId="2284CF78" w:rsidR="00292847" w:rsidRPr="00292847" w:rsidRDefault="00273D45" w:rsidP="00292847">
            <w:pPr>
              <w:rPr>
                <w:rFonts w:ascii="Corbel" w:hAnsi="Corbel"/>
                <w:b/>
                <w:color w:val="000000"/>
              </w:rPr>
            </w:pPr>
            <w:r>
              <w:rPr>
                <w:rFonts w:ascii="Corbel" w:hAnsi="Corbel"/>
                <w:b/>
                <w:color w:val="000000"/>
              </w:rPr>
              <w:t>10.</w:t>
            </w:r>
            <w:r w:rsidR="00292847" w:rsidRPr="00292847">
              <w:rPr>
                <w:rFonts w:ascii="Corbel" w:hAnsi="Corbel"/>
                <w:b/>
                <w:color w:val="000000"/>
              </w:rPr>
              <w:t xml:space="preserve"> I integrate the teaching of numeracy across key learning areas.</w:t>
            </w:r>
          </w:p>
        </w:tc>
        <w:tc>
          <w:tcPr>
            <w:tcW w:w="979" w:type="dxa"/>
            <w:hideMark/>
          </w:tcPr>
          <w:p w14:paraId="6BC924BE"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318</w:t>
            </w:r>
          </w:p>
        </w:tc>
        <w:tc>
          <w:tcPr>
            <w:tcW w:w="979" w:type="dxa"/>
            <w:hideMark/>
          </w:tcPr>
          <w:p w14:paraId="1E93745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683</w:t>
            </w:r>
          </w:p>
        </w:tc>
        <w:tc>
          <w:tcPr>
            <w:tcW w:w="980" w:type="dxa"/>
            <w:hideMark/>
          </w:tcPr>
          <w:p w14:paraId="19E366C2"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68</w:t>
            </w:r>
          </w:p>
        </w:tc>
        <w:tc>
          <w:tcPr>
            <w:tcW w:w="979" w:type="dxa"/>
            <w:hideMark/>
          </w:tcPr>
          <w:p w14:paraId="43E9CD9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w:t>
            </w:r>
          </w:p>
        </w:tc>
        <w:tc>
          <w:tcPr>
            <w:tcW w:w="980" w:type="dxa"/>
            <w:hideMark/>
          </w:tcPr>
          <w:p w14:paraId="7B80B44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27</w:t>
            </w:r>
          </w:p>
        </w:tc>
      </w:tr>
      <w:tr w:rsidR="00292847" w:rsidRPr="00292847" w14:paraId="2BA7AE47" w14:textId="77777777" w:rsidTr="00CE5A4B">
        <w:trPr>
          <w:trHeight w:val="439"/>
        </w:trPr>
        <w:tc>
          <w:tcPr>
            <w:tcW w:w="0" w:type="auto"/>
            <w:vMerge/>
            <w:hideMark/>
          </w:tcPr>
          <w:p w14:paraId="611A5E21" w14:textId="77777777" w:rsidR="00292847" w:rsidRPr="00292847" w:rsidRDefault="00292847" w:rsidP="00292847">
            <w:pPr>
              <w:rPr>
                <w:rFonts w:ascii="Corbel" w:hAnsi="Corbel"/>
                <w:b/>
                <w:color w:val="000000"/>
              </w:rPr>
            </w:pPr>
          </w:p>
        </w:tc>
        <w:tc>
          <w:tcPr>
            <w:tcW w:w="979" w:type="dxa"/>
            <w:hideMark/>
          </w:tcPr>
          <w:p w14:paraId="4B9A0289"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28.9%</w:t>
            </w:r>
          </w:p>
        </w:tc>
        <w:tc>
          <w:tcPr>
            <w:tcW w:w="979" w:type="dxa"/>
            <w:hideMark/>
          </w:tcPr>
          <w:p w14:paraId="6E6026D8"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62.0%</w:t>
            </w:r>
          </w:p>
        </w:tc>
        <w:tc>
          <w:tcPr>
            <w:tcW w:w="980" w:type="dxa"/>
            <w:hideMark/>
          </w:tcPr>
          <w:p w14:paraId="79BF2DF1"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6.2%</w:t>
            </w:r>
          </w:p>
        </w:tc>
        <w:tc>
          <w:tcPr>
            <w:tcW w:w="979" w:type="dxa"/>
            <w:hideMark/>
          </w:tcPr>
          <w:p w14:paraId="365271F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0.5%</w:t>
            </w:r>
          </w:p>
        </w:tc>
        <w:tc>
          <w:tcPr>
            <w:tcW w:w="980" w:type="dxa"/>
            <w:hideMark/>
          </w:tcPr>
          <w:p w14:paraId="13EAA424"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2.5%</w:t>
            </w:r>
          </w:p>
        </w:tc>
      </w:tr>
      <w:tr w:rsidR="00292847" w:rsidRPr="00292847" w14:paraId="705C9027" w14:textId="77777777" w:rsidTr="00CE5A4B">
        <w:trPr>
          <w:trHeight w:val="439"/>
        </w:trPr>
        <w:tc>
          <w:tcPr>
            <w:tcW w:w="0" w:type="auto"/>
            <w:vMerge w:val="restart"/>
            <w:hideMark/>
          </w:tcPr>
          <w:p w14:paraId="5AD5B248" w14:textId="0E29B69E" w:rsidR="00292847" w:rsidRPr="00292847" w:rsidRDefault="00292847" w:rsidP="00273D45">
            <w:pPr>
              <w:rPr>
                <w:rFonts w:ascii="Corbel" w:hAnsi="Corbel"/>
                <w:b/>
                <w:color w:val="000000"/>
              </w:rPr>
            </w:pPr>
            <w:r w:rsidRPr="00292847">
              <w:rPr>
                <w:rFonts w:ascii="Corbel" w:hAnsi="Corbel"/>
                <w:b/>
                <w:color w:val="000000"/>
              </w:rPr>
              <w:t>11. I have increased my use of explicit criteria as a reference point for assessing student work in numeracy.</w:t>
            </w:r>
          </w:p>
        </w:tc>
        <w:tc>
          <w:tcPr>
            <w:tcW w:w="979" w:type="dxa"/>
            <w:hideMark/>
          </w:tcPr>
          <w:p w14:paraId="532561DA"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293</w:t>
            </w:r>
          </w:p>
        </w:tc>
        <w:tc>
          <w:tcPr>
            <w:tcW w:w="979" w:type="dxa"/>
            <w:hideMark/>
          </w:tcPr>
          <w:p w14:paraId="5C27BF09"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646</w:t>
            </w:r>
          </w:p>
        </w:tc>
        <w:tc>
          <w:tcPr>
            <w:tcW w:w="980" w:type="dxa"/>
            <w:hideMark/>
          </w:tcPr>
          <w:p w14:paraId="7BD8AA1C"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106</w:t>
            </w:r>
          </w:p>
        </w:tc>
        <w:tc>
          <w:tcPr>
            <w:tcW w:w="979" w:type="dxa"/>
            <w:hideMark/>
          </w:tcPr>
          <w:p w14:paraId="4202FF50"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10</w:t>
            </w:r>
          </w:p>
        </w:tc>
        <w:tc>
          <w:tcPr>
            <w:tcW w:w="980" w:type="dxa"/>
            <w:hideMark/>
          </w:tcPr>
          <w:p w14:paraId="080985BE"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48</w:t>
            </w:r>
          </w:p>
        </w:tc>
      </w:tr>
      <w:tr w:rsidR="00292847" w:rsidRPr="00292847" w14:paraId="152CD78F" w14:textId="77777777" w:rsidTr="00CE5A4B">
        <w:trPr>
          <w:trHeight w:val="439"/>
        </w:trPr>
        <w:tc>
          <w:tcPr>
            <w:tcW w:w="0" w:type="auto"/>
            <w:vMerge/>
            <w:hideMark/>
          </w:tcPr>
          <w:p w14:paraId="2A1328F9" w14:textId="77777777" w:rsidR="00292847" w:rsidRPr="00292847" w:rsidRDefault="00292847" w:rsidP="00292847">
            <w:pPr>
              <w:rPr>
                <w:rFonts w:ascii="Corbel" w:hAnsi="Corbel"/>
                <w:b/>
                <w:color w:val="000000"/>
              </w:rPr>
            </w:pPr>
          </w:p>
        </w:tc>
        <w:tc>
          <w:tcPr>
            <w:tcW w:w="979" w:type="dxa"/>
            <w:hideMark/>
          </w:tcPr>
          <w:p w14:paraId="3C179539"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26.6%</w:t>
            </w:r>
          </w:p>
        </w:tc>
        <w:tc>
          <w:tcPr>
            <w:tcW w:w="979" w:type="dxa"/>
            <w:hideMark/>
          </w:tcPr>
          <w:p w14:paraId="6FC4917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58.6%</w:t>
            </w:r>
          </w:p>
        </w:tc>
        <w:tc>
          <w:tcPr>
            <w:tcW w:w="980" w:type="dxa"/>
            <w:hideMark/>
          </w:tcPr>
          <w:p w14:paraId="630D28F7"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9.6%</w:t>
            </w:r>
          </w:p>
        </w:tc>
        <w:tc>
          <w:tcPr>
            <w:tcW w:w="979" w:type="dxa"/>
            <w:hideMark/>
          </w:tcPr>
          <w:p w14:paraId="0AE9887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0.9%</w:t>
            </w:r>
          </w:p>
        </w:tc>
        <w:tc>
          <w:tcPr>
            <w:tcW w:w="980" w:type="dxa"/>
            <w:hideMark/>
          </w:tcPr>
          <w:p w14:paraId="3C25E772"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4.4%</w:t>
            </w:r>
          </w:p>
        </w:tc>
      </w:tr>
      <w:tr w:rsidR="00292847" w:rsidRPr="00292847" w14:paraId="6FE4A9E0" w14:textId="77777777" w:rsidTr="00CE5A4B">
        <w:trPr>
          <w:trHeight w:val="439"/>
        </w:trPr>
        <w:tc>
          <w:tcPr>
            <w:tcW w:w="0" w:type="auto"/>
            <w:vMerge w:val="restart"/>
            <w:hideMark/>
          </w:tcPr>
          <w:p w14:paraId="745645F0" w14:textId="714F828B" w:rsidR="00292847" w:rsidRPr="00292847" w:rsidRDefault="00292847" w:rsidP="00273D45">
            <w:pPr>
              <w:rPr>
                <w:rFonts w:ascii="Corbel" w:hAnsi="Corbel"/>
                <w:b/>
                <w:color w:val="000000"/>
              </w:rPr>
            </w:pPr>
            <w:r w:rsidRPr="00292847">
              <w:rPr>
                <w:rFonts w:ascii="Corbel" w:hAnsi="Corbel"/>
                <w:b/>
                <w:color w:val="000000"/>
              </w:rPr>
              <w:t>12. I give more explicit feedback to my students about what they are doing well and how to improve their numeracy skills.</w:t>
            </w:r>
          </w:p>
        </w:tc>
        <w:tc>
          <w:tcPr>
            <w:tcW w:w="979" w:type="dxa"/>
            <w:hideMark/>
          </w:tcPr>
          <w:p w14:paraId="2CC602D9"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371</w:t>
            </w:r>
          </w:p>
        </w:tc>
        <w:tc>
          <w:tcPr>
            <w:tcW w:w="979" w:type="dxa"/>
            <w:hideMark/>
          </w:tcPr>
          <w:p w14:paraId="4367FFA5"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609</w:t>
            </w:r>
          </w:p>
        </w:tc>
        <w:tc>
          <w:tcPr>
            <w:tcW w:w="980" w:type="dxa"/>
            <w:hideMark/>
          </w:tcPr>
          <w:p w14:paraId="07C73B5B"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73</w:t>
            </w:r>
          </w:p>
        </w:tc>
        <w:tc>
          <w:tcPr>
            <w:tcW w:w="979" w:type="dxa"/>
            <w:hideMark/>
          </w:tcPr>
          <w:p w14:paraId="013CC072"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9</w:t>
            </w:r>
          </w:p>
        </w:tc>
        <w:tc>
          <w:tcPr>
            <w:tcW w:w="980" w:type="dxa"/>
            <w:hideMark/>
          </w:tcPr>
          <w:p w14:paraId="12AF733D"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15</w:t>
            </w:r>
          </w:p>
        </w:tc>
      </w:tr>
      <w:tr w:rsidR="00292847" w:rsidRPr="00292847" w14:paraId="6D792967" w14:textId="77777777" w:rsidTr="00CE5A4B">
        <w:trPr>
          <w:trHeight w:val="439"/>
        </w:trPr>
        <w:tc>
          <w:tcPr>
            <w:tcW w:w="0" w:type="auto"/>
            <w:vMerge/>
            <w:hideMark/>
          </w:tcPr>
          <w:p w14:paraId="3255DCFE" w14:textId="77777777" w:rsidR="00292847" w:rsidRPr="00292847" w:rsidRDefault="00292847" w:rsidP="00292847">
            <w:pPr>
              <w:rPr>
                <w:rFonts w:ascii="Corbel" w:hAnsi="Corbel"/>
                <w:color w:val="000000"/>
              </w:rPr>
            </w:pPr>
          </w:p>
        </w:tc>
        <w:tc>
          <w:tcPr>
            <w:tcW w:w="979" w:type="dxa"/>
            <w:hideMark/>
          </w:tcPr>
          <w:p w14:paraId="230BB9A4"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34.4%</w:t>
            </w:r>
          </w:p>
        </w:tc>
        <w:tc>
          <w:tcPr>
            <w:tcW w:w="979" w:type="dxa"/>
            <w:hideMark/>
          </w:tcPr>
          <w:p w14:paraId="13DD995B"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56.5%</w:t>
            </w:r>
          </w:p>
        </w:tc>
        <w:tc>
          <w:tcPr>
            <w:tcW w:w="980" w:type="dxa"/>
            <w:hideMark/>
          </w:tcPr>
          <w:p w14:paraId="3750E431"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6.8%</w:t>
            </w:r>
          </w:p>
        </w:tc>
        <w:tc>
          <w:tcPr>
            <w:tcW w:w="979" w:type="dxa"/>
            <w:hideMark/>
          </w:tcPr>
          <w:p w14:paraId="354F051E"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0.8%</w:t>
            </w:r>
          </w:p>
        </w:tc>
        <w:tc>
          <w:tcPr>
            <w:tcW w:w="980" w:type="dxa"/>
            <w:hideMark/>
          </w:tcPr>
          <w:p w14:paraId="33841728" w14:textId="77777777" w:rsidR="00292847" w:rsidRPr="00292847" w:rsidRDefault="00292847" w:rsidP="007C4963">
            <w:pPr>
              <w:jc w:val="right"/>
              <w:rPr>
                <w:rFonts w:ascii="Corbel" w:hAnsi="Corbel"/>
                <w:color w:val="000000"/>
                <w:sz w:val="24"/>
                <w:szCs w:val="24"/>
              </w:rPr>
            </w:pPr>
            <w:r w:rsidRPr="00292847">
              <w:rPr>
                <w:rFonts w:ascii="Corbel" w:hAnsi="Corbel"/>
                <w:color w:val="000000"/>
                <w:sz w:val="24"/>
                <w:szCs w:val="24"/>
              </w:rPr>
              <w:t>1.4%</w:t>
            </w:r>
          </w:p>
        </w:tc>
      </w:tr>
    </w:tbl>
    <w:p w14:paraId="5B763C38" w14:textId="77777777" w:rsidR="00824EA6" w:rsidRDefault="00824EA6">
      <w:pPr>
        <w:rPr>
          <w:rFonts w:ascii="Arial" w:eastAsia="Times New Roman" w:hAnsi="Arial" w:cs="Arial"/>
          <w:b/>
          <w:color w:val="000000"/>
          <w:sz w:val="23"/>
          <w:szCs w:val="23"/>
          <w:u w:val="single"/>
          <w:lang w:eastAsia="en-AU"/>
        </w:rPr>
      </w:pPr>
      <w:r>
        <w:rPr>
          <w:rFonts w:ascii="Arial" w:hAnsi="Arial" w:cs="Arial"/>
          <w:b/>
          <w:szCs w:val="23"/>
          <w:u w:val="single"/>
        </w:rPr>
        <w:br w:type="page"/>
      </w:r>
    </w:p>
    <w:p w14:paraId="2807D59A" w14:textId="260CFDED" w:rsidR="00AB720F" w:rsidRPr="00AB720F" w:rsidRDefault="00AB720F" w:rsidP="00844576">
      <w:pPr>
        <w:pStyle w:val="Heading3"/>
      </w:pPr>
      <w:r>
        <w:t>Appendix F</w:t>
      </w:r>
    </w:p>
    <w:p w14:paraId="6B7D2155" w14:textId="77777777" w:rsidR="002F0925" w:rsidRPr="003D3E1E" w:rsidRDefault="002F0925" w:rsidP="00844576">
      <w:pPr>
        <w:pStyle w:val="Heading3"/>
      </w:pPr>
      <w:r w:rsidRPr="003D3E1E">
        <w:t>NSW Student Survey</w:t>
      </w:r>
    </w:p>
    <w:p w14:paraId="260043D5" w14:textId="77777777" w:rsidR="002F0925" w:rsidRPr="003D3E1E" w:rsidRDefault="002F0925" w:rsidP="00844576">
      <w:r w:rsidRPr="003D3E1E">
        <w:t xml:space="preserve">The total number of students surveyed across Government, Independent and Catholic schools was 17,268. </w:t>
      </w:r>
    </w:p>
    <w:tbl>
      <w:tblPr>
        <w:tblStyle w:val="TableGrid"/>
        <w:tblW w:w="0" w:type="auto"/>
        <w:jc w:val="center"/>
        <w:tblLook w:val="04A0" w:firstRow="1" w:lastRow="0" w:firstColumn="1" w:lastColumn="0" w:noHBand="0" w:noVBand="1"/>
        <w:tblCaption w:val="Appendix F - NSW Student Survey Participation Numbers: Numeracy"/>
        <w:tblDescription w:val="Data relating to NSW Student Survey Participation Numbers: Numeracy"/>
      </w:tblPr>
      <w:tblGrid>
        <w:gridCol w:w="4077"/>
        <w:gridCol w:w="3544"/>
      </w:tblGrid>
      <w:tr w:rsidR="002F0925" w:rsidRPr="003D3E1E" w14:paraId="64EEBA55" w14:textId="77777777" w:rsidTr="00273D45">
        <w:trPr>
          <w:trHeight w:val="340"/>
          <w:tblHeader/>
          <w:jc w:val="center"/>
        </w:trPr>
        <w:tc>
          <w:tcPr>
            <w:tcW w:w="7621" w:type="dxa"/>
            <w:gridSpan w:val="2"/>
          </w:tcPr>
          <w:p w14:paraId="22AD1441" w14:textId="77777777" w:rsidR="002F0925" w:rsidRPr="003D3E1E" w:rsidRDefault="002F0925" w:rsidP="0019020A">
            <w:pPr>
              <w:jc w:val="center"/>
              <w:rPr>
                <w:rFonts w:ascii="Arial" w:hAnsi="Arial" w:cs="Arial"/>
                <w:b/>
              </w:rPr>
            </w:pPr>
            <w:r w:rsidRPr="003D3E1E">
              <w:rPr>
                <w:rFonts w:ascii="Arial" w:hAnsi="Arial" w:cs="Arial"/>
                <w:b/>
              </w:rPr>
              <w:t>NSW Student Survey Participation Numbers – Numeracy</w:t>
            </w:r>
          </w:p>
        </w:tc>
      </w:tr>
      <w:tr w:rsidR="002F0925" w:rsidRPr="003D3E1E" w14:paraId="0923AB3F" w14:textId="77777777" w:rsidTr="0019020A">
        <w:trPr>
          <w:trHeight w:val="340"/>
          <w:jc w:val="center"/>
        </w:trPr>
        <w:tc>
          <w:tcPr>
            <w:tcW w:w="4077" w:type="dxa"/>
          </w:tcPr>
          <w:p w14:paraId="356F3BFA" w14:textId="77777777" w:rsidR="002F0925" w:rsidRPr="003D3E1E" w:rsidRDefault="002F0925" w:rsidP="002F0925">
            <w:pPr>
              <w:rPr>
                <w:rFonts w:ascii="Arial" w:hAnsi="Arial" w:cs="Arial"/>
              </w:rPr>
            </w:pPr>
            <w:r w:rsidRPr="003D3E1E">
              <w:rPr>
                <w:rFonts w:ascii="Arial" w:hAnsi="Arial" w:cs="Arial"/>
              </w:rPr>
              <w:t>Year 3</w:t>
            </w:r>
          </w:p>
        </w:tc>
        <w:tc>
          <w:tcPr>
            <w:tcW w:w="3544" w:type="dxa"/>
          </w:tcPr>
          <w:p w14:paraId="075CAB48" w14:textId="77777777" w:rsidR="002F0925" w:rsidRPr="003D3E1E" w:rsidRDefault="002F0925" w:rsidP="002F0925">
            <w:pPr>
              <w:rPr>
                <w:rFonts w:ascii="Arial" w:hAnsi="Arial" w:cs="Arial"/>
              </w:rPr>
            </w:pPr>
            <w:r w:rsidRPr="003D3E1E">
              <w:rPr>
                <w:rFonts w:ascii="Arial" w:hAnsi="Arial" w:cs="Arial"/>
              </w:rPr>
              <w:t>699</w:t>
            </w:r>
          </w:p>
        </w:tc>
      </w:tr>
      <w:tr w:rsidR="002F0925" w:rsidRPr="003D3E1E" w14:paraId="0AE4F24F" w14:textId="77777777" w:rsidTr="0019020A">
        <w:trPr>
          <w:trHeight w:val="340"/>
          <w:jc w:val="center"/>
        </w:trPr>
        <w:tc>
          <w:tcPr>
            <w:tcW w:w="4077" w:type="dxa"/>
          </w:tcPr>
          <w:p w14:paraId="386D4B4E" w14:textId="77777777" w:rsidR="002F0925" w:rsidRPr="003D3E1E" w:rsidRDefault="002F0925" w:rsidP="002F0925">
            <w:pPr>
              <w:rPr>
                <w:rFonts w:ascii="Arial" w:hAnsi="Arial" w:cs="Arial"/>
              </w:rPr>
            </w:pPr>
            <w:r w:rsidRPr="003D3E1E">
              <w:rPr>
                <w:rFonts w:ascii="Arial" w:hAnsi="Arial" w:cs="Arial"/>
              </w:rPr>
              <w:t>Year 4</w:t>
            </w:r>
          </w:p>
        </w:tc>
        <w:tc>
          <w:tcPr>
            <w:tcW w:w="3544" w:type="dxa"/>
          </w:tcPr>
          <w:p w14:paraId="53EECABF" w14:textId="77777777" w:rsidR="002F0925" w:rsidRPr="003D3E1E" w:rsidRDefault="002F0925" w:rsidP="002F0925">
            <w:pPr>
              <w:rPr>
                <w:rFonts w:ascii="Arial" w:hAnsi="Arial" w:cs="Arial"/>
              </w:rPr>
            </w:pPr>
            <w:r w:rsidRPr="003D3E1E">
              <w:rPr>
                <w:rFonts w:ascii="Arial" w:hAnsi="Arial" w:cs="Arial"/>
              </w:rPr>
              <w:t>773</w:t>
            </w:r>
          </w:p>
        </w:tc>
      </w:tr>
      <w:tr w:rsidR="002F0925" w:rsidRPr="003D3E1E" w14:paraId="38895230" w14:textId="77777777" w:rsidTr="0019020A">
        <w:trPr>
          <w:trHeight w:val="340"/>
          <w:jc w:val="center"/>
        </w:trPr>
        <w:tc>
          <w:tcPr>
            <w:tcW w:w="4077" w:type="dxa"/>
          </w:tcPr>
          <w:p w14:paraId="0C3069EA" w14:textId="77777777" w:rsidR="002F0925" w:rsidRPr="003D3E1E" w:rsidRDefault="002F0925" w:rsidP="002F0925">
            <w:pPr>
              <w:rPr>
                <w:rFonts w:ascii="Arial" w:hAnsi="Arial" w:cs="Arial"/>
              </w:rPr>
            </w:pPr>
            <w:r w:rsidRPr="003D3E1E">
              <w:rPr>
                <w:rFonts w:ascii="Arial" w:hAnsi="Arial" w:cs="Arial"/>
              </w:rPr>
              <w:t>Year 5</w:t>
            </w:r>
          </w:p>
        </w:tc>
        <w:tc>
          <w:tcPr>
            <w:tcW w:w="3544" w:type="dxa"/>
          </w:tcPr>
          <w:p w14:paraId="385BE5BD" w14:textId="77777777" w:rsidR="002F0925" w:rsidRPr="003D3E1E" w:rsidRDefault="002F0925" w:rsidP="002F0925">
            <w:pPr>
              <w:rPr>
                <w:rFonts w:ascii="Arial" w:hAnsi="Arial" w:cs="Arial"/>
              </w:rPr>
            </w:pPr>
            <w:r w:rsidRPr="003D3E1E">
              <w:rPr>
                <w:rFonts w:ascii="Arial" w:hAnsi="Arial" w:cs="Arial"/>
              </w:rPr>
              <w:t>563</w:t>
            </w:r>
          </w:p>
        </w:tc>
      </w:tr>
      <w:tr w:rsidR="002F0925" w:rsidRPr="003D3E1E" w14:paraId="6064C07B" w14:textId="77777777" w:rsidTr="0019020A">
        <w:trPr>
          <w:trHeight w:val="340"/>
          <w:jc w:val="center"/>
        </w:trPr>
        <w:tc>
          <w:tcPr>
            <w:tcW w:w="4077" w:type="dxa"/>
          </w:tcPr>
          <w:p w14:paraId="0722BCB4" w14:textId="77777777" w:rsidR="002F0925" w:rsidRPr="003D3E1E" w:rsidRDefault="002F0925" w:rsidP="002F0925">
            <w:pPr>
              <w:rPr>
                <w:rFonts w:ascii="Arial" w:hAnsi="Arial" w:cs="Arial"/>
              </w:rPr>
            </w:pPr>
            <w:r w:rsidRPr="003D3E1E">
              <w:rPr>
                <w:rFonts w:ascii="Arial" w:hAnsi="Arial" w:cs="Arial"/>
              </w:rPr>
              <w:t>Year 6</w:t>
            </w:r>
          </w:p>
        </w:tc>
        <w:tc>
          <w:tcPr>
            <w:tcW w:w="3544" w:type="dxa"/>
          </w:tcPr>
          <w:p w14:paraId="5AAE00E2" w14:textId="77777777" w:rsidR="002F0925" w:rsidRPr="003D3E1E" w:rsidRDefault="002F0925" w:rsidP="002F0925">
            <w:pPr>
              <w:rPr>
                <w:rFonts w:ascii="Arial" w:hAnsi="Arial" w:cs="Arial"/>
              </w:rPr>
            </w:pPr>
            <w:r w:rsidRPr="003D3E1E">
              <w:rPr>
                <w:rFonts w:ascii="Arial" w:hAnsi="Arial" w:cs="Arial"/>
              </w:rPr>
              <w:t>513</w:t>
            </w:r>
          </w:p>
        </w:tc>
      </w:tr>
      <w:tr w:rsidR="002F0925" w:rsidRPr="003D3E1E" w14:paraId="4777D26C" w14:textId="77777777" w:rsidTr="0019020A">
        <w:trPr>
          <w:trHeight w:val="340"/>
          <w:jc w:val="center"/>
        </w:trPr>
        <w:tc>
          <w:tcPr>
            <w:tcW w:w="4077" w:type="dxa"/>
          </w:tcPr>
          <w:p w14:paraId="14391B7C" w14:textId="77777777" w:rsidR="002F0925" w:rsidRPr="003D3E1E" w:rsidRDefault="002F0925" w:rsidP="002F0925">
            <w:pPr>
              <w:rPr>
                <w:rFonts w:ascii="Arial" w:hAnsi="Arial" w:cs="Arial"/>
              </w:rPr>
            </w:pPr>
            <w:r w:rsidRPr="003D3E1E">
              <w:rPr>
                <w:rFonts w:ascii="Arial" w:hAnsi="Arial" w:cs="Arial"/>
              </w:rPr>
              <w:t>Year 7</w:t>
            </w:r>
          </w:p>
        </w:tc>
        <w:tc>
          <w:tcPr>
            <w:tcW w:w="3544" w:type="dxa"/>
          </w:tcPr>
          <w:p w14:paraId="6DE00DA1" w14:textId="77777777" w:rsidR="002F0925" w:rsidRPr="003D3E1E" w:rsidRDefault="002F0925" w:rsidP="002F0925">
            <w:pPr>
              <w:rPr>
                <w:rFonts w:ascii="Arial" w:hAnsi="Arial" w:cs="Arial"/>
              </w:rPr>
            </w:pPr>
            <w:r w:rsidRPr="003D3E1E">
              <w:rPr>
                <w:rFonts w:ascii="Arial" w:hAnsi="Arial" w:cs="Arial"/>
              </w:rPr>
              <w:t>1036</w:t>
            </w:r>
          </w:p>
        </w:tc>
      </w:tr>
      <w:tr w:rsidR="002F0925" w:rsidRPr="003D3E1E" w14:paraId="331C342C" w14:textId="77777777" w:rsidTr="0019020A">
        <w:trPr>
          <w:trHeight w:val="340"/>
          <w:jc w:val="center"/>
        </w:trPr>
        <w:tc>
          <w:tcPr>
            <w:tcW w:w="4077" w:type="dxa"/>
          </w:tcPr>
          <w:p w14:paraId="5AD059AA" w14:textId="77777777" w:rsidR="002F0925" w:rsidRPr="003D3E1E" w:rsidRDefault="002F0925" w:rsidP="002F0925">
            <w:pPr>
              <w:rPr>
                <w:rFonts w:ascii="Arial" w:hAnsi="Arial" w:cs="Arial"/>
              </w:rPr>
            </w:pPr>
            <w:r w:rsidRPr="003D3E1E">
              <w:rPr>
                <w:rFonts w:ascii="Arial" w:hAnsi="Arial" w:cs="Arial"/>
              </w:rPr>
              <w:t>Year 8</w:t>
            </w:r>
          </w:p>
        </w:tc>
        <w:tc>
          <w:tcPr>
            <w:tcW w:w="3544" w:type="dxa"/>
          </w:tcPr>
          <w:p w14:paraId="060CC633" w14:textId="77777777" w:rsidR="002F0925" w:rsidRPr="003D3E1E" w:rsidRDefault="002F0925" w:rsidP="002F0925">
            <w:pPr>
              <w:rPr>
                <w:rFonts w:ascii="Arial" w:hAnsi="Arial" w:cs="Arial"/>
              </w:rPr>
            </w:pPr>
            <w:r w:rsidRPr="003D3E1E">
              <w:rPr>
                <w:rFonts w:ascii="Arial" w:hAnsi="Arial" w:cs="Arial"/>
              </w:rPr>
              <w:t>1020</w:t>
            </w:r>
          </w:p>
        </w:tc>
      </w:tr>
      <w:tr w:rsidR="002F0925" w:rsidRPr="003D3E1E" w14:paraId="1A4BD15D" w14:textId="77777777" w:rsidTr="0019020A">
        <w:trPr>
          <w:trHeight w:val="340"/>
          <w:jc w:val="center"/>
        </w:trPr>
        <w:tc>
          <w:tcPr>
            <w:tcW w:w="4077" w:type="dxa"/>
          </w:tcPr>
          <w:p w14:paraId="5C0A44D0" w14:textId="77777777" w:rsidR="002F0925" w:rsidRPr="003D3E1E" w:rsidRDefault="002F0925" w:rsidP="002F0925">
            <w:pPr>
              <w:rPr>
                <w:rFonts w:ascii="Arial" w:hAnsi="Arial" w:cs="Arial"/>
                <w:b/>
              </w:rPr>
            </w:pPr>
            <w:r w:rsidRPr="003D3E1E">
              <w:rPr>
                <w:rFonts w:ascii="Arial" w:hAnsi="Arial" w:cs="Arial"/>
                <w:b/>
              </w:rPr>
              <w:t xml:space="preserve">Total Numeracy Students </w:t>
            </w:r>
          </w:p>
        </w:tc>
        <w:tc>
          <w:tcPr>
            <w:tcW w:w="3544" w:type="dxa"/>
          </w:tcPr>
          <w:p w14:paraId="10FECEAF" w14:textId="77777777" w:rsidR="002F0925" w:rsidRPr="003D3E1E" w:rsidRDefault="002F0925" w:rsidP="002F0925">
            <w:pPr>
              <w:rPr>
                <w:rFonts w:ascii="Arial" w:hAnsi="Arial" w:cs="Arial"/>
                <w:b/>
              </w:rPr>
            </w:pPr>
            <w:r w:rsidRPr="003D3E1E">
              <w:rPr>
                <w:rFonts w:ascii="Arial" w:hAnsi="Arial" w:cs="Arial"/>
                <w:b/>
              </w:rPr>
              <w:t>4604</w:t>
            </w:r>
          </w:p>
        </w:tc>
      </w:tr>
    </w:tbl>
    <w:p w14:paraId="69ABA2B1" w14:textId="77777777" w:rsidR="002F0925" w:rsidRPr="003D3E1E" w:rsidRDefault="002F0925" w:rsidP="002F0925">
      <w:pPr>
        <w:rPr>
          <w:rFonts w:ascii="Arial" w:hAnsi="Arial" w:cs="Arial"/>
        </w:rPr>
      </w:pPr>
    </w:p>
    <w:tbl>
      <w:tblPr>
        <w:tblStyle w:val="TableGrid"/>
        <w:tblW w:w="0" w:type="auto"/>
        <w:jc w:val="center"/>
        <w:tblLook w:val="04A0" w:firstRow="1" w:lastRow="0" w:firstColumn="1" w:lastColumn="0" w:noHBand="0" w:noVBand="1"/>
        <w:tblCaption w:val="Appendix F - NSW Student Survey Participation Numbers: Literacy"/>
        <w:tblDescription w:val="Data relating to NSW Student Survey Participation Numbers: Literacy"/>
      </w:tblPr>
      <w:tblGrid>
        <w:gridCol w:w="4077"/>
        <w:gridCol w:w="3544"/>
      </w:tblGrid>
      <w:tr w:rsidR="002F0925" w:rsidRPr="003D3E1E" w14:paraId="5FB10995" w14:textId="77777777" w:rsidTr="00273D45">
        <w:trPr>
          <w:trHeight w:val="340"/>
          <w:tblHeader/>
          <w:jc w:val="center"/>
        </w:trPr>
        <w:tc>
          <w:tcPr>
            <w:tcW w:w="7621" w:type="dxa"/>
            <w:gridSpan w:val="2"/>
          </w:tcPr>
          <w:p w14:paraId="788D4C32" w14:textId="77777777" w:rsidR="002F0925" w:rsidRPr="003D3E1E" w:rsidRDefault="002F0925" w:rsidP="0019020A">
            <w:pPr>
              <w:jc w:val="center"/>
              <w:rPr>
                <w:rFonts w:ascii="Arial" w:hAnsi="Arial" w:cs="Arial"/>
              </w:rPr>
            </w:pPr>
            <w:r w:rsidRPr="003D3E1E">
              <w:rPr>
                <w:rFonts w:ascii="Arial" w:hAnsi="Arial" w:cs="Arial"/>
                <w:b/>
              </w:rPr>
              <w:t>NSW Student Survey Participation Numbers – Literacy</w:t>
            </w:r>
          </w:p>
        </w:tc>
      </w:tr>
      <w:tr w:rsidR="002F0925" w:rsidRPr="003D3E1E" w14:paraId="40366BE8" w14:textId="77777777" w:rsidTr="0019020A">
        <w:trPr>
          <w:trHeight w:val="340"/>
          <w:jc w:val="center"/>
        </w:trPr>
        <w:tc>
          <w:tcPr>
            <w:tcW w:w="4077" w:type="dxa"/>
          </w:tcPr>
          <w:p w14:paraId="25C976DE" w14:textId="77777777" w:rsidR="002F0925" w:rsidRPr="003D3E1E" w:rsidRDefault="002F0925" w:rsidP="002F0925">
            <w:pPr>
              <w:rPr>
                <w:rFonts w:ascii="Arial" w:hAnsi="Arial" w:cs="Arial"/>
              </w:rPr>
            </w:pPr>
            <w:r w:rsidRPr="003D3E1E">
              <w:rPr>
                <w:rFonts w:ascii="Arial" w:hAnsi="Arial" w:cs="Arial"/>
              </w:rPr>
              <w:t>Year 3</w:t>
            </w:r>
          </w:p>
        </w:tc>
        <w:tc>
          <w:tcPr>
            <w:tcW w:w="3544" w:type="dxa"/>
          </w:tcPr>
          <w:p w14:paraId="3CE1DF0B" w14:textId="77777777" w:rsidR="002F0925" w:rsidRPr="003D3E1E" w:rsidRDefault="002F0925" w:rsidP="002F0925">
            <w:pPr>
              <w:rPr>
                <w:rFonts w:ascii="Arial" w:hAnsi="Arial" w:cs="Arial"/>
              </w:rPr>
            </w:pPr>
            <w:r w:rsidRPr="003D3E1E">
              <w:rPr>
                <w:rFonts w:ascii="Arial" w:hAnsi="Arial" w:cs="Arial"/>
              </w:rPr>
              <w:t>1538</w:t>
            </w:r>
          </w:p>
        </w:tc>
      </w:tr>
      <w:tr w:rsidR="002F0925" w:rsidRPr="003D3E1E" w14:paraId="1A9F1BBD" w14:textId="77777777" w:rsidTr="0019020A">
        <w:trPr>
          <w:trHeight w:val="340"/>
          <w:jc w:val="center"/>
        </w:trPr>
        <w:tc>
          <w:tcPr>
            <w:tcW w:w="4077" w:type="dxa"/>
          </w:tcPr>
          <w:p w14:paraId="02D684FE" w14:textId="77777777" w:rsidR="002F0925" w:rsidRPr="003D3E1E" w:rsidRDefault="002F0925" w:rsidP="002F0925">
            <w:pPr>
              <w:rPr>
                <w:rFonts w:ascii="Arial" w:hAnsi="Arial" w:cs="Arial"/>
              </w:rPr>
            </w:pPr>
            <w:r w:rsidRPr="003D3E1E">
              <w:rPr>
                <w:rFonts w:ascii="Arial" w:hAnsi="Arial" w:cs="Arial"/>
              </w:rPr>
              <w:t>Year 4</w:t>
            </w:r>
          </w:p>
        </w:tc>
        <w:tc>
          <w:tcPr>
            <w:tcW w:w="3544" w:type="dxa"/>
          </w:tcPr>
          <w:p w14:paraId="7AB8B25A" w14:textId="77777777" w:rsidR="002F0925" w:rsidRPr="003D3E1E" w:rsidRDefault="002F0925" w:rsidP="002F0925">
            <w:pPr>
              <w:rPr>
                <w:rFonts w:ascii="Arial" w:hAnsi="Arial" w:cs="Arial"/>
              </w:rPr>
            </w:pPr>
            <w:r w:rsidRPr="003D3E1E">
              <w:rPr>
                <w:rFonts w:ascii="Arial" w:hAnsi="Arial" w:cs="Arial"/>
              </w:rPr>
              <w:t>1517</w:t>
            </w:r>
          </w:p>
        </w:tc>
      </w:tr>
      <w:tr w:rsidR="002F0925" w:rsidRPr="003D3E1E" w14:paraId="4A8B6634" w14:textId="77777777" w:rsidTr="0019020A">
        <w:trPr>
          <w:trHeight w:val="340"/>
          <w:jc w:val="center"/>
        </w:trPr>
        <w:tc>
          <w:tcPr>
            <w:tcW w:w="4077" w:type="dxa"/>
          </w:tcPr>
          <w:p w14:paraId="64F7E192" w14:textId="77777777" w:rsidR="002F0925" w:rsidRPr="003D3E1E" w:rsidRDefault="002F0925" w:rsidP="002F0925">
            <w:pPr>
              <w:rPr>
                <w:rFonts w:ascii="Arial" w:hAnsi="Arial" w:cs="Arial"/>
              </w:rPr>
            </w:pPr>
            <w:r w:rsidRPr="003D3E1E">
              <w:rPr>
                <w:rFonts w:ascii="Arial" w:hAnsi="Arial" w:cs="Arial"/>
              </w:rPr>
              <w:t>Year 5</w:t>
            </w:r>
          </w:p>
        </w:tc>
        <w:tc>
          <w:tcPr>
            <w:tcW w:w="3544" w:type="dxa"/>
          </w:tcPr>
          <w:p w14:paraId="14959BEC" w14:textId="77777777" w:rsidR="002F0925" w:rsidRPr="003D3E1E" w:rsidRDefault="002F0925" w:rsidP="002F0925">
            <w:pPr>
              <w:rPr>
                <w:rFonts w:ascii="Arial" w:hAnsi="Arial" w:cs="Arial"/>
              </w:rPr>
            </w:pPr>
            <w:r w:rsidRPr="003D3E1E">
              <w:rPr>
                <w:rFonts w:ascii="Arial" w:hAnsi="Arial" w:cs="Arial"/>
              </w:rPr>
              <w:t>1389</w:t>
            </w:r>
          </w:p>
        </w:tc>
      </w:tr>
      <w:tr w:rsidR="002F0925" w:rsidRPr="003D3E1E" w14:paraId="0A6B5CE1" w14:textId="77777777" w:rsidTr="0019020A">
        <w:trPr>
          <w:trHeight w:val="340"/>
          <w:jc w:val="center"/>
        </w:trPr>
        <w:tc>
          <w:tcPr>
            <w:tcW w:w="4077" w:type="dxa"/>
          </w:tcPr>
          <w:p w14:paraId="60DCBEF1" w14:textId="77777777" w:rsidR="002F0925" w:rsidRPr="003D3E1E" w:rsidRDefault="002F0925" w:rsidP="002F0925">
            <w:pPr>
              <w:rPr>
                <w:rFonts w:ascii="Arial" w:hAnsi="Arial" w:cs="Arial"/>
              </w:rPr>
            </w:pPr>
            <w:r w:rsidRPr="003D3E1E">
              <w:rPr>
                <w:rFonts w:ascii="Arial" w:hAnsi="Arial" w:cs="Arial"/>
              </w:rPr>
              <w:t>Year 6</w:t>
            </w:r>
          </w:p>
        </w:tc>
        <w:tc>
          <w:tcPr>
            <w:tcW w:w="3544" w:type="dxa"/>
          </w:tcPr>
          <w:p w14:paraId="0F960C87" w14:textId="77777777" w:rsidR="002F0925" w:rsidRPr="003D3E1E" w:rsidRDefault="002F0925" w:rsidP="002F0925">
            <w:pPr>
              <w:rPr>
                <w:rFonts w:ascii="Arial" w:hAnsi="Arial" w:cs="Arial"/>
              </w:rPr>
            </w:pPr>
            <w:r w:rsidRPr="003D3E1E">
              <w:rPr>
                <w:rFonts w:ascii="Arial" w:hAnsi="Arial" w:cs="Arial"/>
              </w:rPr>
              <w:t>1266</w:t>
            </w:r>
          </w:p>
        </w:tc>
      </w:tr>
      <w:tr w:rsidR="002F0925" w:rsidRPr="003D3E1E" w14:paraId="2C2559E1" w14:textId="77777777" w:rsidTr="0019020A">
        <w:trPr>
          <w:trHeight w:val="340"/>
          <w:jc w:val="center"/>
        </w:trPr>
        <w:tc>
          <w:tcPr>
            <w:tcW w:w="4077" w:type="dxa"/>
          </w:tcPr>
          <w:p w14:paraId="53D6E24D" w14:textId="77777777" w:rsidR="002F0925" w:rsidRPr="003D3E1E" w:rsidRDefault="002F0925" w:rsidP="002F0925">
            <w:pPr>
              <w:rPr>
                <w:rFonts w:ascii="Arial" w:hAnsi="Arial" w:cs="Arial"/>
              </w:rPr>
            </w:pPr>
            <w:r w:rsidRPr="003D3E1E">
              <w:rPr>
                <w:rFonts w:ascii="Arial" w:hAnsi="Arial" w:cs="Arial"/>
              </w:rPr>
              <w:t>Year 7</w:t>
            </w:r>
          </w:p>
        </w:tc>
        <w:tc>
          <w:tcPr>
            <w:tcW w:w="3544" w:type="dxa"/>
          </w:tcPr>
          <w:p w14:paraId="75B49782" w14:textId="77777777" w:rsidR="002F0925" w:rsidRPr="003D3E1E" w:rsidRDefault="002F0925" w:rsidP="002F0925">
            <w:pPr>
              <w:rPr>
                <w:rFonts w:ascii="Arial" w:hAnsi="Arial" w:cs="Arial"/>
              </w:rPr>
            </w:pPr>
            <w:r w:rsidRPr="003D3E1E">
              <w:rPr>
                <w:rFonts w:ascii="Arial" w:hAnsi="Arial" w:cs="Arial"/>
              </w:rPr>
              <w:t>3250</w:t>
            </w:r>
          </w:p>
        </w:tc>
      </w:tr>
      <w:tr w:rsidR="002F0925" w:rsidRPr="003D3E1E" w14:paraId="4914AEF7" w14:textId="77777777" w:rsidTr="0019020A">
        <w:trPr>
          <w:trHeight w:val="340"/>
          <w:jc w:val="center"/>
        </w:trPr>
        <w:tc>
          <w:tcPr>
            <w:tcW w:w="4077" w:type="dxa"/>
          </w:tcPr>
          <w:p w14:paraId="2FF5C5C3" w14:textId="77777777" w:rsidR="002F0925" w:rsidRPr="003D3E1E" w:rsidRDefault="002F0925" w:rsidP="002F0925">
            <w:pPr>
              <w:rPr>
                <w:rFonts w:ascii="Arial" w:hAnsi="Arial" w:cs="Arial"/>
              </w:rPr>
            </w:pPr>
            <w:r w:rsidRPr="003D3E1E">
              <w:rPr>
                <w:rFonts w:ascii="Arial" w:hAnsi="Arial" w:cs="Arial"/>
              </w:rPr>
              <w:t>Year 8</w:t>
            </w:r>
          </w:p>
        </w:tc>
        <w:tc>
          <w:tcPr>
            <w:tcW w:w="3544" w:type="dxa"/>
          </w:tcPr>
          <w:p w14:paraId="02B08616" w14:textId="77777777" w:rsidR="002F0925" w:rsidRPr="003D3E1E" w:rsidRDefault="002F0925" w:rsidP="002F0925">
            <w:pPr>
              <w:rPr>
                <w:rFonts w:ascii="Arial" w:hAnsi="Arial" w:cs="Arial"/>
              </w:rPr>
            </w:pPr>
            <w:r w:rsidRPr="003D3E1E">
              <w:rPr>
                <w:rFonts w:ascii="Arial" w:hAnsi="Arial" w:cs="Arial"/>
              </w:rPr>
              <w:t>3704</w:t>
            </w:r>
          </w:p>
        </w:tc>
      </w:tr>
      <w:tr w:rsidR="002F0925" w:rsidRPr="003D3E1E" w14:paraId="4A6B1B4C" w14:textId="77777777" w:rsidTr="0019020A">
        <w:trPr>
          <w:trHeight w:val="340"/>
          <w:jc w:val="center"/>
        </w:trPr>
        <w:tc>
          <w:tcPr>
            <w:tcW w:w="4077" w:type="dxa"/>
          </w:tcPr>
          <w:p w14:paraId="398923AF" w14:textId="77777777" w:rsidR="002F0925" w:rsidRPr="003D3E1E" w:rsidRDefault="002F0925" w:rsidP="002F0925">
            <w:pPr>
              <w:rPr>
                <w:rFonts w:ascii="Arial" w:hAnsi="Arial" w:cs="Arial"/>
                <w:b/>
              </w:rPr>
            </w:pPr>
            <w:r w:rsidRPr="003D3E1E">
              <w:rPr>
                <w:rFonts w:ascii="Arial" w:hAnsi="Arial" w:cs="Arial"/>
                <w:b/>
              </w:rPr>
              <w:t>Total Literacy Students</w:t>
            </w:r>
          </w:p>
        </w:tc>
        <w:tc>
          <w:tcPr>
            <w:tcW w:w="3544" w:type="dxa"/>
          </w:tcPr>
          <w:p w14:paraId="5D2AB4E8" w14:textId="77777777" w:rsidR="002F0925" w:rsidRPr="003D3E1E" w:rsidRDefault="002F0925" w:rsidP="002F0925">
            <w:pPr>
              <w:rPr>
                <w:rFonts w:ascii="Arial" w:hAnsi="Arial" w:cs="Arial"/>
                <w:b/>
              </w:rPr>
            </w:pPr>
            <w:r w:rsidRPr="003D3E1E">
              <w:rPr>
                <w:rFonts w:ascii="Arial" w:hAnsi="Arial" w:cs="Arial"/>
                <w:b/>
              </w:rPr>
              <w:t>12664</w:t>
            </w:r>
          </w:p>
        </w:tc>
      </w:tr>
    </w:tbl>
    <w:p w14:paraId="336A07FA" w14:textId="77777777" w:rsidR="00941B94" w:rsidRDefault="00941B94" w:rsidP="000A46ED">
      <w:pPr>
        <w:spacing w:after="0" w:line="240" w:lineRule="auto"/>
        <w:jc w:val="center"/>
        <w:rPr>
          <w:rFonts w:eastAsia="Times New Roman" w:cs="Times New Roman"/>
          <w:b/>
          <w:bCs/>
          <w:color w:val="244061" w:themeColor="accent1" w:themeShade="80"/>
          <w:sz w:val="36"/>
          <w:szCs w:val="36"/>
          <w:lang w:eastAsia="en-AU"/>
        </w:rPr>
        <w:sectPr w:rsidR="00941B94" w:rsidSect="001827B6">
          <w:pgSz w:w="11906" w:h="16838"/>
          <w:pgMar w:top="1134" w:right="851" w:bottom="1134" w:left="1418" w:header="709" w:footer="709" w:gutter="0"/>
          <w:cols w:space="708"/>
          <w:docGrid w:linePitch="360"/>
        </w:sectPr>
      </w:pPr>
    </w:p>
    <w:tbl>
      <w:tblPr>
        <w:tblpPr w:leftFromText="180" w:rightFromText="180" w:horzAnchor="margin" w:tblpY="543"/>
        <w:tblW w:w="5000" w:type="pct"/>
        <w:tblLook w:val="04A0" w:firstRow="1" w:lastRow="0" w:firstColumn="1" w:lastColumn="0" w:noHBand="0" w:noVBand="1"/>
        <w:tblCaption w:val="Table - Numeracy Year 3"/>
        <w:tblDescription w:val="Data relating to Numeracy Year 3"/>
      </w:tblPr>
      <w:tblGrid>
        <w:gridCol w:w="6244"/>
        <w:gridCol w:w="885"/>
        <w:gridCol w:w="884"/>
        <w:gridCol w:w="869"/>
        <w:gridCol w:w="869"/>
        <w:gridCol w:w="775"/>
        <w:gridCol w:w="795"/>
        <w:gridCol w:w="934"/>
        <w:gridCol w:w="958"/>
        <w:gridCol w:w="775"/>
        <w:gridCol w:w="798"/>
      </w:tblGrid>
      <w:tr w:rsidR="000A46ED" w:rsidRPr="000A46ED" w14:paraId="45FB99F9" w14:textId="77777777" w:rsidTr="00273D45">
        <w:trPr>
          <w:trHeight w:val="283"/>
          <w:tblHeader/>
        </w:trPr>
        <w:tc>
          <w:tcPr>
            <w:tcW w:w="2111" w:type="pct"/>
            <w:vMerge w:val="restart"/>
            <w:tcBorders>
              <w:top w:val="single" w:sz="4" w:space="0" w:color="auto"/>
              <w:left w:val="single" w:sz="4" w:space="0" w:color="auto"/>
              <w:bottom w:val="nil"/>
              <w:right w:val="nil"/>
            </w:tcBorders>
            <w:shd w:val="clear" w:color="auto" w:fill="auto"/>
            <w:noWrap/>
            <w:vAlign w:val="center"/>
            <w:hideMark/>
          </w:tcPr>
          <w:p w14:paraId="05C0C290" w14:textId="77777777" w:rsidR="000A46ED" w:rsidRPr="008826A5" w:rsidRDefault="000A46ED" w:rsidP="00AB720F">
            <w:pPr>
              <w:spacing w:after="0" w:line="240" w:lineRule="auto"/>
              <w:jc w:val="center"/>
              <w:rPr>
                <w:rFonts w:eastAsia="Times New Roman" w:cs="Times New Roman"/>
                <w:b/>
                <w:bCs/>
                <w:color w:val="244061" w:themeColor="accent1" w:themeShade="80"/>
                <w:sz w:val="36"/>
                <w:szCs w:val="36"/>
                <w:lang w:eastAsia="en-AU"/>
              </w:rPr>
            </w:pPr>
            <w:r w:rsidRPr="000A46ED">
              <w:rPr>
                <w:rFonts w:eastAsia="Times New Roman" w:cs="Times New Roman"/>
                <w:b/>
                <w:bCs/>
                <w:color w:val="244061" w:themeColor="accent1" w:themeShade="80"/>
                <w:sz w:val="36"/>
                <w:szCs w:val="36"/>
                <w:lang w:eastAsia="en-AU"/>
              </w:rPr>
              <w:t>NUMERACY</w:t>
            </w:r>
          </w:p>
          <w:p w14:paraId="4EF4BF64" w14:textId="77777777" w:rsidR="000A46ED" w:rsidRPr="000A46ED" w:rsidRDefault="000A46ED" w:rsidP="00AB720F">
            <w:pPr>
              <w:spacing w:after="0" w:line="240" w:lineRule="auto"/>
              <w:jc w:val="center"/>
              <w:rPr>
                <w:rFonts w:eastAsia="Times New Roman" w:cs="Times New Roman"/>
                <w:b/>
                <w:bCs/>
                <w:color w:val="FF0000"/>
                <w:sz w:val="36"/>
                <w:szCs w:val="36"/>
                <w:lang w:eastAsia="en-AU"/>
              </w:rPr>
            </w:pPr>
          </w:p>
        </w:tc>
        <w:tc>
          <w:tcPr>
            <w:tcW w:w="2889"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1E5F3832" w14:textId="77777777" w:rsidR="000A46ED" w:rsidRPr="000A46ED" w:rsidRDefault="000A46ED" w:rsidP="00AB720F">
            <w:pPr>
              <w:spacing w:after="0" w:line="240" w:lineRule="auto"/>
              <w:jc w:val="center"/>
              <w:rPr>
                <w:rFonts w:eastAsia="Times New Roman" w:cs="Times New Roman"/>
                <w:color w:val="000000"/>
                <w:sz w:val="52"/>
                <w:szCs w:val="52"/>
                <w:lang w:eastAsia="en-AU"/>
              </w:rPr>
            </w:pPr>
            <w:r w:rsidRPr="000A46ED">
              <w:rPr>
                <w:rFonts w:eastAsia="Times New Roman" w:cs="Times New Roman"/>
                <w:color w:val="000000"/>
                <w:sz w:val="52"/>
                <w:szCs w:val="52"/>
                <w:lang w:eastAsia="en-AU"/>
              </w:rPr>
              <w:t>Year 3</w:t>
            </w:r>
          </w:p>
        </w:tc>
      </w:tr>
      <w:tr w:rsidR="000A46ED" w:rsidRPr="000A46ED" w14:paraId="38656C19" w14:textId="77777777" w:rsidTr="00AB720F">
        <w:trPr>
          <w:trHeight w:val="229"/>
        </w:trPr>
        <w:tc>
          <w:tcPr>
            <w:tcW w:w="2111" w:type="pct"/>
            <w:vMerge/>
            <w:tcBorders>
              <w:left w:val="single" w:sz="4" w:space="0" w:color="auto"/>
              <w:right w:val="nil"/>
            </w:tcBorders>
            <w:shd w:val="clear" w:color="auto" w:fill="auto"/>
            <w:vAlign w:val="center"/>
            <w:hideMark/>
          </w:tcPr>
          <w:p w14:paraId="604ECE0E" w14:textId="77777777" w:rsidR="000A46ED" w:rsidRPr="000A46ED" w:rsidRDefault="000A46ED" w:rsidP="00AB720F">
            <w:pPr>
              <w:spacing w:after="0" w:line="240" w:lineRule="auto"/>
              <w:rPr>
                <w:rFonts w:eastAsia="Times New Roman" w:cs="Times New Roman"/>
                <w:color w:val="000000"/>
                <w:sz w:val="24"/>
                <w:szCs w:val="24"/>
                <w:lang w:eastAsia="en-AU"/>
              </w:rPr>
            </w:pPr>
          </w:p>
        </w:tc>
        <w:tc>
          <w:tcPr>
            <w:tcW w:w="598"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4A43DECE"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588" w:type="pct"/>
            <w:gridSpan w:val="2"/>
            <w:tcBorders>
              <w:top w:val="double" w:sz="6" w:space="0" w:color="auto"/>
              <w:left w:val="nil"/>
              <w:bottom w:val="single" w:sz="4" w:space="0" w:color="auto"/>
              <w:right w:val="single" w:sz="12" w:space="0" w:color="000000"/>
            </w:tcBorders>
            <w:shd w:val="clear" w:color="auto" w:fill="auto"/>
            <w:vAlign w:val="center"/>
            <w:hideMark/>
          </w:tcPr>
          <w:p w14:paraId="28C75802"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531" w:type="pct"/>
            <w:gridSpan w:val="2"/>
            <w:tcBorders>
              <w:top w:val="double" w:sz="6" w:space="0" w:color="auto"/>
              <w:left w:val="nil"/>
              <w:bottom w:val="single" w:sz="4" w:space="0" w:color="auto"/>
              <w:right w:val="single" w:sz="12" w:space="0" w:color="000000"/>
            </w:tcBorders>
            <w:shd w:val="clear" w:color="auto" w:fill="auto"/>
            <w:vAlign w:val="center"/>
            <w:hideMark/>
          </w:tcPr>
          <w:p w14:paraId="02881009"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640" w:type="pct"/>
            <w:gridSpan w:val="2"/>
            <w:tcBorders>
              <w:top w:val="double" w:sz="6" w:space="0" w:color="auto"/>
              <w:left w:val="nil"/>
              <w:bottom w:val="single" w:sz="4" w:space="0" w:color="auto"/>
              <w:right w:val="single" w:sz="12" w:space="0" w:color="000000"/>
            </w:tcBorders>
            <w:shd w:val="clear" w:color="auto" w:fill="auto"/>
            <w:vAlign w:val="center"/>
            <w:hideMark/>
          </w:tcPr>
          <w:p w14:paraId="38DBCB70"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532" w:type="pct"/>
            <w:gridSpan w:val="2"/>
            <w:tcBorders>
              <w:top w:val="double" w:sz="6" w:space="0" w:color="auto"/>
              <w:left w:val="nil"/>
              <w:bottom w:val="single" w:sz="4" w:space="0" w:color="auto"/>
              <w:right w:val="double" w:sz="6" w:space="0" w:color="000000"/>
            </w:tcBorders>
            <w:shd w:val="clear" w:color="auto" w:fill="auto"/>
            <w:vAlign w:val="center"/>
            <w:hideMark/>
          </w:tcPr>
          <w:p w14:paraId="63185AEF"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0A46ED" w:rsidRPr="000A46ED" w14:paraId="41273AAE" w14:textId="77777777" w:rsidTr="00AB720F">
        <w:trPr>
          <w:trHeight w:val="229"/>
        </w:trPr>
        <w:tc>
          <w:tcPr>
            <w:tcW w:w="2111" w:type="pct"/>
            <w:vMerge/>
            <w:tcBorders>
              <w:left w:val="single" w:sz="4" w:space="0" w:color="auto"/>
              <w:bottom w:val="single" w:sz="8" w:space="0" w:color="auto"/>
              <w:right w:val="nil"/>
            </w:tcBorders>
            <w:shd w:val="clear" w:color="auto" w:fill="auto"/>
            <w:vAlign w:val="center"/>
            <w:hideMark/>
          </w:tcPr>
          <w:p w14:paraId="25F0DCCA" w14:textId="77777777" w:rsidR="000A46ED" w:rsidRPr="000A46ED" w:rsidRDefault="000A46ED" w:rsidP="00AB720F">
            <w:pPr>
              <w:spacing w:after="0" w:line="240" w:lineRule="auto"/>
              <w:rPr>
                <w:rFonts w:eastAsia="Times New Roman" w:cs="Times New Roman"/>
                <w:color w:val="000000"/>
                <w:sz w:val="24"/>
                <w:szCs w:val="24"/>
                <w:lang w:eastAsia="en-AU"/>
              </w:rPr>
            </w:pPr>
          </w:p>
        </w:tc>
        <w:tc>
          <w:tcPr>
            <w:tcW w:w="299" w:type="pct"/>
            <w:tcBorders>
              <w:top w:val="nil"/>
              <w:left w:val="double" w:sz="6" w:space="0" w:color="auto"/>
              <w:bottom w:val="single" w:sz="4" w:space="0" w:color="auto"/>
              <w:right w:val="single" w:sz="4" w:space="0" w:color="auto"/>
            </w:tcBorders>
            <w:shd w:val="clear" w:color="auto" w:fill="auto"/>
            <w:vAlign w:val="center"/>
            <w:hideMark/>
          </w:tcPr>
          <w:p w14:paraId="245305D4"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201364B1"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4" w:type="pct"/>
            <w:tcBorders>
              <w:top w:val="nil"/>
              <w:left w:val="nil"/>
              <w:bottom w:val="single" w:sz="4" w:space="0" w:color="auto"/>
              <w:right w:val="single" w:sz="4" w:space="0" w:color="auto"/>
            </w:tcBorders>
            <w:shd w:val="clear" w:color="auto" w:fill="auto"/>
            <w:vAlign w:val="center"/>
            <w:hideMark/>
          </w:tcPr>
          <w:p w14:paraId="230AA981"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4" w:type="pct"/>
            <w:tcBorders>
              <w:top w:val="nil"/>
              <w:left w:val="nil"/>
              <w:bottom w:val="single" w:sz="4" w:space="0" w:color="auto"/>
              <w:right w:val="single" w:sz="12" w:space="0" w:color="auto"/>
            </w:tcBorders>
            <w:shd w:val="clear" w:color="auto" w:fill="auto"/>
            <w:vAlign w:val="center"/>
            <w:hideMark/>
          </w:tcPr>
          <w:p w14:paraId="6B156D1D"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62" w:type="pct"/>
            <w:tcBorders>
              <w:top w:val="nil"/>
              <w:left w:val="nil"/>
              <w:bottom w:val="single" w:sz="4" w:space="0" w:color="auto"/>
              <w:right w:val="single" w:sz="4" w:space="0" w:color="auto"/>
            </w:tcBorders>
            <w:shd w:val="clear" w:color="auto" w:fill="auto"/>
            <w:vAlign w:val="center"/>
            <w:hideMark/>
          </w:tcPr>
          <w:p w14:paraId="3007D4AB"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69" w:type="pct"/>
            <w:tcBorders>
              <w:top w:val="nil"/>
              <w:left w:val="nil"/>
              <w:bottom w:val="single" w:sz="4" w:space="0" w:color="auto"/>
              <w:right w:val="single" w:sz="12" w:space="0" w:color="auto"/>
            </w:tcBorders>
            <w:shd w:val="clear" w:color="auto" w:fill="auto"/>
            <w:vAlign w:val="center"/>
            <w:hideMark/>
          </w:tcPr>
          <w:p w14:paraId="37766396"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316" w:type="pct"/>
            <w:tcBorders>
              <w:top w:val="nil"/>
              <w:left w:val="nil"/>
              <w:bottom w:val="single" w:sz="4" w:space="0" w:color="auto"/>
              <w:right w:val="single" w:sz="4" w:space="0" w:color="auto"/>
            </w:tcBorders>
            <w:shd w:val="clear" w:color="auto" w:fill="auto"/>
            <w:vAlign w:val="center"/>
            <w:hideMark/>
          </w:tcPr>
          <w:p w14:paraId="53D74590"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324" w:type="pct"/>
            <w:tcBorders>
              <w:top w:val="nil"/>
              <w:left w:val="nil"/>
              <w:bottom w:val="single" w:sz="4" w:space="0" w:color="auto"/>
              <w:right w:val="single" w:sz="12" w:space="0" w:color="auto"/>
            </w:tcBorders>
            <w:shd w:val="clear" w:color="auto" w:fill="auto"/>
            <w:vAlign w:val="center"/>
            <w:hideMark/>
          </w:tcPr>
          <w:p w14:paraId="04947783"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62" w:type="pct"/>
            <w:tcBorders>
              <w:top w:val="nil"/>
              <w:left w:val="nil"/>
              <w:bottom w:val="single" w:sz="4" w:space="0" w:color="auto"/>
              <w:right w:val="single" w:sz="4" w:space="0" w:color="auto"/>
            </w:tcBorders>
            <w:shd w:val="clear" w:color="auto" w:fill="auto"/>
            <w:vAlign w:val="center"/>
            <w:hideMark/>
          </w:tcPr>
          <w:p w14:paraId="4EB99A08"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70" w:type="pct"/>
            <w:tcBorders>
              <w:top w:val="nil"/>
              <w:left w:val="nil"/>
              <w:bottom w:val="single" w:sz="4" w:space="0" w:color="auto"/>
              <w:right w:val="double" w:sz="6" w:space="0" w:color="auto"/>
            </w:tcBorders>
            <w:shd w:val="clear" w:color="auto" w:fill="auto"/>
            <w:vAlign w:val="center"/>
            <w:hideMark/>
          </w:tcPr>
          <w:p w14:paraId="4156FCA6" w14:textId="77777777" w:rsidR="000A46ED" w:rsidRPr="000A46ED" w:rsidRDefault="000A46ED" w:rsidP="00AB720F">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0A46ED" w:rsidRPr="000A46ED" w14:paraId="6F96C4F3"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1902FEE7" w14:textId="59061845"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doing Maths.</w:t>
            </w:r>
          </w:p>
        </w:tc>
        <w:tc>
          <w:tcPr>
            <w:tcW w:w="299" w:type="pct"/>
            <w:tcBorders>
              <w:top w:val="nil"/>
              <w:left w:val="double" w:sz="6" w:space="0" w:color="auto"/>
              <w:bottom w:val="single" w:sz="4" w:space="0" w:color="auto"/>
              <w:right w:val="nil"/>
            </w:tcBorders>
            <w:shd w:val="clear" w:color="000000" w:fill="F2DCDB"/>
            <w:vAlign w:val="center"/>
            <w:hideMark/>
          </w:tcPr>
          <w:p w14:paraId="22F9A7A8"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121</w:t>
            </w:r>
          </w:p>
        </w:tc>
        <w:tc>
          <w:tcPr>
            <w:tcW w:w="299" w:type="pct"/>
            <w:tcBorders>
              <w:top w:val="nil"/>
              <w:left w:val="double" w:sz="6" w:space="0" w:color="auto"/>
              <w:bottom w:val="single" w:sz="4" w:space="0" w:color="auto"/>
              <w:right w:val="nil"/>
            </w:tcBorders>
            <w:shd w:val="clear" w:color="000000" w:fill="F2DCDB"/>
            <w:vAlign w:val="center"/>
            <w:hideMark/>
          </w:tcPr>
          <w:p w14:paraId="5EA1934C"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180</w:t>
            </w:r>
          </w:p>
        </w:tc>
        <w:tc>
          <w:tcPr>
            <w:tcW w:w="294" w:type="pct"/>
            <w:tcBorders>
              <w:top w:val="nil"/>
              <w:left w:val="double" w:sz="6" w:space="0" w:color="auto"/>
              <w:bottom w:val="single" w:sz="4" w:space="0" w:color="auto"/>
              <w:right w:val="nil"/>
            </w:tcBorders>
            <w:shd w:val="clear" w:color="000000" w:fill="F2DCDB"/>
            <w:vAlign w:val="center"/>
            <w:hideMark/>
          </w:tcPr>
          <w:p w14:paraId="779CBE72"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148</w:t>
            </w:r>
          </w:p>
        </w:tc>
        <w:tc>
          <w:tcPr>
            <w:tcW w:w="294" w:type="pct"/>
            <w:tcBorders>
              <w:top w:val="nil"/>
              <w:left w:val="double" w:sz="6" w:space="0" w:color="auto"/>
              <w:bottom w:val="single" w:sz="4" w:space="0" w:color="auto"/>
              <w:right w:val="nil"/>
            </w:tcBorders>
            <w:shd w:val="clear" w:color="000000" w:fill="F2DCDB"/>
            <w:vAlign w:val="center"/>
            <w:hideMark/>
          </w:tcPr>
          <w:p w14:paraId="53431492"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133</w:t>
            </w:r>
          </w:p>
        </w:tc>
        <w:tc>
          <w:tcPr>
            <w:tcW w:w="262" w:type="pct"/>
            <w:tcBorders>
              <w:top w:val="nil"/>
              <w:left w:val="double" w:sz="6" w:space="0" w:color="auto"/>
              <w:bottom w:val="single" w:sz="4" w:space="0" w:color="auto"/>
              <w:right w:val="nil"/>
            </w:tcBorders>
            <w:shd w:val="clear" w:color="000000" w:fill="F2DCDB"/>
            <w:vAlign w:val="center"/>
            <w:hideMark/>
          </w:tcPr>
          <w:p w14:paraId="4F791A4D"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29</w:t>
            </w:r>
          </w:p>
        </w:tc>
        <w:tc>
          <w:tcPr>
            <w:tcW w:w="269" w:type="pct"/>
            <w:tcBorders>
              <w:top w:val="nil"/>
              <w:left w:val="double" w:sz="6" w:space="0" w:color="auto"/>
              <w:bottom w:val="single" w:sz="4" w:space="0" w:color="auto"/>
              <w:right w:val="nil"/>
            </w:tcBorders>
            <w:shd w:val="clear" w:color="000000" w:fill="F2DCDB"/>
            <w:vAlign w:val="center"/>
            <w:hideMark/>
          </w:tcPr>
          <w:p w14:paraId="73F2E013"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22</w:t>
            </w:r>
          </w:p>
        </w:tc>
        <w:tc>
          <w:tcPr>
            <w:tcW w:w="316" w:type="pct"/>
            <w:tcBorders>
              <w:top w:val="nil"/>
              <w:left w:val="double" w:sz="6" w:space="0" w:color="auto"/>
              <w:bottom w:val="single" w:sz="4" w:space="0" w:color="auto"/>
              <w:right w:val="nil"/>
            </w:tcBorders>
            <w:shd w:val="clear" w:color="000000" w:fill="F2DCDB"/>
            <w:vAlign w:val="center"/>
            <w:hideMark/>
          </w:tcPr>
          <w:p w14:paraId="478B2C84"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16</w:t>
            </w:r>
          </w:p>
        </w:tc>
        <w:tc>
          <w:tcPr>
            <w:tcW w:w="324" w:type="pct"/>
            <w:tcBorders>
              <w:top w:val="nil"/>
              <w:left w:val="double" w:sz="6" w:space="0" w:color="auto"/>
              <w:bottom w:val="single" w:sz="4" w:space="0" w:color="auto"/>
              <w:right w:val="nil"/>
            </w:tcBorders>
            <w:shd w:val="clear" w:color="000000" w:fill="F2DCDB"/>
            <w:vAlign w:val="center"/>
            <w:hideMark/>
          </w:tcPr>
          <w:p w14:paraId="4137A848"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8</w:t>
            </w:r>
          </w:p>
        </w:tc>
        <w:tc>
          <w:tcPr>
            <w:tcW w:w="262" w:type="pct"/>
            <w:tcBorders>
              <w:top w:val="nil"/>
              <w:left w:val="double" w:sz="6" w:space="0" w:color="auto"/>
              <w:bottom w:val="single" w:sz="4" w:space="0" w:color="auto"/>
              <w:right w:val="nil"/>
            </w:tcBorders>
            <w:shd w:val="clear" w:color="000000" w:fill="F2DCDB"/>
            <w:vAlign w:val="center"/>
            <w:hideMark/>
          </w:tcPr>
          <w:p w14:paraId="0F3FB451"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28</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19F538F5"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14</w:t>
            </w:r>
          </w:p>
        </w:tc>
      </w:tr>
      <w:tr w:rsidR="000A46ED" w:rsidRPr="000A46ED" w14:paraId="6789774A"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060E9617" w14:textId="59DDE3CF"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 It is important to learn Maths.</w:t>
            </w:r>
          </w:p>
        </w:tc>
        <w:tc>
          <w:tcPr>
            <w:tcW w:w="299" w:type="pct"/>
            <w:tcBorders>
              <w:top w:val="nil"/>
              <w:left w:val="double" w:sz="6" w:space="0" w:color="auto"/>
              <w:bottom w:val="single" w:sz="4" w:space="0" w:color="auto"/>
              <w:right w:val="nil"/>
            </w:tcBorders>
            <w:shd w:val="clear" w:color="000000" w:fill="F2DCDB"/>
            <w:vAlign w:val="center"/>
            <w:hideMark/>
          </w:tcPr>
          <w:p w14:paraId="78A0B4E9"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233</w:t>
            </w:r>
          </w:p>
        </w:tc>
        <w:tc>
          <w:tcPr>
            <w:tcW w:w="299" w:type="pct"/>
            <w:tcBorders>
              <w:top w:val="nil"/>
              <w:left w:val="double" w:sz="6" w:space="0" w:color="auto"/>
              <w:bottom w:val="single" w:sz="4" w:space="0" w:color="auto"/>
              <w:right w:val="nil"/>
            </w:tcBorders>
            <w:shd w:val="clear" w:color="000000" w:fill="F2DCDB"/>
            <w:vAlign w:val="center"/>
            <w:hideMark/>
          </w:tcPr>
          <w:p w14:paraId="48495690"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254</w:t>
            </w:r>
          </w:p>
        </w:tc>
        <w:tc>
          <w:tcPr>
            <w:tcW w:w="294" w:type="pct"/>
            <w:tcBorders>
              <w:top w:val="nil"/>
              <w:left w:val="double" w:sz="6" w:space="0" w:color="auto"/>
              <w:bottom w:val="single" w:sz="4" w:space="0" w:color="auto"/>
              <w:right w:val="nil"/>
            </w:tcBorders>
            <w:shd w:val="clear" w:color="000000" w:fill="F2DCDB"/>
            <w:vAlign w:val="center"/>
            <w:hideMark/>
          </w:tcPr>
          <w:p w14:paraId="408ABF55"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96</w:t>
            </w:r>
          </w:p>
        </w:tc>
        <w:tc>
          <w:tcPr>
            <w:tcW w:w="294" w:type="pct"/>
            <w:tcBorders>
              <w:top w:val="nil"/>
              <w:left w:val="double" w:sz="6" w:space="0" w:color="auto"/>
              <w:bottom w:val="single" w:sz="4" w:space="0" w:color="auto"/>
              <w:right w:val="nil"/>
            </w:tcBorders>
            <w:shd w:val="clear" w:color="000000" w:fill="F2DCDB"/>
            <w:vAlign w:val="center"/>
            <w:hideMark/>
          </w:tcPr>
          <w:p w14:paraId="25DB04BC"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88</w:t>
            </w:r>
          </w:p>
        </w:tc>
        <w:tc>
          <w:tcPr>
            <w:tcW w:w="262" w:type="pct"/>
            <w:tcBorders>
              <w:top w:val="nil"/>
              <w:left w:val="double" w:sz="6" w:space="0" w:color="auto"/>
              <w:bottom w:val="single" w:sz="4" w:space="0" w:color="auto"/>
              <w:right w:val="nil"/>
            </w:tcBorders>
            <w:shd w:val="clear" w:color="000000" w:fill="F2DCDB"/>
            <w:vAlign w:val="center"/>
            <w:hideMark/>
          </w:tcPr>
          <w:p w14:paraId="5E516681"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w:t>
            </w:r>
          </w:p>
        </w:tc>
        <w:tc>
          <w:tcPr>
            <w:tcW w:w="269" w:type="pct"/>
            <w:tcBorders>
              <w:top w:val="nil"/>
              <w:left w:val="double" w:sz="6" w:space="0" w:color="auto"/>
              <w:bottom w:val="single" w:sz="4" w:space="0" w:color="auto"/>
              <w:right w:val="nil"/>
            </w:tcBorders>
            <w:shd w:val="clear" w:color="000000" w:fill="F2DCDB"/>
            <w:vAlign w:val="center"/>
            <w:hideMark/>
          </w:tcPr>
          <w:p w14:paraId="73D64444"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7</w:t>
            </w:r>
          </w:p>
        </w:tc>
        <w:tc>
          <w:tcPr>
            <w:tcW w:w="316" w:type="pct"/>
            <w:tcBorders>
              <w:top w:val="nil"/>
              <w:left w:val="double" w:sz="6" w:space="0" w:color="auto"/>
              <w:bottom w:val="single" w:sz="4" w:space="0" w:color="auto"/>
              <w:right w:val="nil"/>
            </w:tcBorders>
            <w:shd w:val="clear" w:color="000000" w:fill="F2DCDB"/>
            <w:vAlign w:val="center"/>
            <w:hideMark/>
          </w:tcPr>
          <w:p w14:paraId="7E05E9FF"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6</w:t>
            </w:r>
          </w:p>
        </w:tc>
        <w:tc>
          <w:tcPr>
            <w:tcW w:w="324" w:type="pct"/>
            <w:tcBorders>
              <w:top w:val="nil"/>
              <w:left w:val="double" w:sz="6" w:space="0" w:color="auto"/>
              <w:bottom w:val="single" w:sz="4" w:space="0" w:color="auto"/>
              <w:right w:val="nil"/>
            </w:tcBorders>
            <w:shd w:val="clear" w:color="000000" w:fill="F2DCDB"/>
            <w:vAlign w:val="center"/>
            <w:hideMark/>
          </w:tcPr>
          <w:p w14:paraId="43EEE13C"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w:t>
            </w:r>
          </w:p>
        </w:tc>
        <w:tc>
          <w:tcPr>
            <w:tcW w:w="262" w:type="pct"/>
            <w:tcBorders>
              <w:top w:val="nil"/>
              <w:left w:val="double" w:sz="6" w:space="0" w:color="auto"/>
              <w:bottom w:val="single" w:sz="4" w:space="0" w:color="auto"/>
              <w:right w:val="nil"/>
            </w:tcBorders>
            <w:shd w:val="clear" w:color="000000" w:fill="F2DCDB"/>
            <w:vAlign w:val="center"/>
            <w:hideMark/>
          </w:tcPr>
          <w:p w14:paraId="3E438F8B"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40E68BAE"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w:t>
            </w:r>
          </w:p>
        </w:tc>
      </w:tr>
      <w:tr w:rsidR="000A46ED" w:rsidRPr="000A46ED" w14:paraId="7216F67B"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1FB22CFF" w14:textId="307966C0"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Maths skills.</w:t>
            </w:r>
          </w:p>
        </w:tc>
        <w:tc>
          <w:tcPr>
            <w:tcW w:w="299" w:type="pct"/>
            <w:tcBorders>
              <w:top w:val="nil"/>
              <w:left w:val="double" w:sz="6" w:space="0" w:color="auto"/>
              <w:bottom w:val="single" w:sz="4" w:space="0" w:color="auto"/>
              <w:right w:val="nil"/>
            </w:tcBorders>
            <w:shd w:val="clear" w:color="000000" w:fill="F2DCDB"/>
            <w:vAlign w:val="center"/>
            <w:hideMark/>
          </w:tcPr>
          <w:p w14:paraId="117507AF"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100</w:t>
            </w:r>
          </w:p>
        </w:tc>
        <w:tc>
          <w:tcPr>
            <w:tcW w:w="299" w:type="pct"/>
            <w:tcBorders>
              <w:top w:val="nil"/>
              <w:left w:val="double" w:sz="6" w:space="0" w:color="auto"/>
              <w:bottom w:val="single" w:sz="4" w:space="0" w:color="auto"/>
              <w:right w:val="nil"/>
            </w:tcBorders>
            <w:shd w:val="clear" w:color="000000" w:fill="F2DCDB"/>
            <w:vAlign w:val="center"/>
            <w:hideMark/>
          </w:tcPr>
          <w:p w14:paraId="51B47E45"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134</w:t>
            </w:r>
          </w:p>
        </w:tc>
        <w:tc>
          <w:tcPr>
            <w:tcW w:w="294" w:type="pct"/>
            <w:tcBorders>
              <w:top w:val="nil"/>
              <w:left w:val="double" w:sz="6" w:space="0" w:color="auto"/>
              <w:bottom w:val="single" w:sz="4" w:space="0" w:color="auto"/>
              <w:right w:val="nil"/>
            </w:tcBorders>
            <w:shd w:val="clear" w:color="000000" w:fill="F2DCDB"/>
            <w:vAlign w:val="center"/>
            <w:hideMark/>
          </w:tcPr>
          <w:p w14:paraId="145CF1AA"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138</w:t>
            </w:r>
          </w:p>
        </w:tc>
        <w:tc>
          <w:tcPr>
            <w:tcW w:w="294" w:type="pct"/>
            <w:tcBorders>
              <w:top w:val="nil"/>
              <w:left w:val="double" w:sz="6" w:space="0" w:color="auto"/>
              <w:bottom w:val="single" w:sz="4" w:space="0" w:color="auto"/>
              <w:right w:val="nil"/>
            </w:tcBorders>
            <w:shd w:val="clear" w:color="000000" w:fill="F2DCDB"/>
            <w:vAlign w:val="center"/>
            <w:hideMark/>
          </w:tcPr>
          <w:p w14:paraId="4CAFBD01"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164</w:t>
            </w:r>
          </w:p>
        </w:tc>
        <w:tc>
          <w:tcPr>
            <w:tcW w:w="262" w:type="pct"/>
            <w:tcBorders>
              <w:top w:val="nil"/>
              <w:left w:val="double" w:sz="6" w:space="0" w:color="auto"/>
              <w:bottom w:val="single" w:sz="4" w:space="0" w:color="auto"/>
              <w:right w:val="nil"/>
            </w:tcBorders>
            <w:shd w:val="clear" w:color="000000" w:fill="F2DCDB"/>
            <w:vAlign w:val="center"/>
            <w:hideMark/>
          </w:tcPr>
          <w:p w14:paraId="0CF2BCB0"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38</w:t>
            </w:r>
          </w:p>
        </w:tc>
        <w:tc>
          <w:tcPr>
            <w:tcW w:w="269" w:type="pct"/>
            <w:tcBorders>
              <w:top w:val="nil"/>
              <w:left w:val="double" w:sz="6" w:space="0" w:color="auto"/>
              <w:bottom w:val="single" w:sz="4" w:space="0" w:color="auto"/>
              <w:right w:val="nil"/>
            </w:tcBorders>
            <w:shd w:val="clear" w:color="000000" w:fill="F2DCDB"/>
            <w:vAlign w:val="center"/>
            <w:hideMark/>
          </w:tcPr>
          <w:p w14:paraId="573D5FF0"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27</w:t>
            </w:r>
          </w:p>
        </w:tc>
        <w:tc>
          <w:tcPr>
            <w:tcW w:w="316" w:type="pct"/>
            <w:tcBorders>
              <w:top w:val="nil"/>
              <w:left w:val="double" w:sz="6" w:space="0" w:color="auto"/>
              <w:bottom w:val="single" w:sz="4" w:space="0" w:color="auto"/>
              <w:right w:val="nil"/>
            </w:tcBorders>
            <w:shd w:val="clear" w:color="000000" w:fill="F2DCDB"/>
            <w:vAlign w:val="center"/>
            <w:hideMark/>
          </w:tcPr>
          <w:p w14:paraId="68965646"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13</w:t>
            </w:r>
          </w:p>
        </w:tc>
        <w:tc>
          <w:tcPr>
            <w:tcW w:w="324" w:type="pct"/>
            <w:tcBorders>
              <w:top w:val="nil"/>
              <w:left w:val="double" w:sz="6" w:space="0" w:color="auto"/>
              <w:bottom w:val="single" w:sz="4" w:space="0" w:color="auto"/>
              <w:right w:val="nil"/>
            </w:tcBorders>
            <w:shd w:val="clear" w:color="000000" w:fill="F2DCDB"/>
            <w:vAlign w:val="center"/>
            <w:hideMark/>
          </w:tcPr>
          <w:p w14:paraId="6A789E55"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6</w:t>
            </w:r>
          </w:p>
        </w:tc>
        <w:tc>
          <w:tcPr>
            <w:tcW w:w="262" w:type="pct"/>
            <w:tcBorders>
              <w:top w:val="nil"/>
              <w:left w:val="double" w:sz="6" w:space="0" w:color="auto"/>
              <w:bottom w:val="single" w:sz="4" w:space="0" w:color="auto"/>
              <w:right w:val="nil"/>
            </w:tcBorders>
            <w:shd w:val="clear" w:color="000000" w:fill="F2DCDB"/>
            <w:vAlign w:val="center"/>
            <w:hideMark/>
          </w:tcPr>
          <w:p w14:paraId="305F1A17"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53</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4B78BDD2"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26</w:t>
            </w:r>
          </w:p>
        </w:tc>
      </w:tr>
      <w:tr w:rsidR="000A46ED" w:rsidRPr="000A46ED" w14:paraId="60E305F8"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75FABAAD" w14:textId="3C679277"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learning as I get older.</w:t>
            </w:r>
          </w:p>
        </w:tc>
        <w:tc>
          <w:tcPr>
            <w:tcW w:w="299" w:type="pct"/>
            <w:tcBorders>
              <w:top w:val="nil"/>
              <w:left w:val="double" w:sz="6" w:space="0" w:color="auto"/>
              <w:bottom w:val="single" w:sz="4" w:space="0" w:color="auto"/>
              <w:right w:val="nil"/>
            </w:tcBorders>
            <w:shd w:val="clear" w:color="000000" w:fill="F2DCDB"/>
            <w:vAlign w:val="center"/>
            <w:hideMark/>
          </w:tcPr>
          <w:p w14:paraId="2ED87190"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174</w:t>
            </w:r>
          </w:p>
        </w:tc>
        <w:tc>
          <w:tcPr>
            <w:tcW w:w="299" w:type="pct"/>
            <w:tcBorders>
              <w:top w:val="nil"/>
              <w:left w:val="double" w:sz="6" w:space="0" w:color="auto"/>
              <w:bottom w:val="single" w:sz="4" w:space="0" w:color="auto"/>
              <w:right w:val="nil"/>
            </w:tcBorders>
            <w:shd w:val="clear" w:color="000000" w:fill="F2DCDB"/>
            <w:vAlign w:val="center"/>
            <w:hideMark/>
          </w:tcPr>
          <w:p w14:paraId="40897EC0"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184</w:t>
            </w:r>
          </w:p>
        </w:tc>
        <w:tc>
          <w:tcPr>
            <w:tcW w:w="294" w:type="pct"/>
            <w:tcBorders>
              <w:top w:val="nil"/>
              <w:left w:val="double" w:sz="6" w:space="0" w:color="auto"/>
              <w:bottom w:val="single" w:sz="4" w:space="0" w:color="auto"/>
              <w:right w:val="nil"/>
            </w:tcBorders>
            <w:shd w:val="clear" w:color="000000" w:fill="F2DCDB"/>
            <w:vAlign w:val="center"/>
            <w:hideMark/>
          </w:tcPr>
          <w:p w14:paraId="75D052A1"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113</w:t>
            </w:r>
          </w:p>
        </w:tc>
        <w:tc>
          <w:tcPr>
            <w:tcW w:w="294" w:type="pct"/>
            <w:tcBorders>
              <w:top w:val="nil"/>
              <w:left w:val="double" w:sz="6" w:space="0" w:color="auto"/>
              <w:bottom w:val="single" w:sz="4" w:space="0" w:color="auto"/>
              <w:right w:val="nil"/>
            </w:tcBorders>
            <w:shd w:val="clear" w:color="000000" w:fill="F2DCDB"/>
            <w:vAlign w:val="center"/>
            <w:hideMark/>
          </w:tcPr>
          <w:p w14:paraId="53FEE43F"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131</w:t>
            </w:r>
          </w:p>
        </w:tc>
        <w:tc>
          <w:tcPr>
            <w:tcW w:w="262" w:type="pct"/>
            <w:tcBorders>
              <w:top w:val="nil"/>
              <w:left w:val="double" w:sz="6" w:space="0" w:color="auto"/>
              <w:bottom w:val="single" w:sz="4" w:space="0" w:color="auto"/>
              <w:right w:val="nil"/>
            </w:tcBorders>
            <w:shd w:val="clear" w:color="000000" w:fill="F2DCDB"/>
            <w:vAlign w:val="center"/>
            <w:hideMark/>
          </w:tcPr>
          <w:p w14:paraId="7487252B"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w:t>
            </w:r>
          </w:p>
        </w:tc>
        <w:tc>
          <w:tcPr>
            <w:tcW w:w="269" w:type="pct"/>
            <w:tcBorders>
              <w:top w:val="nil"/>
              <w:left w:val="double" w:sz="6" w:space="0" w:color="auto"/>
              <w:bottom w:val="single" w:sz="4" w:space="0" w:color="auto"/>
              <w:right w:val="nil"/>
            </w:tcBorders>
            <w:shd w:val="clear" w:color="000000" w:fill="F2DCDB"/>
            <w:vAlign w:val="center"/>
            <w:hideMark/>
          </w:tcPr>
          <w:p w14:paraId="7FA9CC1E"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9</w:t>
            </w:r>
          </w:p>
        </w:tc>
        <w:tc>
          <w:tcPr>
            <w:tcW w:w="316" w:type="pct"/>
            <w:tcBorders>
              <w:top w:val="nil"/>
              <w:left w:val="double" w:sz="6" w:space="0" w:color="auto"/>
              <w:bottom w:val="single" w:sz="4" w:space="0" w:color="auto"/>
              <w:right w:val="nil"/>
            </w:tcBorders>
            <w:shd w:val="clear" w:color="000000" w:fill="F2DCDB"/>
            <w:vAlign w:val="center"/>
            <w:hideMark/>
          </w:tcPr>
          <w:p w14:paraId="30089183"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10</w:t>
            </w:r>
          </w:p>
        </w:tc>
        <w:tc>
          <w:tcPr>
            <w:tcW w:w="324" w:type="pct"/>
            <w:tcBorders>
              <w:top w:val="nil"/>
              <w:left w:val="double" w:sz="6" w:space="0" w:color="auto"/>
              <w:bottom w:val="single" w:sz="4" w:space="0" w:color="auto"/>
              <w:right w:val="nil"/>
            </w:tcBorders>
            <w:shd w:val="clear" w:color="000000" w:fill="F2DCDB"/>
            <w:vAlign w:val="center"/>
            <w:hideMark/>
          </w:tcPr>
          <w:p w14:paraId="53C316BF"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11</w:t>
            </w:r>
          </w:p>
        </w:tc>
        <w:tc>
          <w:tcPr>
            <w:tcW w:w="262" w:type="pct"/>
            <w:tcBorders>
              <w:top w:val="nil"/>
              <w:left w:val="double" w:sz="6" w:space="0" w:color="auto"/>
              <w:bottom w:val="single" w:sz="4" w:space="0" w:color="auto"/>
              <w:right w:val="nil"/>
            </w:tcBorders>
            <w:shd w:val="clear" w:color="000000" w:fill="F2DCDB"/>
            <w:vAlign w:val="center"/>
            <w:hideMark/>
          </w:tcPr>
          <w:p w14:paraId="7E4C7426"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28</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5610E30B"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22</w:t>
            </w:r>
          </w:p>
        </w:tc>
      </w:tr>
      <w:tr w:rsidR="000A46ED" w:rsidRPr="000A46ED" w14:paraId="7F6D15B6"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0068E74B" w14:textId="6C6ABA57"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 My teacher expects more of me in Maths as I get older.</w:t>
            </w:r>
          </w:p>
        </w:tc>
        <w:tc>
          <w:tcPr>
            <w:tcW w:w="299" w:type="pct"/>
            <w:tcBorders>
              <w:top w:val="nil"/>
              <w:left w:val="double" w:sz="6" w:space="0" w:color="auto"/>
              <w:bottom w:val="single" w:sz="4" w:space="0" w:color="auto"/>
              <w:right w:val="nil"/>
            </w:tcBorders>
            <w:shd w:val="clear" w:color="000000" w:fill="F2DCDB"/>
            <w:vAlign w:val="center"/>
            <w:hideMark/>
          </w:tcPr>
          <w:p w14:paraId="537DE6CF"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155</w:t>
            </w:r>
          </w:p>
        </w:tc>
        <w:tc>
          <w:tcPr>
            <w:tcW w:w="299" w:type="pct"/>
            <w:tcBorders>
              <w:top w:val="nil"/>
              <w:left w:val="double" w:sz="6" w:space="0" w:color="auto"/>
              <w:bottom w:val="single" w:sz="4" w:space="0" w:color="auto"/>
              <w:right w:val="nil"/>
            </w:tcBorders>
            <w:shd w:val="clear" w:color="000000" w:fill="F2DCDB"/>
            <w:vAlign w:val="center"/>
            <w:hideMark/>
          </w:tcPr>
          <w:p w14:paraId="200C86BE"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185</w:t>
            </w:r>
          </w:p>
        </w:tc>
        <w:tc>
          <w:tcPr>
            <w:tcW w:w="294" w:type="pct"/>
            <w:tcBorders>
              <w:top w:val="nil"/>
              <w:left w:val="double" w:sz="6" w:space="0" w:color="auto"/>
              <w:bottom w:val="single" w:sz="4" w:space="0" w:color="auto"/>
              <w:right w:val="nil"/>
            </w:tcBorders>
            <w:shd w:val="clear" w:color="000000" w:fill="F2DCDB"/>
            <w:vAlign w:val="center"/>
            <w:hideMark/>
          </w:tcPr>
          <w:p w14:paraId="1B99EC56"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134</w:t>
            </w:r>
          </w:p>
        </w:tc>
        <w:tc>
          <w:tcPr>
            <w:tcW w:w="294" w:type="pct"/>
            <w:tcBorders>
              <w:top w:val="nil"/>
              <w:left w:val="double" w:sz="6" w:space="0" w:color="auto"/>
              <w:bottom w:val="single" w:sz="4" w:space="0" w:color="auto"/>
              <w:right w:val="nil"/>
            </w:tcBorders>
            <w:shd w:val="clear" w:color="000000" w:fill="F2DCDB"/>
            <w:vAlign w:val="center"/>
            <w:hideMark/>
          </w:tcPr>
          <w:p w14:paraId="7B0C5364"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125</w:t>
            </w:r>
          </w:p>
        </w:tc>
        <w:tc>
          <w:tcPr>
            <w:tcW w:w="262" w:type="pct"/>
            <w:tcBorders>
              <w:top w:val="nil"/>
              <w:left w:val="double" w:sz="6" w:space="0" w:color="auto"/>
              <w:bottom w:val="single" w:sz="4" w:space="0" w:color="auto"/>
              <w:right w:val="nil"/>
            </w:tcBorders>
            <w:shd w:val="clear" w:color="000000" w:fill="F2DCDB"/>
            <w:vAlign w:val="center"/>
            <w:hideMark/>
          </w:tcPr>
          <w:p w14:paraId="22E80D5B"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10</w:t>
            </w:r>
          </w:p>
        </w:tc>
        <w:tc>
          <w:tcPr>
            <w:tcW w:w="269" w:type="pct"/>
            <w:tcBorders>
              <w:top w:val="nil"/>
              <w:left w:val="double" w:sz="6" w:space="0" w:color="auto"/>
              <w:bottom w:val="single" w:sz="4" w:space="0" w:color="auto"/>
              <w:right w:val="nil"/>
            </w:tcBorders>
            <w:shd w:val="clear" w:color="000000" w:fill="F2DCDB"/>
            <w:vAlign w:val="center"/>
            <w:hideMark/>
          </w:tcPr>
          <w:p w14:paraId="3B55106F"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16</w:t>
            </w:r>
          </w:p>
        </w:tc>
        <w:tc>
          <w:tcPr>
            <w:tcW w:w="316" w:type="pct"/>
            <w:tcBorders>
              <w:top w:val="nil"/>
              <w:left w:val="double" w:sz="6" w:space="0" w:color="auto"/>
              <w:bottom w:val="single" w:sz="4" w:space="0" w:color="auto"/>
              <w:right w:val="nil"/>
            </w:tcBorders>
            <w:shd w:val="clear" w:color="000000" w:fill="F2DCDB"/>
            <w:vAlign w:val="center"/>
            <w:hideMark/>
          </w:tcPr>
          <w:p w14:paraId="49644AE4"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w:t>
            </w:r>
          </w:p>
        </w:tc>
        <w:tc>
          <w:tcPr>
            <w:tcW w:w="324" w:type="pct"/>
            <w:tcBorders>
              <w:top w:val="nil"/>
              <w:left w:val="double" w:sz="6" w:space="0" w:color="auto"/>
              <w:bottom w:val="single" w:sz="4" w:space="0" w:color="auto"/>
              <w:right w:val="nil"/>
            </w:tcBorders>
            <w:shd w:val="clear" w:color="000000" w:fill="F2DCDB"/>
            <w:vAlign w:val="center"/>
            <w:hideMark/>
          </w:tcPr>
          <w:p w14:paraId="2799DB21"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6</w:t>
            </w:r>
          </w:p>
        </w:tc>
        <w:tc>
          <w:tcPr>
            <w:tcW w:w="262" w:type="pct"/>
            <w:tcBorders>
              <w:top w:val="nil"/>
              <w:left w:val="double" w:sz="6" w:space="0" w:color="auto"/>
              <w:bottom w:val="single" w:sz="4" w:space="0" w:color="auto"/>
              <w:right w:val="nil"/>
            </w:tcBorders>
            <w:shd w:val="clear" w:color="000000" w:fill="F2DCDB"/>
            <w:vAlign w:val="center"/>
            <w:hideMark/>
          </w:tcPr>
          <w:p w14:paraId="547853B5"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38</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273034FA"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25</w:t>
            </w:r>
          </w:p>
        </w:tc>
      </w:tr>
      <w:tr w:rsidR="000A46ED" w:rsidRPr="000A46ED" w14:paraId="280CE425"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16E6DE7B" w14:textId="557B9703"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 My teacher tells me what I am learning in Maths and why.</w:t>
            </w:r>
          </w:p>
        </w:tc>
        <w:tc>
          <w:tcPr>
            <w:tcW w:w="299" w:type="pct"/>
            <w:tcBorders>
              <w:top w:val="nil"/>
              <w:left w:val="double" w:sz="6" w:space="0" w:color="auto"/>
              <w:bottom w:val="single" w:sz="4" w:space="0" w:color="auto"/>
              <w:right w:val="nil"/>
            </w:tcBorders>
            <w:shd w:val="clear" w:color="000000" w:fill="F2DCDB"/>
            <w:vAlign w:val="center"/>
            <w:hideMark/>
          </w:tcPr>
          <w:p w14:paraId="31F1D5CC"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171</w:t>
            </w:r>
          </w:p>
        </w:tc>
        <w:tc>
          <w:tcPr>
            <w:tcW w:w="299" w:type="pct"/>
            <w:tcBorders>
              <w:top w:val="nil"/>
              <w:left w:val="double" w:sz="6" w:space="0" w:color="auto"/>
              <w:bottom w:val="single" w:sz="4" w:space="0" w:color="auto"/>
              <w:right w:val="nil"/>
            </w:tcBorders>
            <w:shd w:val="clear" w:color="000000" w:fill="F2DCDB"/>
            <w:vAlign w:val="center"/>
            <w:hideMark/>
          </w:tcPr>
          <w:p w14:paraId="25A3C708"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170</w:t>
            </w:r>
          </w:p>
        </w:tc>
        <w:tc>
          <w:tcPr>
            <w:tcW w:w="294" w:type="pct"/>
            <w:tcBorders>
              <w:top w:val="nil"/>
              <w:left w:val="double" w:sz="6" w:space="0" w:color="auto"/>
              <w:bottom w:val="single" w:sz="4" w:space="0" w:color="auto"/>
              <w:right w:val="nil"/>
            </w:tcBorders>
            <w:shd w:val="clear" w:color="000000" w:fill="F2DCDB"/>
            <w:vAlign w:val="center"/>
            <w:hideMark/>
          </w:tcPr>
          <w:p w14:paraId="1717422B"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123</w:t>
            </w:r>
          </w:p>
        </w:tc>
        <w:tc>
          <w:tcPr>
            <w:tcW w:w="294" w:type="pct"/>
            <w:tcBorders>
              <w:top w:val="nil"/>
              <w:left w:val="double" w:sz="6" w:space="0" w:color="auto"/>
              <w:bottom w:val="single" w:sz="4" w:space="0" w:color="auto"/>
              <w:right w:val="nil"/>
            </w:tcBorders>
            <w:shd w:val="clear" w:color="000000" w:fill="F2DCDB"/>
            <w:vAlign w:val="center"/>
            <w:hideMark/>
          </w:tcPr>
          <w:p w14:paraId="7252314D"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136</w:t>
            </w:r>
          </w:p>
        </w:tc>
        <w:tc>
          <w:tcPr>
            <w:tcW w:w="262" w:type="pct"/>
            <w:tcBorders>
              <w:top w:val="nil"/>
              <w:left w:val="double" w:sz="6" w:space="0" w:color="auto"/>
              <w:bottom w:val="single" w:sz="4" w:space="0" w:color="auto"/>
              <w:right w:val="nil"/>
            </w:tcBorders>
            <w:shd w:val="clear" w:color="000000" w:fill="F2DCDB"/>
            <w:vAlign w:val="center"/>
            <w:hideMark/>
          </w:tcPr>
          <w:p w14:paraId="563A5454"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14</w:t>
            </w:r>
          </w:p>
        </w:tc>
        <w:tc>
          <w:tcPr>
            <w:tcW w:w="269" w:type="pct"/>
            <w:tcBorders>
              <w:top w:val="nil"/>
              <w:left w:val="double" w:sz="6" w:space="0" w:color="auto"/>
              <w:bottom w:val="single" w:sz="4" w:space="0" w:color="auto"/>
              <w:right w:val="nil"/>
            </w:tcBorders>
            <w:shd w:val="clear" w:color="000000" w:fill="F2DCDB"/>
            <w:vAlign w:val="center"/>
            <w:hideMark/>
          </w:tcPr>
          <w:p w14:paraId="16C1F003"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19</w:t>
            </w:r>
          </w:p>
        </w:tc>
        <w:tc>
          <w:tcPr>
            <w:tcW w:w="316" w:type="pct"/>
            <w:tcBorders>
              <w:top w:val="nil"/>
              <w:left w:val="double" w:sz="6" w:space="0" w:color="auto"/>
              <w:bottom w:val="single" w:sz="4" w:space="0" w:color="auto"/>
              <w:right w:val="nil"/>
            </w:tcBorders>
            <w:shd w:val="clear" w:color="000000" w:fill="F2DCDB"/>
            <w:vAlign w:val="center"/>
            <w:hideMark/>
          </w:tcPr>
          <w:p w14:paraId="2921603C"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w:t>
            </w:r>
          </w:p>
        </w:tc>
        <w:tc>
          <w:tcPr>
            <w:tcW w:w="324" w:type="pct"/>
            <w:tcBorders>
              <w:top w:val="nil"/>
              <w:left w:val="double" w:sz="6" w:space="0" w:color="auto"/>
              <w:bottom w:val="single" w:sz="4" w:space="0" w:color="auto"/>
              <w:right w:val="nil"/>
            </w:tcBorders>
            <w:shd w:val="clear" w:color="000000" w:fill="F2DCDB"/>
            <w:vAlign w:val="center"/>
            <w:hideMark/>
          </w:tcPr>
          <w:p w14:paraId="007599AB"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w:t>
            </w:r>
          </w:p>
        </w:tc>
        <w:tc>
          <w:tcPr>
            <w:tcW w:w="262" w:type="pct"/>
            <w:tcBorders>
              <w:top w:val="nil"/>
              <w:left w:val="double" w:sz="6" w:space="0" w:color="auto"/>
              <w:bottom w:val="single" w:sz="4" w:space="0" w:color="auto"/>
              <w:right w:val="nil"/>
            </w:tcBorders>
            <w:shd w:val="clear" w:color="000000" w:fill="F2DCDB"/>
            <w:vAlign w:val="center"/>
            <w:hideMark/>
          </w:tcPr>
          <w:p w14:paraId="3A94ED9E"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29</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7E6C9E96"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30</w:t>
            </w:r>
          </w:p>
        </w:tc>
      </w:tr>
      <w:tr w:rsidR="000A46ED" w:rsidRPr="000A46ED" w14:paraId="7DDDF232"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11991877" w14:textId="4E205B8F"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w:t>
            </w:r>
            <w:r w:rsidR="00273D45">
              <w:rPr>
                <w:rFonts w:eastAsia="Times New Roman" w:cs="Times New Roman"/>
                <w:color w:val="000000"/>
                <w:sz w:val="18"/>
                <w:szCs w:val="18"/>
                <w:lang w:eastAsia="en-AU"/>
              </w:rPr>
              <w:t xml:space="preserve"> </w:t>
            </w:r>
            <w:r w:rsidRPr="000A46ED">
              <w:rPr>
                <w:rFonts w:eastAsia="Times New Roman" w:cs="Times New Roman"/>
                <w:color w:val="000000"/>
                <w:sz w:val="18"/>
                <w:szCs w:val="18"/>
                <w:lang w:eastAsia="en-AU"/>
              </w:rPr>
              <w:t>The activities my teachers use in Maths help me learn.</w:t>
            </w:r>
          </w:p>
        </w:tc>
        <w:tc>
          <w:tcPr>
            <w:tcW w:w="299" w:type="pct"/>
            <w:tcBorders>
              <w:top w:val="nil"/>
              <w:left w:val="double" w:sz="6" w:space="0" w:color="auto"/>
              <w:bottom w:val="single" w:sz="4" w:space="0" w:color="auto"/>
              <w:right w:val="nil"/>
            </w:tcBorders>
            <w:shd w:val="clear" w:color="000000" w:fill="F2DCDB"/>
            <w:vAlign w:val="center"/>
            <w:hideMark/>
          </w:tcPr>
          <w:p w14:paraId="394C4979"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189</w:t>
            </w:r>
          </w:p>
        </w:tc>
        <w:tc>
          <w:tcPr>
            <w:tcW w:w="299" w:type="pct"/>
            <w:tcBorders>
              <w:top w:val="nil"/>
              <w:left w:val="double" w:sz="6" w:space="0" w:color="auto"/>
              <w:bottom w:val="single" w:sz="4" w:space="0" w:color="auto"/>
              <w:right w:val="nil"/>
            </w:tcBorders>
            <w:shd w:val="clear" w:color="000000" w:fill="F2DCDB"/>
            <w:vAlign w:val="center"/>
            <w:hideMark/>
          </w:tcPr>
          <w:p w14:paraId="3EAB824C"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222</w:t>
            </w:r>
          </w:p>
        </w:tc>
        <w:tc>
          <w:tcPr>
            <w:tcW w:w="294" w:type="pct"/>
            <w:tcBorders>
              <w:top w:val="nil"/>
              <w:left w:val="double" w:sz="6" w:space="0" w:color="auto"/>
              <w:bottom w:val="single" w:sz="4" w:space="0" w:color="auto"/>
              <w:right w:val="nil"/>
            </w:tcBorders>
            <w:shd w:val="clear" w:color="000000" w:fill="F2DCDB"/>
            <w:vAlign w:val="center"/>
            <w:hideMark/>
          </w:tcPr>
          <w:p w14:paraId="54B26132"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124</w:t>
            </w:r>
          </w:p>
        </w:tc>
        <w:tc>
          <w:tcPr>
            <w:tcW w:w="294" w:type="pct"/>
            <w:tcBorders>
              <w:top w:val="nil"/>
              <w:left w:val="double" w:sz="6" w:space="0" w:color="auto"/>
              <w:bottom w:val="single" w:sz="4" w:space="0" w:color="auto"/>
              <w:right w:val="nil"/>
            </w:tcBorders>
            <w:shd w:val="clear" w:color="000000" w:fill="F2DCDB"/>
            <w:vAlign w:val="center"/>
            <w:hideMark/>
          </w:tcPr>
          <w:p w14:paraId="5A478EDC"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114</w:t>
            </w:r>
          </w:p>
        </w:tc>
        <w:tc>
          <w:tcPr>
            <w:tcW w:w="262" w:type="pct"/>
            <w:tcBorders>
              <w:top w:val="nil"/>
              <w:left w:val="double" w:sz="6" w:space="0" w:color="auto"/>
              <w:bottom w:val="single" w:sz="4" w:space="0" w:color="auto"/>
              <w:right w:val="nil"/>
            </w:tcBorders>
            <w:shd w:val="clear" w:color="000000" w:fill="F2DCDB"/>
            <w:vAlign w:val="center"/>
            <w:hideMark/>
          </w:tcPr>
          <w:p w14:paraId="064063A5"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7</w:t>
            </w:r>
          </w:p>
        </w:tc>
        <w:tc>
          <w:tcPr>
            <w:tcW w:w="269" w:type="pct"/>
            <w:tcBorders>
              <w:top w:val="nil"/>
              <w:left w:val="double" w:sz="6" w:space="0" w:color="auto"/>
              <w:bottom w:val="single" w:sz="4" w:space="0" w:color="auto"/>
              <w:right w:val="nil"/>
            </w:tcBorders>
            <w:shd w:val="clear" w:color="000000" w:fill="F2DCDB"/>
            <w:vAlign w:val="center"/>
            <w:hideMark/>
          </w:tcPr>
          <w:p w14:paraId="6F3B5C9F"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6</w:t>
            </w:r>
          </w:p>
        </w:tc>
        <w:tc>
          <w:tcPr>
            <w:tcW w:w="316" w:type="pct"/>
            <w:tcBorders>
              <w:top w:val="nil"/>
              <w:left w:val="double" w:sz="6" w:space="0" w:color="auto"/>
              <w:bottom w:val="single" w:sz="4" w:space="0" w:color="auto"/>
              <w:right w:val="nil"/>
            </w:tcBorders>
            <w:shd w:val="clear" w:color="000000" w:fill="F2DCDB"/>
            <w:vAlign w:val="center"/>
            <w:hideMark/>
          </w:tcPr>
          <w:p w14:paraId="535D3BFE"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7</w:t>
            </w:r>
          </w:p>
        </w:tc>
        <w:tc>
          <w:tcPr>
            <w:tcW w:w="324" w:type="pct"/>
            <w:tcBorders>
              <w:top w:val="nil"/>
              <w:left w:val="double" w:sz="6" w:space="0" w:color="auto"/>
              <w:bottom w:val="single" w:sz="4" w:space="0" w:color="auto"/>
              <w:right w:val="nil"/>
            </w:tcBorders>
            <w:shd w:val="clear" w:color="000000" w:fill="F2DCDB"/>
            <w:vAlign w:val="center"/>
            <w:hideMark/>
          </w:tcPr>
          <w:p w14:paraId="3AD35F68"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w:t>
            </w:r>
          </w:p>
        </w:tc>
        <w:tc>
          <w:tcPr>
            <w:tcW w:w="262" w:type="pct"/>
            <w:tcBorders>
              <w:top w:val="nil"/>
              <w:left w:val="double" w:sz="6" w:space="0" w:color="auto"/>
              <w:bottom w:val="single" w:sz="4" w:space="0" w:color="auto"/>
              <w:right w:val="nil"/>
            </w:tcBorders>
            <w:shd w:val="clear" w:color="000000" w:fill="F2DCDB"/>
            <w:vAlign w:val="center"/>
            <w:hideMark/>
          </w:tcPr>
          <w:p w14:paraId="59FFF458"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15</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4B4DAC75"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10</w:t>
            </w:r>
          </w:p>
        </w:tc>
      </w:tr>
      <w:tr w:rsidR="000A46ED" w:rsidRPr="000A46ED" w14:paraId="7C4EBE10"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46A1655F" w14:textId="4A654FBF"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Maths.</w:t>
            </w:r>
          </w:p>
        </w:tc>
        <w:tc>
          <w:tcPr>
            <w:tcW w:w="299" w:type="pct"/>
            <w:tcBorders>
              <w:top w:val="nil"/>
              <w:left w:val="double" w:sz="6" w:space="0" w:color="auto"/>
              <w:bottom w:val="single" w:sz="4" w:space="0" w:color="auto"/>
              <w:right w:val="nil"/>
            </w:tcBorders>
            <w:shd w:val="clear" w:color="000000" w:fill="F2DCDB"/>
            <w:vAlign w:val="center"/>
            <w:hideMark/>
          </w:tcPr>
          <w:p w14:paraId="38BAB512"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176</w:t>
            </w:r>
          </w:p>
        </w:tc>
        <w:tc>
          <w:tcPr>
            <w:tcW w:w="299" w:type="pct"/>
            <w:tcBorders>
              <w:top w:val="nil"/>
              <w:left w:val="double" w:sz="6" w:space="0" w:color="auto"/>
              <w:bottom w:val="single" w:sz="4" w:space="0" w:color="auto"/>
              <w:right w:val="nil"/>
            </w:tcBorders>
            <w:shd w:val="clear" w:color="000000" w:fill="F2DCDB"/>
            <w:vAlign w:val="center"/>
            <w:hideMark/>
          </w:tcPr>
          <w:p w14:paraId="6DC138EC"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205</w:t>
            </w:r>
          </w:p>
        </w:tc>
        <w:tc>
          <w:tcPr>
            <w:tcW w:w="294" w:type="pct"/>
            <w:tcBorders>
              <w:top w:val="nil"/>
              <w:left w:val="double" w:sz="6" w:space="0" w:color="auto"/>
              <w:bottom w:val="single" w:sz="4" w:space="0" w:color="auto"/>
              <w:right w:val="nil"/>
            </w:tcBorders>
            <w:shd w:val="clear" w:color="000000" w:fill="F2DCDB"/>
            <w:vAlign w:val="center"/>
            <w:hideMark/>
          </w:tcPr>
          <w:p w14:paraId="28B19738"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129</w:t>
            </w:r>
          </w:p>
        </w:tc>
        <w:tc>
          <w:tcPr>
            <w:tcW w:w="294" w:type="pct"/>
            <w:tcBorders>
              <w:top w:val="nil"/>
              <w:left w:val="double" w:sz="6" w:space="0" w:color="auto"/>
              <w:bottom w:val="single" w:sz="4" w:space="0" w:color="auto"/>
              <w:right w:val="nil"/>
            </w:tcBorders>
            <w:shd w:val="clear" w:color="000000" w:fill="F2DCDB"/>
            <w:vAlign w:val="center"/>
            <w:hideMark/>
          </w:tcPr>
          <w:p w14:paraId="4002FEF5"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122</w:t>
            </w:r>
          </w:p>
        </w:tc>
        <w:tc>
          <w:tcPr>
            <w:tcW w:w="262" w:type="pct"/>
            <w:tcBorders>
              <w:top w:val="nil"/>
              <w:left w:val="double" w:sz="6" w:space="0" w:color="auto"/>
              <w:bottom w:val="single" w:sz="4" w:space="0" w:color="auto"/>
              <w:right w:val="nil"/>
            </w:tcBorders>
            <w:shd w:val="clear" w:color="000000" w:fill="F2DCDB"/>
            <w:vAlign w:val="center"/>
            <w:hideMark/>
          </w:tcPr>
          <w:p w14:paraId="4DFBDF02"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14</w:t>
            </w:r>
          </w:p>
        </w:tc>
        <w:tc>
          <w:tcPr>
            <w:tcW w:w="269" w:type="pct"/>
            <w:tcBorders>
              <w:top w:val="nil"/>
              <w:left w:val="double" w:sz="6" w:space="0" w:color="auto"/>
              <w:bottom w:val="single" w:sz="4" w:space="0" w:color="auto"/>
              <w:right w:val="nil"/>
            </w:tcBorders>
            <w:shd w:val="clear" w:color="000000" w:fill="F2DCDB"/>
            <w:vAlign w:val="center"/>
            <w:hideMark/>
          </w:tcPr>
          <w:p w14:paraId="52A7400B"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10</w:t>
            </w:r>
          </w:p>
        </w:tc>
        <w:tc>
          <w:tcPr>
            <w:tcW w:w="316" w:type="pct"/>
            <w:tcBorders>
              <w:top w:val="nil"/>
              <w:left w:val="double" w:sz="6" w:space="0" w:color="auto"/>
              <w:bottom w:val="single" w:sz="4" w:space="0" w:color="auto"/>
              <w:right w:val="nil"/>
            </w:tcBorders>
            <w:shd w:val="clear" w:color="000000" w:fill="F2DCDB"/>
            <w:vAlign w:val="center"/>
            <w:hideMark/>
          </w:tcPr>
          <w:p w14:paraId="7550CA8C"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7</w:t>
            </w:r>
          </w:p>
        </w:tc>
        <w:tc>
          <w:tcPr>
            <w:tcW w:w="324" w:type="pct"/>
            <w:tcBorders>
              <w:top w:val="nil"/>
              <w:left w:val="double" w:sz="6" w:space="0" w:color="auto"/>
              <w:bottom w:val="single" w:sz="4" w:space="0" w:color="auto"/>
              <w:right w:val="nil"/>
            </w:tcBorders>
            <w:shd w:val="clear" w:color="000000" w:fill="F2DCDB"/>
            <w:vAlign w:val="center"/>
            <w:hideMark/>
          </w:tcPr>
          <w:p w14:paraId="377753EC"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w:t>
            </w:r>
          </w:p>
        </w:tc>
        <w:tc>
          <w:tcPr>
            <w:tcW w:w="262" w:type="pct"/>
            <w:tcBorders>
              <w:top w:val="nil"/>
              <w:left w:val="double" w:sz="6" w:space="0" w:color="auto"/>
              <w:bottom w:val="single" w:sz="4" w:space="0" w:color="auto"/>
              <w:right w:val="nil"/>
            </w:tcBorders>
            <w:shd w:val="clear" w:color="000000" w:fill="F2DCDB"/>
            <w:vAlign w:val="center"/>
            <w:hideMark/>
          </w:tcPr>
          <w:p w14:paraId="77DB5055"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33A5D7A6"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15</w:t>
            </w:r>
          </w:p>
        </w:tc>
      </w:tr>
      <w:tr w:rsidR="000A46ED" w:rsidRPr="000A46ED" w14:paraId="1CD3FFB9"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73DE65F1" w14:textId="2BB12136"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Maths skills in other subjects.</w:t>
            </w:r>
          </w:p>
        </w:tc>
        <w:tc>
          <w:tcPr>
            <w:tcW w:w="299" w:type="pct"/>
            <w:tcBorders>
              <w:top w:val="nil"/>
              <w:left w:val="double" w:sz="6" w:space="0" w:color="auto"/>
              <w:bottom w:val="single" w:sz="4" w:space="0" w:color="auto"/>
              <w:right w:val="nil"/>
            </w:tcBorders>
            <w:shd w:val="clear" w:color="000000" w:fill="F2DCDB"/>
            <w:vAlign w:val="center"/>
            <w:hideMark/>
          </w:tcPr>
          <w:p w14:paraId="35F9D1C0"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117</w:t>
            </w:r>
          </w:p>
        </w:tc>
        <w:tc>
          <w:tcPr>
            <w:tcW w:w="299" w:type="pct"/>
            <w:tcBorders>
              <w:top w:val="nil"/>
              <w:left w:val="double" w:sz="6" w:space="0" w:color="auto"/>
              <w:bottom w:val="single" w:sz="4" w:space="0" w:color="auto"/>
              <w:right w:val="nil"/>
            </w:tcBorders>
            <w:shd w:val="clear" w:color="000000" w:fill="F2DCDB"/>
            <w:vAlign w:val="center"/>
            <w:hideMark/>
          </w:tcPr>
          <w:p w14:paraId="4BF08EB0"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139</w:t>
            </w:r>
          </w:p>
        </w:tc>
        <w:tc>
          <w:tcPr>
            <w:tcW w:w="294" w:type="pct"/>
            <w:tcBorders>
              <w:top w:val="nil"/>
              <w:left w:val="double" w:sz="6" w:space="0" w:color="auto"/>
              <w:bottom w:val="single" w:sz="4" w:space="0" w:color="auto"/>
              <w:right w:val="nil"/>
            </w:tcBorders>
            <w:shd w:val="clear" w:color="000000" w:fill="F2DCDB"/>
            <w:vAlign w:val="center"/>
            <w:hideMark/>
          </w:tcPr>
          <w:p w14:paraId="669ECAE7"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157</w:t>
            </w:r>
          </w:p>
        </w:tc>
        <w:tc>
          <w:tcPr>
            <w:tcW w:w="294" w:type="pct"/>
            <w:tcBorders>
              <w:top w:val="nil"/>
              <w:left w:val="double" w:sz="6" w:space="0" w:color="auto"/>
              <w:bottom w:val="single" w:sz="4" w:space="0" w:color="auto"/>
              <w:right w:val="nil"/>
            </w:tcBorders>
            <w:shd w:val="clear" w:color="000000" w:fill="F2DCDB"/>
            <w:vAlign w:val="center"/>
            <w:hideMark/>
          </w:tcPr>
          <w:p w14:paraId="74DAFF5E"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147</w:t>
            </w:r>
          </w:p>
        </w:tc>
        <w:tc>
          <w:tcPr>
            <w:tcW w:w="262" w:type="pct"/>
            <w:tcBorders>
              <w:top w:val="nil"/>
              <w:left w:val="double" w:sz="6" w:space="0" w:color="auto"/>
              <w:bottom w:val="single" w:sz="4" w:space="0" w:color="auto"/>
              <w:right w:val="nil"/>
            </w:tcBorders>
            <w:shd w:val="clear" w:color="000000" w:fill="F2DCDB"/>
            <w:vAlign w:val="center"/>
            <w:hideMark/>
          </w:tcPr>
          <w:p w14:paraId="1083B83B"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23</w:t>
            </w:r>
          </w:p>
        </w:tc>
        <w:tc>
          <w:tcPr>
            <w:tcW w:w="269" w:type="pct"/>
            <w:tcBorders>
              <w:top w:val="nil"/>
              <w:left w:val="double" w:sz="6" w:space="0" w:color="auto"/>
              <w:bottom w:val="single" w:sz="4" w:space="0" w:color="auto"/>
              <w:right w:val="nil"/>
            </w:tcBorders>
            <w:shd w:val="clear" w:color="000000" w:fill="F2DCDB"/>
            <w:vAlign w:val="center"/>
            <w:hideMark/>
          </w:tcPr>
          <w:p w14:paraId="283F654F"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35</w:t>
            </w:r>
          </w:p>
        </w:tc>
        <w:tc>
          <w:tcPr>
            <w:tcW w:w="316" w:type="pct"/>
            <w:tcBorders>
              <w:top w:val="nil"/>
              <w:left w:val="double" w:sz="6" w:space="0" w:color="auto"/>
              <w:bottom w:val="single" w:sz="4" w:space="0" w:color="auto"/>
              <w:right w:val="nil"/>
            </w:tcBorders>
            <w:shd w:val="clear" w:color="000000" w:fill="F2DCDB"/>
            <w:vAlign w:val="center"/>
            <w:hideMark/>
          </w:tcPr>
          <w:p w14:paraId="231E522E"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w:t>
            </w:r>
          </w:p>
        </w:tc>
        <w:tc>
          <w:tcPr>
            <w:tcW w:w="324" w:type="pct"/>
            <w:tcBorders>
              <w:top w:val="nil"/>
              <w:left w:val="double" w:sz="6" w:space="0" w:color="auto"/>
              <w:bottom w:val="single" w:sz="4" w:space="0" w:color="auto"/>
              <w:right w:val="nil"/>
            </w:tcBorders>
            <w:shd w:val="clear" w:color="000000" w:fill="F2DCDB"/>
            <w:vAlign w:val="center"/>
            <w:hideMark/>
          </w:tcPr>
          <w:p w14:paraId="5D437751"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11</w:t>
            </w:r>
          </w:p>
        </w:tc>
        <w:tc>
          <w:tcPr>
            <w:tcW w:w="262" w:type="pct"/>
            <w:tcBorders>
              <w:top w:val="nil"/>
              <w:left w:val="double" w:sz="6" w:space="0" w:color="auto"/>
              <w:bottom w:val="single" w:sz="4" w:space="0" w:color="auto"/>
              <w:right w:val="nil"/>
            </w:tcBorders>
            <w:shd w:val="clear" w:color="000000" w:fill="F2DCDB"/>
            <w:vAlign w:val="center"/>
            <w:hideMark/>
          </w:tcPr>
          <w:p w14:paraId="004538A5"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28</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7A9AB9BA"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25</w:t>
            </w:r>
          </w:p>
        </w:tc>
      </w:tr>
      <w:tr w:rsidR="000A46ED" w:rsidRPr="000A46ED" w14:paraId="6DE15650"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0C061455" w14:textId="77777777" w:rsidR="000A46ED" w:rsidRPr="000A46ED" w:rsidRDefault="000A46ED" w:rsidP="00AB720F">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Maths challenges me and makes me think.</w:t>
            </w:r>
          </w:p>
        </w:tc>
        <w:tc>
          <w:tcPr>
            <w:tcW w:w="299" w:type="pct"/>
            <w:tcBorders>
              <w:top w:val="nil"/>
              <w:left w:val="double" w:sz="6" w:space="0" w:color="auto"/>
              <w:bottom w:val="single" w:sz="4" w:space="0" w:color="auto"/>
              <w:right w:val="nil"/>
            </w:tcBorders>
            <w:shd w:val="clear" w:color="000000" w:fill="F2DCDB"/>
            <w:vAlign w:val="center"/>
            <w:hideMark/>
          </w:tcPr>
          <w:p w14:paraId="6046B63A"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164</w:t>
            </w:r>
          </w:p>
        </w:tc>
        <w:tc>
          <w:tcPr>
            <w:tcW w:w="299" w:type="pct"/>
            <w:tcBorders>
              <w:top w:val="nil"/>
              <w:left w:val="double" w:sz="6" w:space="0" w:color="auto"/>
              <w:bottom w:val="single" w:sz="4" w:space="0" w:color="auto"/>
              <w:right w:val="nil"/>
            </w:tcBorders>
            <w:shd w:val="clear" w:color="000000" w:fill="F2DCDB"/>
            <w:vAlign w:val="center"/>
            <w:hideMark/>
          </w:tcPr>
          <w:p w14:paraId="13C9B580"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181</w:t>
            </w:r>
          </w:p>
        </w:tc>
        <w:tc>
          <w:tcPr>
            <w:tcW w:w="294" w:type="pct"/>
            <w:tcBorders>
              <w:top w:val="nil"/>
              <w:left w:val="double" w:sz="6" w:space="0" w:color="auto"/>
              <w:bottom w:val="single" w:sz="4" w:space="0" w:color="auto"/>
              <w:right w:val="nil"/>
            </w:tcBorders>
            <w:shd w:val="clear" w:color="000000" w:fill="F2DCDB"/>
            <w:vAlign w:val="center"/>
            <w:hideMark/>
          </w:tcPr>
          <w:p w14:paraId="3C44AE97"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123</w:t>
            </w:r>
          </w:p>
        </w:tc>
        <w:tc>
          <w:tcPr>
            <w:tcW w:w="294" w:type="pct"/>
            <w:tcBorders>
              <w:top w:val="nil"/>
              <w:left w:val="double" w:sz="6" w:space="0" w:color="auto"/>
              <w:bottom w:val="single" w:sz="4" w:space="0" w:color="auto"/>
              <w:right w:val="nil"/>
            </w:tcBorders>
            <w:shd w:val="clear" w:color="000000" w:fill="F2DCDB"/>
            <w:vAlign w:val="center"/>
            <w:hideMark/>
          </w:tcPr>
          <w:p w14:paraId="31EAAE73"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131</w:t>
            </w:r>
          </w:p>
        </w:tc>
        <w:tc>
          <w:tcPr>
            <w:tcW w:w="262" w:type="pct"/>
            <w:tcBorders>
              <w:top w:val="nil"/>
              <w:left w:val="double" w:sz="6" w:space="0" w:color="auto"/>
              <w:bottom w:val="single" w:sz="4" w:space="0" w:color="auto"/>
              <w:right w:val="nil"/>
            </w:tcBorders>
            <w:shd w:val="clear" w:color="000000" w:fill="F2DCDB"/>
            <w:vAlign w:val="center"/>
            <w:hideMark/>
          </w:tcPr>
          <w:p w14:paraId="13333238"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18</w:t>
            </w:r>
          </w:p>
        </w:tc>
        <w:tc>
          <w:tcPr>
            <w:tcW w:w="269" w:type="pct"/>
            <w:tcBorders>
              <w:top w:val="nil"/>
              <w:left w:val="double" w:sz="6" w:space="0" w:color="auto"/>
              <w:bottom w:val="single" w:sz="4" w:space="0" w:color="auto"/>
              <w:right w:val="nil"/>
            </w:tcBorders>
            <w:shd w:val="clear" w:color="000000" w:fill="F2DCDB"/>
            <w:vAlign w:val="center"/>
            <w:hideMark/>
          </w:tcPr>
          <w:p w14:paraId="2E1A49EA"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20</w:t>
            </w:r>
          </w:p>
        </w:tc>
        <w:tc>
          <w:tcPr>
            <w:tcW w:w="316" w:type="pct"/>
            <w:tcBorders>
              <w:top w:val="nil"/>
              <w:left w:val="double" w:sz="6" w:space="0" w:color="auto"/>
              <w:bottom w:val="single" w:sz="4" w:space="0" w:color="auto"/>
              <w:right w:val="nil"/>
            </w:tcBorders>
            <w:shd w:val="clear" w:color="000000" w:fill="F2DCDB"/>
            <w:vAlign w:val="center"/>
            <w:hideMark/>
          </w:tcPr>
          <w:p w14:paraId="419258FE"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15</w:t>
            </w:r>
          </w:p>
        </w:tc>
        <w:tc>
          <w:tcPr>
            <w:tcW w:w="324" w:type="pct"/>
            <w:tcBorders>
              <w:top w:val="nil"/>
              <w:left w:val="double" w:sz="6" w:space="0" w:color="auto"/>
              <w:bottom w:val="single" w:sz="4" w:space="0" w:color="auto"/>
              <w:right w:val="nil"/>
            </w:tcBorders>
            <w:shd w:val="clear" w:color="000000" w:fill="F2DCDB"/>
            <w:vAlign w:val="center"/>
            <w:hideMark/>
          </w:tcPr>
          <w:p w14:paraId="266CF0F3"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9</w:t>
            </w:r>
          </w:p>
        </w:tc>
        <w:tc>
          <w:tcPr>
            <w:tcW w:w="262" w:type="pct"/>
            <w:tcBorders>
              <w:top w:val="nil"/>
              <w:left w:val="double" w:sz="6" w:space="0" w:color="auto"/>
              <w:bottom w:val="single" w:sz="4" w:space="0" w:color="auto"/>
              <w:right w:val="nil"/>
            </w:tcBorders>
            <w:shd w:val="clear" w:color="000000" w:fill="F2DCDB"/>
            <w:vAlign w:val="center"/>
            <w:hideMark/>
          </w:tcPr>
          <w:p w14:paraId="3C646A9A"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22</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735A64FE"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16</w:t>
            </w:r>
          </w:p>
        </w:tc>
      </w:tr>
      <w:tr w:rsidR="000A46ED" w:rsidRPr="000A46ED" w14:paraId="782BD2DF"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78B92695" w14:textId="77777777" w:rsidR="000A46ED" w:rsidRPr="000A46ED" w:rsidRDefault="000A46ED" w:rsidP="00AB720F">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Maths.</w:t>
            </w:r>
          </w:p>
        </w:tc>
        <w:tc>
          <w:tcPr>
            <w:tcW w:w="299" w:type="pct"/>
            <w:tcBorders>
              <w:top w:val="nil"/>
              <w:left w:val="double" w:sz="6" w:space="0" w:color="auto"/>
              <w:bottom w:val="single" w:sz="4" w:space="0" w:color="auto"/>
              <w:right w:val="nil"/>
            </w:tcBorders>
            <w:shd w:val="clear" w:color="000000" w:fill="F2DCDB"/>
            <w:vAlign w:val="center"/>
            <w:hideMark/>
          </w:tcPr>
          <w:p w14:paraId="720A1524"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158</w:t>
            </w:r>
          </w:p>
        </w:tc>
        <w:tc>
          <w:tcPr>
            <w:tcW w:w="299" w:type="pct"/>
            <w:tcBorders>
              <w:top w:val="nil"/>
              <w:left w:val="double" w:sz="6" w:space="0" w:color="auto"/>
              <w:bottom w:val="single" w:sz="4" w:space="0" w:color="auto"/>
              <w:right w:val="nil"/>
            </w:tcBorders>
            <w:shd w:val="clear" w:color="000000" w:fill="F2DCDB"/>
            <w:vAlign w:val="center"/>
            <w:hideMark/>
          </w:tcPr>
          <w:p w14:paraId="07D9FF64"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177</w:t>
            </w:r>
          </w:p>
        </w:tc>
        <w:tc>
          <w:tcPr>
            <w:tcW w:w="294" w:type="pct"/>
            <w:tcBorders>
              <w:top w:val="nil"/>
              <w:left w:val="double" w:sz="6" w:space="0" w:color="auto"/>
              <w:bottom w:val="single" w:sz="4" w:space="0" w:color="auto"/>
              <w:right w:val="nil"/>
            </w:tcBorders>
            <w:shd w:val="clear" w:color="000000" w:fill="F2DCDB"/>
            <w:vAlign w:val="center"/>
            <w:hideMark/>
          </w:tcPr>
          <w:p w14:paraId="512755CD"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139</w:t>
            </w:r>
          </w:p>
        </w:tc>
        <w:tc>
          <w:tcPr>
            <w:tcW w:w="294" w:type="pct"/>
            <w:tcBorders>
              <w:top w:val="nil"/>
              <w:left w:val="double" w:sz="6" w:space="0" w:color="auto"/>
              <w:bottom w:val="single" w:sz="4" w:space="0" w:color="auto"/>
              <w:right w:val="nil"/>
            </w:tcBorders>
            <w:shd w:val="clear" w:color="000000" w:fill="F2DCDB"/>
            <w:vAlign w:val="center"/>
            <w:hideMark/>
          </w:tcPr>
          <w:p w14:paraId="6D137555"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140</w:t>
            </w:r>
          </w:p>
        </w:tc>
        <w:tc>
          <w:tcPr>
            <w:tcW w:w="262" w:type="pct"/>
            <w:tcBorders>
              <w:top w:val="nil"/>
              <w:left w:val="double" w:sz="6" w:space="0" w:color="auto"/>
              <w:bottom w:val="single" w:sz="4" w:space="0" w:color="auto"/>
              <w:right w:val="nil"/>
            </w:tcBorders>
            <w:shd w:val="clear" w:color="000000" w:fill="F2DCDB"/>
            <w:vAlign w:val="center"/>
            <w:hideMark/>
          </w:tcPr>
          <w:p w14:paraId="1E89323F"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11</w:t>
            </w:r>
          </w:p>
        </w:tc>
        <w:tc>
          <w:tcPr>
            <w:tcW w:w="269" w:type="pct"/>
            <w:tcBorders>
              <w:top w:val="nil"/>
              <w:left w:val="double" w:sz="6" w:space="0" w:color="auto"/>
              <w:bottom w:val="single" w:sz="4" w:space="0" w:color="auto"/>
              <w:right w:val="nil"/>
            </w:tcBorders>
            <w:shd w:val="clear" w:color="000000" w:fill="F2DCDB"/>
            <w:vAlign w:val="center"/>
            <w:hideMark/>
          </w:tcPr>
          <w:p w14:paraId="105951D0"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w:t>
            </w:r>
          </w:p>
        </w:tc>
        <w:tc>
          <w:tcPr>
            <w:tcW w:w="316" w:type="pct"/>
            <w:tcBorders>
              <w:top w:val="nil"/>
              <w:left w:val="double" w:sz="6" w:space="0" w:color="auto"/>
              <w:bottom w:val="single" w:sz="4" w:space="0" w:color="auto"/>
              <w:right w:val="nil"/>
            </w:tcBorders>
            <w:shd w:val="clear" w:color="000000" w:fill="F2DCDB"/>
            <w:vAlign w:val="center"/>
            <w:hideMark/>
          </w:tcPr>
          <w:p w14:paraId="4DA45182"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7</w:t>
            </w:r>
          </w:p>
        </w:tc>
        <w:tc>
          <w:tcPr>
            <w:tcW w:w="324" w:type="pct"/>
            <w:tcBorders>
              <w:top w:val="nil"/>
              <w:left w:val="double" w:sz="6" w:space="0" w:color="auto"/>
              <w:bottom w:val="single" w:sz="4" w:space="0" w:color="auto"/>
              <w:right w:val="nil"/>
            </w:tcBorders>
            <w:shd w:val="clear" w:color="000000" w:fill="F2DCDB"/>
            <w:vAlign w:val="center"/>
            <w:hideMark/>
          </w:tcPr>
          <w:p w14:paraId="33D7C3DD"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8</w:t>
            </w:r>
          </w:p>
        </w:tc>
        <w:tc>
          <w:tcPr>
            <w:tcW w:w="262" w:type="pct"/>
            <w:tcBorders>
              <w:top w:val="nil"/>
              <w:left w:val="double" w:sz="6" w:space="0" w:color="auto"/>
              <w:bottom w:val="single" w:sz="4" w:space="0" w:color="auto"/>
              <w:right w:val="nil"/>
            </w:tcBorders>
            <w:shd w:val="clear" w:color="000000" w:fill="F2DCDB"/>
            <w:vAlign w:val="center"/>
            <w:hideMark/>
          </w:tcPr>
          <w:p w14:paraId="7781D4BE"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27</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4ACB6699"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15</w:t>
            </w:r>
          </w:p>
        </w:tc>
      </w:tr>
      <w:tr w:rsidR="000A46ED" w:rsidRPr="000A46ED" w14:paraId="1D107E57" w14:textId="77777777" w:rsidTr="00AB720F">
        <w:trPr>
          <w:trHeight w:val="454"/>
        </w:trPr>
        <w:tc>
          <w:tcPr>
            <w:tcW w:w="2111" w:type="pct"/>
            <w:tcBorders>
              <w:top w:val="nil"/>
              <w:left w:val="single" w:sz="8" w:space="0" w:color="auto"/>
              <w:bottom w:val="single" w:sz="8" w:space="0" w:color="auto"/>
              <w:right w:val="nil"/>
            </w:tcBorders>
            <w:shd w:val="clear" w:color="auto" w:fill="auto"/>
            <w:vAlign w:val="center"/>
            <w:hideMark/>
          </w:tcPr>
          <w:p w14:paraId="4445A64E" w14:textId="77777777" w:rsidR="000A46ED" w:rsidRPr="000A46ED" w:rsidRDefault="000A46ED" w:rsidP="00AB720F">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Maths skills.</w:t>
            </w:r>
          </w:p>
        </w:tc>
        <w:tc>
          <w:tcPr>
            <w:tcW w:w="299" w:type="pct"/>
            <w:tcBorders>
              <w:top w:val="nil"/>
              <w:left w:val="double" w:sz="6" w:space="0" w:color="auto"/>
              <w:bottom w:val="single" w:sz="4" w:space="0" w:color="auto"/>
              <w:right w:val="nil"/>
            </w:tcBorders>
            <w:shd w:val="clear" w:color="000000" w:fill="F2DCDB"/>
            <w:vAlign w:val="center"/>
            <w:hideMark/>
          </w:tcPr>
          <w:p w14:paraId="3F09CA63"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172</w:t>
            </w:r>
          </w:p>
        </w:tc>
        <w:tc>
          <w:tcPr>
            <w:tcW w:w="299" w:type="pct"/>
            <w:tcBorders>
              <w:top w:val="nil"/>
              <w:left w:val="double" w:sz="6" w:space="0" w:color="auto"/>
              <w:bottom w:val="single" w:sz="4" w:space="0" w:color="auto"/>
              <w:right w:val="nil"/>
            </w:tcBorders>
            <w:shd w:val="clear" w:color="000000" w:fill="F2DCDB"/>
            <w:vAlign w:val="center"/>
            <w:hideMark/>
          </w:tcPr>
          <w:p w14:paraId="75A61FD0"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204</w:t>
            </w:r>
          </w:p>
        </w:tc>
        <w:tc>
          <w:tcPr>
            <w:tcW w:w="294" w:type="pct"/>
            <w:tcBorders>
              <w:top w:val="nil"/>
              <w:left w:val="double" w:sz="6" w:space="0" w:color="auto"/>
              <w:bottom w:val="single" w:sz="4" w:space="0" w:color="auto"/>
              <w:right w:val="nil"/>
            </w:tcBorders>
            <w:shd w:val="clear" w:color="000000" w:fill="F2DCDB"/>
            <w:vAlign w:val="center"/>
            <w:hideMark/>
          </w:tcPr>
          <w:p w14:paraId="011F6554"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127</w:t>
            </w:r>
          </w:p>
        </w:tc>
        <w:tc>
          <w:tcPr>
            <w:tcW w:w="294" w:type="pct"/>
            <w:tcBorders>
              <w:top w:val="nil"/>
              <w:left w:val="double" w:sz="6" w:space="0" w:color="auto"/>
              <w:bottom w:val="single" w:sz="4" w:space="0" w:color="auto"/>
              <w:right w:val="nil"/>
            </w:tcBorders>
            <w:shd w:val="clear" w:color="000000" w:fill="F2DCDB"/>
            <w:vAlign w:val="center"/>
            <w:hideMark/>
          </w:tcPr>
          <w:p w14:paraId="2C7EF73F"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123</w:t>
            </w:r>
          </w:p>
        </w:tc>
        <w:tc>
          <w:tcPr>
            <w:tcW w:w="262" w:type="pct"/>
            <w:tcBorders>
              <w:top w:val="nil"/>
              <w:left w:val="double" w:sz="6" w:space="0" w:color="auto"/>
              <w:bottom w:val="single" w:sz="4" w:space="0" w:color="auto"/>
              <w:right w:val="nil"/>
            </w:tcBorders>
            <w:shd w:val="clear" w:color="000000" w:fill="F2DCDB"/>
            <w:vAlign w:val="center"/>
            <w:hideMark/>
          </w:tcPr>
          <w:p w14:paraId="1DDFFA6A"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15</w:t>
            </w:r>
          </w:p>
        </w:tc>
        <w:tc>
          <w:tcPr>
            <w:tcW w:w="269" w:type="pct"/>
            <w:tcBorders>
              <w:top w:val="nil"/>
              <w:left w:val="double" w:sz="6" w:space="0" w:color="auto"/>
              <w:bottom w:val="single" w:sz="4" w:space="0" w:color="auto"/>
              <w:right w:val="nil"/>
            </w:tcBorders>
            <w:shd w:val="clear" w:color="000000" w:fill="F2DCDB"/>
            <w:vAlign w:val="center"/>
            <w:hideMark/>
          </w:tcPr>
          <w:p w14:paraId="34968146"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9</w:t>
            </w:r>
          </w:p>
        </w:tc>
        <w:tc>
          <w:tcPr>
            <w:tcW w:w="316" w:type="pct"/>
            <w:tcBorders>
              <w:top w:val="nil"/>
              <w:left w:val="double" w:sz="6" w:space="0" w:color="auto"/>
              <w:bottom w:val="single" w:sz="4" w:space="0" w:color="auto"/>
              <w:right w:val="nil"/>
            </w:tcBorders>
            <w:shd w:val="clear" w:color="000000" w:fill="F2DCDB"/>
            <w:vAlign w:val="center"/>
            <w:hideMark/>
          </w:tcPr>
          <w:p w14:paraId="0CEA2493"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7</w:t>
            </w:r>
          </w:p>
        </w:tc>
        <w:tc>
          <w:tcPr>
            <w:tcW w:w="324" w:type="pct"/>
            <w:tcBorders>
              <w:top w:val="nil"/>
              <w:left w:val="double" w:sz="6" w:space="0" w:color="auto"/>
              <w:bottom w:val="single" w:sz="4" w:space="0" w:color="auto"/>
              <w:right w:val="nil"/>
            </w:tcBorders>
            <w:shd w:val="clear" w:color="000000" w:fill="F2DCDB"/>
            <w:vAlign w:val="center"/>
            <w:hideMark/>
          </w:tcPr>
          <w:p w14:paraId="0D89D7D6"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7</w:t>
            </w:r>
          </w:p>
        </w:tc>
        <w:tc>
          <w:tcPr>
            <w:tcW w:w="262" w:type="pct"/>
            <w:tcBorders>
              <w:top w:val="nil"/>
              <w:left w:val="double" w:sz="6" w:space="0" w:color="auto"/>
              <w:bottom w:val="single" w:sz="4" w:space="0" w:color="auto"/>
              <w:right w:val="nil"/>
            </w:tcBorders>
            <w:shd w:val="clear" w:color="000000" w:fill="F2DCDB"/>
            <w:vAlign w:val="center"/>
            <w:hideMark/>
          </w:tcPr>
          <w:p w14:paraId="7C29DFF4"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21</w:t>
            </w:r>
          </w:p>
        </w:tc>
        <w:tc>
          <w:tcPr>
            <w:tcW w:w="270" w:type="pct"/>
            <w:tcBorders>
              <w:top w:val="nil"/>
              <w:left w:val="single" w:sz="4" w:space="0" w:color="auto"/>
              <w:bottom w:val="single" w:sz="4" w:space="0" w:color="auto"/>
              <w:right w:val="single" w:sz="4" w:space="0" w:color="auto"/>
            </w:tcBorders>
            <w:shd w:val="clear" w:color="000000" w:fill="F2DCDB"/>
            <w:vAlign w:val="center"/>
            <w:hideMark/>
          </w:tcPr>
          <w:p w14:paraId="6D818677" w14:textId="77777777" w:rsidR="000A46ED" w:rsidRPr="000A46ED" w:rsidRDefault="000A46ED" w:rsidP="00AB720F">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14</w:t>
            </w:r>
          </w:p>
        </w:tc>
      </w:tr>
      <w:tr w:rsidR="000A46ED" w:rsidRPr="000A46ED" w14:paraId="4FE72B74" w14:textId="77777777" w:rsidTr="00AB720F">
        <w:trPr>
          <w:trHeight w:val="208"/>
        </w:trPr>
        <w:tc>
          <w:tcPr>
            <w:tcW w:w="2111" w:type="pct"/>
            <w:tcBorders>
              <w:top w:val="nil"/>
              <w:left w:val="nil"/>
              <w:bottom w:val="nil"/>
              <w:right w:val="nil"/>
            </w:tcBorders>
            <w:shd w:val="clear" w:color="auto" w:fill="auto"/>
            <w:noWrap/>
            <w:vAlign w:val="bottom"/>
            <w:hideMark/>
          </w:tcPr>
          <w:p w14:paraId="1CCB93DE" w14:textId="77777777" w:rsidR="000A46ED" w:rsidRPr="000A46ED" w:rsidRDefault="000A46ED" w:rsidP="00AB720F">
            <w:pPr>
              <w:spacing w:after="0" w:line="240" w:lineRule="auto"/>
              <w:rPr>
                <w:rFonts w:eastAsia="Times New Roman" w:cs="Times New Roman"/>
                <w:color w:val="000000"/>
                <w:lang w:eastAsia="en-AU"/>
              </w:rPr>
            </w:pPr>
          </w:p>
        </w:tc>
        <w:tc>
          <w:tcPr>
            <w:tcW w:w="299" w:type="pct"/>
            <w:tcBorders>
              <w:top w:val="nil"/>
              <w:left w:val="nil"/>
              <w:bottom w:val="nil"/>
              <w:right w:val="nil"/>
            </w:tcBorders>
            <w:shd w:val="clear" w:color="auto" w:fill="auto"/>
            <w:noWrap/>
            <w:vAlign w:val="bottom"/>
            <w:hideMark/>
          </w:tcPr>
          <w:p w14:paraId="48F47155" w14:textId="77777777" w:rsidR="000A46ED" w:rsidRPr="000A46ED" w:rsidRDefault="000A46ED" w:rsidP="00AB720F">
            <w:pPr>
              <w:spacing w:after="0" w:line="240" w:lineRule="auto"/>
              <w:rPr>
                <w:rFonts w:eastAsia="Times New Roman" w:cs="Times New Roman"/>
                <w:color w:val="000000"/>
                <w:lang w:eastAsia="en-AU"/>
              </w:rPr>
            </w:pPr>
          </w:p>
        </w:tc>
        <w:tc>
          <w:tcPr>
            <w:tcW w:w="299" w:type="pct"/>
            <w:tcBorders>
              <w:top w:val="nil"/>
              <w:left w:val="nil"/>
              <w:bottom w:val="nil"/>
              <w:right w:val="nil"/>
            </w:tcBorders>
            <w:shd w:val="clear" w:color="auto" w:fill="auto"/>
            <w:noWrap/>
            <w:vAlign w:val="bottom"/>
            <w:hideMark/>
          </w:tcPr>
          <w:p w14:paraId="64ACA0DE" w14:textId="77777777" w:rsidR="000A46ED" w:rsidRPr="000A46ED" w:rsidRDefault="000A46ED" w:rsidP="00AB720F">
            <w:pPr>
              <w:spacing w:after="0" w:line="240" w:lineRule="auto"/>
              <w:rPr>
                <w:rFonts w:eastAsia="Times New Roman" w:cs="Times New Roman"/>
                <w:color w:val="000000"/>
                <w:lang w:eastAsia="en-AU"/>
              </w:rPr>
            </w:pPr>
          </w:p>
        </w:tc>
        <w:tc>
          <w:tcPr>
            <w:tcW w:w="294" w:type="pct"/>
            <w:tcBorders>
              <w:top w:val="nil"/>
              <w:left w:val="nil"/>
              <w:bottom w:val="nil"/>
              <w:right w:val="nil"/>
            </w:tcBorders>
            <w:shd w:val="clear" w:color="auto" w:fill="auto"/>
            <w:noWrap/>
            <w:vAlign w:val="bottom"/>
            <w:hideMark/>
          </w:tcPr>
          <w:p w14:paraId="4DA4606E" w14:textId="77777777" w:rsidR="000A46ED" w:rsidRPr="000A46ED" w:rsidRDefault="000A46ED" w:rsidP="00AB720F">
            <w:pPr>
              <w:spacing w:after="0" w:line="240" w:lineRule="auto"/>
              <w:rPr>
                <w:rFonts w:eastAsia="Times New Roman" w:cs="Times New Roman"/>
                <w:color w:val="000000"/>
                <w:lang w:eastAsia="en-AU"/>
              </w:rPr>
            </w:pPr>
          </w:p>
        </w:tc>
        <w:tc>
          <w:tcPr>
            <w:tcW w:w="294" w:type="pct"/>
            <w:tcBorders>
              <w:top w:val="nil"/>
              <w:left w:val="nil"/>
              <w:bottom w:val="nil"/>
              <w:right w:val="nil"/>
            </w:tcBorders>
            <w:shd w:val="clear" w:color="auto" w:fill="auto"/>
            <w:noWrap/>
            <w:vAlign w:val="bottom"/>
            <w:hideMark/>
          </w:tcPr>
          <w:p w14:paraId="36143880" w14:textId="77777777" w:rsidR="000A46ED" w:rsidRPr="000A46ED" w:rsidRDefault="000A46ED" w:rsidP="00AB720F">
            <w:pPr>
              <w:spacing w:after="0" w:line="240" w:lineRule="auto"/>
              <w:rPr>
                <w:rFonts w:eastAsia="Times New Roman" w:cs="Times New Roman"/>
                <w:color w:val="000000"/>
                <w:lang w:eastAsia="en-AU"/>
              </w:rPr>
            </w:pPr>
          </w:p>
        </w:tc>
        <w:tc>
          <w:tcPr>
            <w:tcW w:w="262" w:type="pct"/>
            <w:tcBorders>
              <w:top w:val="nil"/>
              <w:left w:val="nil"/>
              <w:bottom w:val="nil"/>
              <w:right w:val="nil"/>
            </w:tcBorders>
            <w:shd w:val="clear" w:color="auto" w:fill="auto"/>
            <w:noWrap/>
            <w:vAlign w:val="bottom"/>
            <w:hideMark/>
          </w:tcPr>
          <w:p w14:paraId="40C8467D" w14:textId="77777777" w:rsidR="000A46ED" w:rsidRPr="000A46ED" w:rsidRDefault="000A46ED" w:rsidP="00AB720F">
            <w:pPr>
              <w:spacing w:after="0" w:line="240" w:lineRule="auto"/>
              <w:rPr>
                <w:rFonts w:eastAsia="Times New Roman" w:cs="Times New Roman"/>
                <w:color w:val="000000"/>
                <w:lang w:eastAsia="en-AU"/>
              </w:rPr>
            </w:pPr>
          </w:p>
        </w:tc>
        <w:tc>
          <w:tcPr>
            <w:tcW w:w="269" w:type="pct"/>
            <w:tcBorders>
              <w:top w:val="nil"/>
              <w:left w:val="nil"/>
              <w:bottom w:val="nil"/>
              <w:right w:val="nil"/>
            </w:tcBorders>
            <w:shd w:val="clear" w:color="auto" w:fill="auto"/>
            <w:noWrap/>
            <w:vAlign w:val="bottom"/>
            <w:hideMark/>
          </w:tcPr>
          <w:p w14:paraId="5E4507E5" w14:textId="77777777" w:rsidR="000A46ED" w:rsidRPr="000A46ED" w:rsidRDefault="000A46ED" w:rsidP="00AB720F">
            <w:pPr>
              <w:spacing w:after="0" w:line="240" w:lineRule="auto"/>
              <w:rPr>
                <w:rFonts w:eastAsia="Times New Roman" w:cs="Times New Roman"/>
                <w:color w:val="000000"/>
                <w:lang w:eastAsia="en-AU"/>
              </w:rPr>
            </w:pPr>
          </w:p>
        </w:tc>
        <w:tc>
          <w:tcPr>
            <w:tcW w:w="316" w:type="pct"/>
            <w:tcBorders>
              <w:top w:val="nil"/>
              <w:left w:val="nil"/>
              <w:bottom w:val="nil"/>
              <w:right w:val="nil"/>
            </w:tcBorders>
            <w:shd w:val="clear" w:color="auto" w:fill="auto"/>
            <w:noWrap/>
            <w:vAlign w:val="bottom"/>
            <w:hideMark/>
          </w:tcPr>
          <w:p w14:paraId="194CB7E8" w14:textId="77777777" w:rsidR="000A46ED" w:rsidRPr="000A46ED" w:rsidRDefault="000A46ED" w:rsidP="00AB720F">
            <w:pPr>
              <w:spacing w:after="0" w:line="240" w:lineRule="auto"/>
              <w:rPr>
                <w:rFonts w:eastAsia="Times New Roman" w:cs="Times New Roman"/>
                <w:color w:val="000000"/>
                <w:lang w:eastAsia="en-AU"/>
              </w:rPr>
            </w:pPr>
          </w:p>
        </w:tc>
        <w:tc>
          <w:tcPr>
            <w:tcW w:w="324" w:type="pct"/>
            <w:tcBorders>
              <w:top w:val="nil"/>
              <w:left w:val="nil"/>
              <w:bottom w:val="nil"/>
              <w:right w:val="nil"/>
            </w:tcBorders>
            <w:shd w:val="clear" w:color="auto" w:fill="auto"/>
            <w:noWrap/>
            <w:vAlign w:val="bottom"/>
            <w:hideMark/>
          </w:tcPr>
          <w:p w14:paraId="2F37FF59" w14:textId="77777777" w:rsidR="000A46ED" w:rsidRPr="000A46ED" w:rsidRDefault="000A46ED" w:rsidP="00AB720F">
            <w:pPr>
              <w:spacing w:after="0" w:line="240" w:lineRule="auto"/>
              <w:rPr>
                <w:rFonts w:eastAsia="Times New Roman" w:cs="Times New Roman"/>
                <w:color w:val="000000"/>
                <w:lang w:eastAsia="en-AU"/>
              </w:rPr>
            </w:pPr>
          </w:p>
        </w:tc>
        <w:tc>
          <w:tcPr>
            <w:tcW w:w="262" w:type="pct"/>
            <w:tcBorders>
              <w:top w:val="nil"/>
              <w:left w:val="nil"/>
              <w:bottom w:val="nil"/>
              <w:right w:val="nil"/>
            </w:tcBorders>
            <w:shd w:val="clear" w:color="auto" w:fill="auto"/>
            <w:noWrap/>
            <w:vAlign w:val="bottom"/>
            <w:hideMark/>
          </w:tcPr>
          <w:p w14:paraId="124BB86D" w14:textId="77777777" w:rsidR="000A46ED" w:rsidRPr="000A46ED" w:rsidRDefault="000A46ED" w:rsidP="00AB720F">
            <w:pPr>
              <w:spacing w:after="0" w:line="240" w:lineRule="auto"/>
              <w:rPr>
                <w:rFonts w:eastAsia="Times New Roman" w:cs="Times New Roman"/>
                <w:color w:val="000000"/>
                <w:lang w:eastAsia="en-AU"/>
              </w:rPr>
            </w:pPr>
          </w:p>
        </w:tc>
        <w:tc>
          <w:tcPr>
            <w:tcW w:w="270" w:type="pct"/>
            <w:tcBorders>
              <w:top w:val="nil"/>
              <w:left w:val="nil"/>
              <w:bottom w:val="nil"/>
              <w:right w:val="nil"/>
            </w:tcBorders>
            <w:shd w:val="clear" w:color="auto" w:fill="auto"/>
            <w:noWrap/>
            <w:vAlign w:val="bottom"/>
            <w:hideMark/>
          </w:tcPr>
          <w:p w14:paraId="7DEEDED2" w14:textId="77777777" w:rsidR="000A46ED" w:rsidRPr="000A46ED" w:rsidRDefault="000A46ED" w:rsidP="00AB720F">
            <w:pPr>
              <w:spacing w:after="0" w:line="240" w:lineRule="auto"/>
              <w:rPr>
                <w:rFonts w:eastAsia="Times New Roman" w:cs="Times New Roman"/>
                <w:color w:val="000000"/>
                <w:lang w:eastAsia="en-AU"/>
              </w:rPr>
            </w:pPr>
          </w:p>
        </w:tc>
      </w:tr>
    </w:tbl>
    <w:p w14:paraId="727AE312" w14:textId="77777777" w:rsidR="00941B94" w:rsidRDefault="00941B94" w:rsidP="004910A6">
      <w:pPr>
        <w:rPr>
          <w:rFonts w:cs="Arial"/>
          <w:sz w:val="24"/>
          <w:szCs w:val="24"/>
        </w:rPr>
        <w:sectPr w:rsidR="00941B94" w:rsidSect="00941B94">
          <w:pgSz w:w="16838" w:h="11906" w:orient="landscape"/>
          <w:pgMar w:top="1418" w:right="1134" w:bottom="851" w:left="1134" w:header="709" w:footer="709" w:gutter="0"/>
          <w:cols w:space="708"/>
          <w:docGrid w:linePitch="360"/>
        </w:sectPr>
      </w:pPr>
    </w:p>
    <w:tbl>
      <w:tblPr>
        <w:tblW w:w="5000" w:type="pct"/>
        <w:tblLook w:val="04A0" w:firstRow="1" w:lastRow="0" w:firstColumn="1" w:lastColumn="0" w:noHBand="0" w:noVBand="1"/>
        <w:tblCaption w:val="Table - Literacy Year 3"/>
        <w:tblDescription w:val="Data relating to Literacy Year 3"/>
      </w:tblPr>
      <w:tblGrid>
        <w:gridCol w:w="7403"/>
        <w:gridCol w:w="755"/>
        <w:gridCol w:w="757"/>
        <w:gridCol w:w="736"/>
        <w:gridCol w:w="736"/>
        <w:gridCol w:w="656"/>
        <w:gridCol w:w="674"/>
        <w:gridCol w:w="861"/>
        <w:gridCol w:w="884"/>
        <w:gridCol w:w="656"/>
        <w:gridCol w:w="668"/>
      </w:tblGrid>
      <w:tr w:rsidR="000A46ED" w:rsidRPr="000A46ED" w14:paraId="1206A21F" w14:textId="77777777" w:rsidTr="005C5B3E">
        <w:trPr>
          <w:trHeight w:val="567"/>
        </w:trPr>
        <w:tc>
          <w:tcPr>
            <w:tcW w:w="2503" w:type="pct"/>
            <w:vMerge w:val="restart"/>
            <w:tcBorders>
              <w:top w:val="single" w:sz="4" w:space="0" w:color="auto"/>
              <w:left w:val="single" w:sz="4" w:space="0" w:color="auto"/>
              <w:bottom w:val="nil"/>
              <w:right w:val="nil"/>
            </w:tcBorders>
            <w:shd w:val="clear" w:color="auto" w:fill="auto"/>
            <w:noWrap/>
            <w:vAlign w:val="center"/>
            <w:hideMark/>
          </w:tcPr>
          <w:p w14:paraId="6F6612E3" w14:textId="77777777" w:rsidR="000A46ED" w:rsidRPr="008826A5" w:rsidRDefault="000A46ED" w:rsidP="000A46ED">
            <w:pPr>
              <w:spacing w:after="0" w:line="240" w:lineRule="auto"/>
              <w:jc w:val="center"/>
              <w:rPr>
                <w:rFonts w:eastAsia="Times New Roman" w:cs="Times New Roman"/>
                <w:b/>
                <w:bCs/>
                <w:color w:val="244061" w:themeColor="accent1" w:themeShade="80"/>
                <w:sz w:val="36"/>
                <w:szCs w:val="36"/>
                <w:lang w:eastAsia="en-AU"/>
              </w:rPr>
            </w:pPr>
            <w:r w:rsidRPr="000A46ED">
              <w:rPr>
                <w:rFonts w:eastAsia="Times New Roman" w:cs="Times New Roman"/>
                <w:b/>
                <w:bCs/>
                <w:color w:val="244061" w:themeColor="accent1" w:themeShade="80"/>
                <w:sz w:val="36"/>
                <w:szCs w:val="36"/>
                <w:lang w:eastAsia="en-AU"/>
              </w:rPr>
              <w:t>LITERACY</w:t>
            </w:r>
          </w:p>
          <w:p w14:paraId="39EF774A" w14:textId="77777777" w:rsidR="000A46ED" w:rsidRPr="000A46ED" w:rsidRDefault="000A46ED" w:rsidP="000A46ED">
            <w:pPr>
              <w:spacing w:after="0" w:line="240" w:lineRule="auto"/>
              <w:jc w:val="center"/>
              <w:rPr>
                <w:rFonts w:eastAsia="Times New Roman" w:cs="Times New Roman"/>
                <w:b/>
                <w:bCs/>
                <w:color w:val="FF0000"/>
                <w:sz w:val="36"/>
                <w:szCs w:val="36"/>
                <w:lang w:eastAsia="en-AU"/>
              </w:rPr>
            </w:pPr>
          </w:p>
        </w:tc>
        <w:tc>
          <w:tcPr>
            <w:tcW w:w="2497"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32C03038" w14:textId="77777777" w:rsidR="000A46ED" w:rsidRPr="000A46ED" w:rsidRDefault="000A46ED" w:rsidP="000A46ED">
            <w:pPr>
              <w:spacing w:after="0" w:line="240" w:lineRule="auto"/>
              <w:jc w:val="center"/>
              <w:rPr>
                <w:rFonts w:eastAsia="Times New Roman" w:cs="Times New Roman"/>
                <w:color w:val="000000"/>
                <w:sz w:val="52"/>
                <w:szCs w:val="52"/>
                <w:lang w:eastAsia="en-AU"/>
              </w:rPr>
            </w:pPr>
            <w:r w:rsidRPr="000A46ED">
              <w:rPr>
                <w:rFonts w:eastAsia="Times New Roman" w:cs="Times New Roman"/>
                <w:color w:val="000000"/>
                <w:sz w:val="52"/>
                <w:szCs w:val="52"/>
                <w:lang w:eastAsia="en-AU"/>
              </w:rPr>
              <w:t>Year 3</w:t>
            </w:r>
          </w:p>
        </w:tc>
      </w:tr>
      <w:tr w:rsidR="000A46ED" w:rsidRPr="000A46ED" w14:paraId="512D87D8" w14:textId="77777777" w:rsidTr="005C5B3E">
        <w:trPr>
          <w:trHeight w:val="276"/>
        </w:trPr>
        <w:tc>
          <w:tcPr>
            <w:tcW w:w="2503" w:type="pct"/>
            <w:vMerge/>
            <w:tcBorders>
              <w:left w:val="single" w:sz="4" w:space="0" w:color="auto"/>
              <w:right w:val="nil"/>
            </w:tcBorders>
            <w:shd w:val="clear" w:color="auto" w:fill="auto"/>
            <w:vAlign w:val="center"/>
            <w:hideMark/>
          </w:tcPr>
          <w:p w14:paraId="23864792" w14:textId="77777777" w:rsidR="000A46ED" w:rsidRPr="000A46ED" w:rsidRDefault="000A46ED" w:rsidP="000A46ED">
            <w:pPr>
              <w:spacing w:after="0" w:line="240" w:lineRule="auto"/>
              <w:rPr>
                <w:rFonts w:eastAsia="Times New Roman" w:cs="Times New Roman"/>
                <w:color w:val="000000"/>
                <w:sz w:val="24"/>
                <w:szCs w:val="24"/>
                <w:lang w:eastAsia="en-AU"/>
              </w:rPr>
            </w:pPr>
          </w:p>
        </w:tc>
        <w:tc>
          <w:tcPr>
            <w:tcW w:w="511"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71746A60"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497" w:type="pct"/>
            <w:gridSpan w:val="2"/>
            <w:tcBorders>
              <w:top w:val="double" w:sz="6" w:space="0" w:color="auto"/>
              <w:left w:val="nil"/>
              <w:bottom w:val="single" w:sz="4" w:space="0" w:color="auto"/>
              <w:right w:val="single" w:sz="12" w:space="0" w:color="000000"/>
            </w:tcBorders>
            <w:shd w:val="clear" w:color="auto" w:fill="auto"/>
            <w:vAlign w:val="center"/>
            <w:hideMark/>
          </w:tcPr>
          <w:p w14:paraId="1A21E9E0"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449" w:type="pct"/>
            <w:gridSpan w:val="2"/>
            <w:tcBorders>
              <w:top w:val="double" w:sz="6" w:space="0" w:color="auto"/>
              <w:left w:val="nil"/>
              <w:bottom w:val="single" w:sz="4" w:space="0" w:color="auto"/>
              <w:right w:val="single" w:sz="12" w:space="0" w:color="000000"/>
            </w:tcBorders>
            <w:shd w:val="clear" w:color="auto" w:fill="auto"/>
            <w:vAlign w:val="center"/>
            <w:hideMark/>
          </w:tcPr>
          <w:p w14:paraId="2215F9BD"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590" w:type="pct"/>
            <w:gridSpan w:val="2"/>
            <w:tcBorders>
              <w:top w:val="double" w:sz="6" w:space="0" w:color="auto"/>
              <w:left w:val="nil"/>
              <w:bottom w:val="single" w:sz="4" w:space="0" w:color="auto"/>
              <w:right w:val="single" w:sz="12" w:space="0" w:color="000000"/>
            </w:tcBorders>
            <w:shd w:val="clear" w:color="auto" w:fill="auto"/>
            <w:vAlign w:val="center"/>
            <w:hideMark/>
          </w:tcPr>
          <w:p w14:paraId="401A8673"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449" w:type="pct"/>
            <w:gridSpan w:val="2"/>
            <w:tcBorders>
              <w:top w:val="double" w:sz="6" w:space="0" w:color="auto"/>
              <w:left w:val="nil"/>
              <w:bottom w:val="single" w:sz="4" w:space="0" w:color="auto"/>
              <w:right w:val="double" w:sz="6" w:space="0" w:color="000000"/>
            </w:tcBorders>
            <w:shd w:val="clear" w:color="auto" w:fill="auto"/>
            <w:vAlign w:val="center"/>
            <w:hideMark/>
          </w:tcPr>
          <w:p w14:paraId="54A4CBDC"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5C5B3E" w:rsidRPr="000A46ED" w14:paraId="0CE75DB7" w14:textId="77777777" w:rsidTr="005C5B3E">
        <w:trPr>
          <w:trHeight w:val="276"/>
        </w:trPr>
        <w:tc>
          <w:tcPr>
            <w:tcW w:w="2503" w:type="pct"/>
            <w:vMerge/>
            <w:tcBorders>
              <w:left w:val="single" w:sz="4" w:space="0" w:color="auto"/>
              <w:bottom w:val="single" w:sz="8" w:space="0" w:color="auto"/>
              <w:right w:val="nil"/>
            </w:tcBorders>
            <w:shd w:val="clear" w:color="auto" w:fill="auto"/>
            <w:vAlign w:val="center"/>
            <w:hideMark/>
          </w:tcPr>
          <w:p w14:paraId="5AC149E6" w14:textId="77777777" w:rsidR="000A46ED" w:rsidRPr="000A46ED" w:rsidRDefault="000A46ED" w:rsidP="000A46ED">
            <w:pPr>
              <w:spacing w:after="0" w:line="240" w:lineRule="auto"/>
              <w:rPr>
                <w:rFonts w:eastAsia="Times New Roman" w:cs="Times New Roman"/>
                <w:color w:val="000000"/>
                <w:sz w:val="24"/>
                <w:szCs w:val="24"/>
                <w:lang w:eastAsia="en-AU"/>
              </w:rPr>
            </w:pPr>
          </w:p>
        </w:tc>
        <w:tc>
          <w:tcPr>
            <w:tcW w:w="255" w:type="pct"/>
            <w:tcBorders>
              <w:top w:val="nil"/>
              <w:left w:val="double" w:sz="6" w:space="0" w:color="auto"/>
              <w:bottom w:val="single" w:sz="4" w:space="0" w:color="auto"/>
              <w:right w:val="single" w:sz="4" w:space="0" w:color="auto"/>
            </w:tcBorders>
            <w:shd w:val="clear" w:color="auto" w:fill="auto"/>
            <w:vAlign w:val="center"/>
            <w:hideMark/>
          </w:tcPr>
          <w:p w14:paraId="443CF3FE"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55" w:type="pct"/>
            <w:tcBorders>
              <w:top w:val="nil"/>
              <w:left w:val="nil"/>
              <w:bottom w:val="single" w:sz="4" w:space="0" w:color="auto"/>
              <w:right w:val="single" w:sz="12" w:space="0" w:color="auto"/>
            </w:tcBorders>
            <w:shd w:val="clear" w:color="auto" w:fill="auto"/>
            <w:vAlign w:val="center"/>
            <w:hideMark/>
          </w:tcPr>
          <w:p w14:paraId="71691F47"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49" w:type="pct"/>
            <w:tcBorders>
              <w:top w:val="nil"/>
              <w:left w:val="nil"/>
              <w:bottom w:val="single" w:sz="4" w:space="0" w:color="auto"/>
              <w:right w:val="single" w:sz="4" w:space="0" w:color="auto"/>
            </w:tcBorders>
            <w:shd w:val="clear" w:color="auto" w:fill="auto"/>
            <w:vAlign w:val="center"/>
            <w:hideMark/>
          </w:tcPr>
          <w:p w14:paraId="68E1D5FC"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49" w:type="pct"/>
            <w:tcBorders>
              <w:top w:val="nil"/>
              <w:left w:val="nil"/>
              <w:bottom w:val="single" w:sz="4" w:space="0" w:color="auto"/>
              <w:right w:val="single" w:sz="12" w:space="0" w:color="auto"/>
            </w:tcBorders>
            <w:shd w:val="clear" w:color="auto" w:fill="auto"/>
            <w:vAlign w:val="center"/>
            <w:hideMark/>
          </w:tcPr>
          <w:p w14:paraId="3ADB13AB"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018E48EA"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single" w:sz="12" w:space="0" w:color="auto"/>
            </w:tcBorders>
            <w:shd w:val="clear" w:color="auto" w:fill="auto"/>
            <w:vAlign w:val="center"/>
            <w:hideMark/>
          </w:tcPr>
          <w:p w14:paraId="4A8FD88D"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1" w:type="pct"/>
            <w:tcBorders>
              <w:top w:val="nil"/>
              <w:left w:val="nil"/>
              <w:bottom w:val="single" w:sz="4" w:space="0" w:color="auto"/>
              <w:right w:val="single" w:sz="4" w:space="0" w:color="auto"/>
            </w:tcBorders>
            <w:shd w:val="clear" w:color="auto" w:fill="auto"/>
            <w:vAlign w:val="center"/>
            <w:hideMark/>
          </w:tcPr>
          <w:p w14:paraId="0B738520"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69C6CAC7"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0A5E304E"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double" w:sz="6" w:space="0" w:color="auto"/>
            </w:tcBorders>
            <w:shd w:val="clear" w:color="auto" w:fill="auto"/>
            <w:vAlign w:val="center"/>
            <w:hideMark/>
          </w:tcPr>
          <w:p w14:paraId="5A6FC50D" w14:textId="77777777" w:rsidR="000A46ED" w:rsidRPr="000A46ED" w:rsidRDefault="000A46ED" w:rsidP="000A46ED">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5C5B3E" w:rsidRPr="000A46ED" w14:paraId="67065618"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302EEBA" w14:textId="4553F1C1"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reading.</w:t>
            </w:r>
          </w:p>
        </w:tc>
        <w:tc>
          <w:tcPr>
            <w:tcW w:w="255" w:type="pct"/>
            <w:tcBorders>
              <w:top w:val="nil"/>
              <w:left w:val="double" w:sz="6" w:space="0" w:color="auto"/>
              <w:bottom w:val="single" w:sz="4" w:space="0" w:color="auto"/>
              <w:right w:val="nil"/>
            </w:tcBorders>
            <w:shd w:val="clear" w:color="000000" w:fill="F2DCDB"/>
            <w:vAlign w:val="center"/>
            <w:hideMark/>
          </w:tcPr>
          <w:p w14:paraId="428D26B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351</w:t>
            </w:r>
          </w:p>
        </w:tc>
        <w:tc>
          <w:tcPr>
            <w:tcW w:w="255" w:type="pct"/>
            <w:tcBorders>
              <w:top w:val="nil"/>
              <w:left w:val="double" w:sz="6" w:space="0" w:color="auto"/>
              <w:bottom w:val="single" w:sz="4" w:space="0" w:color="auto"/>
              <w:right w:val="nil"/>
            </w:tcBorders>
            <w:shd w:val="clear" w:color="000000" w:fill="F2DCDB"/>
            <w:vAlign w:val="center"/>
            <w:hideMark/>
          </w:tcPr>
          <w:p w14:paraId="3C132FD2"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299</w:t>
            </w:r>
          </w:p>
        </w:tc>
        <w:tc>
          <w:tcPr>
            <w:tcW w:w="249" w:type="pct"/>
            <w:tcBorders>
              <w:top w:val="nil"/>
              <w:left w:val="double" w:sz="6" w:space="0" w:color="auto"/>
              <w:bottom w:val="single" w:sz="4" w:space="0" w:color="auto"/>
              <w:right w:val="nil"/>
            </w:tcBorders>
            <w:shd w:val="clear" w:color="000000" w:fill="F2DCDB"/>
            <w:vAlign w:val="center"/>
            <w:hideMark/>
          </w:tcPr>
          <w:p w14:paraId="471E5000"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356</w:t>
            </w:r>
          </w:p>
        </w:tc>
        <w:tc>
          <w:tcPr>
            <w:tcW w:w="249" w:type="pct"/>
            <w:tcBorders>
              <w:top w:val="nil"/>
              <w:left w:val="double" w:sz="6" w:space="0" w:color="auto"/>
              <w:bottom w:val="single" w:sz="4" w:space="0" w:color="auto"/>
              <w:right w:val="nil"/>
            </w:tcBorders>
            <w:shd w:val="clear" w:color="000000" w:fill="F2DCDB"/>
            <w:vAlign w:val="center"/>
            <w:hideMark/>
          </w:tcPr>
          <w:p w14:paraId="70EFD921"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370</w:t>
            </w:r>
          </w:p>
        </w:tc>
        <w:tc>
          <w:tcPr>
            <w:tcW w:w="222" w:type="pct"/>
            <w:tcBorders>
              <w:top w:val="nil"/>
              <w:left w:val="double" w:sz="6" w:space="0" w:color="auto"/>
              <w:bottom w:val="single" w:sz="4" w:space="0" w:color="auto"/>
              <w:right w:val="nil"/>
            </w:tcBorders>
            <w:shd w:val="clear" w:color="000000" w:fill="F2DCDB"/>
            <w:vAlign w:val="center"/>
            <w:hideMark/>
          </w:tcPr>
          <w:p w14:paraId="3C69AB9E"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24</w:t>
            </w:r>
          </w:p>
        </w:tc>
        <w:tc>
          <w:tcPr>
            <w:tcW w:w="228" w:type="pct"/>
            <w:tcBorders>
              <w:top w:val="nil"/>
              <w:left w:val="double" w:sz="6" w:space="0" w:color="auto"/>
              <w:bottom w:val="single" w:sz="4" w:space="0" w:color="auto"/>
              <w:right w:val="nil"/>
            </w:tcBorders>
            <w:shd w:val="clear" w:color="000000" w:fill="F2DCDB"/>
            <w:vAlign w:val="center"/>
            <w:hideMark/>
          </w:tcPr>
          <w:p w14:paraId="3CE9A424"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45</w:t>
            </w:r>
          </w:p>
        </w:tc>
        <w:tc>
          <w:tcPr>
            <w:tcW w:w="291" w:type="pct"/>
            <w:tcBorders>
              <w:top w:val="nil"/>
              <w:left w:val="double" w:sz="6" w:space="0" w:color="auto"/>
              <w:bottom w:val="single" w:sz="4" w:space="0" w:color="auto"/>
              <w:right w:val="nil"/>
            </w:tcBorders>
            <w:shd w:val="clear" w:color="000000" w:fill="F2DCDB"/>
            <w:vAlign w:val="center"/>
            <w:hideMark/>
          </w:tcPr>
          <w:p w14:paraId="6A4AC773"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12</w:t>
            </w:r>
          </w:p>
        </w:tc>
        <w:tc>
          <w:tcPr>
            <w:tcW w:w="299" w:type="pct"/>
            <w:tcBorders>
              <w:top w:val="nil"/>
              <w:left w:val="double" w:sz="6" w:space="0" w:color="auto"/>
              <w:bottom w:val="single" w:sz="4" w:space="0" w:color="auto"/>
              <w:right w:val="nil"/>
            </w:tcBorders>
            <w:shd w:val="clear" w:color="000000" w:fill="F2DCDB"/>
            <w:vAlign w:val="center"/>
            <w:hideMark/>
          </w:tcPr>
          <w:p w14:paraId="51D286D4"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19</w:t>
            </w:r>
          </w:p>
        </w:tc>
        <w:tc>
          <w:tcPr>
            <w:tcW w:w="222" w:type="pct"/>
            <w:tcBorders>
              <w:top w:val="nil"/>
              <w:left w:val="double" w:sz="6" w:space="0" w:color="auto"/>
              <w:bottom w:val="single" w:sz="4" w:space="0" w:color="auto"/>
              <w:right w:val="nil"/>
            </w:tcBorders>
            <w:shd w:val="clear" w:color="000000" w:fill="F2DCDB"/>
            <w:vAlign w:val="center"/>
            <w:hideMark/>
          </w:tcPr>
          <w:p w14:paraId="148B5D1E"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29</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4180032B"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33</w:t>
            </w:r>
          </w:p>
        </w:tc>
      </w:tr>
      <w:tr w:rsidR="005C5B3E" w:rsidRPr="000A46ED" w14:paraId="33E6B587"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921CFE0" w14:textId="406E4A7C"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 It is important to learn to read and to understand what you are reading.</w:t>
            </w:r>
          </w:p>
        </w:tc>
        <w:tc>
          <w:tcPr>
            <w:tcW w:w="255" w:type="pct"/>
            <w:tcBorders>
              <w:top w:val="nil"/>
              <w:left w:val="double" w:sz="6" w:space="0" w:color="auto"/>
              <w:bottom w:val="single" w:sz="4" w:space="0" w:color="auto"/>
              <w:right w:val="nil"/>
            </w:tcBorders>
            <w:shd w:val="clear" w:color="000000" w:fill="F2DCDB"/>
            <w:vAlign w:val="center"/>
            <w:hideMark/>
          </w:tcPr>
          <w:p w14:paraId="2130B991"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547</w:t>
            </w:r>
          </w:p>
        </w:tc>
        <w:tc>
          <w:tcPr>
            <w:tcW w:w="255" w:type="pct"/>
            <w:tcBorders>
              <w:top w:val="nil"/>
              <w:left w:val="double" w:sz="6" w:space="0" w:color="auto"/>
              <w:bottom w:val="single" w:sz="4" w:space="0" w:color="auto"/>
              <w:right w:val="nil"/>
            </w:tcBorders>
            <w:shd w:val="clear" w:color="000000" w:fill="F2DCDB"/>
            <w:vAlign w:val="center"/>
            <w:hideMark/>
          </w:tcPr>
          <w:p w14:paraId="654BA672"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480</w:t>
            </w:r>
          </w:p>
        </w:tc>
        <w:tc>
          <w:tcPr>
            <w:tcW w:w="249" w:type="pct"/>
            <w:tcBorders>
              <w:top w:val="nil"/>
              <w:left w:val="double" w:sz="6" w:space="0" w:color="auto"/>
              <w:bottom w:val="single" w:sz="4" w:space="0" w:color="auto"/>
              <w:right w:val="nil"/>
            </w:tcBorders>
            <w:shd w:val="clear" w:color="000000" w:fill="F2DCDB"/>
            <w:vAlign w:val="center"/>
            <w:hideMark/>
          </w:tcPr>
          <w:p w14:paraId="223D5B27"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188</w:t>
            </w:r>
          </w:p>
        </w:tc>
        <w:tc>
          <w:tcPr>
            <w:tcW w:w="249" w:type="pct"/>
            <w:tcBorders>
              <w:top w:val="nil"/>
              <w:left w:val="double" w:sz="6" w:space="0" w:color="auto"/>
              <w:bottom w:val="single" w:sz="4" w:space="0" w:color="auto"/>
              <w:right w:val="nil"/>
            </w:tcBorders>
            <w:shd w:val="clear" w:color="000000" w:fill="F2DCDB"/>
            <w:vAlign w:val="center"/>
            <w:hideMark/>
          </w:tcPr>
          <w:p w14:paraId="26DEA4B0"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236</w:t>
            </w:r>
          </w:p>
        </w:tc>
        <w:tc>
          <w:tcPr>
            <w:tcW w:w="222" w:type="pct"/>
            <w:tcBorders>
              <w:top w:val="nil"/>
              <w:left w:val="double" w:sz="6" w:space="0" w:color="auto"/>
              <w:bottom w:val="single" w:sz="4" w:space="0" w:color="auto"/>
              <w:right w:val="nil"/>
            </w:tcBorders>
            <w:shd w:val="clear" w:color="000000" w:fill="F2DCDB"/>
            <w:vAlign w:val="center"/>
            <w:hideMark/>
          </w:tcPr>
          <w:p w14:paraId="4660AC49"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10</w:t>
            </w:r>
          </w:p>
        </w:tc>
        <w:tc>
          <w:tcPr>
            <w:tcW w:w="228" w:type="pct"/>
            <w:tcBorders>
              <w:top w:val="nil"/>
              <w:left w:val="double" w:sz="6" w:space="0" w:color="auto"/>
              <w:bottom w:val="single" w:sz="4" w:space="0" w:color="auto"/>
              <w:right w:val="nil"/>
            </w:tcBorders>
            <w:shd w:val="clear" w:color="000000" w:fill="F2DCDB"/>
            <w:vAlign w:val="center"/>
            <w:hideMark/>
          </w:tcPr>
          <w:p w14:paraId="05BE36C7"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19</w:t>
            </w:r>
          </w:p>
        </w:tc>
        <w:tc>
          <w:tcPr>
            <w:tcW w:w="291" w:type="pct"/>
            <w:tcBorders>
              <w:top w:val="nil"/>
              <w:left w:val="double" w:sz="6" w:space="0" w:color="auto"/>
              <w:bottom w:val="single" w:sz="4" w:space="0" w:color="auto"/>
              <w:right w:val="nil"/>
            </w:tcBorders>
            <w:shd w:val="clear" w:color="000000" w:fill="F2DCDB"/>
            <w:vAlign w:val="center"/>
            <w:hideMark/>
          </w:tcPr>
          <w:p w14:paraId="6D4823FE"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8</w:t>
            </w:r>
          </w:p>
        </w:tc>
        <w:tc>
          <w:tcPr>
            <w:tcW w:w="299" w:type="pct"/>
            <w:tcBorders>
              <w:top w:val="nil"/>
              <w:left w:val="double" w:sz="6" w:space="0" w:color="auto"/>
              <w:bottom w:val="single" w:sz="4" w:space="0" w:color="auto"/>
              <w:right w:val="nil"/>
            </w:tcBorders>
            <w:shd w:val="clear" w:color="000000" w:fill="F2DCDB"/>
            <w:vAlign w:val="center"/>
            <w:hideMark/>
          </w:tcPr>
          <w:p w14:paraId="0399ADDB"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w:t>
            </w:r>
          </w:p>
        </w:tc>
        <w:tc>
          <w:tcPr>
            <w:tcW w:w="222" w:type="pct"/>
            <w:tcBorders>
              <w:top w:val="nil"/>
              <w:left w:val="double" w:sz="6" w:space="0" w:color="auto"/>
              <w:bottom w:val="single" w:sz="4" w:space="0" w:color="auto"/>
              <w:right w:val="nil"/>
            </w:tcBorders>
            <w:shd w:val="clear" w:color="000000" w:fill="F2DCDB"/>
            <w:vAlign w:val="center"/>
            <w:hideMark/>
          </w:tcPr>
          <w:p w14:paraId="39AF514C"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18</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15CEA6EE"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26</w:t>
            </w:r>
          </w:p>
        </w:tc>
      </w:tr>
      <w:tr w:rsidR="005C5B3E" w:rsidRPr="000A46ED" w14:paraId="35772C0B"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4CED74E" w14:textId="622C5AED"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reading skills.</w:t>
            </w:r>
          </w:p>
        </w:tc>
        <w:tc>
          <w:tcPr>
            <w:tcW w:w="255" w:type="pct"/>
            <w:tcBorders>
              <w:top w:val="nil"/>
              <w:left w:val="double" w:sz="6" w:space="0" w:color="auto"/>
              <w:bottom w:val="single" w:sz="4" w:space="0" w:color="auto"/>
              <w:right w:val="nil"/>
            </w:tcBorders>
            <w:shd w:val="clear" w:color="000000" w:fill="F2DCDB"/>
            <w:vAlign w:val="center"/>
            <w:hideMark/>
          </w:tcPr>
          <w:p w14:paraId="7E26AE50"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312</w:t>
            </w:r>
          </w:p>
        </w:tc>
        <w:tc>
          <w:tcPr>
            <w:tcW w:w="255" w:type="pct"/>
            <w:tcBorders>
              <w:top w:val="nil"/>
              <w:left w:val="double" w:sz="6" w:space="0" w:color="auto"/>
              <w:bottom w:val="single" w:sz="4" w:space="0" w:color="auto"/>
              <w:right w:val="nil"/>
            </w:tcBorders>
            <w:shd w:val="clear" w:color="000000" w:fill="F2DCDB"/>
            <w:vAlign w:val="center"/>
            <w:hideMark/>
          </w:tcPr>
          <w:p w14:paraId="2CFA313E"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272</w:t>
            </w:r>
          </w:p>
        </w:tc>
        <w:tc>
          <w:tcPr>
            <w:tcW w:w="249" w:type="pct"/>
            <w:tcBorders>
              <w:top w:val="nil"/>
              <w:left w:val="double" w:sz="6" w:space="0" w:color="auto"/>
              <w:bottom w:val="single" w:sz="4" w:space="0" w:color="auto"/>
              <w:right w:val="nil"/>
            </w:tcBorders>
            <w:shd w:val="clear" w:color="000000" w:fill="F2DCDB"/>
            <w:vAlign w:val="center"/>
            <w:hideMark/>
          </w:tcPr>
          <w:p w14:paraId="153FECDF"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316</w:t>
            </w:r>
          </w:p>
        </w:tc>
        <w:tc>
          <w:tcPr>
            <w:tcW w:w="249" w:type="pct"/>
            <w:tcBorders>
              <w:top w:val="nil"/>
              <w:left w:val="double" w:sz="6" w:space="0" w:color="auto"/>
              <w:bottom w:val="single" w:sz="4" w:space="0" w:color="auto"/>
              <w:right w:val="nil"/>
            </w:tcBorders>
            <w:shd w:val="clear" w:color="000000" w:fill="F2DCDB"/>
            <w:vAlign w:val="center"/>
            <w:hideMark/>
          </w:tcPr>
          <w:p w14:paraId="506ED637"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322</w:t>
            </w:r>
          </w:p>
        </w:tc>
        <w:tc>
          <w:tcPr>
            <w:tcW w:w="222" w:type="pct"/>
            <w:tcBorders>
              <w:top w:val="nil"/>
              <w:left w:val="double" w:sz="6" w:space="0" w:color="auto"/>
              <w:bottom w:val="single" w:sz="4" w:space="0" w:color="auto"/>
              <w:right w:val="nil"/>
            </w:tcBorders>
            <w:shd w:val="clear" w:color="000000" w:fill="F2DCDB"/>
            <w:vAlign w:val="center"/>
            <w:hideMark/>
          </w:tcPr>
          <w:p w14:paraId="471CE674"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41</w:t>
            </w:r>
          </w:p>
        </w:tc>
        <w:tc>
          <w:tcPr>
            <w:tcW w:w="228" w:type="pct"/>
            <w:tcBorders>
              <w:top w:val="nil"/>
              <w:left w:val="double" w:sz="6" w:space="0" w:color="auto"/>
              <w:bottom w:val="single" w:sz="4" w:space="0" w:color="auto"/>
              <w:right w:val="nil"/>
            </w:tcBorders>
            <w:shd w:val="clear" w:color="000000" w:fill="F2DCDB"/>
            <w:vAlign w:val="center"/>
            <w:hideMark/>
          </w:tcPr>
          <w:p w14:paraId="3AC1CE40"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58</w:t>
            </w:r>
          </w:p>
        </w:tc>
        <w:tc>
          <w:tcPr>
            <w:tcW w:w="291" w:type="pct"/>
            <w:tcBorders>
              <w:top w:val="nil"/>
              <w:left w:val="double" w:sz="6" w:space="0" w:color="auto"/>
              <w:bottom w:val="single" w:sz="4" w:space="0" w:color="auto"/>
              <w:right w:val="nil"/>
            </w:tcBorders>
            <w:shd w:val="clear" w:color="000000" w:fill="F2DCDB"/>
            <w:vAlign w:val="center"/>
            <w:hideMark/>
          </w:tcPr>
          <w:p w14:paraId="38124C7C"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10</w:t>
            </w:r>
          </w:p>
        </w:tc>
        <w:tc>
          <w:tcPr>
            <w:tcW w:w="299" w:type="pct"/>
            <w:tcBorders>
              <w:top w:val="nil"/>
              <w:left w:val="double" w:sz="6" w:space="0" w:color="auto"/>
              <w:bottom w:val="single" w:sz="4" w:space="0" w:color="auto"/>
              <w:right w:val="nil"/>
            </w:tcBorders>
            <w:shd w:val="clear" w:color="000000" w:fill="F2DCDB"/>
            <w:vAlign w:val="center"/>
            <w:hideMark/>
          </w:tcPr>
          <w:p w14:paraId="310D05B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15</w:t>
            </w:r>
          </w:p>
        </w:tc>
        <w:tc>
          <w:tcPr>
            <w:tcW w:w="222" w:type="pct"/>
            <w:tcBorders>
              <w:top w:val="nil"/>
              <w:left w:val="double" w:sz="6" w:space="0" w:color="auto"/>
              <w:bottom w:val="single" w:sz="4" w:space="0" w:color="auto"/>
              <w:right w:val="nil"/>
            </w:tcBorders>
            <w:shd w:val="clear" w:color="000000" w:fill="F2DCDB"/>
            <w:vAlign w:val="center"/>
            <w:hideMark/>
          </w:tcPr>
          <w:p w14:paraId="5BA1210F"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92</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4F7E25A6"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97</w:t>
            </w:r>
          </w:p>
        </w:tc>
      </w:tr>
      <w:tr w:rsidR="005C5B3E" w:rsidRPr="000A46ED" w14:paraId="00BDE548"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7E17A90" w14:textId="5AA914CE"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my learning as I get older.</w:t>
            </w:r>
          </w:p>
        </w:tc>
        <w:tc>
          <w:tcPr>
            <w:tcW w:w="255" w:type="pct"/>
            <w:tcBorders>
              <w:top w:val="nil"/>
              <w:left w:val="double" w:sz="6" w:space="0" w:color="auto"/>
              <w:bottom w:val="single" w:sz="4" w:space="0" w:color="auto"/>
              <w:right w:val="nil"/>
            </w:tcBorders>
            <w:shd w:val="clear" w:color="000000" w:fill="F2DCDB"/>
            <w:vAlign w:val="center"/>
            <w:hideMark/>
          </w:tcPr>
          <w:p w14:paraId="6027B49C"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423</w:t>
            </w:r>
          </w:p>
        </w:tc>
        <w:tc>
          <w:tcPr>
            <w:tcW w:w="255" w:type="pct"/>
            <w:tcBorders>
              <w:top w:val="nil"/>
              <w:left w:val="double" w:sz="6" w:space="0" w:color="auto"/>
              <w:bottom w:val="single" w:sz="4" w:space="0" w:color="auto"/>
              <w:right w:val="nil"/>
            </w:tcBorders>
            <w:shd w:val="clear" w:color="000000" w:fill="F2DCDB"/>
            <w:vAlign w:val="center"/>
            <w:hideMark/>
          </w:tcPr>
          <w:p w14:paraId="6E48BDC1"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379</w:t>
            </w:r>
          </w:p>
        </w:tc>
        <w:tc>
          <w:tcPr>
            <w:tcW w:w="249" w:type="pct"/>
            <w:tcBorders>
              <w:top w:val="nil"/>
              <w:left w:val="double" w:sz="6" w:space="0" w:color="auto"/>
              <w:bottom w:val="single" w:sz="4" w:space="0" w:color="auto"/>
              <w:right w:val="nil"/>
            </w:tcBorders>
            <w:shd w:val="clear" w:color="000000" w:fill="F2DCDB"/>
            <w:vAlign w:val="center"/>
            <w:hideMark/>
          </w:tcPr>
          <w:p w14:paraId="77A48354"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280</w:t>
            </w:r>
          </w:p>
        </w:tc>
        <w:tc>
          <w:tcPr>
            <w:tcW w:w="249" w:type="pct"/>
            <w:tcBorders>
              <w:top w:val="nil"/>
              <w:left w:val="double" w:sz="6" w:space="0" w:color="auto"/>
              <w:bottom w:val="single" w:sz="4" w:space="0" w:color="auto"/>
              <w:right w:val="nil"/>
            </w:tcBorders>
            <w:shd w:val="clear" w:color="000000" w:fill="F2DCDB"/>
            <w:vAlign w:val="center"/>
            <w:hideMark/>
          </w:tcPr>
          <w:p w14:paraId="7D4F3535"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295</w:t>
            </w:r>
          </w:p>
        </w:tc>
        <w:tc>
          <w:tcPr>
            <w:tcW w:w="222" w:type="pct"/>
            <w:tcBorders>
              <w:top w:val="nil"/>
              <w:left w:val="double" w:sz="6" w:space="0" w:color="auto"/>
              <w:bottom w:val="single" w:sz="4" w:space="0" w:color="auto"/>
              <w:right w:val="nil"/>
            </w:tcBorders>
            <w:shd w:val="clear" w:color="000000" w:fill="F2DCDB"/>
            <w:vAlign w:val="center"/>
            <w:hideMark/>
          </w:tcPr>
          <w:p w14:paraId="62B930A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24</w:t>
            </w:r>
          </w:p>
        </w:tc>
        <w:tc>
          <w:tcPr>
            <w:tcW w:w="228" w:type="pct"/>
            <w:tcBorders>
              <w:top w:val="nil"/>
              <w:left w:val="double" w:sz="6" w:space="0" w:color="auto"/>
              <w:bottom w:val="single" w:sz="4" w:space="0" w:color="auto"/>
              <w:right w:val="nil"/>
            </w:tcBorders>
            <w:shd w:val="clear" w:color="000000" w:fill="F2DCDB"/>
            <w:vAlign w:val="center"/>
            <w:hideMark/>
          </w:tcPr>
          <w:p w14:paraId="758C875A"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25</w:t>
            </w:r>
          </w:p>
        </w:tc>
        <w:tc>
          <w:tcPr>
            <w:tcW w:w="291" w:type="pct"/>
            <w:tcBorders>
              <w:top w:val="nil"/>
              <w:left w:val="double" w:sz="6" w:space="0" w:color="auto"/>
              <w:bottom w:val="single" w:sz="4" w:space="0" w:color="auto"/>
              <w:right w:val="nil"/>
            </w:tcBorders>
            <w:shd w:val="clear" w:color="000000" w:fill="F2DCDB"/>
            <w:vAlign w:val="center"/>
            <w:hideMark/>
          </w:tcPr>
          <w:p w14:paraId="2B317E3C"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w:t>
            </w:r>
          </w:p>
        </w:tc>
        <w:tc>
          <w:tcPr>
            <w:tcW w:w="299" w:type="pct"/>
            <w:tcBorders>
              <w:top w:val="nil"/>
              <w:left w:val="double" w:sz="6" w:space="0" w:color="auto"/>
              <w:bottom w:val="single" w:sz="4" w:space="0" w:color="auto"/>
              <w:right w:val="nil"/>
            </w:tcBorders>
            <w:shd w:val="clear" w:color="000000" w:fill="F2DCDB"/>
            <w:vAlign w:val="center"/>
            <w:hideMark/>
          </w:tcPr>
          <w:p w14:paraId="24C48510"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11</w:t>
            </w:r>
          </w:p>
        </w:tc>
        <w:tc>
          <w:tcPr>
            <w:tcW w:w="222" w:type="pct"/>
            <w:tcBorders>
              <w:top w:val="nil"/>
              <w:left w:val="double" w:sz="6" w:space="0" w:color="auto"/>
              <w:bottom w:val="single" w:sz="4" w:space="0" w:color="auto"/>
              <w:right w:val="nil"/>
            </w:tcBorders>
            <w:shd w:val="clear" w:color="000000" w:fill="F2DCDB"/>
            <w:vAlign w:val="center"/>
            <w:hideMark/>
          </w:tcPr>
          <w:p w14:paraId="2231724F"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39</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5DFAFCB7"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51</w:t>
            </w:r>
          </w:p>
        </w:tc>
      </w:tr>
      <w:tr w:rsidR="005C5B3E" w:rsidRPr="000A46ED" w14:paraId="253CAB83"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011A4BF" w14:textId="23901375"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 My teacher expects more of me in reading as I get older.</w:t>
            </w:r>
          </w:p>
        </w:tc>
        <w:tc>
          <w:tcPr>
            <w:tcW w:w="255" w:type="pct"/>
            <w:tcBorders>
              <w:top w:val="nil"/>
              <w:left w:val="double" w:sz="6" w:space="0" w:color="auto"/>
              <w:bottom w:val="single" w:sz="4" w:space="0" w:color="auto"/>
              <w:right w:val="nil"/>
            </w:tcBorders>
            <w:shd w:val="clear" w:color="000000" w:fill="F2DCDB"/>
            <w:vAlign w:val="center"/>
            <w:hideMark/>
          </w:tcPr>
          <w:p w14:paraId="0FE9DF99"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420</w:t>
            </w:r>
          </w:p>
        </w:tc>
        <w:tc>
          <w:tcPr>
            <w:tcW w:w="255" w:type="pct"/>
            <w:tcBorders>
              <w:top w:val="nil"/>
              <w:left w:val="double" w:sz="6" w:space="0" w:color="auto"/>
              <w:bottom w:val="single" w:sz="4" w:space="0" w:color="auto"/>
              <w:right w:val="nil"/>
            </w:tcBorders>
            <w:shd w:val="clear" w:color="000000" w:fill="F2DCDB"/>
            <w:vAlign w:val="center"/>
            <w:hideMark/>
          </w:tcPr>
          <w:p w14:paraId="1A33B601"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403</w:t>
            </w:r>
          </w:p>
        </w:tc>
        <w:tc>
          <w:tcPr>
            <w:tcW w:w="249" w:type="pct"/>
            <w:tcBorders>
              <w:top w:val="nil"/>
              <w:left w:val="double" w:sz="6" w:space="0" w:color="auto"/>
              <w:bottom w:val="single" w:sz="4" w:space="0" w:color="auto"/>
              <w:right w:val="nil"/>
            </w:tcBorders>
            <w:shd w:val="clear" w:color="000000" w:fill="F2DCDB"/>
            <w:vAlign w:val="center"/>
            <w:hideMark/>
          </w:tcPr>
          <w:p w14:paraId="4CDA1626"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240</w:t>
            </w:r>
          </w:p>
        </w:tc>
        <w:tc>
          <w:tcPr>
            <w:tcW w:w="249" w:type="pct"/>
            <w:tcBorders>
              <w:top w:val="nil"/>
              <w:left w:val="double" w:sz="6" w:space="0" w:color="auto"/>
              <w:bottom w:val="single" w:sz="4" w:space="0" w:color="auto"/>
              <w:right w:val="nil"/>
            </w:tcBorders>
            <w:shd w:val="clear" w:color="000000" w:fill="F2DCDB"/>
            <w:vAlign w:val="center"/>
            <w:hideMark/>
          </w:tcPr>
          <w:p w14:paraId="65908077"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265</w:t>
            </w:r>
          </w:p>
        </w:tc>
        <w:tc>
          <w:tcPr>
            <w:tcW w:w="222" w:type="pct"/>
            <w:tcBorders>
              <w:top w:val="nil"/>
              <w:left w:val="double" w:sz="6" w:space="0" w:color="auto"/>
              <w:bottom w:val="single" w:sz="4" w:space="0" w:color="auto"/>
              <w:right w:val="nil"/>
            </w:tcBorders>
            <w:shd w:val="clear" w:color="000000" w:fill="F2DCDB"/>
            <w:vAlign w:val="center"/>
            <w:hideMark/>
          </w:tcPr>
          <w:p w14:paraId="739D307E"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29</w:t>
            </w:r>
          </w:p>
        </w:tc>
        <w:tc>
          <w:tcPr>
            <w:tcW w:w="228" w:type="pct"/>
            <w:tcBorders>
              <w:top w:val="nil"/>
              <w:left w:val="double" w:sz="6" w:space="0" w:color="auto"/>
              <w:bottom w:val="single" w:sz="4" w:space="0" w:color="auto"/>
              <w:right w:val="nil"/>
            </w:tcBorders>
            <w:shd w:val="clear" w:color="000000" w:fill="F2DCDB"/>
            <w:vAlign w:val="center"/>
            <w:hideMark/>
          </w:tcPr>
          <w:p w14:paraId="705A34C0"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28</w:t>
            </w:r>
          </w:p>
        </w:tc>
        <w:tc>
          <w:tcPr>
            <w:tcW w:w="291" w:type="pct"/>
            <w:tcBorders>
              <w:top w:val="nil"/>
              <w:left w:val="double" w:sz="6" w:space="0" w:color="auto"/>
              <w:bottom w:val="single" w:sz="4" w:space="0" w:color="auto"/>
              <w:right w:val="nil"/>
            </w:tcBorders>
            <w:shd w:val="clear" w:color="000000" w:fill="F2DCDB"/>
            <w:vAlign w:val="center"/>
            <w:hideMark/>
          </w:tcPr>
          <w:p w14:paraId="4FA6A801"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11</w:t>
            </w:r>
          </w:p>
        </w:tc>
        <w:tc>
          <w:tcPr>
            <w:tcW w:w="299" w:type="pct"/>
            <w:tcBorders>
              <w:top w:val="nil"/>
              <w:left w:val="double" w:sz="6" w:space="0" w:color="auto"/>
              <w:bottom w:val="single" w:sz="4" w:space="0" w:color="auto"/>
              <w:right w:val="nil"/>
            </w:tcBorders>
            <w:shd w:val="clear" w:color="000000" w:fill="F2DCDB"/>
            <w:vAlign w:val="center"/>
            <w:hideMark/>
          </w:tcPr>
          <w:p w14:paraId="47880AC0"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15</w:t>
            </w:r>
          </w:p>
        </w:tc>
        <w:tc>
          <w:tcPr>
            <w:tcW w:w="222" w:type="pct"/>
            <w:tcBorders>
              <w:top w:val="nil"/>
              <w:left w:val="double" w:sz="6" w:space="0" w:color="auto"/>
              <w:bottom w:val="single" w:sz="4" w:space="0" w:color="auto"/>
              <w:right w:val="nil"/>
            </w:tcBorders>
            <w:shd w:val="clear" w:color="000000" w:fill="F2DCDB"/>
            <w:vAlign w:val="center"/>
            <w:hideMark/>
          </w:tcPr>
          <w:p w14:paraId="4911402A"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72</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35D771FC"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50</w:t>
            </w:r>
          </w:p>
        </w:tc>
      </w:tr>
      <w:tr w:rsidR="005C5B3E" w:rsidRPr="000A46ED" w14:paraId="4CB88602"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38C87B3" w14:textId="69472334"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 My teacher tells me what I am learning in reading and why.</w:t>
            </w:r>
          </w:p>
        </w:tc>
        <w:tc>
          <w:tcPr>
            <w:tcW w:w="255" w:type="pct"/>
            <w:tcBorders>
              <w:top w:val="nil"/>
              <w:left w:val="double" w:sz="6" w:space="0" w:color="auto"/>
              <w:bottom w:val="single" w:sz="4" w:space="0" w:color="auto"/>
              <w:right w:val="nil"/>
            </w:tcBorders>
            <w:shd w:val="clear" w:color="000000" w:fill="F2DCDB"/>
            <w:vAlign w:val="center"/>
            <w:hideMark/>
          </w:tcPr>
          <w:p w14:paraId="613E9FF6"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350</w:t>
            </w:r>
          </w:p>
        </w:tc>
        <w:tc>
          <w:tcPr>
            <w:tcW w:w="255" w:type="pct"/>
            <w:tcBorders>
              <w:top w:val="nil"/>
              <w:left w:val="double" w:sz="6" w:space="0" w:color="auto"/>
              <w:bottom w:val="single" w:sz="4" w:space="0" w:color="auto"/>
              <w:right w:val="nil"/>
            </w:tcBorders>
            <w:shd w:val="clear" w:color="000000" w:fill="F2DCDB"/>
            <w:vAlign w:val="center"/>
            <w:hideMark/>
          </w:tcPr>
          <w:p w14:paraId="3A8B9A93"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302</w:t>
            </w:r>
          </w:p>
        </w:tc>
        <w:tc>
          <w:tcPr>
            <w:tcW w:w="249" w:type="pct"/>
            <w:tcBorders>
              <w:top w:val="nil"/>
              <w:left w:val="double" w:sz="6" w:space="0" w:color="auto"/>
              <w:bottom w:val="single" w:sz="4" w:space="0" w:color="auto"/>
              <w:right w:val="nil"/>
            </w:tcBorders>
            <w:shd w:val="clear" w:color="000000" w:fill="F2DCDB"/>
            <w:vAlign w:val="center"/>
            <w:hideMark/>
          </w:tcPr>
          <w:p w14:paraId="18B5DD0F"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318</w:t>
            </w:r>
          </w:p>
        </w:tc>
        <w:tc>
          <w:tcPr>
            <w:tcW w:w="249" w:type="pct"/>
            <w:tcBorders>
              <w:top w:val="nil"/>
              <w:left w:val="double" w:sz="6" w:space="0" w:color="auto"/>
              <w:bottom w:val="single" w:sz="4" w:space="0" w:color="auto"/>
              <w:right w:val="nil"/>
            </w:tcBorders>
            <w:shd w:val="clear" w:color="000000" w:fill="F2DCDB"/>
            <w:vAlign w:val="center"/>
            <w:hideMark/>
          </w:tcPr>
          <w:p w14:paraId="13EE5242"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340</w:t>
            </w:r>
          </w:p>
        </w:tc>
        <w:tc>
          <w:tcPr>
            <w:tcW w:w="222" w:type="pct"/>
            <w:tcBorders>
              <w:top w:val="nil"/>
              <w:left w:val="double" w:sz="6" w:space="0" w:color="auto"/>
              <w:bottom w:val="single" w:sz="4" w:space="0" w:color="auto"/>
              <w:right w:val="nil"/>
            </w:tcBorders>
            <w:shd w:val="clear" w:color="000000" w:fill="F2DCDB"/>
            <w:vAlign w:val="center"/>
            <w:hideMark/>
          </w:tcPr>
          <w:p w14:paraId="38D65E3B"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28</w:t>
            </w:r>
          </w:p>
        </w:tc>
        <w:tc>
          <w:tcPr>
            <w:tcW w:w="228" w:type="pct"/>
            <w:tcBorders>
              <w:top w:val="nil"/>
              <w:left w:val="double" w:sz="6" w:space="0" w:color="auto"/>
              <w:bottom w:val="single" w:sz="4" w:space="0" w:color="auto"/>
              <w:right w:val="nil"/>
            </w:tcBorders>
            <w:shd w:val="clear" w:color="000000" w:fill="F2DCDB"/>
            <w:vAlign w:val="center"/>
            <w:hideMark/>
          </w:tcPr>
          <w:p w14:paraId="12E9D660"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48</w:t>
            </w:r>
          </w:p>
        </w:tc>
        <w:tc>
          <w:tcPr>
            <w:tcW w:w="291" w:type="pct"/>
            <w:tcBorders>
              <w:top w:val="nil"/>
              <w:left w:val="double" w:sz="6" w:space="0" w:color="auto"/>
              <w:bottom w:val="single" w:sz="4" w:space="0" w:color="auto"/>
              <w:right w:val="nil"/>
            </w:tcBorders>
            <w:shd w:val="clear" w:color="000000" w:fill="F2DCDB"/>
            <w:vAlign w:val="center"/>
            <w:hideMark/>
          </w:tcPr>
          <w:p w14:paraId="2FD1EBA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12</w:t>
            </w:r>
          </w:p>
        </w:tc>
        <w:tc>
          <w:tcPr>
            <w:tcW w:w="299" w:type="pct"/>
            <w:tcBorders>
              <w:top w:val="nil"/>
              <w:left w:val="double" w:sz="6" w:space="0" w:color="auto"/>
              <w:bottom w:val="single" w:sz="4" w:space="0" w:color="auto"/>
              <w:right w:val="nil"/>
            </w:tcBorders>
            <w:shd w:val="clear" w:color="000000" w:fill="F2DCDB"/>
            <w:vAlign w:val="center"/>
            <w:hideMark/>
          </w:tcPr>
          <w:p w14:paraId="234A4A26"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6</w:t>
            </w:r>
          </w:p>
        </w:tc>
        <w:tc>
          <w:tcPr>
            <w:tcW w:w="222" w:type="pct"/>
            <w:tcBorders>
              <w:top w:val="nil"/>
              <w:left w:val="double" w:sz="6" w:space="0" w:color="auto"/>
              <w:bottom w:val="single" w:sz="4" w:space="0" w:color="auto"/>
              <w:right w:val="nil"/>
            </w:tcBorders>
            <w:shd w:val="clear" w:color="000000" w:fill="F2DCDB"/>
            <w:vAlign w:val="center"/>
            <w:hideMark/>
          </w:tcPr>
          <w:p w14:paraId="740B5D8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61</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7310206A"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64</w:t>
            </w:r>
          </w:p>
        </w:tc>
      </w:tr>
      <w:tr w:rsidR="005C5B3E" w:rsidRPr="000A46ED" w14:paraId="7DE3D36B"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DF9CC2C" w14:textId="691E6877"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 The activities my teachers use in reading help me learn.</w:t>
            </w:r>
          </w:p>
        </w:tc>
        <w:tc>
          <w:tcPr>
            <w:tcW w:w="255" w:type="pct"/>
            <w:tcBorders>
              <w:top w:val="nil"/>
              <w:left w:val="double" w:sz="6" w:space="0" w:color="auto"/>
              <w:bottom w:val="single" w:sz="4" w:space="0" w:color="auto"/>
              <w:right w:val="nil"/>
            </w:tcBorders>
            <w:shd w:val="clear" w:color="000000" w:fill="F2DCDB"/>
            <w:vAlign w:val="center"/>
            <w:hideMark/>
          </w:tcPr>
          <w:p w14:paraId="531A9ED5"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436</w:t>
            </w:r>
          </w:p>
        </w:tc>
        <w:tc>
          <w:tcPr>
            <w:tcW w:w="255" w:type="pct"/>
            <w:tcBorders>
              <w:top w:val="nil"/>
              <w:left w:val="double" w:sz="6" w:space="0" w:color="auto"/>
              <w:bottom w:val="single" w:sz="4" w:space="0" w:color="auto"/>
              <w:right w:val="nil"/>
            </w:tcBorders>
            <w:shd w:val="clear" w:color="000000" w:fill="F2DCDB"/>
            <w:vAlign w:val="center"/>
            <w:hideMark/>
          </w:tcPr>
          <w:p w14:paraId="3F4C2BF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404</w:t>
            </w:r>
          </w:p>
        </w:tc>
        <w:tc>
          <w:tcPr>
            <w:tcW w:w="249" w:type="pct"/>
            <w:tcBorders>
              <w:top w:val="nil"/>
              <w:left w:val="double" w:sz="6" w:space="0" w:color="auto"/>
              <w:bottom w:val="single" w:sz="4" w:space="0" w:color="auto"/>
              <w:right w:val="nil"/>
            </w:tcBorders>
            <w:shd w:val="clear" w:color="000000" w:fill="F2DCDB"/>
            <w:vAlign w:val="center"/>
            <w:hideMark/>
          </w:tcPr>
          <w:p w14:paraId="683F93B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273</w:t>
            </w:r>
          </w:p>
        </w:tc>
        <w:tc>
          <w:tcPr>
            <w:tcW w:w="249" w:type="pct"/>
            <w:tcBorders>
              <w:top w:val="nil"/>
              <w:left w:val="double" w:sz="6" w:space="0" w:color="auto"/>
              <w:bottom w:val="single" w:sz="4" w:space="0" w:color="auto"/>
              <w:right w:val="nil"/>
            </w:tcBorders>
            <w:shd w:val="clear" w:color="000000" w:fill="F2DCDB"/>
            <w:vAlign w:val="center"/>
            <w:hideMark/>
          </w:tcPr>
          <w:p w14:paraId="6A12F6BF"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272</w:t>
            </w:r>
          </w:p>
        </w:tc>
        <w:tc>
          <w:tcPr>
            <w:tcW w:w="222" w:type="pct"/>
            <w:tcBorders>
              <w:top w:val="nil"/>
              <w:left w:val="double" w:sz="6" w:space="0" w:color="auto"/>
              <w:bottom w:val="single" w:sz="4" w:space="0" w:color="auto"/>
              <w:right w:val="nil"/>
            </w:tcBorders>
            <w:shd w:val="clear" w:color="000000" w:fill="F2DCDB"/>
            <w:vAlign w:val="center"/>
            <w:hideMark/>
          </w:tcPr>
          <w:p w14:paraId="7490F5B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w:t>
            </w:r>
          </w:p>
        </w:tc>
        <w:tc>
          <w:tcPr>
            <w:tcW w:w="228" w:type="pct"/>
            <w:tcBorders>
              <w:top w:val="nil"/>
              <w:left w:val="double" w:sz="6" w:space="0" w:color="auto"/>
              <w:bottom w:val="single" w:sz="4" w:space="0" w:color="auto"/>
              <w:right w:val="nil"/>
            </w:tcBorders>
            <w:shd w:val="clear" w:color="000000" w:fill="F2DCDB"/>
            <w:vAlign w:val="center"/>
            <w:hideMark/>
          </w:tcPr>
          <w:p w14:paraId="782F891A"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26</w:t>
            </w:r>
          </w:p>
        </w:tc>
        <w:tc>
          <w:tcPr>
            <w:tcW w:w="291" w:type="pct"/>
            <w:tcBorders>
              <w:top w:val="nil"/>
              <w:left w:val="double" w:sz="6" w:space="0" w:color="auto"/>
              <w:bottom w:val="single" w:sz="4" w:space="0" w:color="auto"/>
              <w:right w:val="nil"/>
            </w:tcBorders>
            <w:shd w:val="clear" w:color="000000" w:fill="F2DCDB"/>
            <w:vAlign w:val="center"/>
            <w:hideMark/>
          </w:tcPr>
          <w:p w14:paraId="52ABB4FD"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10</w:t>
            </w:r>
          </w:p>
        </w:tc>
        <w:tc>
          <w:tcPr>
            <w:tcW w:w="299" w:type="pct"/>
            <w:tcBorders>
              <w:top w:val="nil"/>
              <w:left w:val="double" w:sz="6" w:space="0" w:color="auto"/>
              <w:bottom w:val="single" w:sz="4" w:space="0" w:color="auto"/>
              <w:right w:val="nil"/>
            </w:tcBorders>
            <w:shd w:val="clear" w:color="000000" w:fill="F2DCDB"/>
            <w:vAlign w:val="center"/>
            <w:hideMark/>
          </w:tcPr>
          <w:p w14:paraId="204B2235"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17</w:t>
            </w:r>
          </w:p>
        </w:tc>
        <w:tc>
          <w:tcPr>
            <w:tcW w:w="222" w:type="pct"/>
            <w:tcBorders>
              <w:top w:val="nil"/>
              <w:left w:val="double" w:sz="6" w:space="0" w:color="auto"/>
              <w:bottom w:val="single" w:sz="4" w:space="0" w:color="auto"/>
              <w:right w:val="nil"/>
            </w:tcBorders>
            <w:shd w:val="clear" w:color="000000" w:fill="F2DCDB"/>
            <w:vAlign w:val="center"/>
            <w:hideMark/>
          </w:tcPr>
          <w:p w14:paraId="7D6C0BFD"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33</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3514E6B7"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44</w:t>
            </w:r>
          </w:p>
        </w:tc>
      </w:tr>
      <w:tr w:rsidR="005C5B3E" w:rsidRPr="000A46ED" w14:paraId="252072B2"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832A104" w14:textId="4E9A909F"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what I read.</w:t>
            </w:r>
          </w:p>
        </w:tc>
        <w:tc>
          <w:tcPr>
            <w:tcW w:w="255" w:type="pct"/>
            <w:tcBorders>
              <w:top w:val="nil"/>
              <w:left w:val="double" w:sz="6" w:space="0" w:color="auto"/>
              <w:bottom w:val="single" w:sz="4" w:space="0" w:color="auto"/>
              <w:right w:val="nil"/>
            </w:tcBorders>
            <w:shd w:val="clear" w:color="000000" w:fill="F2DCDB"/>
            <w:vAlign w:val="center"/>
            <w:hideMark/>
          </w:tcPr>
          <w:p w14:paraId="3957D4B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406</w:t>
            </w:r>
          </w:p>
        </w:tc>
        <w:tc>
          <w:tcPr>
            <w:tcW w:w="255" w:type="pct"/>
            <w:tcBorders>
              <w:top w:val="nil"/>
              <w:left w:val="double" w:sz="6" w:space="0" w:color="auto"/>
              <w:bottom w:val="single" w:sz="4" w:space="0" w:color="auto"/>
              <w:right w:val="nil"/>
            </w:tcBorders>
            <w:shd w:val="clear" w:color="000000" w:fill="F2DCDB"/>
            <w:vAlign w:val="center"/>
            <w:hideMark/>
          </w:tcPr>
          <w:p w14:paraId="79886E82"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346</w:t>
            </w:r>
          </w:p>
        </w:tc>
        <w:tc>
          <w:tcPr>
            <w:tcW w:w="249" w:type="pct"/>
            <w:tcBorders>
              <w:top w:val="nil"/>
              <w:left w:val="double" w:sz="6" w:space="0" w:color="auto"/>
              <w:bottom w:val="single" w:sz="4" w:space="0" w:color="auto"/>
              <w:right w:val="nil"/>
            </w:tcBorders>
            <w:shd w:val="clear" w:color="000000" w:fill="F2DCDB"/>
            <w:vAlign w:val="center"/>
            <w:hideMark/>
          </w:tcPr>
          <w:p w14:paraId="02045F00"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278</w:t>
            </w:r>
          </w:p>
        </w:tc>
        <w:tc>
          <w:tcPr>
            <w:tcW w:w="249" w:type="pct"/>
            <w:tcBorders>
              <w:top w:val="nil"/>
              <w:left w:val="double" w:sz="6" w:space="0" w:color="auto"/>
              <w:bottom w:val="single" w:sz="4" w:space="0" w:color="auto"/>
              <w:right w:val="nil"/>
            </w:tcBorders>
            <w:shd w:val="clear" w:color="000000" w:fill="F2DCDB"/>
            <w:vAlign w:val="center"/>
            <w:hideMark/>
          </w:tcPr>
          <w:p w14:paraId="7CBD3A85"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323</w:t>
            </w:r>
          </w:p>
        </w:tc>
        <w:tc>
          <w:tcPr>
            <w:tcW w:w="222" w:type="pct"/>
            <w:tcBorders>
              <w:top w:val="nil"/>
              <w:left w:val="double" w:sz="6" w:space="0" w:color="auto"/>
              <w:bottom w:val="single" w:sz="4" w:space="0" w:color="auto"/>
              <w:right w:val="nil"/>
            </w:tcBorders>
            <w:shd w:val="clear" w:color="000000" w:fill="F2DCDB"/>
            <w:vAlign w:val="center"/>
            <w:hideMark/>
          </w:tcPr>
          <w:p w14:paraId="027AF104"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33</w:t>
            </w:r>
          </w:p>
        </w:tc>
        <w:tc>
          <w:tcPr>
            <w:tcW w:w="228" w:type="pct"/>
            <w:tcBorders>
              <w:top w:val="nil"/>
              <w:left w:val="double" w:sz="6" w:space="0" w:color="auto"/>
              <w:bottom w:val="single" w:sz="4" w:space="0" w:color="auto"/>
              <w:right w:val="nil"/>
            </w:tcBorders>
            <w:shd w:val="clear" w:color="000000" w:fill="F2DCDB"/>
            <w:vAlign w:val="center"/>
            <w:hideMark/>
          </w:tcPr>
          <w:p w14:paraId="417CD1D6"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35</w:t>
            </w:r>
          </w:p>
        </w:tc>
        <w:tc>
          <w:tcPr>
            <w:tcW w:w="291" w:type="pct"/>
            <w:tcBorders>
              <w:top w:val="nil"/>
              <w:left w:val="double" w:sz="6" w:space="0" w:color="auto"/>
              <w:bottom w:val="single" w:sz="4" w:space="0" w:color="auto"/>
              <w:right w:val="nil"/>
            </w:tcBorders>
            <w:shd w:val="clear" w:color="000000" w:fill="F2DCDB"/>
            <w:vAlign w:val="center"/>
            <w:hideMark/>
          </w:tcPr>
          <w:p w14:paraId="6C8ADF1A"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10</w:t>
            </w:r>
          </w:p>
        </w:tc>
        <w:tc>
          <w:tcPr>
            <w:tcW w:w="299" w:type="pct"/>
            <w:tcBorders>
              <w:top w:val="nil"/>
              <w:left w:val="double" w:sz="6" w:space="0" w:color="auto"/>
              <w:bottom w:val="single" w:sz="4" w:space="0" w:color="auto"/>
              <w:right w:val="nil"/>
            </w:tcBorders>
            <w:shd w:val="clear" w:color="000000" w:fill="F2DCDB"/>
            <w:vAlign w:val="center"/>
            <w:hideMark/>
          </w:tcPr>
          <w:p w14:paraId="269DC98E"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16</w:t>
            </w:r>
          </w:p>
        </w:tc>
        <w:tc>
          <w:tcPr>
            <w:tcW w:w="222" w:type="pct"/>
            <w:tcBorders>
              <w:top w:val="nil"/>
              <w:left w:val="double" w:sz="6" w:space="0" w:color="auto"/>
              <w:bottom w:val="single" w:sz="4" w:space="0" w:color="auto"/>
              <w:right w:val="nil"/>
            </w:tcBorders>
            <w:shd w:val="clear" w:color="000000" w:fill="F2DCDB"/>
            <w:vAlign w:val="center"/>
            <w:hideMark/>
          </w:tcPr>
          <w:p w14:paraId="0E4A0FA6"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45</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4A471C96"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40</w:t>
            </w:r>
          </w:p>
        </w:tc>
      </w:tr>
      <w:tr w:rsidR="005C5B3E" w:rsidRPr="000A46ED" w14:paraId="67899813"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8DCE616" w14:textId="1AAAF31D" w:rsidR="000A46ED" w:rsidRPr="000A46ED" w:rsidRDefault="000A46ED"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reading skills in all subjects.</w:t>
            </w:r>
          </w:p>
        </w:tc>
        <w:tc>
          <w:tcPr>
            <w:tcW w:w="255" w:type="pct"/>
            <w:tcBorders>
              <w:top w:val="nil"/>
              <w:left w:val="double" w:sz="6" w:space="0" w:color="auto"/>
              <w:bottom w:val="single" w:sz="4" w:space="0" w:color="auto"/>
              <w:right w:val="nil"/>
            </w:tcBorders>
            <w:shd w:val="clear" w:color="000000" w:fill="F2DCDB"/>
            <w:vAlign w:val="center"/>
            <w:hideMark/>
          </w:tcPr>
          <w:p w14:paraId="7D73C882"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340</w:t>
            </w:r>
          </w:p>
        </w:tc>
        <w:tc>
          <w:tcPr>
            <w:tcW w:w="255" w:type="pct"/>
            <w:tcBorders>
              <w:top w:val="nil"/>
              <w:left w:val="double" w:sz="6" w:space="0" w:color="auto"/>
              <w:bottom w:val="single" w:sz="4" w:space="0" w:color="auto"/>
              <w:right w:val="nil"/>
            </w:tcBorders>
            <w:shd w:val="clear" w:color="000000" w:fill="F2DCDB"/>
            <w:vAlign w:val="center"/>
            <w:hideMark/>
          </w:tcPr>
          <w:p w14:paraId="5DE0205B"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317</w:t>
            </w:r>
          </w:p>
        </w:tc>
        <w:tc>
          <w:tcPr>
            <w:tcW w:w="249" w:type="pct"/>
            <w:tcBorders>
              <w:top w:val="nil"/>
              <w:left w:val="double" w:sz="6" w:space="0" w:color="auto"/>
              <w:bottom w:val="single" w:sz="4" w:space="0" w:color="auto"/>
              <w:right w:val="nil"/>
            </w:tcBorders>
            <w:shd w:val="clear" w:color="000000" w:fill="F2DCDB"/>
            <w:vAlign w:val="center"/>
            <w:hideMark/>
          </w:tcPr>
          <w:p w14:paraId="7A462A15"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312</w:t>
            </w:r>
          </w:p>
        </w:tc>
        <w:tc>
          <w:tcPr>
            <w:tcW w:w="249" w:type="pct"/>
            <w:tcBorders>
              <w:top w:val="nil"/>
              <w:left w:val="double" w:sz="6" w:space="0" w:color="auto"/>
              <w:bottom w:val="single" w:sz="4" w:space="0" w:color="auto"/>
              <w:right w:val="nil"/>
            </w:tcBorders>
            <w:shd w:val="clear" w:color="000000" w:fill="F2DCDB"/>
            <w:vAlign w:val="center"/>
            <w:hideMark/>
          </w:tcPr>
          <w:p w14:paraId="70C95E76"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291</w:t>
            </w:r>
          </w:p>
        </w:tc>
        <w:tc>
          <w:tcPr>
            <w:tcW w:w="222" w:type="pct"/>
            <w:tcBorders>
              <w:top w:val="nil"/>
              <w:left w:val="double" w:sz="6" w:space="0" w:color="auto"/>
              <w:bottom w:val="single" w:sz="4" w:space="0" w:color="auto"/>
              <w:right w:val="nil"/>
            </w:tcBorders>
            <w:shd w:val="clear" w:color="000000" w:fill="F2DCDB"/>
            <w:vAlign w:val="center"/>
            <w:hideMark/>
          </w:tcPr>
          <w:p w14:paraId="7839D85D"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48</w:t>
            </w:r>
          </w:p>
        </w:tc>
        <w:tc>
          <w:tcPr>
            <w:tcW w:w="228" w:type="pct"/>
            <w:tcBorders>
              <w:top w:val="nil"/>
              <w:left w:val="double" w:sz="6" w:space="0" w:color="auto"/>
              <w:bottom w:val="single" w:sz="4" w:space="0" w:color="auto"/>
              <w:right w:val="nil"/>
            </w:tcBorders>
            <w:shd w:val="clear" w:color="000000" w:fill="F2DCDB"/>
            <w:vAlign w:val="center"/>
            <w:hideMark/>
          </w:tcPr>
          <w:p w14:paraId="5E2E5F9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82</w:t>
            </w:r>
          </w:p>
        </w:tc>
        <w:tc>
          <w:tcPr>
            <w:tcW w:w="291" w:type="pct"/>
            <w:tcBorders>
              <w:top w:val="nil"/>
              <w:left w:val="double" w:sz="6" w:space="0" w:color="auto"/>
              <w:bottom w:val="single" w:sz="4" w:space="0" w:color="auto"/>
              <w:right w:val="nil"/>
            </w:tcBorders>
            <w:shd w:val="clear" w:color="000000" w:fill="F2DCDB"/>
            <w:vAlign w:val="center"/>
            <w:hideMark/>
          </w:tcPr>
          <w:p w14:paraId="34163524"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10</w:t>
            </w:r>
          </w:p>
        </w:tc>
        <w:tc>
          <w:tcPr>
            <w:tcW w:w="299" w:type="pct"/>
            <w:tcBorders>
              <w:top w:val="nil"/>
              <w:left w:val="double" w:sz="6" w:space="0" w:color="auto"/>
              <w:bottom w:val="single" w:sz="4" w:space="0" w:color="auto"/>
              <w:right w:val="nil"/>
            </w:tcBorders>
            <w:shd w:val="clear" w:color="000000" w:fill="F2DCDB"/>
            <w:vAlign w:val="center"/>
            <w:hideMark/>
          </w:tcPr>
          <w:p w14:paraId="530187A2"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16</w:t>
            </w:r>
          </w:p>
        </w:tc>
        <w:tc>
          <w:tcPr>
            <w:tcW w:w="222" w:type="pct"/>
            <w:tcBorders>
              <w:top w:val="nil"/>
              <w:left w:val="double" w:sz="6" w:space="0" w:color="auto"/>
              <w:bottom w:val="single" w:sz="4" w:space="0" w:color="auto"/>
              <w:right w:val="nil"/>
            </w:tcBorders>
            <w:shd w:val="clear" w:color="000000" w:fill="F2DCDB"/>
            <w:vAlign w:val="center"/>
            <w:hideMark/>
          </w:tcPr>
          <w:p w14:paraId="7CBD3EB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61</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031C1621"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57</w:t>
            </w:r>
          </w:p>
        </w:tc>
      </w:tr>
      <w:tr w:rsidR="005C5B3E" w:rsidRPr="000A46ED" w14:paraId="0F365F92"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49BF190" w14:textId="77777777" w:rsidR="000A46ED" w:rsidRPr="000A46ED" w:rsidRDefault="000A46ED" w:rsidP="008826A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reading challenges me and makes me think.</w:t>
            </w:r>
          </w:p>
        </w:tc>
        <w:tc>
          <w:tcPr>
            <w:tcW w:w="255" w:type="pct"/>
            <w:tcBorders>
              <w:top w:val="nil"/>
              <w:left w:val="double" w:sz="6" w:space="0" w:color="auto"/>
              <w:bottom w:val="single" w:sz="4" w:space="0" w:color="auto"/>
              <w:right w:val="nil"/>
            </w:tcBorders>
            <w:shd w:val="clear" w:color="000000" w:fill="F2DCDB"/>
            <w:vAlign w:val="center"/>
            <w:hideMark/>
          </w:tcPr>
          <w:p w14:paraId="0D8EF7EF"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355</w:t>
            </w:r>
          </w:p>
        </w:tc>
        <w:tc>
          <w:tcPr>
            <w:tcW w:w="255" w:type="pct"/>
            <w:tcBorders>
              <w:top w:val="nil"/>
              <w:left w:val="double" w:sz="6" w:space="0" w:color="auto"/>
              <w:bottom w:val="single" w:sz="4" w:space="0" w:color="auto"/>
              <w:right w:val="nil"/>
            </w:tcBorders>
            <w:shd w:val="clear" w:color="000000" w:fill="F2DCDB"/>
            <w:vAlign w:val="center"/>
            <w:hideMark/>
          </w:tcPr>
          <w:p w14:paraId="40CA3E67"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329</w:t>
            </w:r>
          </w:p>
        </w:tc>
        <w:tc>
          <w:tcPr>
            <w:tcW w:w="249" w:type="pct"/>
            <w:tcBorders>
              <w:top w:val="nil"/>
              <w:left w:val="double" w:sz="6" w:space="0" w:color="auto"/>
              <w:bottom w:val="single" w:sz="4" w:space="0" w:color="auto"/>
              <w:right w:val="nil"/>
            </w:tcBorders>
            <w:shd w:val="clear" w:color="000000" w:fill="F2DCDB"/>
            <w:vAlign w:val="center"/>
            <w:hideMark/>
          </w:tcPr>
          <w:p w14:paraId="29C8C033"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309</w:t>
            </w:r>
          </w:p>
        </w:tc>
        <w:tc>
          <w:tcPr>
            <w:tcW w:w="249" w:type="pct"/>
            <w:tcBorders>
              <w:top w:val="nil"/>
              <w:left w:val="double" w:sz="6" w:space="0" w:color="auto"/>
              <w:bottom w:val="single" w:sz="4" w:space="0" w:color="auto"/>
              <w:right w:val="nil"/>
            </w:tcBorders>
            <w:shd w:val="clear" w:color="000000" w:fill="F2DCDB"/>
            <w:vAlign w:val="center"/>
            <w:hideMark/>
          </w:tcPr>
          <w:p w14:paraId="158222A5"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305</w:t>
            </w:r>
          </w:p>
        </w:tc>
        <w:tc>
          <w:tcPr>
            <w:tcW w:w="222" w:type="pct"/>
            <w:tcBorders>
              <w:top w:val="nil"/>
              <w:left w:val="double" w:sz="6" w:space="0" w:color="auto"/>
              <w:bottom w:val="single" w:sz="4" w:space="0" w:color="auto"/>
              <w:right w:val="nil"/>
            </w:tcBorders>
            <w:shd w:val="clear" w:color="000000" w:fill="F2DCDB"/>
            <w:vAlign w:val="center"/>
            <w:hideMark/>
          </w:tcPr>
          <w:p w14:paraId="3C77DDAC"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36</w:t>
            </w:r>
          </w:p>
        </w:tc>
        <w:tc>
          <w:tcPr>
            <w:tcW w:w="228" w:type="pct"/>
            <w:tcBorders>
              <w:top w:val="nil"/>
              <w:left w:val="double" w:sz="6" w:space="0" w:color="auto"/>
              <w:bottom w:val="single" w:sz="4" w:space="0" w:color="auto"/>
              <w:right w:val="nil"/>
            </w:tcBorders>
            <w:shd w:val="clear" w:color="000000" w:fill="F2DCDB"/>
            <w:vAlign w:val="center"/>
            <w:hideMark/>
          </w:tcPr>
          <w:p w14:paraId="5D7FDF22"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50</w:t>
            </w:r>
          </w:p>
        </w:tc>
        <w:tc>
          <w:tcPr>
            <w:tcW w:w="291" w:type="pct"/>
            <w:tcBorders>
              <w:top w:val="nil"/>
              <w:left w:val="double" w:sz="6" w:space="0" w:color="auto"/>
              <w:bottom w:val="single" w:sz="4" w:space="0" w:color="auto"/>
              <w:right w:val="nil"/>
            </w:tcBorders>
            <w:shd w:val="clear" w:color="000000" w:fill="F2DCDB"/>
            <w:vAlign w:val="center"/>
            <w:hideMark/>
          </w:tcPr>
          <w:p w14:paraId="0D9FF86A"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25</w:t>
            </w:r>
          </w:p>
        </w:tc>
        <w:tc>
          <w:tcPr>
            <w:tcW w:w="299" w:type="pct"/>
            <w:tcBorders>
              <w:top w:val="nil"/>
              <w:left w:val="double" w:sz="6" w:space="0" w:color="auto"/>
              <w:bottom w:val="single" w:sz="4" w:space="0" w:color="auto"/>
              <w:right w:val="nil"/>
            </w:tcBorders>
            <w:shd w:val="clear" w:color="000000" w:fill="F2DCDB"/>
            <w:vAlign w:val="center"/>
            <w:hideMark/>
          </w:tcPr>
          <w:p w14:paraId="4D09C4E9"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26</w:t>
            </w:r>
          </w:p>
        </w:tc>
        <w:tc>
          <w:tcPr>
            <w:tcW w:w="222" w:type="pct"/>
            <w:tcBorders>
              <w:top w:val="nil"/>
              <w:left w:val="double" w:sz="6" w:space="0" w:color="auto"/>
              <w:bottom w:val="single" w:sz="4" w:space="0" w:color="auto"/>
              <w:right w:val="nil"/>
            </w:tcBorders>
            <w:shd w:val="clear" w:color="000000" w:fill="F2DCDB"/>
            <w:vAlign w:val="center"/>
            <w:hideMark/>
          </w:tcPr>
          <w:p w14:paraId="0AD406A6"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44</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030FC648"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48</w:t>
            </w:r>
          </w:p>
        </w:tc>
      </w:tr>
      <w:tr w:rsidR="005C5B3E" w:rsidRPr="000A46ED" w14:paraId="548EFF41"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3FD2C59" w14:textId="77777777" w:rsidR="000A46ED" w:rsidRPr="000A46ED" w:rsidRDefault="000A46ED" w:rsidP="008826A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reading.</w:t>
            </w:r>
          </w:p>
        </w:tc>
        <w:tc>
          <w:tcPr>
            <w:tcW w:w="255" w:type="pct"/>
            <w:tcBorders>
              <w:top w:val="nil"/>
              <w:left w:val="double" w:sz="6" w:space="0" w:color="auto"/>
              <w:bottom w:val="single" w:sz="4" w:space="0" w:color="auto"/>
              <w:right w:val="nil"/>
            </w:tcBorders>
            <w:shd w:val="clear" w:color="000000" w:fill="F2DCDB"/>
            <w:vAlign w:val="center"/>
            <w:hideMark/>
          </w:tcPr>
          <w:p w14:paraId="129B27AE"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373</w:t>
            </w:r>
          </w:p>
        </w:tc>
        <w:tc>
          <w:tcPr>
            <w:tcW w:w="255" w:type="pct"/>
            <w:tcBorders>
              <w:top w:val="nil"/>
              <w:left w:val="double" w:sz="6" w:space="0" w:color="auto"/>
              <w:bottom w:val="single" w:sz="4" w:space="0" w:color="auto"/>
              <w:right w:val="nil"/>
            </w:tcBorders>
            <w:shd w:val="clear" w:color="000000" w:fill="F2DCDB"/>
            <w:vAlign w:val="center"/>
            <w:hideMark/>
          </w:tcPr>
          <w:p w14:paraId="654DED6A"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357</w:t>
            </w:r>
          </w:p>
        </w:tc>
        <w:tc>
          <w:tcPr>
            <w:tcW w:w="249" w:type="pct"/>
            <w:tcBorders>
              <w:top w:val="nil"/>
              <w:left w:val="double" w:sz="6" w:space="0" w:color="auto"/>
              <w:bottom w:val="single" w:sz="4" w:space="0" w:color="auto"/>
              <w:right w:val="nil"/>
            </w:tcBorders>
            <w:shd w:val="clear" w:color="000000" w:fill="F2DCDB"/>
            <w:vAlign w:val="center"/>
            <w:hideMark/>
          </w:tcPr>
          <w:p w14:paraId="7999E5FA"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288</w:t>
            </w:r>
          </w:p>
        </w:tc>
        <w:tc>
          <w:tcPr>
            <w:tcW w:w="249" w:type="pct"/>
            <w:tcBorders>
              <w:top w:val="nil"/>
              <w:left w:val="double" w:sz="6" w:space="0" w:color="auto"/>
              <w:bottom w:val="single" w:sz="4" w:space="0" w:color="auto"/>
              <w:right w:val="nil"/>
            </w:tcBorders>
            <w:shd w:val="clear" w:color="000000" w:fill="F2DCDB"/>
            <w:vAlign w:val="center"/>
            <w:hideMark/>
          </w:tcPr>
          <w:p w14:paraId="2018AC4C"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304</w:t>
            </w:r>
          </w:p>
        </w:tc>
        <w:tc>
          <w:tcPr>
            <w:tcW w:w="222" w:type="pct"/>
            <w:tcBorders>
              <w:top w:val="nil"/>
              <w:left w:val="double" w:sz="6" w:space="0" w:color="auto"/>
              <w:bottom w:val="single" w:sz="4" w:space="0" w:color="auto"/>
              <w:right w:val="nil"/>
            </w:tcBorders>
            <w:shd w:val="clear" w:color="000000" w:fill="F2DCDB"/>
            <w:vAlign w:val="center"/>
            <w:hideMark/>
          </w:tcPr>
          <w:p w14:paraId="6D96987A"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33</w:t>
            </w:r>
          </w:p>
        </w:tc>
        <w:tc>
          <w:tcPr>
            <w:tcW w:w="228" w:type="pct"/>
            <w:tcBorders>
              <w:top w:val="nil"/>
              <w:left w:val="double" w:sz="6" w:space="0" w:color="auto"/>
              <w:bottom w:val="single" w:sz="4" w:space="0" w:color="auto"/>
              <w:right w:val="nil"/>
            </w:tcBorders>
            <w:shd w:val="clear" w:color="000000" w:fill="F2DCDB"/>
            <w:vAlign w:val="center"/>
            <w:hideMark/>
          </w:tcPr>
          <w:p w14:paraId="45647B5A"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44</w:t>
            </w:r>
          </w:p>
        </w:tc>
        <w:tc>
          <w:tcPr>
            <w:tcW w:w="291" w:type="pct"/>
            <w:tcBorders>
              <w:top w:val="nil"/>
              <w:left w:val="double" w:sz="6" w:space="0" w:color="auto"/>
              <w:bottom w:val="single" w:sz="4" w:space="0" w:color="auto"/>
              <w:right w:val="nil"/>
            </w:tcBorders>
            <w:shd w:val="clear" w:color="000000" w:fill="F2DCDB"/>
            <w:vAlign w:val="center"/>
            <w:hideMark/>
          </w:tcPr>
          <w:p w14:paraId="3ADD0F6D"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14</w:t>
            </w:r>
          </w:p>
        </w:tc>
        <w:tc>
          <w:tcPr>
            <w:tcW w:w="299" w:type="pct"/>
            <w:tcBorders>
              <w:top w:val="nil"/>
              <w:left w:val="double" w:sz="6" w:space="0" w:color="auto"/>
              <w:bottom w:val="single" w:sz="4" w:space="0" w:color="auto"/>
              <w:right w:val="nil"/>
            </w:tcBorders>
            <w:shd w:val="clear" w:color="000000" w:fill="F2DCDB"/>
            <w:vAlign w:val="center"/>
            <w:hideMark/>
          </w:tcPr>
          <w:p w14:paraId="4DA5995F"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16</w:t>
            </w:r>
          </w:p>
        </w:tc>
        <w:tc>
          <w:tcPr>
            <w:tcW w:w="222" w:type="pct"/>
            <w:tcBorders>
              <w:top w:val="nil"/>
              <w:left w:val="double" w:sz="6" w:space="0" w:color="auto"/>
              <w:bottom w:val="single" w:sz="4" w:space="0" w:color="auto"/>
              <w:right w:val="nil"/>
            </w:tcBorders>
            <w:shd w:val="clear" w:color="000000" w:fill="F2DCDB"/>
            <w:vAlign w:val="center"/>
            <w:hideMark/>
          </w:tcPr>
          <w:p w14:paraId="64F9A401"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59</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5815BA0A"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42</w:t>
            </w:r>
          </w:p>
        </w:tc>
      </w:tr>
      <w:tr w:rsidR="005C5B3E" w:rsidRPr="000A46ED" w14:paraId="2E72A577" w14:textId="77777777" w:rsidTr="005C5B3E">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CE3307E" w14:textId="77777777" w:rsidR="000A46ED" w:rsidRPr="000A46ED" w:rsidRDefault="000A46ED" w:rsidP="000A46ED">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reading skills.</w:t>
            </w:r>
          </w:p>
        </w:tc>
        <w:tc>
          <w:tcPr>
            <w:tcW w:w="255" w:type="pct"/>
            <w:tcBorders>
              <w:top w:val="nil"/>
              <w:left w:val="double" w:sz="6" w:space="0" w:color="auto"/>
              <w:bottom w:val="single" w:sz="4" w:space="0" w:color="auto"/>
              <w:right w:val="nil"/>
            </w:tcBorders>
            <w:shd w:val="clear" w:color="000000" w:fill="F2DCDB"/>
            <w:vAlign w:val="center"/>
            <w:hideMark/>
          </w:tcPr>
          <w:p w14:paraId="02C7F704"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404</w:t>
            </w:r>
          </w:p>
        </w:tc>
        <w:tc>
          <w:tcPr>
            <w:tcW w:w="255" w:type="pct"/>
            <w:tcBorders>
              <w:top w:val="nil"/>
              <w:left w:val="double" w:sz="6" w:space="0" w:color="auto"/>
              <w:bottom w:val="single" w:sz="4" w:space="0" w:color="auto"/>
              <w:right w:val="nil"/>
            </w:tcBorders>
            <w:shd w:val="clear" w:color="000000" w:fill="F2DCDB"/>
            <w:vAlign w:val="center"/>
            <w:hideMark/>
          </w:tcPr>
          <w:p w14:paraId="4C5C127E"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386</w:t>
            </w:r>
          </w:p>
        </w:tc>
        <w:tc>
          <w:tcPr>
            <w:tcW w:w="249" w:type="pct"/>
            <w:tcBorders>
              <w:top w:val="nil"/>
              <w:left w:val="double" w:sz="6" w:space="0" w:color="auto"/>
              <w:bottom w:val="single" w:sz="4" w:space="0" w:color="auto"/>
              <w:right w:val="nil"/>
            </w:tcBorders>
            <w:shd w:val="clear" w:color="000000" w:fill="F2DCDB"/>
            <w:vAlign w:val="center"/>
            <w:hideMark/>
          </w:tcPr>
          <w:p w14:paraId="033E54E7"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264</w:t>
            </w:r>
          </w:p>
        </w:tc>
        <w:tc>
          <w:tcPr>
            <w:tcW w:w="249" w:type="pct"/>
            <w:tcBorders>
              <w:top w:val="nil"/>
              <w:left w:val="double" w:sz="6" w:space="0" w:color="auto"/>
              <w:bottom w:val="single" w:sz="4" w:space="0" w:color="auto"/>
              <w:right w:val="nil"/>
            </w:tcBorders>
            <w:shd w:val="clear" w:color="000000" w:fill="F2DCDB"/>
            <w:vAlign w:val="center"/>
            <w:hideMark/>
          </w:tcPr>
          <w:p w14:paraId="094BE655"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264</w:t>
            </w:r>
          </w:p>
        </w:tc>
        <w:tc>
          <w:tcPr>
            <w:tcW w:w="222" w:type="pct"/>
            <w:tcBorders>
              <w:top w:val="nil"/>
              <w:left w:val="double" w:sz="6" w:space="0" w:color="auto"/>
              <w:bottom w:val="single" w:sz="4" w:space="0" w:color="auto"/>
              <w:right w:val="nil"/>
            </w:tcBorders>
            <w:shd w:val="clear" w:color="000000" w:fill="F2DCDB"/>
            <w:vAlign w:val="center"/>
            <w:hideMark/>
          </w:tcPr>
          <w:p w14:paraId="3FCFF823"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43</w:t>
            </w:r>
          </w:p>
        </w:tc>
        <w:tc>
          <w:tcPr>
            <w:tcW w:w="228" w:type="pct"/>
            <w:tcBorders>
              <w:top w:val="nil"/>
              <w:left w:val="double" w:sz="6" w:space="0" w:color="auto"/>
              <w:bottom w:val="single" w:sz="4" w:space="0" w:color="auto"/>
              <w:right w:val="nil"/>
            </w:tcBorders>
            <w:shd w:val="clear" w:color="000000" w:fill="F2DCDB"/>
            <w:vAlign w:val="center"/>
            <w:hideMark/>
          </w:tcPr>
          <w:p w14:paraId="286F3C76"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44</w:t>
            </w:r>
          </w:p>
        </w:tc>
        <w:tc>
          <w:tcPr>
            <w:tcW w:w="291" w:type="pct"/>
            <w:tcBorders>
              <w:top w:val="nil"/>
              <w:left w:val="double" w:sz="6" w:space="0" w:color="auto"/>
              <w:bottom w:val="single" w:sz="4" w:space="0" w:color="auto"/>
              <w:right w:val="nil"/>
            </w:tcBorders>
            <w:shd w:val="clear" w:color="000000" w:fill="F2DCDB"/>
            <w:vAlign w:val="center"/>
            <w:hideMark/>
          </w:tcPr>
          <w:p w14:paraId="4E6F38AF"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23</w:t>
            </w:r>
          </w:p>
        </w:tc>
        <w:tc>
          <w:tcPr>
            <w:tcW w:w="299" w:type="pct"/>
            <w:tcBorders>
              <w:top w:val="nil"/>
              <w:left w:val="double" w:sz="6" w:space="0" w:color="auto"/>
              <w:bottom w:val="single" w:sz="4" w:space="0" w:color="auto"/>
              <w:right w:val="nil"/>
            </w:tcBorders>
            <w:shd w:val="clear" w:color="000000" w:fill="F2DCDB"/>
            <w:vAlign w:val="center"/>
            <w:hideMark/>
          </w:tcPr>
          <w:p w14:paraId="1BDE65CC"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14</w:t>
            </w:r>
          </w:p>
        </w:tc>
        <w:tc>
          <w:tcPr>
            <w:tcW w:w="222" w:type="pct"/>
            <w:tcBorders>
              <w:top w:val="nil"/>
              <w:left w:val="double" w:sz="6" w:space="0" w:color="auto"/>
              <w:bottom w:val="single" w:sz="4" w:space="0" w:color="auto"/>
              <w:right w:val="nil"/>
            </w:tcBorders>
            <w:shd w:val="clear" w:color="000000" w:fill="F2DCDB"/>
            <w:vAlign w:val="center"/>
            <w:hideMark/>
          </w:tcPr>
          <w:p w14:paraId="3DF3FCE1"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36</w:t>
            </w:r>
          </w:p>
        </w:tc>
        <w:tc>
          <w:tcPr>
            <w:tcW w:w="228" w:type="pct"/>
            <w:tcBorders>
              <w:top w:val="nil"/>
              <w:left w:val="single" w:sz="4" w:space="0" w:color="auto"/>
              <w:bottom w:val="single" w:sz="4" w:space="0" w:color="auto"/>
              <w:right w:val="single" w:sz="4" w:space="0" w:color="auto"/>
            </w:tcBorders>
            <w:shd w:val="clear" w:color="000000" w:fill="F2DCDB"/>
            <w:vAlign w:val="center"/>
            <w:hideMark/>
          </w:tcPr>
          <w:p w14:paraId="54391F4D" w14:textId="77777777" w:rsidR="000A46ED" w:rsidRPr="000A46ED" w:rsidRDefault="000A46ED" w:rsidP="000A46ED">
            <w:pPr>
              <w:spacing w:after="0" w:line="240" w:lineRule="auto"/>
              <w:jc w:val="right"/>
              <w:rPr>
                <w:rFonts w:eastAsia="Times New Roman" w:cs="Times New Roman"/>
                <w:color w:val="000000"/>
                <w:sz w:val="24"/>
                <w:szCs w:val="24"/>
                <w:lang w:eastAsia="en-AU"/>
              </w:rPr>
            </w:pPr>
            <w:r w:rsidRPr="000A46ED">
              <w:rPr>
                <w:rFonts w:eastAsia="Times New Roman" w:cs="Times New Roman"/>
                <w:color w:val="000000"/>
                <w:sz w:val="24"/>
                <w:szCs w:val="24"/>
                <w:lang w:eastAsia="en-AU"/>
              </w:rPr>
              <w:t>49</w:t>
            </w:r>
          </w:p>
        </w:tc>
      </w:tr>
    </w:tbl>
    <w:p w14:paraId="7F428D8F" w14:textId="77777777" w:rsidR="00941B94" w:rsidRDefault="00941B94" w:rsidP="004910A6">
      <w:pPr>
        <w:rPr>
          <w:rFonts w:cs="Arial"/>
          <w:sz w:val="24"/>
          <w:szCs w:val="24"/>
        </w:rPr>
        <w:sectPr w:rsidR="00941B94" w:rsidSect="00941B94">
          <w:pgSz w:w="16838" w:h="11906" w:orient="landscape"/>
          <w:pgMar w:top="1418" w:right="1134" w:bottom="851" w:left="1134" w:header="709" w:footer="709" w:gutter="0"/>
          <w:cols w:space="708"/>
          <w:docGrid w:linePitch="360"/>
        </w:sectPr>
      </w:pPr>
    </w:p>
    <w:tbl>
      <w:tblPr>
        <w:tblW w:w="5000" w:type="pct"/>
        <w:tblLook w:val="04A0" w:firstRow="1" w:lastRow="0" w:firstColumn="1" w:lastColumn="0" w:noHBand="0" w:noVBand="1"/>
        <w:tblCaption w:val="Table - Numeracy Year 4"/>
        <w:tblDescription w:val="Data relating to Numeracy Year 4"/>
      </w:tblPr>
      <w:tblGrid>
        <w:gridCol w:w="7403"/>
        <w:gridCol w:w="755"/>
        <w:gridCol w:w="757"/>
        <w:gridCol w:w="736"/>
        <w:gridCol w:w="736"/>
        <w:gridCol w:w="656"/>
        <w:gridCol w:w="674"/>
        <w:gridCol w:w="861"/>
        <w:gridCol w:w="884"/>
        <w:gridCol w:w="656"/>
        <w:gridCol w:w="668"/>
      </w:tblGrid>
      <w:tr w:rsidR="005C5B3E" w:rsidRPr="000A46ED" w14:paraId="1876D925" w14:textId="77777777" w:rsidTr="0001238E">
        <w:trPr>
          <w:trHeight w:val="567"/>
        </w:trPr>
        <w:tc>
          <w:tcPr>
            <w:tcW w:w="2503" w:type="pct"/>
            <w:vMerge w:val="restart"/>
            <w:tcBorders>
              <w:top w:val="single" w:sz="4" w:space="0" w:color="auto"/>
              <w:left w:val="single" w:sz="4" w:space="0" w:color="auto"/>
              <w:bottom w:val="nil"/>
              <w:right w:val="nil"/>
            </w:tcBorders>
            <w:shd w:val="clear" w:color="auto" w:fill="auto"/>
            <w:noWrap/>
            <w:vAlign w:val="center"/>
            <w:hideMark/>
          </w:tcPr>
          <w:p w14:paraId="373DA428" w14:textId="77777777" w:rsidR="005C5B3E" w:rsidRPr="008826A5" w:rsidRDefault="005C5B3E" w:rsidP="0001238E">
            <w:pPr>
              <w:spacing w:after="0" w:line="240" w:lineRule="auto"/>
              <w:jc w:val="center"/>
              <w:rPr>
                <w:rFonts w:eastAsia="Times New Roman" w:cs="Times New Roman"/>
                <w:b/>
                <w:bCs/>
                <w:color w:val="244061" w:themeColor="accent1" w:themeShade="80"/>
                <w:sz w:val="36"/>
                <w:szCs w:val="36"/>
                <w:lang w:eastAsia="en-AU"/>
              </w:rPr>
            </w:pPr>
            <w:r>
              <w:rPr>
                <w:rFonts w:eastAsia="Times New Roman" w:cs="Times New Roman"/>
                <w:b/>
                <w:bCs/>
                <w:color w:val="244061" w:themeColor="accent1" w:themeShade="80"/>
                <w:sz w:val="36"/>
                <w:szCs w:val="36"/>
                <w:lang w:eastAsia="en-AU"/>
              </w:rPr>
              <w:t>Numeracy</w:t>
            </w:r>
          </w:p>
          <w:p w14:paraId="52CF5A16" w14:textId="77777777" w:rsidR="005C5B3E" w:rsidRPr="000A46ED" w:rsidRDefault="005C5B3E" w:rsidP="0001238E">
            <w:pPr>
              <w:spacing w:after="0" w:line="240" w:lineRule="auto"/>
              <w:jc w:val="center"/>
              <w:rPr>
                <w:rFonts w:eastAsia="Times New Roman" w:cs="Times New Roman"/>
                <w:b/>
                <w:bCs/>
                <w:color w:val="FF0000"/>
                <w:sz w:val="36"/>
                <w:szCs w:val="36"/>
                <w:lang w:eastAsia="en-AU"/>
              </w:rPr>
            </w:pPr>
          </w:p>
        </w:tc>
        <w:tc>
          <w:tcPr>
            <w:tcW w:w="2497"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77BFE9BC" w14:textId="77777777" w:rsidR="005C5B3E" w:rsidRPr="000A46ED" w:rsidRDefault="005C5B3E" w:rsidP="0001238E">
            <w:pPr>
              <w:spacing w:after="0" w:line="240" w:lineRule="auto"/>
              <w:jc w:val="center"/>
              <w:rPr>
                <w:rFonts w:eastAsia="Times New Roman" w:cs="Times New Roman"/>
                <w:color w:val="000000"/>
                <w:sz w:val="52"/>
                <w:szCs w:val="52"/>
                <w:lang w:eastAsia="en-AU"/>
              </w:rPr>
            </w:pPr>
            <w:r>
              <w:rPr>
                <w:rFonts w:eastAsia="Times New Roman" w:cs="Times New Roman"/>
                <w:color w:val="000000"/>
                <w:sz w:val="52"/>
                <w:szCs w:val="52"/>
                <w:lang w:eastAsia="en-AU"/>
              </w:rPr>
              <w:t>Year 4</w:t>
            </w:r>
          </w:p>
        </w:tc>
      </w:tr>
      <w:tr w:rsidR="005C5B3E" w:rsidRPr="000A46ED" w14:paraId="681A7FA6" w14:textId="77777777" w:rsidTr="00394D0F">
        <w:trPr>
          <w:trHeight w:val="276"/>
        </w:trPr>
        <w:tc>
          <w:tcPr>
            <w:tcW w:w="2503" w:type="pct"/>
            <w:vMerge/>
            <w:tcBorders>
              <w:left w:val="single" w:sz="4" w:space="0" w:color="auto"/>
              <w:right w:val="nil"/>
            </w:tcBorders>
            <w:shd w:val="clear" w:color="auto" w:fill="auto"/>
            <w:vAlign w:val="center"/>
            <w:hideMark/>
          </w:tcPr>
          <w:p w14:paraId="2275200F"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511"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025B9B1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498" w:type="pct"/>
            <w:gridSpan w:val="2"/>
            <w:tcBorders>
              <w:top w:val="double" w:sz="6" w:space="0" w:color="auto"/>
              <w:left w:val="nil"/>
              <w:bottom w:val="single" w:sz="4" w:space="0" w:color="auto"/>
              <w:right w:val="single" w:sz="12" w:space="0" w:color="000000"/>
            </w:tcBorders>
            <w:shd w:val="clear" w:color="auto" w:fill="auto"/>
            <w:vAlign w:val="center"/>
            <w:hideMark/>
          </w:tcPr>
          <w:p w14:paraId="0F59B1AD"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450" w:type="pct"/>
            <w:gridSpan w:val="2"/>
            <w:tcBorders>
              <w:top w:val="double" w:sz="6" w:space="0" w:color="auto"/>
              <w:left w:val="nil"/>
              <w:bottom w:val="single" w:sz="4" w:space="0" w:color="auto"/>
              <w:right w:val="single" w:sz="12" w:space="0" w:color="000000"/>
            </w:tcBorders>
            <w:shd w:val="clear" w:color="auto" w:fill="auto"/>
            <w:vAlign w:val="center"/>
            <w:hideMark/>
          </w:tcPr>
          <w:p w14:paraId="7F01F80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590" w:type="pct"/>
            <w:gridSpan w:val="2"/>
            <w:tcBorders>
              <w:top w:val="double" w:sz="6" w:space="0" w:color="auto"/>
              <w:left w:val="nil"/>
              <w:bottom w:val="single" w:sz="4" w:space="0" w:color="auto"/>
              <w:right w:val="single" w:sz="12" w:space="0" w:color="000000"/>
            </w:tcBorders>
            <w:shd w:val="clear" w:color="auto" w:fill="auto"/>
            <w:vAlign w:val="center"/>
            <w:hideMark/>
          </w:tcPr>
          <w:p w14:paraId="09957F56"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448" w:type="pct"/>
            <w:gridSpan w:val="2"/>
            <w:tcBorders>
              <w:top w:val="double" w:sz="6" w:space="0" w:color="auto"/>
              <w:left w:val="nil"/>
              <w:bottom w:val="single" w:sz="4" w:space="0" w:color="auto"/>
              <w:right w:val="double" w:sz="6" w:space="0" w:color="000000"/>
            </w:tcBorders>
            <w:shd w:val="clear" w:color="auto" w:fill="auto"/>
            <w:vAlign w:val="center"/>
            <w:hideMark/>
          </w:tcPr>
          <w:p w14:paraId="4742C8B4"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5C5B3E" w:rsidRPr="000A46ED" w14:paraId="3CCC4CF6" w14:textId="77777777" w:rsidTr="00394D0F">
        <w:trPr>
          <w:trHeight w:val="276"/>
        </w:trPr>
        <w:tc>
          <w:tcPr>
            <w:tcW w:w="2503" w:type="pct"/>
            <w:vMerge/>
            <w:tcBorders>
              <w:left w:val="single" w:sz="4" w:space="0" w:color="auto"/>
              <w:bottom w:val="single" w:sz="8" w:space="0" w:color="auto"/>
              <w:right w:val="nil"/>
            </w:tcBorders>
            <w:shd w:val="clear" w:color="auto" w:fill="auto"/>
            <w:vAlign w:val="center"/>
            <w:hideMark/>
          </w:tcPr>
          <w:p w14:paraId="5B9FF079"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255" w:type="pct"/>
            <w:tcBorders>
              <w:top w:val="nil"/>
              <w:left w:val="double" w:sz="6" w:space="0" w:color="auto"/>
              <w:bottom w:val="single" w:sz="4" w:space="0" w:color="auto"/>
              <w:right w:val="single" w:sz="4" w:space="0" w:color="auto"/>
            </w:tcBorders>
            <w:shd w:val="clear" w:color="auto" w:fill="auto"/>
            <w:vAlign w:val="center"/>
            <w:hideMark/>
          </w:tcPr>
          <w:p w14:paraId="21D944C0"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56" w:type="pct"/>
            <w:tcBorders>
              <w:top w:val="nil"/>
              <w:left w:val="nil"/>
              <w:bottom w:val="single" w:sz="4" w:space="0" w:color="auto"/>
              <w:right w:val="single" w:sz="12" w:space="0" w:color="auto"/>
            </w:tcBorders>
            <w:shd w:val="clear" w:color="auto" w:fill="auto"/>
            <w:vAlign w:val="center"/>
            <w:hideMark/>
          </w:tcPr>
          <w:p w14:paraId="272F37B8"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49" w:type="pct"/>
            <w:tcBorders>
              <w:top w:val="nil"/>
              <w:left w:val="nil"/>
              <w:bottom w:val="single" w:sz="4" w:space="0" w:color="auto"/>
              <w:right w:val="single" w:sz="4" w:space="0" w:color="auto"/>
            </w:tcBorders>
            <w:shd w:val="clear" w:color="auto" w:fill="auto"/>
            <w:vAlign w:val="center"/>
            <w:hideMark/>
          </w:tcPr>
          <w:p w14:paraId="597949A3"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49" w:type="pct"/>
            <w:tcBorders>
              <w:top w:val="nil"/>
              <w:left w:val="nil"/>
              <w:bottom w:val="single" w:sz="4" w:space="0" w:color="auto"/>
              <w:right w:val="single" w:sz="12" w:space="0" w:color="auto"/>
            </w:tcBorders>
            <w:shd w:val="clear" w:color="auto" w:fill="auto"/>
            <w:vAlign w:val="center"/>
            <w:hideMark/>
          </w:tcPr>
          <w:p w14:paraId="1D0ACA1C"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41F84A1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single" w:sz="12" w:space="0" w:color="auto"/>
            </w:tcBorders>
            <w:shd w:val="clear" w:color="auto" w:fill="auto"/>
            <w:vAlign w:val="center"/>
            <w:hideMark/>
          </w:tcPr>
          <w:p w14:paraId="6D4058B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1" w:type="pct"/>
            <w:tcBorders>
              <w:top w:val="nil"/>
              <w:left w:val="nil"/>
              <w:bottom w:val="single" w:sz="4" w:space="0" w:color="auto"/>
              <w:right w:val="single" w:sz="4" w:space="0" w:color="auto"/>
            </w:tcBorders>
            <w:shd w:val="clear" w:color="auto" w:fill="auto"/>
            <w:vAlign w:val="center"/>
            <w:hideMark/>
          </w:tcPr>
          <w:p w14:paraId="5898029A"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5AA8A8A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135C1A24"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6" w:type="pct"/>
            <w:tcBorders>
              <w:top w:val="nil"/>
              <w:left w:val="nil"/>
              <w:bottom w:val="single" w:sz="4" w:space="0" w:color="auto"/>
              <w:right w:val="double" w:sz="6" w:space="0" w:color="auto"/>
            </w:tcBorders>
            <w:shd w:val="clear" w:color="auto" w:fill="auto"/>
            <w:vAlign w:val="center"/>
            <w:hideMark/>
          </w:tcPr>
          <w:p w14:paraId="4F63A561"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C755B1" w:rsidRPr="000A46ED" w14:paraId="254BFD2C"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4B1413A" w14:textId="2B3D60B9"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doing Maths.</w:t>
            </w:r>
          </w:p>
        </w:tc>
        <w:tc>
          <w:tcPr>
            <w:tcW w:w="255" w:type="pct"/>
            <w:tcBorders>
              <w:top w:val="nil"/>
              <w:left w:val="double" w:sz="6" w:space="0" w:color="auto"/>
              <w:bottom w:val="single" w:sz="4" w:space="0" w:color="auto"/>
              <w:right w:val="nil"/>
            </w:tcBorders>
            <w:shd w:val="clear" w:color="000000" w:fill="F2DCDB"/>
            <w:vAlign w:val="center"/>
          </w:tcPr>
          <w:p w14:paraId="1F2008F7" w14:textId="77777777" w:rsidR="00C755B1" w:rsidRDefault="00C755B1" w:rsidP="00C755B1">
            <w:pPr>
              <w:jc w:val="right"/>
              <w:rPr>
                <w:color w:val="000000"/>
                <w:sz w:val="24"/>
                <w:szCs w:val="24"/>
              </w:rPr>
            </w:pPr>
            <w:r>
              <w:rPr>
                <w:color w:val="000000"/>
              </w:rPr>
              <w:t>148</w:t>
            </w:r>
          </w:p>
        </w:tc>
        <w:tc>
          <w:tcPr>
            <w:tcW w:w="256" w:type="pct"/>
            <w:tcBorders>
              <w:top w:val="nil"/>
              <w:left w:val="double" w:sz="6" w:space="0" w:color="auto"/>
              <w:bottom w:val="single" w:sz="4" w:space="0" w:color="auto"/>
              <w:right w:val="nil"/>
            </w:tcBorders>
            <w:shd w:val="clear" w:color="000000" w:fill="F2DCDB"/>
            <w:vAlign w:val="center"/>
          </w:tcPr>
          <w:p w14:paraId="2B04BCBB" w14:textId="77777777" w:rsidR="00C755B1" w:rsidRDefault="00C755B1" w:rsidP="00C755B1">
            <w:pPr>
              <w:jc w:val="right"/>
              <w:rPr>
                <w:color w:val="000000"/>
                <w:sz w:val="24"/>
                <w:szCs w:val="24"/>
              </w:rPr>
            </w:pPr>
            <w:r>
              <w:rPr>
                <w:color w:val="000000"/>
              </w:rPr>
              <w:t>189</w:t>
            </w:r>
          </w:p>
        </w:tc>
        <w:tc>
          <w:tcPr>
            <w:tcW w:w="249" w:type="pct"/>
            <w:tcBorders>
              <w:top w:val="nil"/>
              <w:left w:val="double" w:sz="6" w:space="0" w:color="auto"/>
              <w:bottom w:val="single" w:sz="4" w:space="0" w:color="auto"/>
              <w:right w:val="nil"/>
            </w:tcBorders>
            <w:shd w:val="clear" w:color="000000" w:fill="F2DCDB"/>
            <w:vAlign w:val="center"/>
          </w:tcPr>
          <w:p w14:paraId="6FC912F8" w14:textId="77777777" w:rsidR="00C755B1" w:rsidRDefault="00C755B1" w:rsidP="00C755B1">
            <w:pPr>
              <w:jc w:val="right"/>
              <w:rPr>
                <w:color w:val="000000"/>
                <w:sz w:val="24"/>
                <w:szCs w:val="24"/>
              </w:rPr>
            </w:pPr>
            <w:r>
              <w:rPr>
                <w:color w:val="000000"/>
              </w:rPr>
              <w:t>172</w:t>
            </w:r>
          </w:p>
        </w:tc>
        <w:tc>
          <w:tcPr>
            <w:tcW w:w="249" w:type="pct"/>
            <w:tcBorders>
              <w:top w:val="nil"/>
              <w:left w:val="double" w:sz="6" w:space="0" w:color="auto"/>
              <w:bottom w:val="single" w:sz="4" w:space="0" w:color="auto"/>
              <w:right w:val="nil"/>
            </w:tcBorders>
            <w:shd w:val="clear" w:color="000000" w:fill="F2DCDB"/>
            <w:vAlign w:val="center"/>
          </w:tcPr>
          <w:p w14:paraId="0FE9A769" w14:textId="77777777" w:rsidR="00C755B1" w:rsidRDefault="00C755B1" w:rsidP="00C755B1">
            <w:pPr>
              <w:jc w:val="right"/>
              <w:rPr>
                <w:color w:val="000000"/>
                <w:sz w:val="24"/>
                <w:szCs w:val="24"/>
              </w:rPr>
            </w:pPr>
            <w:r>
              <w:rPr>
                <w:color w:val="000000"/>
              </w:rPr>
              <w:t>156</w:t>
            </w:r>
          </w:p>
        </w:tc>
        <w:tc>
          <w:tcPr>
            <w:tcW w:w="222" w:type="pct"/>
            <w:tcBorders>
              <w:top w:val="nil"/>
              <w:left w:val="double" w:sz="6" w:space="0" w:color="auto"/>
              <w:bottom w:val="single" w:sz="4" w:space="0" w:color="auto"/>
              <w:right w:val="nil"/>
            </w:tcBorders>
            <w:shd w:val="clear" w:color="000000" w:fill="F2DCDB"/>
            <w:vAlign w:val="center"/>
          </w:tcPr>
          <w:p w14:paraId="11C82F9A" w14:textId="77777777" w:rsidR="00C755B1" w:rsidRDefault="00C755B1" w:rsidP="00C755B1">
            <w:pPr>
              <w:jc w:val="right"/>
              <w:rPr>
                <w:color w:val="000000"/>
                <w:sz w:val="24"/>
                <w:szCs w:val="24"/>
              </w:rPr>
            </w:pPr>
            <w:r>
              <w:rPr>
                <w:color w:val="000000"/>
              </w:rPr>
              <w:t>22</w:t>
            </w:r>
          </w:p>
        </w:tc>
        <w:tc>
          <w:tcPr>
            <w:tcW w:w="228" w:type="pct"/>
            <w:tcBorders>
              <w:top w:val="nil"/>
              <w:left w:val="double" w:sz="6" w:space="0" w:color="auto"/>
              <w:bottom w:val="single" w:sz="4" w:space="0" w:color="auto"/>
              <w:right w:val="nil"/>
            </w:tcBorders>
            <w:shd w:val="clear" w:color="000000" w:fill="F2DCDB"/>
            <w:vAlign w:val="center"/>
          </w:tcPr>
          <w:p w14:paraId="47D6F339" w14:textId="77777777" w:rsidR="00C755B1" w:rsidRDefault="00C755B1" w:rsidP="00C755B1">
            <w:pPr>
              <w:jc w:val="right"/>
              <w:rPr>
                <w:color w:val="000000"/>
                <w:sz w:val="24"/>
                <w:szCs w:val="24"/>
              </w:rPr>
            </w:pPr>
            <w:r>
              <w:rPr>
                <w:color w:val="000000"/>
              </w:rPr>
              <w:t>27</w:t>
            </w:r>
          </w:p>
        </w:tc>
        <w:tc>
          <w:tcPr>
            <w:tcW w:w="291" w:type="pct"/>
            <w:tcBorders>
              <w:top w:val="nil"/>
              <w:left w:val="double" w:sz="6" w:space="0" w:color="auto"/>
              <w:bottom w:val="single" w:sz="4" w:space="0" w:color="auto"/>
              <w:right w:val="nil"/>
            </w:tcBorders>
            <w:shd w:val="clear" w:color="000000" w:fill="F2DCDB"/>
            <w:vAlign w:val="center"/>
          </w:tcPr>
          <w:p w14:paraId="1C3DA81A" w14:textId="77777777" w:rsidR="00C755B1" w:rsidRDefault="00C755B1" w:rsidP="00C755B1">
            <w:pPr>
              <w:jc w:val="right"/>
              <w:rPr>
                <w:color w:val="000000"/>
                <w:sz w:val="24"/>
                <w:szCs w:val="24"/>
              </w:rPr>
            </w:pPr>
            <w:r>
              <w:rPr>
                <w:color w:val="000000"/>
              </w:rPr>
              <w:t>11</w:t>
            </w:r>
          </w:p>
        </w:tc>
        <w:tc>
          <w:tcPr>
            <w:tcW w:w="299" w:type="pct"/>
            <w:tcBorders>
              <w:top w:val="nil"/>
              <w:left w:val="double" w:sz="6" w:space="0" w:color="auto"/>
              <w:bottom w:val="single" w:sz="4" w:space="0" w:color="auto"/>
              <w:right w:val="nil"/>
            </w:tcBorders>
            <w:shd w:val="clear" w:color="000000" w:fill="F2DCDB"/>
            <w:vAlign w:val="center"/>
          </w:tcPr>
          <w:p w14:paraId="0466B17C" w14:textId="77777777" w:rsidR="00C755B1" w:rsidRDefault="00C755B1" w:rsidP="00C755B1">
            <w:pPr>
              <w:jc w:val="right"/>
              <w:rPr>
                <w:color w:val="000000"/>
                <w:sz w:val="24"/>
                <w:szCs w:val="24"/>
              </w:rPr>
            </w:pPr>
            <w:r>
              <w:rPr>
                <w:color w:val="000000"/>
              </w:rPr>
              <w:t>23</w:t>
            </w:r>
          </w:p>
        </w:tc>
        <w:tc>
          <w:tcPr>
            <w:tcW w:w="222" w:type="pct"/>
            <w:tcBorders>
              <w:top w:val="nil"/>
              <w:left w:val="double" w:sz="6" w:space="0" w:color="auto"/>
              <w:bottom w:val="single" w:sz="4" w:space="0" w:color="auto"/>
              <w:right w:val="nil"/>
            </w:tcBorders>
            <w:shd w:val="clear" w:color="000000" w:fill="F2DCDB"/>
            <w:vAlign w:val="center"/>
          </w:tcPr>
          <w:p w14:paraId="72B392D3" w14:textId="77777777" w:rsidR="00C755B1" w:rsidRDefault="00C755B1" w:rsidP="00C755B1">
            <w:pPr>
              <w:jc w:val="right"/>
              <w:rPr>
                <w:color w:val="000000"/>
                <w:sz w:val="24"/>
                <w:szCs w:val="24"/>
              </w:rPr>
            </w:pPr>
            <w:r>
              <w:rPr>
                <w:color w:val="000000"/>
              </w:rPr>
              <w:t>14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E148C01" w14:textId="77777777" w:rsidR="00C755B1" w:rsidRDefault="00C755B1" w:rsidP="00C755B1">
            <w:pPr>
              <w:jc w:val="right"/>
              <w:rPr>
                <w:color w:val="000000"/>
                <w:sz w:val="24"/>
                <w:szCs w:val="24"/>
              </w:rPr>
            </w:pPr>
            <w:r>
              <w:rPr>
                <w:color w:val="000000"/>
              </w:rPr>
              <w:t>11</w:t>
            </w:r>
          </w:p>
        </w:tc>
      </w:tr>
      <w:tr w:rsidR="00C755B1" w:rsidRPr="000A46ED" w14:paraId="7987241D"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F3C4FBB" w14:textId="6CB47418"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 It is important to learn Maths.</w:t>
            </w:r>
          </w:p>
        </w:tc>
        <w:tc>
          <w:tcPr>
            <w:tcW w:w="255" w:type="pct"/>
            <w:tcBorders>
              <w:top w:val="nil"/>
              <w:left w:val="double" w:sz="6" w:space="0" w:color="auto"/>
              <w:bottom w:val="single" w:sz="4" w:space="0" w:color="auto"/>
              <w:right w:val="nil"/>
            </w:tcBorders>
            <w:shd w:val="clear" w:color="000000" w:fill="F2DCDB"/>
            <w:vAlign w:val="center"/>
          </w:tcPr>
          <w:p w14:paraId="77CBB576" w14:textId="77777777" w:rsidR="00C755B1" w:rsidRDefault="00C755B1" w:rsidP="00C755B1">
            <w:pPr>
              <w:jc w:val="right"/>
              <w:rPr>
                <w:color w:val="000000"/>
                <w:sz w:val="24"/>
                <w:szCs w:val="24"/>
              </w:rPr>
            </w:pPr>
            <w:r>
              <w:rPr>
                <w:color w:val="000000"/>
              </w:rPr>
              <w:t>285</w:t>
            </w:r>
          </w:p>
        </w:tc>
        <w:tc>
          <w:tcPr>
            <w:tcW w:w="256" w:type="pct"/>
            <w:tcBorders>
              <w:top w:val="nil"/>
              <w:left w:val="double" w:sz="6" w:space="0" w:color="auto"/>
              <w:bottom w:val="single" w:sz="4" w:space="0" w:color="auto"/>
              <w:right w:val="nil"/>
            </w:tcBorders>
            <w:shd w:val="clear" w:color="000000" w:fill="F2DCDB"/>
            <w:vAlign w:val="center"/>
          </w:tcPr>
          <w:p w14:paraId="5CFD6BDF" w14:textId="77777777" w:rsidR="00C755B1" w:rsidRDefault="00C755B1" w:rsidP="00C755B1">
            <w:pPr>
              <w:jc w:val="right"/>
              <w:rPr>
                <w:color w:val="000000"/>
                <w:sz w:val="24"/>
                <w:szCs w:val="24"/>
              </w:rPr>
            </w:pPr>
            <w:r>
              <w:rPr>
                <w:color w:val="000000"/>
              </w:rPr>
              <w:t>279</w:t>
            </w:r>
          </w:p>
        </w:tc>
        <w:tc>
          <w:tcPr>
            <w:tcW w:w="249" w:type="pct"/>
            <w:tcBorders>
              <w:top w:val="nil"/>
              <w:left w:val="double" w:sz="6" w:space="0" w:color="auto"/>
              <w:bottom w:val="single" w:sz="4" w:space="0" w:color="auto"/>
              <w:right w:val="nil"/>
            </w:tcBorders>
            <w:shd w:val="clear" w:color="000000" w:fill="F2DCDB"/>
            <w:vAlign w:val="center"/>
          </w:tcPr>
          <w:p w14:paraId="01203B88" w14:textId="77777777" w:rsidR="00C755B1" w:rsidRDefault="00C755B1" w:rsidP="00C755B1">
            <w:pPr>
              <w:jc w:val="right"/>
              <w:rPr>
                <w:color w:val="000000"/>
                <w:sz w:val="24"/>
                <w:szCs w:val="24"/>
              </w:rPr>
            </w:pPr>
            <w:r>
              <w:rPr>
                <w:color w:val="000000"/>
              </w:rPr>
              <w:t>78</w:t>
            </w:r>
          </w:p>
        </w:tc>
        <w:tc>
          <w:tcPr>
            <w:tcW w:w="249" w:type="pct"/>
            <w:tcBorders>
              <w:top w:val="nil"/>
              <w:left w:val="double" w:sz="6" w:space="0" w:color="auto"/>
              <w:bottom w:val="single" w:sz="4" w:space="0" w:color="auto"/>
              <w:right w:val="nil"/>
            </w:tcBorders>
            <w:shd w:val="clear" w:color="000000" w:fill="F2DCDB"/>
            <w:vAlign w:val="center"/>
          </w:tcPr>
          <w:p w14:paraId="4C988B00" w14:textId="77777777" w:rsidR="00C755B1" w:rsidRDefault="00C755B1" w:rsidP="00C755B1">
            <w:pPr>
              <w:jc w:val="right"/>
              <w:rPr>
                <w:color w:val="000000"/>
                <w:sz w:val="24"/>
                <w:szCs w:val="24"/>
              </w:rPr>
            </w:pPr>
            <w:r>
              <w:rPr>
                <w:color w:val="000000"/>
              </w:rPr>
              <w:t>111</w:t>
            </w:r>
          </w:p>
        </w:tc>
        <w:tc>
          <w:tcPr>
            <w:tcW w:w="222" w:type="pct"/>
            <w:tcBorders>
              <w:top w:val="nil"/>
              <w:left w:val="double" w:sz="6" w:space="0" w:color="auto"/>
              <w:bottom w:val="single" w:sz="4" w:space="0" w:color="auto"/>
              <w:right w:val="nil"/>
            </w:tcBorders>
            <w:shd w:val="clear" w:color="000000" w:fill="F2DCDB"/>
            <w:vAlign w:val="center"/>
          </w:tcPr>
          <w:p w14:paraId="13195A7E" w14:textId="77777777" w:rsidR="00C755B1" w:rsidRDefault="00C755B1" w:rsidP="00C755B1">
            <w:pPr>
              <w:jc w:val="right"/>
              <w:rPr>
                <w:color w:val="000000"/>
                <w:sz w:val="24"/>
                <w:szCs w:val="24"/>
              </w:rPr>
            </w:pPr>
            <w:r>
              <w:rPr>
                <w:color w:val="000000"/>
              </w:rPr>
              <w:t>1</w:t>
            </w:r>
          </w:p>
        </w:tc>
        <w:tc>
          <w:tcPr>
            <w:tcW w:w="228" w:type="pct"/>
            <w:tcBorders>
              <w:top w:val="nil"/>
              <w:left w:val="double" w:sz="6" w:space="0" w:color="auto"/>
              <w:bottom w:val="single" w:sz="4" w:space="0" w:color="auto"/>
              <w:right w:val="nil"/>
            </w:tcBorders>
            <w:shd w:val="clear" w:color="000000" w:fill="F2DCDB"/>
            <w:vAlign w:val="center"/>
          </w:tcPr>
          <w:p w14:paraId="4EB14A65" w14:textId="77777777" w:rsidR="00C755B1" w:rsidRDefault="00C755B1" w:rsidP="00C755B1">
            <w:pPr>
              <w:jc w:val="right"/>
              <w:rPr>
                <w:color w:val="000000"/>
                <w:sz w:val="24"/>
                <w:szCs w:val="24"/>
              </w:rPr>
            </w:pPr>
            <w:r>
              <w:rPr>
                <w:color w:val="000000"/>
              </w:rPr>
              <w:t>4</w:t>
            </w:r>
          </w:p>
        </w:tc>
        <w:tc>
          <w:tcPr>
            <w:tcW w:w="291" w:type="pct"/>
            <w:tcBorders>
              <w:top w:val="nil"/>
              <w:left w:val="double" w:sz="6" w:space="0" w:color="auto"/>
              <w:bottom w:val="single" w:sz="4" w:space="0" w:color="auto"/>
              <w:right w:val="nil"/>
            </w:tcBorders>
            <w:shd w:val="clear" w:color="000000" w:fill="F2DCDB"/>
            <w:vAlign w:val="center"/>
          </w:tcPr>
          <w:p w14:paraId="027FEE7F" w14:textId="77777777" w:rsidR="00C755B1" w:rsidRDefault="00C755B1" w:rsidP="00C755B1">
            <w:pPr>
              <w:jc w:val="right"/>
              <w:rPr>
                <w:color w:val="000000"/>
                <w:sz w:val="24"/>
                <w:szCs w:val="24"/>
              </w:rPr>
            </w:pPr>
            <w:r>
              <w:rPr>
                <w:color w:val="000000"/>
              </w:rPr>
              <w:t>0</w:t>
            </w:r>
          </w:p>
        </w:tc>
        <w:tc>
          <w:tcPr>
            <w:tcW w:w="299" w:type="pct"/>
            <w:tcBorders>
              <w:top w:val="nil"/>
              <w:left w:val="double" w:sz="6" w:space="0" w:color="auto"/>
              <w:bottom w:val="single" w:sz="4" w:space="0" w:color="auto"/>
              <w:right w:val="nil"/>
            </w:tcBorders>
            <w:shd w:val="clear" w:color="000000" w:fill="F2DCDB"/>
            <w:vAlign w:val="center"/>
          </w:tcPr>
          <w:p w14:paraId="00ED1D89" w14:textId="77777777" w:rsidR="00C755B1" w:rsidRDefault="00C755B1" w:rsidP="00C755B1">
            <w:pPr>
              <w:jc w:val="right"/>
              <w:rPr>
                <w:color w:val="000000"/>
                <w:sz w:val="24"/>
                <w:szCs w:val="24"/>
              </w:rPr>
            </w:pPr>
            <w:r>
              <w:rPr>
                <w:color w:val="000000"/>
              </w:rPr>
              <w:t>7</w:t>
            </w:r>
          </w:p>
        </w:tc>
        <w:tc>
          <w:tcPr>
            <w:tcW w:w="222" w:type="pct"/>
            <w:tcBorders>
              <w:top w:val="nil"/>
              <w:left w:val="double" w:sz="6" w:space="0" w:color="auto"/>
              <w:bottom w:val="single" w:sz="4" w:space="0" w:color="auto"/>
              <w:right w:val="nil"/>
            </w:tcBorders>
            <w:shd w:val="clear" w:color="000000" w:fill="F2DCDB"/>
            <w:vAlign w:val="center"/>
          </w:tcPr>
          <w:p w14:paraId="2392C85F" w14:textId="77777777" w:rsidR="00C755B1" w:rsidRDefault="00C755B1" w:rsidP="00C755B1">
            <w:pPr>
              <w:jc w:val="right"/>
              <w:rPr>
                <w:color w:val="000000"/>
                <w:sz w:val="24"/>
                <w:szCs w:val="24"/>
              </w:rPr>
            </w:pPr>
            <w:r>
              <w:rPr>
                <w:color w:val="000000"/>
              </w:rPr>
              <w:t>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511DA671" w14:textId="77777777" w:rsidR="00C755B1" w:rsidRDefault="00C755B1" w:rsidP="00C755B1">
            <w:pPr>
              <w:jc w:val="right"/>
              <w:rPr>
                <w:color w:val="000000"/>
                <w:sz w:val="24"/>
                <w:szCs w:val="24"/>
              </w:rPr>
            </w:pPr>
            <w:r>
              <w:rPr>
                <w:color w:val="000000"/>
              </w:rPr>
              <w:t>4</w:t>
            </w:r>
          </w:p>
        </w:tc>
      </w:tr>
      <w:tr w:rsidR="00C755B1" w:rsidRPr="000A46ED" w14:paraId="5254E6C0"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08153A3" w14:textId="61D6A338"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Maths skills.</w:t>
            </w:r>
          </w:p>
        </w:tc>
        <w:tc>
          <w:tcPr>
            <w:tcW w:w="255" w:type="pct"/>
            <w:tcBorders>
              <w:top w:val="nil"/>
              <w:left w:val="double" w:sz="6" w:space="0" w:color="auto"/>
              <w:bottom w:val="single" w:sz="4" w:space="0" w:color="auto"/>
              <w:right w:val="nil"/>
            </w:tcBorders>
            <w:shd w:val="clear" w:color="000000" w:fill="F2DCDB"/>
            <w:vAlign w:val="center"/>
          </w:tcPr>
          <w:p w14:paraId="0C726BA9" w14:textId="77777777" w:rsidR="00C755B1" w:rsidRDefault="00C755B1" w:rsidP="00C755B1">
            <w:pPr>
              <w:jc w:val="right"/>
              <w:rPr>
                <w:color w:val="000000"/>
                <w:sz w:val="24"/>
                <w:szCs w:val="24"/>
              </w:rPr>
            </w:pPr>
            <w:r>
              <w:rPr>
                <w:color w:val="000000"/>
              </w:rPr>
              <w:t>88</w:t>
            </w:r>
          </w:p>
        </w:tc>
        <w:tc>
          <w:tcPr>
            <w:tcW w:w="256" w:type="pct"/>
            <w:tcBorders>
              <w:top w:val="nil"/>
              <w:left w:val="double" w:sz="6" w:space="0" w:color="auto"/>
              <w:bottom w:val="single" w:sz="4" w:space="0" w:color="auto"/>
              <w:right w:val="nil"/>
            </w:tcBorders>
            <w:shd w:val="clear" w:color="000000" w:fill="F2DCDB"/>
            <w:vAlign w:val="center"/>
          </w:tcPr>
          <w:p w14:paraId="1C98E4E6" w14:textId="77777777" w:rsidR="00C755B1" w:rsidRDefault="00C755B1" w:rsidP="00C755B1">
            <w:pPr>
              <w:jc w:val="right"/>
              <w:rPr>
                <w:color w:val="000000"/>
                <w:sz w:val="24"/>
                <w:szCs w:val="24"/>
              </w:rPr>
            </w:pPr>
            <w:r>
              <w:rPr>
                <w:color w:val="000000"/>
              </w:rPr>
              <w:t>128</w:t>
            </w:r>
          </w:p>
        </w:tc>
        <w:tc>
          <w:tcPr>
            <w:tcW w:w="249" w:type="pct"/>
            <w:tcBorders>
              <w:top w:val="nil"/>
              <w:left w:val="double" w:sz="6" w:space="0" w:color="auto"/>
              <w:bottom w:val="single" w:sz="4" w:space="0" w:color="auto"/>
              <w:right w:val="nil"/>
            </w:tcBorders>
            <w:shd w:val="clear" w:color="000000" w:fill="F2DCDB"/>
            <w:vAlign w:val="center"/>
          </w:tcPr>
          <w:p w14:paraId="30920F5E" w14:textId="77777777" w:rsidR="00C755B1" w:rsidRDefault="00C755B1" w:rsidP="00C755B1">
            <w:pPr>
              <w:jc w:val="right"/>
              <w:rPr>
                <w:color w:val="000000"/>
                <w:sz w:val="24"/>
                <w:szCs w:val="24"/>
              </w:rPr>
            </w:pPr>
            <w:r>
              <w:rPr>
                <w:color w:val="000000"/>
              </w:rPr>
              <w:t>183</w:t>
            </w:r>
          </w:p>
        </w:tc>
        <w:tc>
          <w:tcPr>
            <w:tcW w:w="249" w:type="pct"/>
            <w:tcBorders>
              <w:top w:val="nil"/>
              <w:left w:val="double" w:sz="6" w:space="0" w:color="auto"/>
              <w:bottom w:val="single" w:sz="4" w:space="0" w:color="auto"/>
              <w:right w:val="nil"/>
            </w:tcBorders>
            <w:shd w:val="clear" w:color="000000" w:fill="F2DCDB"/>
            <w:vAlign w:val="center"/>
          </w:tcPr>
          <w:p w14:paraId="6E644B62" w14:textId="77777777" w:rsidR="00C755B1" w:rsidRDefault="00C755B1" w:rsidP="00C755B1">
            <w:pPr>
              <w:jc w:val="right"/>
              <w:rPr>
                <w:color w:val="000000"/>
                <w:sz w:val="24"/>
                <w:szCs w:val="24"/>
              </w:rPr>
            </w:pPr>
            <w:r>
              <w:rPr>
                <w:color w:val="000000"/>
              </w:rPr>
              <w:t>191</w:t>
            </w:r>
          </w:p>
        </w:tc>
        <w:tc>
          <w:tcPr>
            <w:tcW w:w="222" w:type="pct"/>
            <w:tcBorders>
              <w:top w:val="nil"/>
              <w:left w:val="double" w:sz="6" w:space="0" w:color="auto"/>
              <w:bottom w:val="single" w:sz="4" w:space="0" w:color="auto"/>
              <w:right w:val="nil"/>
            </w:tcBorders>
            <w:shd w:val="clear" w:color="000000" w:fill="F2DCDB"/>
            <w:vAlign w:val="center"/>
          </w:tcPr>
          <w:p w14:paraId="18ACDE53" w14:textId="77777777" w:rsidR="00C755B1" w:rsidRDefault="00C755B1" w:rsidP="00C755B1">
            <w:pPr>
              <w:jc w:val="right"/>
              <w:rPr>
                <w:color w:val="000000"/>
                <w:sz w:val="24"/>
                <w:szCs w:val="24"/>
              </w:rPr>
            </w:pPr>
            <w:r>
              <w:rPr>
                <w:color w:val="000000"/>
              </w:rPr>
              <w:t>46</w:t>
            </w:r>
          </w:p>
        </w:tc>
        <w:tc>
          <w:tcPr>
            <w:tcW w:w="228" w:type="pct"/>
            <w:tcBorders>
              <w:top w:val="nil"/>
              <w:left w:val="double" w:sz="6" w:space="0" w:color="auto"/>
              <w:bottom w:val="single" w:sz="4" w:space="0" w:color="auto"/>
              <w:right w:val="nil"/>
            </w:tcBorders>
            <w:shd w:val="clear" w:color="000000" w:fill="F2DCDB"/>
            <w:vAlign w:val="center"/>
          </w:tcPr>
          <w:p w14:paraId="3AD9C309" w14:textId="77777777" w:rsidR="00C755B1" w:rsidRDefault="00C755B1" w:rsidP="00C755B1">
            <w:pPr>
              <w:jc w:val="right"/>
              <w:rPr>
                <w:color w:val="000000"/>
                <w:sz w:val="24"/>
                <w:szCs w:val="24"/>
              </w:rPr>
            </w:pPr>
            <w:r>
              <w:rPr>
                <w:color w:val="000000"/>
              </w:rPr>
              <w:t>38</w:t>
            </w:r>
          </w:p>
        </w:tc>
        <w:tc>
          <w:tcPr>
            <w:tcW w:w="291" w:type="pct"/>
            <w:tcBorders>
              <w:top w:val="nil"/>
              <w:left w:val="double" w:sz="6" w:space="0" w:color="auto"/>
              <w:bottom w:val="single" w:sz="4" w:space="0" w:color="auto"/>
              <w:right w:val="nil"/>
            </w:tcBorders>
            <w:shd w:val="clear" w:color="000000" w:fill="F2DCDB"/>
            <w:vAlign w:val="center"/>
          </w:tcPr>
          <w:p w14:paraId="4F1C028A" w14:textId="77777777" w:rsidR="00C755B1" w:rsidRDefault="00C755B1" w:rsidP="00C755B1">
            <w:pPr>
              <w:jc w:val="right"/>
              <w:rPr>
                <w:color w:val="000000"/>
                <w:sz w:val="24"/>
                <w:szCs w:val="24"/>
              </w:rPr>
            </w:pPr>
            <w:r>
              <w:rPr>
                <w:color w:val="000000"/>
              </w:rPr>
              <w:t>7</w:t>
            </w:r>
          </w:p>
        </w:tc>
        <w:tc>
          <w:tcPr>
            <w:tcW w:w="299" w:type="pct"/>
            <w:tcBorders>
              <w:top w:val="nil"/>
              <w:left w:val="double" w:sz="6" w:space="0" w:color="auto"/>
              <w:bottom w:val="single" w:sz="4" w:space="0" w:color="auto"/>
              <w:right w:val="nil"/>
            </w:tcBorders>
            <w:shd w:val="clear" w:color="000000" w:fill="F2DCDB"/>
            <w:vAlign w:val="center"/>
          </w:tcPr>
          <w:p w14:paraId="009A52E9" w14:textId="77777777" w:rsidR="00C755B1" w:rsidRDefault="00C755B1" w:rsidP="00C755B1">
            <w:pPr>
              <w:jc w:val="right"/>
              <w:rPr>
                <w:color w:val="000000"/>
                <w:sz w:val="24"/>
                <w:szCs w:val="24"/>
              </w:rPr>
            </w:pPr>
            <w:r>
              <w:rPr>
                <w:color w:val="000000"/>
              </w:rPr>
              <w:t>10</w:t>
            </w:r>
          </w:p>
        </w:tc>
        <w:tc>
          <w:tcPr>
            <w:tcW w:w="222" w:type="pct"/>
            <w:tcBorders>
              <w:top w:val="nil"/>
              <w:left w:val="double" w:sz="6" w:space="0" w:color="auto"/>
              <w:bottom w:val="single" w:sz="4" w:space="0" w:color="auto"/>
              <w:right w:val="nil"/>
            </w:tcBorders>
            <w:shd w:val="clear" w:color="000000" w:fill="F2DCDB"/>
            <w:vAlign w:val="center"/>
          </w:tcPr>
          <w:p w14:paraId="3B6B61E7" w14:textId="77777777" w:rsidR="00C755B1" w:rsidRDefault="00C755B1" w:rsidP="00C755B1">
            <w:pPr>
              <w:jc w:val="right"/>
              <w:rPr>
                <w:color w:val="000000"/>
                <w:sz w:val="24"/>
                <w:szCs w:val="24"/>
              </w:rPr>
            </w:pPr>
            <w:r>
              <w:rPr>
                <w:color w:val="000000"/>
              </w:rPr>
              <w:t>46</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197A9AC" w14:textId="77777777" w:rsidR="00C755B1" w:rsidRDefault="00C755B1" w:rsidP="00C755B1">
            <w:pPr>
              <w:jc w:val="right"/>
              <w:rPr>
                <w:color w:val="000000"/>
                <w:sz w:val="24"/>
                <w:szCs w:val="24"/>
              </w:rPr>
            </w:pPr>
            <w:r>
              <w:rPr>
                <w:color w:val="000000"/>
              </w:rPr>
              <w:t>33</w:t>
            </w:r>
          </w:p>
        </w:tc>
      </w:tr>
      <w:tr w:rsidR="00C755B1" w:rsidRPr="000A46ED" w14:paraId="07B52845"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E254797" w14:textId="024087C5"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learning as I get older.</w:t>
            </w:r>
          </w:p>
        </w:tc>
        <w:tc>
          <w:tcPr>
            <w:tcW w:w="255" w:type="pct"/>
            <w:tcBorders>
              <w:top w:val="nil"/>
              <w:left w:val="double" w:sz="6" w:space="0" w:color="auto"/>
              <w:bottom w:val="single" w:sz="4" w:space="0" w:color="auto"/>
              <w:right w:val="nil"/>
            </w:tcBorders>
            <w:shd w:val="clear" w:color="000000" w:fill="F2DCDB"/>
            <w:vAlign w:val="center"/>
          </w:tcPr>
          <w:p w14:paraId="17383EA7" w14:textId="77777777" w:rsidR="00C755B1" w:rsidRDefault="00C755B1" w:rsidP="00C755B1">
            <w:pPr>
              <w:jc w:val="right"/>
              <w:rPr>
                <w:color w:val="000000"/>
                <w:sz w:val="24"/>
                <w:szCs w:val="24"/>
              </w:rPr>
            </w:pPr>
            <w:r>
              <w:rPr>
                <w:color w:val="000000"/>
              </w:rPr>
              <w:t>208</w:t>
            </w:r>
          </w:p>
        </w:tc>
        <w:tc>
          <w:tcPr>
            <w:tcW w:w="256" w:type="pct"/>
            <w:tcBorders>
              <w:top w:val="nil"/>
              <w:left w:val="double" w:sz="6" w:space="0" w:color="auto"/>
              <w:bottom w:val="single" w:sz="4" w:space="0" w:color="auto"/>
              <w:right w:val="nil"/>
            </w:tcBorders>
            <w:shd w:val="clear" w:color="000000" w:fill="F2DCDB"/>
            <w:vAlign w:val="center"/>
          </w:tcPr>
          <w:p w14:paraId="63C85B7E" w14:textId="77777777" w:rsidR="00C755B1" w:rsidRDefault="00C755B1" w:rsidP="00C755B1">
            <w:pPr>
              <w:jc w:val="right"/>
              <w:rPr>
                <w:color w:val="000000"/>
                <w:sz w:val="24"/>
                <w:szCs w:val="24"/>
              </w:rPr>
            </w:pPr>
            <w:r>
              <w:rPr>
                <w:color w:val="000000"/>
              </w:rPr>
              <w:t>186</w:t>
            </w:r>
          </w:p>
        </w:tc>
        <w:tc>
          <w:tcPr>
            <w:tcW w:w="249" w:type="pct"/>
            <w:tcBorders>
              <w:top w:val="nil"/>
              <w:left w:val="double" w:sz="6" w:space="0" w:color="auto"/>
              <w:bottom w:val="single" w:sz="4" w:space="0" w:color="auto"/>
              <w:right w:val="nil"/>
            </w:tcBorders>
            <w:shd w:val="clear" w:color="000000" w:fill="F2DCDB"/>
            <w:vAlign w:val="center"/>
          </w:tcPr>
          <w:p w14:paraId="186ACDE9" w14:textId="77777777" w:rsidR="00C755B1" w:rsidRDefault="00C755B1" w:rsidP="00C755B1">
            <w:pPr>
              <w:jc w:val="right"/>
              <w:rPr>
                <w:color w:val="000000"/>
                <w:sz w:val="24"/>
                <w:szCs w:val="24"/>
              </w:rPr>
            </w:pPr>
            <w:r>
              <w:rPr>
                <w:color w:val="000000"/>
              </w:rPr>
              <w:t>125</w:t>
            </w:r>
          </w:p>
        </w:tc>
        <w:tc>
          <w:tcPr>
            <w:tcW w:w="249" w:type="pct"/>
            <w:tcBorders>
              <w:top w:val="nil"/>
              <w:left w:val="double" w:sz="6" w:space="0" w:color="auto"/>
              <w:bottom w:val="single" w:sz="4" w:space="0" w:color="auto"/>
              <w:right w:val="nil"/>
            </w:tcBorders>
            <w:shd w:val="clear" w:color="000000" w:fill="F2DCDB"/>
            <w:vAlign w:val="center"/>
          </w:tcPr>
          <w:p w14:paraId="546A3504" w14:textId="77777777" w:rsidR="00C755B1" w:rsidRDefault="00C755B1" w:rsidP="00C755B1">
            <w:pPr>
              <w:jc w:val="right"/>
              <w:rPr>
                <w:color w:val="000000"/>
                <w:sz w:val="24"/>
                <w:szCs w:val="24"/>
              </w:rPr>
            </w:pPr>
            <w:r>
              <w:rPr>
                <w:color w:val="000000"/>
              </w:rPr>
              <w:t>170</w:t>
            </w:r>
          </w:p>
        </w:tc>
        <w:tc>
          <w:tcPr>
            <w:tcW w:w="222" w:type="pct"/>
            <w:tcBorders>
              <w:top w:val="nil"/>
              <w:left w:val="double" w:sz="6" w:space="0" w:color="auto"/>
              <w:bottom w:val="single" w:sz="4" w:space="0" w:color="auto"/>
              <w:right w:val="nil"/>
            </w:tcBorders>
            <w:shd w:val="clear" w:color="000000" w:fill="F2DCDB"/>
            <w:vAlign w:val="center"/>
          </w:tcPr>
          <w:p w14:paraId="0980BE56" w14:textId="77777777" w:rsidR="00C755B1" w:rsidRDefault="00C755B1" w:rsidP="00C755B1">
            <w:pPr>
              <w:jc w:val="right"/>
              <w:rPr>
                <w:color w:val="000000"/>
                <w:sz w:val="24"/>
                <w:szCs w:val="24"/>
              </w:rPr>
            </w:pPr>
            <w:r>
              <w:rPr>
                <w:color w:val="000000"/>
              </w:rPr>
              <w:t>13</w:t>
            </w:r>
          </w:p>
        </w:tc>
        <w:tc>
          <w:tcPr>
            <w:tcW w:w="228" w:type="pct"/>
            <w:tcBorders>
              <w:top w:val="nil"/>
              <w:left w:val="double" w:sz="6" w:space="0" w:color="auto"/>
              <w:bottom w:val="single" w:sz="4" w:space="0" w:color="auto"/>
              <w:right w:val="nil"/>
            </w:tcBorders>
            <w:shd w:val="clear" w:color="000000" w:fill="F2DCDB"/>
            <w:vAlign w:val="center"/>
          </w:tcPr>
          <w:p w14:paraId="2B12A197" w14:textId="77777777" w:rsidR="00C755B1" w:rsidRDefault="00C755B1" w:rsidP="00C755B1">
            <w:pPr>
              <w:jc w:val="right"/>
              <w:rPr>
                <w:color w:val="000000"/>
                <w:sz w:val="24"/>
                <w:szCs w:val="24"/>
              </w:rPr>
            </w:pPr>
            <w:r>
              <w:rPr>
                <w:color w:val="000000"/>
              </w:rPr>
              <w:t>15</w:t>
            </w:r>
          </w:p>
        </w:tc>
        <w:tc>
          <w:tcPr>
            <w:tcW w:w="291" w:type="pct"/>
            <w:tcBorders>
              <w:top w:val="nil"/>
              <w:left w:val="double" w:sz="6" w:space="0" w:color="auto"/>
              <w:bottom w:val="single" w:sz="4" w:space="0" w:color="auto"/>
              <w:right w:val="nil"/>
            </w:tcBorders>
            <w:shd w:val="clear" w:color="000000" w:fill="F2DCDB"/>
            <w:vAlign w:val="center"/>
          </w:tcPr>
          <w:p w14:paraId="04CDE81D" w14:textId="77777777" w:rsidR="00C755B1" w:rsidRDefault="00C755B1" w:rsidP="00C755B1">
            <w:pPr>
              <w:jc w:val="right"/>
              <w:rPr>
                <w:color w:val="000000"/>
                <w:sz w:val="24"/>
                <w:szCs w:val="24"/>
              </w:rPr>
            </w:pPr>
            <w:r>
              <w:rPr>
                <w:color w:val="000000"/>
              </w:rPr>
              <w:t>1</w:t>
            </w:r>
          </w:p>
        </w:tc>
        <w:tc>
          <w:tcPr>
            <w:tcW w:w="299" w:type="pct"/>
            <w:tcBorders>
              <w:top w:val="nil"/>
              <w:left w:val="double" w:sz="6" w:space="0" w:color="auto"/>
              <w:bottom w:val="single" w:sz="4" w:space="0" w:color="auto"/>
              <w:right w:val="nil"/>
            </w:tcBorders>
            <w:shd w:val="clear" w:color="000000" w:fill="F2DCDB"/>
            <w:vAlign w:val="center"/>
          </w:tcPr>
          <w:p w14:paraId="6A4E543C" w14:textId="77777777" w:rsidR="00C755B1" w:rsidRDefault="00C755B1" w:rsidP="00C755B1">
            <w:pPr>
              <w:jc w:val="right"/>
              <w:rPr>
                <w:color w:val="000000"/>
                <w:sz w:val="24"/>
                <w:szCs w:val="24"/>
              </w:rPr>
            </w:pPr>
            <w:r>
              <w:rPr>
                <w:color w:val="000000"/>
              </w:rPr>
              <w:t>7</w:t>
            </w:r>
          </w:p>
        </w:tc>
        <w:tc>
          <w:tcPr>
            <w:tcW w:w="222" w:type="pct"/>
            <w:tcBorders>
              <w:top w:val="nil"/>
              <w:left w:val="double" w:sz="6" w:space="0" w:color="auto"/>
              <w:bottom w:val="single" w:sz="4" w:space="0" w:color="auto"/>
              <w:right w:val="nil"/>
            </w:tcBorders>
            <w:shd w:val="clear" w:color="000000" w:fill="F2DCDB"/>
            <w:vAlign w:val="center"/>
          </w:tcPr>
          <w:p w14:paraId="5A02685F" w14:textId="77777777" w:rsidR="00C755B1" w:rsidRDefault="00C755B1" w:rsidP="00C755B1">
            <w:pPr>
              <w:jc w:val="right"/>
              <w:rPr>
                <w:color w:val="000000"/>
                <w:sz w:val="24"/>
                <w:szCs w:val="24"/>
              </w:rPr>
            </w:pPr>
            <w:r>
              <w:rPr>
                <w:color w:val="000000"/>
              </w:rPr>
              <w:t>19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96AF7E7" w14:textId="77777777" w:rsidR="00C755B1" w:rsidRDefault="00C755B1" w:rsidP="00C755B1">
            <w:pPr>
              <w:jc w:val="right"/>
              <w:rPr>
                <w:color w:val="000000"/>
                <w:sz w:val="24"/>
                <w:szCs w:val="24"/>
              </w:rPr>
            </w:pPr>
            <w:r>
              <w:rPr>
                <w:color w:val="000000"/>
              </w:rPr>
              <w:t>27</w:t>
            </w:r>
          </w:p>
        </w:tc>
      </w:tr>
      <w:tr w:rsidR="00C755B1" w:rsidRPr="000A46ED" w14:paraId="7ECB5747"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BD6A041" w14:textId="38A706CD"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w:t>
            </w:r>
            <w:r w:rsidR="00273D45">
              <w:rPr>
                <w:rFonts w:eastAsia="Times New Roman" w:cs="Times New Roman"/>
                <w:color w:val="000000"/>
                <w:sz w:val="18"/>
                <w:szCs w:val="18"/>
                <w:lang w:eastAsia="en-AU"/>
              </w:rPr>
              <w:t xml:space="preserve"> </w:t>
            </w:r>
            <w:r w:rsidRPr="000A46ED">
              <w:rPr>
                <w:rFonts w:eastAsia="Times New Roman" w:cs="Times New Roman"/>
                <w:color w:val="000000"/>
                <w:sz w:val="18"/>
                <w:szCs w:val="18"/>
                <w:lang w:eastAsia="en-AU"/>
              </w:rPr>
              <w:t>My teacher expects more of me in Maths as I get older.</w:t>
            </w:r>
          </w:p>
        </w:tc>
        <w:tc>
          <w:tcPr>
            <w:tcW w:w="255" w:type="pct"/>
            <w:tcBorders>
              <w:top w:val="nil"/>
              <w:left w:val="double" w:sz="6" w:space="0" w:color="auto"/>
              <w:bottom w:val="single" w:sz="4" w:space="0" w:color="auto"/>
              <w:right w:val="nil"/>
            </w:tcBorders>
            <w:shd w:val="clear" w:color="000000" w:fill="F2DCDB"/>
            <w:vAlign w:val="center"/>
          </w:tcPr>
          <w:p w14:paraId="03CEB881" w14:textId="77777777" w:rsidR="00C755B1" w:rsidRDefault="00C755B1" w:rsidP="00C755B1">
            <w:pPr>
              <w:jc w:val="right"/>
              <w:rPr>
                <w:color w:val="000000"/>
                <w:sz w:val="24"/>
                <w:szCs w:val="24"/>
              </w:rPr>
            </w:pPr>
            <w:r>
              <w:rPr>
                <w:color w:val="000000"/>
              </w:rPr>
              <w:t>200</w:t>
            </w:r>
          </w:p>
        </w:tc>
        <w:tc>
          <w:tcPr>
            <w:tcW w:w="256" w:type="pct"/>
            <w:tcBorders>
              <w:top w:val="nil"/>
              <w:left w:val="double" w:sz="6" w:space="0" w:color="auto"/>
              <w:bottom w:val="single" w:sz="4" w:space="0" w:color="auto"/>
              <w:right w:val="nil"/>
            </w:tcBorders>
            <w:shd w:val="clear" w:color="000000" w:fill="F2DCDB"/>
            <w:vAlign w:val="center"/>
          </w:tcPr>
          <w:p w14:paraId="2C88ED01" w14:textId="77777777" w:rsidR="00C755B1" w:rsidRDefault="00C755B1" w:rsidP="00C755B1">
            <w:pPr>
              <w:jc w:val="right"/>
              <w:rPr>
                <w:color w:val="000000"/>
                <w:sz w:val="24"/>
                <w:szCs w:val="24"/>
              </w:rPr>
            </w:pPr>
            <w:r>
              <w:rPr>
                <w:color w:val="000000"/>
              </w:rPr>
              <w:t>202</w:t>
            </w:r>
          </w:p>
        </w:tc>
        <w:tc>
          <w:tcPr>
            <w:tcW w:w="249" w:type="pct"/>
            <w:tcBorders>
              <w:top w:val="nil"/>
              <w:left w:val="double" w:sz="6" w:space="0" w:color="auto"/>
              <w:bottom w:val="single" w:sz="4" w:space="0" w:color="auto"/>
              <w:right w:val="nil"/>
            </w:tcBorders>
            <w:shd w:val="clear" w:color="000000" w:fill="F2DCDB"/>
            <w:vAlign w:val="center"/>
          </w:tcPr>
          <w:p w14:paraId="1BF9056C" w14:textId="77777777" w:rsidR="00C755B1" w:rsidRDefault="00C755B1" w:rsidP="00C755B1">
            <w:pPr>
              <w:jc w:val="right"/>
              <w:rPr>
                <w:color w:val="000000"/>
                <w:sz w:val="24"/>
                <w:szCs w:val="24"/>
              </w:rPr>
            </w:pPr>
            <w:r>
              <w:rPr>
                <w:color w:val="000000"/>
              </w:rPr>
              <w:t>105</w:t>
            </w:r>
          </w:p>
        </w:tc>
        <w:tc>
          <w:tcPr>
            <w:tcW w:w="249" w:type="pct"/>
            <w:tcBorders>
              <w:top w:val="nil"/>
              <w:left w:val="double" w:sz="6" w:space="0" w:color="auto"/>
              <w:bottom w:val="single" w:sz="4" w:space="0" w:color="auto"/>
              <w:right w:val="nil"/>
            </w:tcBorders>
            <w:shd w:val="clear" w:color="000000" w:fill="F2DCDB"/>
            <w:vAlign w:val="center"/>
          </w:tcPr>
          <w:p w14:paraId="3B51D3B5" w14:textId="77777777" w:rsidR="00C755B1" w:rsidRDefault="00C755B1" w:rsidP="00C755B1">
            <w:pPr>
              <w:jc w:val="right"/>
              <w:rPr>
                <w:color w:val="000000"/>
                <w:sz w:val="24"/>
                <w:szCs w:val="24"/>
              </w:rPr>
            </w:pPr>
            <w:r>
              <w:rPr>
                <w:color w:val="000000"/>
              </w:rPr>
              <w:t>142</w:t>
            </w:r>
          </w:p>
        </w:tc>
        <w:tc>
          <w:tcPr>
            <w:tcW w:w="222" w:type="pct"/>
            <w:tcBorders>
              <w:top w:val="nil"/>
              <w:left w:val="double" w:sz="6" w:space="0" w:color="auto"/>
              <w:bottom w:val="single" w:sz="4" w:space="0" w:color="auto"/>
              <w:right w:val="nil"/>
            </w:tcBorders>
            <w:shd w:val="clear" w:color="000000" w:fill="F2DCDB"/>
            <w:vAlign w:val="center"/>
          </w:tcPr>
          <w:p w14:paraId="4D338791" w14:textId="77777777" w:rsidR="00C755B1" w:rsidRDefault="00C755B1" w:rsidP="00C755B1">
            <w:pPr>
              <w:jc w:val="right"/>
              <w:rPr>
                <w:color w:val="000000"/>
                <w:sz w:val="24"/>
                <w:szCs w:val="24"/>
              </w:rPr>
            </w:pPr>
            <w:r>
              <w:rPr>
                <w:color w:val="000000"/>
              </w:rPr>
              <w:t>13</w:t>
            </w:r>
          </w:p>
        </w:tc>
        <w:tc>
          <w:tcPr>
            <w:tcW w:w="228" w:type="pct"/>
            <w:tcBorders>
              <w:top w:val="nil"/>
              <w:left w:val="double" w:sz="6" w:space="0" w:color="auto"/>
              <w:bottom w:val="single" w:sz="4" w:space="0" w:color="auto"/>
              <w:right w:val="nil"/>
            </w:tcBorders>
            <w:shd w:val="clear" w:color="000000" w:fill="F2DCDB"/>
            <w:vAlign w:val="center"/>
          </w:tcPr>
          <w:p w14:paraId="4CE4A416" w14:textId="77777777" w:rsidR="00C755B1" w:rsidRDefault="00C755B1" w:rsidP="00C755B1">
            <w:pPr>
              <w:jc w:val="right"/>
              <w:rPr>
                <w:color w:val="000000"/>
                <w:sz w:val="24"/>
                <w:szCs w:val="24"/>
              </w:rPr>
            </w:pPr>
            <w:r>
              <w:rPr>
                <w:color w:val="000000"/>
              </w:rPr>
              <w:t>18</w:t>
            </w:r>
          </w:p>
        </w:tc>
        <w:tc>
          <w:tcPr>
            <w:tcW w:w="291" w:type="pct"/>
            <w:tcBorders>
              <w:top w:val="nil"/>
              <w:left w:val="double" w:sz="6" w:space="0" w:color="auto"/>
              <w:bottom w:val="single" w:sz="4" w:space="0" w:color="auto"/>
              <w:right w:val="nil"/>
            </w:tcBorders>
            <w:shd w:val="clear" w:color="000000" w:fill="F2DCDB"/>
            <w:vAlign w:val="center"/>
          </w:tcPr>
          <w:p w14:paraId="7A77B4BC" w14:textId="77777777" w:rsidR="00C755B1" w:rsidRDefault="00C755B1" w:rsidP="00C755B1">
            <w:pPr>
              <w:jc w:val="right"/>
              <w:rPr>
                <w:color w:val="000000"/>
                <w:sz w:val="24"/>
                <w:szCs w:val="24"/>
              </w:rPr>
            </w:pPr>
            <w:r>
              <w:rPr>
                <w:color w:val="000000"/>
              </w:rPr>
              <w:t>16</w:t>
            </w:r>
          </w:p>
        </w:tc>
        <w:tc>
          <w:tcPr>
            <w:tcW w:w="299" w:type="pct"/>
            <w:tcBorders>
              <w:top w:val="nil"/>
              <w:left w:val="double" w:sz="6" w:space="0" w:color="auto"/>
              <w:bottom w:val="single" w:sz="4" w:space="0" w:color="auto"/>
              <w:right w:val="nil"/>
            </w:tcBorders>
            <w:shd w:val="clear" w:color="000000" w:fill="F2DCDB"/>
            <w:vAlign w:val="center"/>
          </w:tcPr>
          <w:p w14:paraId="5D5D7AD8" w14:textId="77777777" w:rsidR="00C755B1" w:rsidRDefault="00C755B1" w:rsidP="00C755B1">
            <w:pPr>
              <w:jc w:val="right"/>
              <w:rPr>
                <w:color w:val="000000"/>
                <w:sz w:val="24"/>
                <w:szCs w:val="24"/>
              </w:rPr>
            </w:pPr>
            <w:r>
              <w:rPr>
                <w:color w:val="000000"/>
              </w:rPr>
              <w:t>19</w:t>
            </w:r>
          </w:p>
        </w:tc>
        <w:tc>
          <w:tcPr>
            <w:tcW w:w="222" w:type="pct"/>
            <w:tcBorders>
              <w:top w:val="nil"/>
              <w:left w:val="double" w:sz="6" w:space="0" w:color="auto"/>
              <w:bottom w:val="single" w:sz="4" w:space="0" w:color="auto"/>
              <w:right w:val="nil"/>
            </w:tcBorders>
            <w:shd w:val="clear" w:color="000000" w:fill="F2DCDB"/>
            <w:vAlign w:val="center"/>
          </w:tcPr>
          <w:p w14:paraId="663E95B2" w14:textId="77777777" w:rsidR="00C755B1" w:rsidRDefault="00C755B1" w:rsidP="00C755B1">
            <w:pPr>
              <w:jc w:val="right"/>
              <w:rPr>
                <w:color w:val="000000"/>
                <w:sz w:val="24"/>
                <w:szCs w:val="24"/>
              </w:rPr>
            </w:pPr>
            <w:r>
              <w:rPr>
                <w:color w:val="000000"/>
              </w:rPr>
              <w:t>33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A01B6B8" w14:textId="77777777" w:rsidR="00C755B1" w:rsidRDefault="00C755B1" w:rsidP="00C755B1">
            <w:pPr>
              <w:jc w:val="right"/>
              <w:rPr>
                <w:color w:val="000000"/>
                <w:sz w:val="24"/>
                <w:szCs w:val="24"/>
              </w:rPr>
            </w:pPr>
            <w:r>
              <w:rPr>
                <w:color w:val="000000"/>
              </w:rPr>
              <w:t>24</w:t>
            </w:r>
          </w:p>
        </w:tc>
      </w:tr>
      <w:tr w:rsidR="00C755B1" w:rsidRPr="000A46ED" w14:paraId="10FCD385"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9E045F6" w14:textId="43E414DB"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 My teacher tells me what I am learning in Maths and why.</w:t>
            </w:r>
          </w:p>
        </w:tc>
        <w:tc>
          <w:tcPr>
            <w:tcW w:w="255" w:type="pct"/>
            <w:tcBorders>
              <w:top w:val="nil"/>
              <w:left w:val="double" w:sz="6" w:space="0" w:color="auto"/>
              <w:bottom w:val="single" w:sz="4" w:space="0" w:color="auto"/>
              <w:right w:val="nil"/>
            </w:tcBorders>
            <w:shd w:val="clear" w:color="000000" w:fill="F2DCDB"/>
            <w:vAlign w:val="center"/>
          </w:tcPr>
          <w:p w14:paraId="0BE8E249" w14:textId="77777777" w:rsidR="00C755B1" w:rsidRDefault="00C755B1" w:rsidP="00C755B1">
            <w:pPr>
              <w:jc w:val="right"/>
              <w:rPr>
                <w:color w:val="000000"/>
                <w:sz w:val="24"/>
                <w:szCs w:val="24"/>
              </w:rPr>
            </w:pPr>
            <w:r>
              <w:rPr>
                <w:color w:val="000000"/>
              </w:rPr>
              <w:t>171</w:t>
            </w:r>
          </w:p>
        </w:tc>
        <w:tc>
          <w:tcPr>
            <w:tcW w:w="256" w:type="pct"/>
            <w:tcBorders>
              <w:top w:val="nil"/>
              <w:left w:val="double" w:sz="6" w:space="0" w:color="auto"/>
              <w:bottom w:val="single" w:sz="4" w:space="0" w:color="auto"/>
              <w:right w:val="nil"/>
            </w:tcBorders>
            <w:shd w:val="clear" w:color="000000" w:fill="F2DCDB"/>
            <w:vAlign w:val="center"/>
          </w:tcPr>
          <w:p w14:paraId="003DBDED" w14:textId="77777777" w:rsidR="00C755B1" w:rsidRDefault="00C755B1" w:rsidP="00C755B1">
            <w:pPr>
              <w:jc w:val="right"/>
              <w:rPr>
                <w:color w:val="000000"/>
                <w:sz w:val="24"/>
                <w:szCs w:val="24"/>
              </w:rPr>
            </w:pPr>
            <w:r>
              <w:rPr>
                <w:color w:val="000000"/>
              </w:rPr>
              <w:t>193</w:t>
            </w:r>
          </w:p>
        </w:tc>
        <w:tc>
          <w:tcPr>
            <w:tcW w:w="249" w:type="pct"/>
            <w:tcBorders>
              <w:top w:val="nil"/>
              <w:left w:val="double" w:sz="6" w:space="0" w:color="auto"/>
              <w:bottom w:val="single" w:sz="4" w:space="0" w:color="auto"/>
              <w:right w:val="nil"/>
            </w:tcBorders>
            <w:shd w:val="clear" w:color="000000" w:fill="F2DCDB"/>
            <w:vAlign w:val="center"/>
          </w:tcPr>
          <w:p w14:paraId="5BABD170" w14:textId="77777777" w:rsidR="00C755B1" w:rsidRDefault="00C755B1" w:rsidP="00C755B1">
            <w:pPr>
              <w:jc w:val="right"/>
              <w:rPr>
                <w:color w:val="000000"/>
                <w:sz w:val="24"/>
                <w:szCs w:val="24"/>
              </w:rPr>
            </w:pPr>
            <w:r>
              <w:rPr>
                <w:color w:val="000000"/>
              </w:rPr>
              <w:t>163</w:t>
            </w:r>
          </w:p>
        </w:tc>
        <w:tc>
          <w:tcPr>
            <w:tcW w:w="249" w:type="pct"/>
            <w:tcBorders>
              <w:top w:val="nil"/>
              <w:left w:val="double" w:sz="6" w:space="0" w:color="auto"/>
              <w:bottom w:val="single" w:sz="4" w:space="0" w:color="auto"/>
              <w:right w:val="nil"/>
            </w:tcBorders>
            <w:shd w:val="clear" w:color="000000" w:fill="F2DCDB"/>
            <w:vAlign w:val="center"/>
          </w:tcPr>
          <w:p w14:paraId="698E9332" w14:textId="77777777" w:rsidR="00C755B1" w:rsidRDefault="00C755B1" w:rsidP="00C755B1">
            <w:pPr>
              <w:jc w:val="right"/>
              <w:rPr>
                <w:color w:val="000000"/>
                <w:sz w:val="24"/>
                <w:szCs w:val="24"/>
              </w:rPr>
            </w:pPr>
            <w:r>
              <w:rPr>
                <w:color w:val="000000"/>
              </w:rPr>
              <w:t>165</w:t>
            </w:r>
          </w:p>
        </w:tc>
        <w:tc>
          <w:tcPr>
            <w:tcW w:w="222" w:type="pct"/>
            <w:tcBorders>
              <w:top w:val="nil"/>
              <w:left w:val="double" w:sz="6" w:space="0" w:color="auto"/>
              <w:bottom w:val="single" w:sz="4" w:space="0" w:color="auto"/>
              <w:right w:val="nil"/>
            </w:tcBorders>
            <w:shd w:val="clear" w:color="000000" w:fill="F2DCDB"/>
            <w:vAlign w:val="center"/>
          </w:tcPr>
          <w:p w14:paraId="1DB1E7C4" w14:textId="77777777" w:rsidR="00C755B1" w:rsidRDefault="00C755B1" w:rsidP="00C755B1">
            <w:pPr>
              <w:jc w:val="right"/>
              <w:rPr>
                <w:color w:val="000000"/>
                <w:sz w:val="24"/>
                <w:szCs w:val="24"/>
              </w:rPr>
            </w:pPr>
            <w:r>
              <w:rPr>
                <w:color w:val="000000"/>
              </w:rPr>
              <w:t>14</w:t>
            </w:r>
          </w:p>
        </w:tc>
        <w:tc>
          <w:tcPr>
            <w:tcW w:w="228" w:type="pct"/>
            <w:tcBorders>
              <w:top w:val="nil"/>
              <w:left w:val="double" w:sz="6" w:space="0" w:color="auto"/>
              <w:bottom w:val="single" w:sz="4" w:space="0" w:color="auto"/>
              <w:right w:val="nil"/>
            </w:tcBorders>
            <w:shd w:val="clear" w:color="000000" w:fill="F2DCDB"/>
            <w:vAlign w:val="center"/>
          </w:tcPr>
          <w:p w14:paraId="4D1514AE" w14:textId="77777777" w:rsidR="00C755B1" w:rsidRDefault="00C755B1" w:rsidP="00C755B1">
            <w:pPr>
              <w:jc w:val="right"/>
              <w:rPr>
                <w:color w:val="000000"/>
                <w:sz w:val="24"/>
                <w:szCs w:val="24"/>
              </w:rPr>
            </w:pPr>
            <w:r>
              <w:rPr>
                <w:color w:val="000000"/>
              </w:rPr>
              <w:t>12</w:t>
            </w:r>
          </w:p>
        </w:tc>
        <w:tc>
          <w:tcPr>
            <w:tcW w:w="291" w:type="pct"/>
            <w:tcBorders>
              <w:top w:val="nil"/>
              <w:left w:val="double" w:sz="6" w:space="0" w:color="auto"/>
              <w:bottom w:val="single" w:sz="4" w:space="0" w:color="auto"/>
              <w:right w:val="nil"/>
            </w:tcBorders>
            <w:shd w:val="clear" w:color="000000" w:fill="F2DCDB"/>
            <w:vAlign w:val="center"/>
          </w:tcPr>
          <w:p w14:paraId="3CC7462E" w14:textId="77777777" w:rsidR="00C755B1" w:rsidRDefault="00C755B1" w:rsidP="00C755B1">
            <w:pPr>
              <w:jc w:val="right"/>
              <w:rPr>
                <w:color w:val="000000"/>
                <w:sz w:val="24"/>
                <w:szCs w:val="24"/>
              </w:rPr>
            </w:pPr>
            <w:r>
              <w:rPr>
                <w:color w:val="000000"/>
              </w:rPr>
              <w:t>1</w:t>
            </w:r>
          </w:p>
        </w:tc>
        <w:tc>
          <w:tcPr>
            <w:tcW w:w="299" w:type="pct"/>
            <w:tcBorders>
              <w:top w:val="nil"/>
              <w:left w:val="double" w:sz="6" w:space="0" w:color="auto"/>
              <w:bottom w:val="single" w:sz="4" w:space="0" w:color="auto"/>
              <w:right w:val="nil"/>
            </w:tcBorders>
            <w:shd w:val="clear" w:color="000000" w:fill="F2DCDB"/>
            <w:vAlign w:val="center"/>
          </w:tcPr>
          <w:p w14:paraId="43DC2CED" w14:textId="77777777" w:rsidR="00C755B1" w:rsidRDefault="00C755B1" w:rsidP="00C755B1">
            <w:pPr>
              <w:jc w:val="right"/>
              <w:rPr>
                <w:color w:val="000000"/>
                <w:sz w:val="24"/>
                <w:szCs w:val="24"/>
              </w:rPr>
            </w:pPr>
            <w:r>
              <w:rPr>
                <w:color w:val="000000"/>
              </w:rPr>
              <w:t>9</w:t>
            </w:r>
          </w:p>
        </w:tc>
        <w:tc>
          <w:tcPr>
            <w:tcW w:w="222" w:type="pct"/>
            <w:tcBorders>
              <w:top w:val="nil"/>
              <w:left w:val="double" w:sz="6" w:space="0" w:color="auto"/>
              <w:bottom w:val="single" w:sz="4" w:space="0" w:color="auto"/>
              <w:right w:val="nil"/>
            </w:tcBorders>
            <w:shd w:val="clear" w:color="000000" w:fill="F2DCDB"/>
            <w:vAlign w:val="center"/>
          </w:tcPr>
          <w:p w14:paraId="70B44E3F" w14:textId="77777777" w:rsidR="00C755B1" w:rsidRDefault="00C755B1" w:rsidP="00C755B1">
            <w:pPr>
              <w:jc w:val="right"/>
              <w:rPr>
                <w:color w:val="000000"/>
                <w:sz w:val="24"/>
                <w:szCs w:val="24"/>
              </w:rPr>
            </w:pPr>
            <w:r>
              <w:rPr>
                <w:color w:val="000000"/>
              </w:rPr>
              <w:t>13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502AB209" w14:textId="77777777" w:rsidR="00C755B1" w:rsidRDefault="00C755B1" w:rsidP="00C755B1">
            <w:pPr>
              <w:jc w:val="right"/>
              <w:rPr>
                <w:color w:val="000000"/>
                <w:sz w:val="24"/>
                <w:szCs w:val="24"/>
              </w:rPr>
            </w:pPr>
            <w:r>
              <w:rPr>
                <w:color w:val="000000"/>
              </w:rPr>
              <w:t>28</w:t>
            </w:r>
          </w:p>
        </w:tc>
      </w:tr>
      <w:tr w:rsidR="00C755B1" w:rsidRPr="000A46ED" w14:paraId="4266EE5D"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E4B5D66" w14:textId="20010069"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 The activities my teachers use in Maths help me learn.</w:t>
            </w:r>
          </w:p>
        </w:tc>
        <w:tc>
          <w:tcPr>
            <w:tcW w:w="255" w:type="pct"/>
            <w:tcBorders>
              <w:top w:val="nil"/>
              <w:left w:val="double" w:sz="6" w:space="0" w:color="auto"/>
              <w:bottom w:val="single" w:sz="4" w:space="0" w:color="auto"/>
              <w:right w:val="nil"/>
            </w:tcBorders>
            <w:shd w:val="clear" w:color="000000" w:fill="F2DCDB"/>
            <w:vAlign w:val="center"/>
          </w:tcPr>
          <w:p w14:paraId="3C4AE1DB" w14:textId="77777777" w:rsidR="00C755B1" w:rsidRDefault="00C755B1" w:rsidP="00C755B1">
            <w:pPr>
              <w:jc w:val="right"/>
              <w:rPr>
                <w:color w:val="000000"/>
                <w:sz w:val="24"/>
                <w:szCs w:val="24"/>
              </w:rPr>
            </w:pPr>
            <w:r>
              <w:rPr>
                <w:color w:val="000000"/>
              </w:rPr>
              <w:t>218</w:t>
            </w:r>
          </w:p>
        </w:tc>
        <w:tc>
          <w:tcPr>
            <w:tcW w:w="256" w:type="pct"/>
            <w:tcBorders>
              <w:top w:val="nil"/>
              <w:left w:val="double" w:sz="6" w:space="0" w:color="auto"/>
              <w:bottom w:val="single" w:sz="4" w:space="0" w:color="auto"/>
              <w:right w:val="nil"/>
            </w:tcBorders>
            <w:shd w:val="clear" w:color="000000" w:fill="F2DCDB"/>
            <w:vAlign w:val="center"/>
          </w:tcPr>
          <w:p w14:paraId="1FC75332" w14:textId="77777777" w:rsidR="00C755B1" w:rsidRDefault="00C755B1" w:rsidP="00C755B1">
            <w:pPr>
              <w:jc w:val="right"/>
              <w:rPr>
                <w:color w:val="000000"/>
                <w:sz w:val="24"/>
                <w:szCs w:val="24"/>
              </w:rPr>
            </w:pPr>
            <w:r>
              <w:rPr>
                <w:color w:val="000000"/>
              </w:rPr>
              <w:t>218</w:t>
            </w:r>
          </w:p>
        </w:tc>
        <w:tc>
          <w:tcPr>
            <w:tcW w:w="249" w:type="pct"/>
            <w:tcBorders>
              <w:top w:val="nil"/>
              <w:left w:val="double" w:sz="6" w:space="0" w:color="auto"/>
              <w:bottom w:val="single" w:sz="4" w:space="0" w:color="auto"/>
              <w:right w:val="nil"/>
            </w:tcBorders>
            <w:shd w:val="clear" w:color="000000" w:fill="F2DCDB"/>
            <w:vAlign w:val="center"/>
          </w:tcPr>
          <w:p w14:paraId="3CCF6754" w14:textId="77777777" w:rsidR="00C755B1" w:rsidRDefault="00C755B1" w:rsidP="00C755B1">
            <w:pPr>
              <w:jc w:val="right"/>
              <w:rPr>
                <w:color w:val="000000"/>
                <w:sz w:val="24"/>
                <w:szCs w:val="24"/>
              </w:rPr>
            </w:pPr>
            <w:r>
              <w:rPr>
                <w:color w:val="000000"/>
              </w:rPr>
              <w:t>122</w:t>
            </w:r>
          </w:p>
        </w:tc>
        <w:tc>
          <w:tcPr>
            <w:tcW w:w="249" w:type="pct"/>
            <w:tcBorders>
              <w:top w:val="nil"/>
              <w:left w:val="double" w:sz="6" w:space="0" w:color="auto"/>
              <w:bottom w:val="single" w:sz="4" w:space="0" w:color="auto"/>
              <w:right w:val="nil"/>
            </w:tcBorders>
            <w:shd w:val="clear" w:color="000000" w:fill="F2DCDB"/>
            <w:vAlign w:val="center"/>
          </w:tcPr>
          <w:p w14:paraId="7BBBC3E6" w14:textId="77777777" w:rsidR="00C755B1" w:rsidRDefault="00C755B1" w:rsidP="00C755B1">
            <w:pPr>
              <w:jc w:val="right"/>
              <w:rPr>
                <w:color w:val="000000"/>
                <w:sz w:val="24"/>
                <w:szCs w:val="24"/>
              </w:rPr>
            </w:pPr>
            <w:r>
              <w:rPr>
                <w:color w:val="000000"/>
              </w:rPr>
              <w:t>139</w:t>
            </w:r>
          </w:p>
        </w:tc>
        <w:tc>
          <w:tcPr>
            <w:tcW w:w="222" w:type="pct"/>
            <w:tcBorders>
              <w:top w:val="nil"/>
              <w:left w:val="double" w:sz="6" w:space="0" w:color="auto"/>
              <w:bottom w:val="single" w:sz="4" w:space="0" w:color="auto"/>
              <w:right w:val="nil"/>
            </w:tcBorders>
            <w:shd w:val="clear" w:color="000000" w:fill="F2DCDB"/>
            <w:vAlign w:val="center"/>
          </w:tcPr>
          <w:p w14:paraId="6D574C35" w14:textId="77777777" w:rsidR="00C755B1" w:rsidRDefault="00C755B1" w:rsidP="00C755B1">
            <w:pPr>
              <w:jc w:val="right"/>
              <w:rPr>
                <w:color w:val="000000"/>
                <w:sz w:val="24"/>
                <w:szCs w:val="24"/>
              </w:rPr>
            </w:pPr>
            <w:r>
              <w:rPr>
                <w:color w:val="000000"/>
              </w:rPr>
              <w:t>7</w:t>
            </w:r>
          </w:p>
        </w:tc>
        <w:tc>
          <w:tcPr>
            <w:tcW w:w="228" w:type="pct"/>
            <w:tcBorders>
              <w:top w:val="nil"/>
              <w:left w:val="double" w:sz="6" w:space="0" w:color="auto"/>
              <w:bottom w:val="single" w:sz="4" w:space="0" w:color="auto"/>
              <w:right w:val="nil"/>
            </w:tcBorders>
            <w:shd w:val="clear" w:color="000000" w:fill="F2DCDB"/>
            <w:vAlign w:val="center"/>
          </w:tcPr>
          <w:p w14:paraId="49137E9F" w14:textId="77777777" w:rsidR="00C755B1" w:rsidRDefault="00C755B1" w:rsidP="00C755B1">
            <w:pPr>
              <w:jc w:val="right"/>
              <w:rPr>
                <w:color w:val="000000"/>
                <w:sz w:val="24"/>
                <w:szCs w:val="24"/>
              </w:rPr>
            </w:pPr>
            <w:r>
              <w:rPr>
                <w:color w:val="000000"/>
              </w:rPr>
              <w:t>12</w:t>
            </w:r>
          </w:p>
        </w:tc>
        <w:tc>
          <w:tcPr>
            <w:tcW w:w="291" w:type="pct"/>
            <w:tcBorders>
              <w:top w:val="nil"/>
              <w:left w:val="double" w:sz="6" w:space="0" w:color="auto"/>
              <w:bottom w:val="single" w:sz="4" w:space="0" w:color="auto"/>
              <w:right w:val="nil"/>
            </w:tcBorders>
            <w:shd w:val="clear" w:color="000000" w:fill="F2DCDB"/>
            <w:vAlign w:val="center"/>
          </w:tcPr>
          <w:p w14:paraId="0BED6CDC" w14:textId="77777777" w:rsidR="00C755B1" w:rsidRDefault="00C755B1" w:rsidP="00C755B1">
            <w:pPr>
              <w:jc w:val="right"/>
              <w:rPr>
                <w:color w:val="000000"/>
                <w:sz w:val="24"/>
                <w:szCs w:val="24"/>
              </w:rPr>
            </w:pPr>
            <w:r>
              <w:rPr>
                <w:color w:val="000000"/>
              </w:rPr>
              <w:t>12</w:t>
            </w:r>
          </w:p>
        </w:tc>
        <w:tc>
          <w:tcPr>
            <w:tcW w:w="299" w:type="pct"/>
            <w:tcBorders>
              <w:top w:val="nil"/>
              <w:left w:val="double" w:sz="6" w:space="0" w:color="auto"/>
              <w:bottom w:val="single" w:sz="4" w:space="0" w:color="auto"/>
              <w:right w:val="nil"/>
            </w:tcBorders>
            <w:shd w:val="clear" w:color="000000" w:fill="F2DCDB"/>
            <w:vAlign w:val="center"/>
          </w:tcPr>
          <w:p w14:paraId="2E75F842" w14:textId="77777777" w:rsidR="00C755B1" w:rsidRDefault="00C755B1" w:rsidP="00C755B1">
            <w:pPr>
              <w:jc w:val="right"/>
              <w:rPr>
                <w:color w:val="000000"/>
                <w:sz w:val="24"/>
                <w:szCs w:val="24"/>
              </w:rPr>
            </w:pPr>
            <w:r>
              <w:rPr>
                <w:color w:val="000000"/>
              </w:rPr>
              <w:t>23</w:t>
            </w:r>
          </w:p>
        </w:tc>
        <w:tc>
          <w:tcPr>
            <w:tcW w:w="222" w:type="pct"/>
            <w:tcBorders>
              <w:top w:val="nil"/>
              <w:left w:val="double" w:sz="6" w:space="0" w:color="auto"/>
              <w:bottom w:val="single" w:sz="4" w:space="0" w:color="auto"/>
              <w:right w:val="nil"/>
            </w:tcBorders>
            <w:shd w:val="clear" w:color="000000" w:fill="F2DCDB"/>
            <w:vAlign w:val="center"/>
          </w:tcPr>
          <w:p w14:paraId="7EC1C8A0" w14:textId="77777777" w:rsidR="00C755B1" w:rsidRDefault="00C755B1" w:rsidP="00C755B1">
            <w:pPr>
              <w:jc w:val="right"/>
              <w:rPr>
                <w:color w:val="000000"/>
                <w:sz w:val="24"/>
                <w:szCs w:val="24"/>
              </w:rPr>
            </w:pPr>
            <w:r>
              <w:rPr>
                <w:color w:val="000000"/>
              </w:rPr>
              <w:t>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B3A9B5B" w14:textId="77777777" w:rsidR="00C755B1" w:rsidRDefault="00C755B1" w:rsidP="00C755B1">
            <w:pPr>
              <w:jc w:val="right"/>
              <w:rPr>
                <w:color w:val="000000"/>
                <w:sz w:val="24"/>
                <w:szCs w:val="24"/>
              </w:rPr>
            </w:pPr>
            <w:r>
              <w:rPr>
                <w:color w:val="000000"/>
              </w:rPr>
              <w:t>13</w:t>
            </w:r>
          </w:p>
        </w:tc>
      </w:tr>
      <w:tr w:rsidR="00C755B1" w:rsidRPr="000A46ED" w14:paraId="1223A428"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1D34CD1" w14:textId="6179705E"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Maths.</w:t>
            </w:r>
          </w:p>
        </w:tc>
        <w:tc>
          <w:tcPr>
            <w:tcW w:w="255" w:type="pct"/>
            <w:tcBorders>
              <w:top w:val="nil"/>
              <w:left w:val="double" w:sz="6" w:space="0" w:color="auto"/>
              <w:bottom w:val="single" w:sz="4" w:space="0" w:color="auto"/>
              <w:right w:val="nil"/>
            </w:tcBorders>
            <w:shd w:val="clear" w:color="000000" w:fill="F2DCDB"/>
            <w:vAlign w:val="center"/>
          </w:tcPr>
          <w:p w14:paraId="2236980A" w14:textId="77777777" w:rsidR="00C755B1" w:rsidRDefault="00C755B1" w:rsidP="00C755B1">
            <w:pPr>
              <w:jc w:val="right"/>
              <w:rPr>
                <w:color w:val="000000"/>
                <w:sz w:val="24"/>
                <w:szCs w:val="24"/>
              </w:rPr>
            </w:pPr>
            <w:r>
              <w:rPr>
                <w:color w:val="000000"/>
              </w:rPr>
              <w:t>219</w:t>
            </w:r>
          </w:p>
        </w:tc>
        <w:tc>
          <w:tcPr>
            <w:tcW w:w="256" w:type="pct"/>
            <w:tcBorders>
              <w:top w:val="nil"/>
              <w:left w:val="double" w:sz="6" w:space="0" w:color="auto"/>
              <w:bottom w:val="single" w:sz="4" w:space="0" w:color="auto"/>
              <w:right w:val="nil"/>
            </w:tcBorders>
            <w:shd w:val="clear" w:color="000000" w:fill="F2DCDB"/>
            <w:vAlign w:val="center"/>
          </w:tcPr>
          <w:p w14:paraId="23736E43" w14:textId="77777777" w:rsidR="00C755B1" w:rsidRDefault="00C755B1" w:rsidP="00C755B1">
            <w:pPr>
              <w:jc w:val="right"/>
              <w:rPr>
                <w:color w:val="000000"/>
                <w:sz w:val="24"/>
                <w:szCs w:val="24"/>
              </w:rPr>
            </w:pPr>
            <w:r>
              <w:rPr>
                <w:color w:val="000000"/>
              </w:rPr>
              <w:t>216</w:t>
            </w:r>
          </w:p>
        </w:tc>
        <w:tc>
          <w:tcPr>
            <w:tcW w:w="249" w:type="pct"/>
            <w:tcBorders>
              <w:top w:val="nil"/>
              <w:left w:val="double" w:sz="6" w:space="0" w:color="auto"/>
              <w:bottom w:val="single" w:sz="4" w:space="0" w:color="auto"/>
              <w:right w:val="nil"/>
            </w:tcBorders>
            <w:shd w:val="clear" w:color="000000" w:fill="F2DCDB"/>
            <w:vAlign w:val="center"/>
          </w:tcPr>
          <w:p w14:paraId="1E59B46B" w14:textId="77777777" w:rsidR="00C755B1" w:rsidRDefault="00C755B1" w:rsidP="00C755B1">
            <w:pPr>
              <w:jc w:val="right"/>
              <w:rPr>
                <w:color w:val="000000"/>
                <w:sz w:val="24"/>
                <w:szCs w:val="24"/>
              </w:rPr>
            </w:pPr>
            <w:r>
              <w:rPr>
                <w:color w:val="000000"/>
              </w:rPr>
              <w:t>123</w:t>
            </w:r>
          </w:p>
        </w:tc>
        <w:tc>
          <w:tcPr>
            <w:tcW w:w="249" w:type="pct"/>
            <w:tcBorders>
              <w:top w:val="nil"/>
              <w:left w:val="double" w:sz="6" w:space="0" w:color="auto"/>
              <w:bottom w:val="single" w:sz="4" w:space="0" w:color="auto"/>
              <w:right w:val="nil"/>
            </w:tcBorders>
            <w:shd w:val="clear" w:color="000000" w:fill="F2DCDB"/>
            <w:vAlign w:val="center"/>
          </w:tcPr>
          <w:p w14:paraId="726B298F" w14:textId="77777777" w:rsidR="00C755B1" w:rsidRDefault="00C755B1" w:rsidP="00C755B1">
            <w:pPr>
              <w:jc w:val="right"/>
              <w:rPr>
                <w:color w:val="000000"/>
                <w:sz w:val="24"/>
                <w:szCs w:val="24"/>
              </w:rPr>
            </w:pPr>
            <w:r>
              <w:rPr>
                <w:color w:val="000000"/>
              </w:rPr>
              <w:t>148</w:t>
            </w:r>
          </w:p>
        </w:tc>
        <w:tc>
          <w:tcPr>
            <w:tcW w:w="222" w:type="pct"/>
            <w:tcBorders>
              <w:top w:val="nil"/>
              <w:left w:val="double" w:sz="6" w:space="0" w:color="auto"/>
              <w:bottom w:val="single" w:sz="4" w:space="0" w:color="auto"/>
              <w:right w:val="nil"/>
            </w:tcBorders>
            <w:shd w:val="clear" w:color="000000" w:fill="F2DCDB"/>
            <w:vAlign w:val="center"/>
          </w:tcPr>
          <w:p w14:paraId="1426581A" w14:textId="77777777" w:rsidR="00C755B1" w:rsidRDefault="00C755B1" w:rsidP="00C755B1">
            <w:pPr>
              <w:jc w:val="right"/>
              <w:rPr>
                <w:color w:val="000000"/>
                <w:sz w:val="24"/>
                <w:szCs w:val="24"/>
              </w:rPr>
            </w:pPr>
            <w:r>
              <w:rPr>
                <w:color w:val="000000"/>
              </w:rPr>
              <w:t>6</w:t>
            </w:r>
          </w:p>
        </w:tc>
        <w:tc>
          <w:tcPr>
            <w:tcW w:w="228" w:type="pct"/>
            <w:tcBorders>
              <w:top w:val="nil"/>
              <w:left w:val="double" w:sz="6" w:space="0" w:color="auto"/>
              <w:bottom w:val="single" w:sz="4" w:space="0" w:color="auto"/>
              <w:right w:val="nil"/>
            </w:tcBorders>
            <w:shd w:val="clear" w:color="000000" w:fill="F2DCDB"/>
            <w:vAlign w:val="center"/>
          </w:tcPr>
          <w:p w14:paraId="1E0E8862" w14:textId="77777777" w:rsidR="00C755B1" w:rsidRDefault="00C755B1" w:rsidP="00C755B1">
            <w:pPr>
              <w:jc w:val="right"/>
              <w:rPr>
                <w:color w:val="000000"/>
                <w:sz w:val="24"/>
                <w:szCs w:val="24"/>
              </w:rPr>
            </w:pPr>
            <w:r>
              <w:rPr>
                <w:color w:val="000000"/>
              </w:rPr>
              <w:t>18</w:t>
            </w:r>
          </w:p>
        </w:tc>
        <w:tc>
          <w:tcPr>
            <w:tcW w:w="291" w:type="pct"/>
            <w:tcBorders>
              <w:top w:val="nil"/>
              <w:left w:val="double" w:sz="6" w:space="0" w:color="auto"/>
              <w:bottom w:val="single" w:sz="4" w:space="0" w:color="auto"/>
              <w:right w:val="nil"/>
            </w:tcBorders>
            <w:shd w:val="clear" w:color="000000" w:fill="F2DCDB"/>
            <w:vAlign w:val="center"/>
          </w:tcPr>
          <w:p w14:paraId="2E92CE27" w14:textId="77777777" w:rsidR="00C755B1" w:rsidRDefault="00C755B1" w:rsidP="00C755B1">
            <w:pPr>
              <w:jc w:val="right"/>
              <w:rPr>
                <w:color w:val="000000"/>
                <w:sz w:val="24"/>
                <w:szCs w:val="24"/>
              </w:rPr>
            </w:pPr>
            <w:r>
              <w:rPr>
                <w:color w:val="000000"/>
              </w:rPr>
              <w:t>4</w:t>
            </w:r>
          </w:p>
        </w:tc>
        <w:tc>
          <w:tcPr>
            <w:tcW w:w="299" w:type="pct"/>
            <w:tcBorders>
              <w:top w:val="nil"/>
              <w:left w:val="double" w:sz="6" w:space="0" w:color="auto"/>
              <w:bottom w:val="single" w:sz="4" w:space="0" w:color="auto"/>
              <w:right w:val="nil"/>
            </w:tcBorders>
            <w:shd w:val="clear" w:color="000000" w:fill="F2DCDB"/>
            <w:vAlign w:val="center"/>
          </w:tcPr>
          <w:p w14:paraId="50FB6AA2" w14:textId="77777777" w:rsidR="00C755B1" w:rsidRDefault="00C755B1" w:rsidP="00C755B1">
            <w:pPr>
              <w:jc w:val="right"/>
              <w:rPr>
                <w:color w:val="000000"/>
                <w:sz w:val="24"/>
                <w:szCs w:val="24"/>
              </w:rPr>
            </w:pPr>
            <w:r>
              <w:rPr>
                <w:color w:val="000000"/>
              </w:rPr>
              <w:t>5</w:t>
            </w:r>
          </w:p>
        </w:tc>
        <w:tc>
          <w:tcPr>
            <w:tcW w:w="222" w:type="pct"/>
            <w:tcBorders>
              <w:top w:val="nil"/>
              <w:left w:val="double" w:sz="6" w:space="0" w:color="auto"/>
              <w:bottom w:val="single" w:sz="4" w:space="0" w:color="auto"/>
              <w:right w:val="nil"/>
            </w:tcBorders>
            <w:shd w:val="clear" w:color="000000" w:fill="F2DCDB"/>
            <w:vAlign w:val="center"/>
          </w:tcPr>
          <w:p w14:paraId="5836B918" w14:textId="77777777" w:rsidR="00C755B1" w:rsidRDefault="00C755B1" w:rsidP="00C755B1">
            <w:pPr>
              <w:jc w:val="right"/>
              <w:rPr>
                <w:color w:val="000000"/>
                <w:sz w:val="24"/>
                <w:szCs w:val="24"/>
              </w:rPr>
            </w:pPr>
            <w:r>
              <w:rPr>
                <w:color w:val="000000"/>
              </w:rPr>
              <w:t>13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667AB4E" w14:textId="77777777" w:rsidR="00C755B1" w:rsidRDefault="00C755B1" w:rsidP="00C755B1">
            <w:pPr>
              <w:jc w:val="right"/>
              <w:rPr>
                <w:color w:val="000000"/>
                <w:sz w:val="24"/>
                <w:szCs w:val="24"/>
              </w:rPr>
            </w:pPr>
            <w:r>
              <w:rPr>
                <w:color w:val="000000"/>
              </w:rPr>
              <w:t>17</w:t>
            </w:r>
          </w:p>
        </w:tc>
      </w:tr>
      <w:tr w:rsidR="00C755B1" w:rsidRPr="000A46ED" w14:paraId="66A5520A"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C5D5DAE" w14:textId="0AD8B725"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Maths skills in other subjects.</w:t>
            </w:r>
          </w:p>
        </w:tc>
        <w:tc>
          <w:tcPr>
            <w:tcW w:w="255" w:type="pct"/>
            <w:tcBorders>
              <w:top w:val="nil"/>
              <w:left w:val="double" w:sz="6" w:space="0" w:color="auto"/>
              <w:bottom w:val="single" w:sz="4" w:space="0" w:color="auto"/>
              <w:right w:val="nil"/>
            </w:tcBorders>
            <w:shd w:val="clear" w:color="000000" w:fill="F2DCDB"/>
            <w:vAlign w:val="center"/>
          </w:tcPr>
          <w:p w14:paraId="24DFE389" w14:textId="77777777" w:rsidR="00C755B1" w:rsidRDefault="00C755B1" w:rsidP="00C755B1">
            <w:pPr>
              <w:jc w:val="right"/>
              <w:rPr>
                <w:color w:val="000000"/>
                <w:sz w:val="24"/>
                <w:szCs w:val="24"/>
              </w:rPr>
            </w:pPr>
            <w:r>
              <w:rPr>
                <w:color w:val="000000"/>
              </w:rPr>
              <w:t>125</w:t>
            </w:r>
          </w:p>
        </w:tc>
        <w:tc>
          <w:tcPr>
            <w:tcW w:w="256" w:type="pct"/>
            <w:tcBorders>
              <w:top w:val="nil"/>
              <w:left w:val="double" w:sz="6" w:space="0" w:color="auto"/>
              <w:bottom w:val="single" w:sz="4" w:space="0" w:color="auto"/>
              <w:right w:val="nil"/>
            </w:tcBorders>
            <w:shd w:val="clear" w:color="000000" w:fill="F2DCDB"/>
            <w:vAlign w:val="center"/>
          </w:tcPr>
          <w:p w14:paraId="3C28B40B" w14:textId="77777777" w:rsidR="00C755B1" w:rsidRDefault="00C755B1" w:rsidP="00C755B1">
            <w:pPr>
              <w:jc w:val="right"/>
              <w:rPr>
                <w:color w:val="000000"/>
                <w:sz w:val="24"/>
                <w:szCs w:val="24"/>
              </w:rPr>
            </w:pPr>
            <w:r>
              <w:rPr>
                <w:color w:val="000000"/>
              </w:rPr>
              <w:t>166</w:t>
            </w:r>
          </w:p>
        </w:tc>
        <w:tc>
          <w:tcPr>
            <w:tcW w:w="249" w:type="pct"/>
            <w:tcBorders>
              <w:top w:val="nil"/>
              <w:left w:val="double" w:sz="6" w:space="0" w:color="auto"/>
              <w:bottom w:val="single" w:sz="4" w:space="0" w:color="auto"/>
              <w:right w:val="nil"/>
            </w:tcBorders>
            <w:shd w:val="clear" w:color="000000" w:fill="F2DCDB"/>
            <w:vAlign w:val="center"/>
          </w:tcPr>
          <w:p w14:paraId="008FE975" w14:textId="77777777" w:rsidR="00C755B1" w:rsidRDefault="00C755B1" w:rsidP="00C755B1">
            <w:pPr>
              <w:jc w:val="right"/>
              <w:rPr>
                <w:color w:val="000000"/>
                <w:sz w:val="24"/>
                <w:szCs w:val="24"/>
              </w:rPr>
            </w:pPr>
            <w:r>
              <w:rPr>
                <w:color w:val="000000"/>
              </w:rPr>
              <w:t>183</w:t>
            </w:r>
          </w:p>
        </w:tc>
        <w:tc>
          <w:tcPr>
            <w:tcW w:w="249" w:type="pct"/>
            <w:tcBorders>
              <w:top w:val="nil"/>
              <w:left w:val="double" w:sz="6" w:space="0" w:color="auto"/>
              <w:bottom w:val="single" w:sz="4" w:space="0" w:color="auto"/>
              <w:right w:val="nil"/>
            </w:tcBorders>
            <w:shd w:val="clear" w:color="000000" w:fill="F2DCDB"/>
            <w:vAlign w:val="center"/>
          </w:tcPr>
          <w:p w14:paraId="2BFBF0B7" w14:textId="77777777" w:rsidR="00C755B1" w:rsidRDefault="00C755B1" w:rsidP="00C755B1">
            <w:pPr>
              <w:jc w:val="right"/>
              <w:rPr>
                <w:color w:val="000000"/>
                <w:sz w:val="24"/>
                <w:szCs w:val="24"/>
              </w:rPr>
            </w:pPr>
            <w:r>
              <w:rPr>
                <w:color w:val="000000"/>
              </w:rPr>
              <w:t>169</w:t>
            </w:r>
          </w:p>
        </w:tc>
        <w:tc>
          <w:tcPr>
            <w:tcW w:w="222" w:type="pct"/>
            <w:tcBorders>
              <w:top w:val="nil"/>
              <w:left w:val="double" w:sz="6" w:space="0" w:color="auto"/>
              <w:bottom w:val="single" w:sz="4" w:space="0" w:color="auto"/>
              <w:right w:val="nil"/>
            </w:tcBorders>
            <w:shd w:val="clear" w:color="000000" w:fill="F2DCDB"/>
            <w:vAlign w:val="center"/>
          </w:tcPr>
          <w:p w14:paraId="7B4E73B2" w14:textId="77777777" w:rsidR="00C755B1" w:rsidRDefault="00C755B1" w:rsidP="00C755B1">
            <w:pPr>
              <w:jc w:val="right"/>
              <w:rPr>
                <w:color w:val="000000"/>
                <w:sz w:val="24"/>
                <w:szCs w:val="24"/>
              </w:rPr>
            </w:pPr>
            <w:r>
              <w:rPr>
                <w:color w:val="000000"/>
              </w:rPr>
              <w:t>30</w:t>
            </w:r>
          </w:p>
        </w:tc>
        <w:tc>
          <w:tcPr>
            <w:tcW w:w="228" w:type="pct"/>
            <w:tcBorders>
              <w:top w:val="nil"/>
              <w:left w:val="double" w:sz="6" w:space="0" w:color="auto"/>
              <w:bottom w:val="single" w:sz="4" w:space="0" w:color="auto"/>
              <w:right w:val="nil"/>
            </w:tcBorders>
            <w:shd w:val="clear" w:color="000000" w:fill="F2DCDB"/>
            <w:vAlign w:val="center"/>
          </w:tcPr>
          <w:p w14:paraId="0BB9697E" w14:textId="77777777" w:rsidR="00C755B1" w:rsidRDefault="00C755B1" w:rsidP="00C755B1">
            <w:pPr>
              <w:jc w:val="right"/>
              <w:rPr>
                <w:color w:val="000000"/>
                <w:sz w:val="24"/>
                <w:szCs w:val="24"/>
              </w:rPr>
            </w:pPr>
            <w:r>
              <w:rPr>
                <w:color w:val="000000"/>
              </w:rPr>
              <w:t>26</w:t>
            </w:r>
          </w:p>
        </w:tc>
        <w:tc>
          <w:tcPr>
            <w:tcW w:w="291" w:type="pct"/>
            <w:tcBorders>
              <w:top w:val="nil"/>
              <w:left w:val="double" w:sz="6" w:space="0" w:color="auto"/>
              <w:bottom w:val="single" w:sz="4" w:space="0" w:color="auto"/>
              <w:right w:val="nil"/>
            </w:tcBorders>
            <w:shd w:val="clear" w:color="000000" w:fill="F2DCDB"/>
            <w:vAlign w:val="center"/>
          </w:tcPr>
          <w:p w14:paraId="6310BF58" w14:textId="77777777" w:rsidR="00C755B1" w:rsidRDefault="00C755B1" w:rsidP="00C755B1">
            <w:pPr>
              <w:jc w:val="right"/>
              <w:rPr>
                <w:color w:val="000000"/>
                <w:sz w:val="24"/>
                <w:szCs w:val="24"/>
              </w:rPr>
            </w:pPr>
            <w:r>
              <w:rPr>
                <w:color w:val="000000"/>
              </w:rPr>
              <w:t>9</w:t>
            </w:r>
          </w:p>
        </w:tc>
        <w:tc>
          <w:tcPr>
            <w:tcW w:w="299" w:type="pct"/>
            <w:tcBorders>
              <w:top w:val="nil"/>
              <w:left w:val="double" w:sz="6" w:space="0" w:color="auto"/>
              <w:bottom w:val="single" w:sz="4" w:space="0" w:color="auto"/>
              <w:right w:val="nil"/>
            </w:tcBorders>
            <w:shd w:val="clear" w:color="000000" w:fill="F2DCDB"/>
            <w:vAlign w:val="center"/>
          </w:tcPr>
          <w:p w14:paraId="14897221" w14:textId="77777777" w:rsidR="00C755B1" w:rsidRDefault="00C755B1" w:rsidP="00C755B1">
            <w:pPr>
              <w:jc w:val="right"/>
              <w:rPr>
                <w:color w:val="000000"/>
                <w:sz w:val="24"/>
                <w:szCs w:val="24"/>
              </w:rPr>
            </w:pPr>
            <w:r>
              <w:rPr>
                <w:color w:val="000000"/>
              </w:rPr>
              <w:t>7</w:t>
            </w:r>
          </w:p>
        </w:tc>
        <w:tc>
          <w:tcPr>
            <w:tcW w:w="222" w:type="pct"/>
            <w:tcBorders>
              <w:top w:val="nil"/>
              <w:left w:val="double" w:sz="6" w:space="0" w:color="auto"/>
              <w:bottom w:val="single" w:sz="4" w:space="0" w:color="auto"/>
              <w:right w:val="nil"/>
            </w:tcBorders>
            <w:shd w:val="clear" w:color="000000" w:fill="F2DCDB"/>
            <w:vAlign w:val="center"/>
          </w:tcPr>
          <w:p w14:paraId="77EC29B0" w14:textId="77777777" w:rsidR="00C755B1" w:rsidRDefault="00C755B1" w:rsidP="00C755B1">
            <w:pPr>
              <w:jc w:val="right"/>
              <w:rPr>
                <w:color w:val="000000"/>
                <w:sz w:val="24"/>
                <w:szCs w:val="24"/>
              </w:rPr>
            </w:pPr>
            <w:r>
              <w:rPr>
                <w:color w:val="000000"/>
              </w:rPr>
              <w:t>21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A082CA4" w14:textId="77777777" w:rsidR="00C755B1" w:rsidRDefault="00C755B1" w:rsidP="00C755B1">
            <w:pPr>
              <w:jc w:val="right"/>
              <w:rPr>
                <w:color w:val="000000"/>
                <w:sz w:val="24"/>
                <w:szCs w:val="24"/>
              </w:rPr>
            </w:pPr>
            <w:r>
              <w:rPr>
                <w:color w:val="000000"/>
              </w:rPr>
              <w:t>34</w:t>
            </w:r>
          </w:p>
        </w:tc>
      </w:tr>
      <w:tr w:rsidR="00C755B1" w:rsidRPr="000A46ED" w14:paraId="5B85A908"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F4927E4"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Maths challenges me and makes me think.</w:t>
            </w:r>
          </w:p>
        </w:tc>
        <w:tc>
          <w:tcPr>
            <w:tcW w:w="255" w:type="pct"/>
            <w:tcBorders>
              <w:top w:val="nil"/>
              <w:left w:val="double" w:sz="6" w:space="0" w:color="auto"/>
              <w:bottom w:val="single" w:sz="4" w:space="0" w:color="auto"/>
              <w:right w:val="nil"/>
            </w:tcBorders>
            <w:shd w:val="clear" w:color="000000" w:fill="F2DCDB"/>
            <w:vAlign w:val="center"/>
          </w:tcPr>
          <w:p w14:paraId="648C42FF" w14:textId="77777777" w:rsidR="00C755B1" w:rsidRDefault="00C755B1" w:rsidP="00C755B1">
            <w:pPr>
              <w:jc w:val="right"/>
              <w:rPr>
                <w:color w:val="000000"/>
                <w:sz w:val="24"/>
                <w:szCs w:val="24"/>
              </w:rPr>
            </w:pPr>
            <w:r>
              <w:rPr>
                <w:color w:val="000000"/>
              </w:rPr>
              <w:t>178</w:t>
            </w:r>
          </w:p>
        </w:tc>
        <w:tc>
          <w:tcPr>
            <w:tcW w:w="256" w:type="pct"/>
            <w:tcBorders>
              <w:top w:val="nil"/>
              <w:left w:val="double" w:sz="6" w:space="0" w:color="auto"/>
              <w:bottom w:val="single" w:sz="4" w:space="0" w:color="auto"/>
              <w:right w:val="nil"/>
            </w:tcBorders>
            <w:shd w:val="clear" w:color="000000" w:fill="F2DCDB"/>
            <w:vAlign w:val="center"/>
          </w:tcPr>
          <w:p w14:paraId="73F32380" w14:textId="77777777" w:rsidR="00C755B1" w:rsidRDefault="00C755B1" w:rsidP="00C755B1">
            <w:pPr>
              <w:jc w:val="right"/>
              <w:rPr>
                <w:color w:val="000000"/>
                <w:sz w:val="24"/>
                <w:szCs w:val="24"/>
              </w:rPr>
            </w:pPr>
            <w:r>
              <w:rPr>
                <w:color w:val="000000"/>
              </w:rPr>
              <w:t>192</w:t>
            </w:r>
          </w:p>
        </w:tc>
        <w:tc>
          <w:tcPr>
            <w:tcW w:w="249" w:type="pct"/>
            <w:tcBorders>
              <w:top w:val="nil"/>
              <w:left w:val="double" w:sz="6" w:space="0" w:color="auto"/>
              <w:bottom w:val="single" w:sz="4" w:space="0" w:color="auto"/>
              <w:right w:val="nil"/>
            </w:tcBorders>
            <w:shd w:val="clear" w:color="000000" w:fill="F2DCDB"/>
            <w:vAlign w:val="center"/>
          </w:tcPr>
          <w:p w14:paraId="51A5D0CC" w14:textId="77777777" w:rsidR="00C755B1" w:rsidRDefault="00C755B1" w:rsidP="00C755B1">
            <w:pPr>
              <w:jc w:val="right"/>
              <w:rPr>
                <w:color w:val="000000"/>
                <w:sz w:val="24"/>
                <w:szCs w:val="24"/>
              </w:rPr>
            </w:pPr>
            <w:r>
              <w:rPr>
                <w:color w:val="000000"/>
              </w:rPr>
              <w:t>161</w:t>
            </w:r>
          </w:p>
        </w:tc>
        <w:tc>
          <w:tcPr>
            <w:tcW w:w="249" w:type="pct"/>
            <w:tcBorders>
              <w:top w:val="nil"/>
              <w:left w:val="double" w:sz="6" w:space="0" w:color="auto"/>
              <w:bottom w:val="single" w:sz="4" w:space="0" w:color="auto"/>
              <w:right w:val="nil"/>
            </w:tcBorders>
            <w:shd w:val="clear" w:color="000000" w:fill="F2DCDB"/>
            <w:vAlign w:val="center"/>
          </w:tcPr>
          <w:p w14:paraId="61480025" w14:textId="77777777" w:rsidR="00C755B1" w:rsidRDefault="00C755B1" w:rsidP="00C755B1">
            <w:pPr>
              <w:jc w:val="right"/>
              <w:rPr>
                <w:color w:val="000000"/>
                <w:sz w:val="24"/>
                <w:szCs w:val="24"/>
              </w:rPr>
            </w:pPr>
            <w:r>
              <w:rPr>
                <w:color w:val="000000"/>
              </w:rPr>
              <w:t>168</w:t>
            </w:r>
          </w:p>
        </w:tc>
        <w:tc>
          <w:tcPr>
            <w:tcW w:w="222" w:type="pct"/>
            <w:tcBorders>
              <w:top w:val="nil"/>
              <w:left w:val="double" w:sz="6" w:space="0" w:color="auto"/>
              <w:bottom w:val="single" w:sz="4" w:space="0" w:color="auto"/>
              <w:right w:val="nil"/>
            </w:tcBorders>
            <w:shd w:val="clear" w:color="000000" w:fill="F2DCDB"/>
            <w:vAlign w:val="center"/>
          </w:tcPr>
          <w:p w14:paraId="223A63B6" w14:textId="77777777" w:rsidR="00C755B1" w:rsidRDefault="00C755B1" w:rsidP="00C755B1">
            <w:pPr>
              <w:jc w:val="right"/>
              <w:rPr>
                <w:color w:val="000000"/>
                <w:sz w:val="24"/>
                <w:szCs w:val="24"/>
              </w:rPr>
            </w:pPr>
            <w:r>
              <w:rPr>
                <w:color w:val="000000"/>
              </w:rPr>
              <w:t>11</w:t>
            </w:r>
          </w:p>
        </w:tc>
        <w:tc>
          <w:tcPr>
            <w:tcW w:w="228" w:type="pct"/>
            <w:tcBorders>
              <w:top w:val="nil"/>
              <w:left w:val="double" w:sz="6" w:space="0" w:color="auto"/>
              <w:bottom w:val="single" w:sz="4" w:space="0" w:color="auto"/>
              <w:right w:val="nil"/>
            </w:tcBorders>
            <w:shd w:val="clear" w:color="000000" w:fill="F2DCDB"/>
            <w:vAlign w:val="center"/>
          </w:tcPr>
          <w:p w14:paraId="350FEF8C" w14:textId="77777777" w:rsidR="00C755B1" w:rsidRDefault="00C755B1" w:rsidP="00C755B1">
            <w:pPr>
              <w:jc w:val="right"/>
              <w:rPr>
                <w:color w:val="000000"/>
                <w:sz w:val="24"/>
                <w:szCs w:val="24"/>
              </w:rPr>
            </w:pPr>
            <w:r>
              <w:rPr>
                <w:color w:val="000000"/>
              </w:rPr>
              <w:t>20</w:t>
            </w:r>
          </w:p>
        </w:tc>
        <w:tc>
          <w:tcPr>
            <w:tcW w:w="291" w:type="pct"/>
            <w:tcBorders>
              <w:top w:val="nil"/>
              <w:left w:val="double" w:sz="6" w:space="0" w:color="auto"/>
              <w:bottom w:val="single" w:sz="4" w:space="0" w:color="auto"/>
              <w:right w:val="nil"/>
            </w:tcBorders>
            <w:shd w:val="clear" w:color="000000" w:fill="F2DCDB"/>
            <w:vAlign w:val="center"/>
          </w:tcPr>
          <w:p w14:paraId="3F658AB4" w14:textId="77777777" w:rsidR="00C755B1" w:rsidRDefault="00C755B1" w:rsidP="00C755B1">
            <w:pPr>
              <w:jc w:val="right"/>
              <w:rPr>
                <w:color w:val="000000"/>
                <w:sz w:val="24"/>
                <w:szCs w:val="24"/>
              </w:rPr>
            </w:pPr>
            <w:r>
              <w:rPr>
                <w:color w:val="000000"/>
              </w:rPr>
              <w:t>4</w:t>
            </w:r>
          </w:p>
        </w:tc>
        <w:tc>
          <w:tcPr>
            <w:tcW w:w="299" w:type="pct"/>
            <w:tcBorders>
              <w:top w:val="nil"/>
              <w:left w:val="double" w:sz="6" w:space="0" w:color="auto"/>
              <w:bottom w:val="single" w:sz="4" w:space="0" w:color="auto"/>
              <w:right w:val="nil"/>
            </w:tcBorders>
            <w:shd w:val="clear" w:color="000000" w:fill="F2DCDB"/>
            <w:vAlign w:val="center"/>
          </w:tcPr>
          <w:p w14:paraId="3586E1C0" w14:textId="77777777" w:rsidR="00C755B1" w:rsidRDefault="00C755B1" w:rsidP="00C755B1">
            <w:pPr>
              <w:jc w:val="right"/>
              <w:rPr>
                <w:color w:val="000000"/>
                <w:sz w:val="24"/>
                <w:szCs w:val="24"/>
              </w:rPr>
            </w:pPr>
            <w:r>
              <w:rPr>
                <w:color w:val="000000"/>
              </w:rPr>
              <w:t>11</w:t>
            </w:r>
          </w:p>
        </w:tc>
        <w:tc>
          <w:tcPr>
            <w:tcW w:w="222" w:type="pct"/>
            <w:tcBorders>
              <w:top w:val="nil"/>
              <w:left w:val="double" w:sz="6" w:space="0" w:color="auto"/>
              <w:bottom w:val="single" w:sz="4" w:space="0" w:color="auto"/>
              <w:right w:val="nil"/>
            </w:tcBorders>
            <w:shd w:val="clear" w:color="000000" w:fill="F2DCDB"/>
            <w:vAlign w:val="center"/>
          </w:tcPr>
          <w:p w14:paraId="128F4BBC" w14:textId="77777777" w:rsidR="00C755B1" w:rsidRDefault="00C755B1" w:rsidP="00C755B1">
            <w:pPr>
              <w:jc w:val="right"/>
              <w:rPr>
                <w:color w:val="000000"/>
                <w:sz w:val="24"/>
                <w:szCs w:val="24"/>
              </w:rPr>
            </w:pPr>
            <w:r>
              <w:rPr>
                <w:color w:val="000000"/>
              </w:rPr>
              <w:t>12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E591BA1" w14:textId="77777777" w:rsidR="00C755B1" w:rsidRDefault="00C755B1" w:rsidP="00C755B1">
            <w:pPr>
              <w:jc w:val="right"/>
              <w:rPr>
                <w:color w:val="000000"/>
                <w:sz w:val="24"/>
                <w:szCs w:val="24"/>
              </w:rPr>
            </w:pPr>
            <w:r>
              <w:rPr>
                <w:color w:val="000000"/>
              </w:rPr>
              <w:t>14</w:t>
            </w:r>
          </w:p>
        </w:tc>
      </w:tr>
      <w:tr w:rsidR="00C755B1" w:rsidRPr="000A46ED" w14:paraId="53F9D240"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1B284EE"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Maths.</w:t>
            </w:r>
          </w:p>
        </w:tc>
        <w:tc>
          <w:tcPr>
            <w:tcW w:w="255" w:type="pct"/>
            <w:tcBorders>
              <w:top w:val="nil"/>
              <w:left w:val="double" w:sz="6" w:space="0" w:color="auto"/>
              <w:bottom w:val="single" w:sz="4" w:space="0" w:color="auto"/>
              <w:right w:val="nil"/>
            </w:tcBorders>
            <w:shd w:val="clear" w:color="000000" w:fill="F2DCDB"/>
            <w:vAlign w:val="center"/>
          </w:tcPr>
          <w:p w14:paraId="28A25CF4" w14:textId="77777777" w:rsidR="00C755B1" w:rsidRDefault="00C755B1" w:rsidP="00C755B1">
            <w:pPr>
              <w:jc w:val="right"/>
              <w:rPr>
                <w:color w:val="000000"/>
                <w:sz w:val="24"/>
                <w:szCs w:val="24"/>
              </w:rPr>
            </w:pPr>
            <w:r>
              <w:rPr>
                <w:color w:val="000000"/>
              </w:rPr>
              <w:t>174</w:t>
            </w:r>
          </w:p>
        </w:tc>
        <w:tc>
          <w:tcPr>
            <w:tcW w:w="256" w:type="pct"/>
            <w:tcBorders>
              <w:top w:val="nil"/>
              <w:left w:val="double" w:sz="6" w:space="0" w:color="auto"/>
              <w:bottom w:val="single" w:sz="4" w:space="0" w:color="auto"/>
              <w:right w:val="nil"/>
            </w:tcBorders>
            <w:shd w:val="clear" w:color="000000" w:fill="F2DCDB"/>
            <w:vAlign w:val="center"/>
          </w:tcPr>
          <w:p w14:paraId="77D4C2D8" w14:textId="77777777" w:rsidR="00C755B1" w:rsidRDefault="00C755B1" w:rsidP="00C755B1">
            <w:pPr>
              <w:jc w:val="right"/>
              <w:rPr>
                <w:color w:val="000000"/>
                <w:sz w:val="24"/>
                <w:szCs w:val="24"/>
              </w:rPr>
            </w:pPr>
            <w:r>
              <w:rPr>
                <w:color w:val="000000"/>
              </w:rPr>
              <w:t>181</w:t>
            </w:r>
          </w:p>
        </w:tc>
        <w:tc>
          <w:tcPr>
            <w:tcW w:w="249" w:type="pct"/>
            <w:tcBorders>
              <w:top w:val="nil"/>
              <w:left w:val="double" w:sz="6" w:space="0" w:color="auto"/>
              <w:bottom w:val="single" w:sz="4" w:space="0" w:color="auto"/>
              <w:right w:val="nil"/>
            </w:tcBorders>
            <w:shd w:val="clear" w:color="000000" w:fill="F2DCDB"/>
            <w:vAlign w:val="center"/>
          </w:tcPr>
          <w:p w14:paraId="3843E03D" w14:textId="77777777" w:rsidR="00C755B1" w:rsidRDefault="00C755B1" w:rsidP="00C755B1">
            <w:pPr>
              <w:jc w:val="right"/>
              <w:rPr>
                <w:color w:val="000000"/>
                <w:sz w:val="24"/>
                <w:szCs w:val="24"/>
              </w:rPr>
            </w:pPr>
            <w:r>
              <w:rPr>
                <w:color w:val="000000"/>
              </w:rPr>
              <w:t>159</w:t>
            </w:r>
          </w:p>
        </w:tc>
        <w:tc>
          <w:tcPr>
            <w:tcW w:w="249" w:type="pct"/>
            <w:tcBorders>
              <w:top w:val="nil"/>
              <w:left w:val="double" w:sz="6" w:space="0" w:color="auto"/>
              <w:bottom w:val="single" w:sz="4" w:space="0" w:color="auto"/>
              <w:right w:val="nil"/>
            </w:tcBorders>
            <w:shd w:val="clear" w:color="000000" w:fill="F2DCDB"/>
            <w:vAlign w:val="center"/>
          </w:tcPr>
          <w:p w14:paraId="1EFE6319" w14:textId="77777777" w:rsidR="00C755B1" w:rsidRDefault="00C755B1" w:rsidP="00C755B1">
            <w:pPr>
              <w:jc w:val="right"/>
              <w:rPr>
                <w:color w:val="000000"/>
                <w:sz w:val="24"/>
                <w:szCs w:val="24"/>
              </w:rPr>
            </w:pPr>
            <w:r>
              <w:rPr>
                <w:color w:val="000000"/>
              </w:rPr>
              <w:t>157</w:t>
            </w:r>
          </w:p>
        </w:tc>
        <w:tc>
          <w:tcPr>
            <w:tcW w:w="222" w:type="pct"/>
            <w:tcBorders>
              <w:top w:val="nil"/>
              <w:left w:val="double" w:sz="6" w:space="0" w:color="auto"/>
              <w:bottom w:val="single" w:sz="4" w:space="0" w:color="auto"/>
              <w:right w:val="nil"/>
            </w:tcBorders>
            <w:shd w:val="clear" w:color="000000" w:fill="F2DCDB"/>
            <w:vAlign w:val="center"/>
          </w:tcPr>
          <w:p w14:paraId="202C6EE1" w14:textId="77777777" w:rsidR="00C755B1" w:rsidRDefault="00C755B1" w:rsidP="00C755B1">
            <w:pPr>
              <w:jc w:val="right"/>
              <w:rPr>
                <w:color w:val="000000"/>
                <w:sz w:val="24"/>
                <w:szCs w:val="24"/>
              </w:rPr>
            </w:pPr>
            <w:r>
              <w:rPr>
                <w:color w:val="000000"/>
              </w:rPr>
              <w:t>15</w:t>
            </w:r>
          </w:p>
        </w:tc>
        <w:tc>
          <w:tcPr>
            <w:tcW w:w="228" w:type="pct"/>
            <w:tcBorders>
              <w:top w:val="nil"/>
              <w:left w:val="double" w:sz="6" w:space="0" w:color="auto"/>
              <w:bottom w:val="single" w:sz="4" w:space="0" w:color="auto"/>
              <w:right w:val="nil"/>
            </w:tcBorders>
            <w:shd w:val="clear" w:color="000000" w:fill="F2DCDB"/>
            <w:vAlign w:val="center"/>
          </w:tcPr>
          <w:p w14:paraId="63A67B70" w14:textId="77777777" w:rsidR="00C755B1" w:rsidRDefault="00C755B1" w:rsidP="00C755B1">
            <w:pPr>
              <w:jc w:val="right"/>
              <w:rPr>
                <w:color w:val="000000"/>
                <w:sz w:val="24"/>
                <w:szCs w:val="24"/>
              </w:rPr>
            </w:pPr>
            <w:r>
              <w:rPr>
                <w:color w:val="000000"/>
              </w:rPr>
              <w:t>27</w:t>
            </w:r>
          </w:p>
        </w:tc>
        <w:tc>
          <w:tcPr>
            <w:tcW w:w="291" w:type="pct"/>
            <w:tcBorders>
              <w:top w:val="nil"/>
              <w:left w:val="double" w:sz="6" w:space="0" w:color="auto"/>
              <w:bottom w:val="single" w:sz="4" w:space="0" w:color="auto"/>
              <w:right w:val="nil"/>
            </w:tcBorders>
            <w:shd w:val="clear" w:color="000000" w:fill="F2DCDB"/>
            <w:vAlign w:val="center"/>
          </w:tcPr>
          <w:p w14:paraId="04DA5F64" w14:textId="77777777" w:rsidR="00C755B1" w:rsidRDefault="00C755B1" w:rsidP="00C755B1">
            <w:pPr>
              <w:jc w:val="right"/>
              <w:rPr>
                <w:color w:val="000000"/>
                <w:sz w:val="24"/>
                <w:szCs w:val="24"/>
              </w:rPr>
            </w:pPr>
            <w:r>
              <w:rPr>
                <w:color w:val="000000"/>
              </w:rPr>
              <w:t>2</w:t>
            </w:r>
          </w:p>
        </w:tc>
        <w:tc>
          <w:tcPr>
            <w:tcW w:w="299" w:type="pct"/>
            <w:tcBorders>
              <w:top w:val="nil"/>
              <w:left w:val="double" w:sz="6" w:space="0" w:color="auto"/>
              <w:bottom w:val="single" w:sz="4" w:space="0" w:color="auto"/>
              <w:right w:val="nil"/>
            </w:tcBorders>
            <w:shd w:val="clear" w:color="000000" w:fill="F2DCDB"/>
            <w:vAlign w:val="center"/>
          </w:tcPr>
          <w:p w14:paraId="488A41CA" w14:textId="77777777" w:rsidR="00C755B1" w:rsidRDefault="00C755B1" w:rsidP="00C755B1">
            <w:pPr>
              <w:jc w:val="right"/>
              <w:rPr>
                <w:color w:val="000000"/>
                <w:sz w:val="24"/>
                <w:szCs w:val="24"/>
              </w:rPr>
            </w:pPr>
            <w:r>
              <w:rPr>
                <w:color w:val="000000"/>
              </w:rPr>
              <w:t>11</w:t>
            </w:r>
          </w:p>
        </w:tc>
        <w:tc>
          <w:tcPr>
            <w:tcW w:w="222" w:type="pct"/>
            <w:tcBorders>
              <w:top w:val="nil"/>
              <w:left w:val="double" w:sz="6" w:space="0" w:color="auto"/>
              <w:bottom w:val="single" w:sz="4" w:space="0" w:color="auto"/>
              <w:right w:val="nil"/>
            </w:tcBorders>
            <w:shd w:val="clear" w:color="000000" w:fill="F2DCDB"/>
            <w:vAlign w:val="center"/>
          </w:tcPr>
          <w:p w14:paraId="7B0AC0A4" w14:textId="77777777" w:rsidR="00C755B1" w:rsidRDefault="00C755B1" w:rsidP="00C755B1">
            <w:pPr>
              <w:jc w:val="right"/>
              <w:rPr>
                <w:color w:val="000000"/>
                <w:sz w:val="24"/>
                <w:szCs w:val="24"/>
              </w:rPr>
            </w:pPr>
            <w:r>
              <w:rPr>
                <w:color w:val="000000"/>
              </w:rPr>
              <w:t>16</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68D40BF" w14:textId="77777777" w:rsidR="00C755B1" w:rsidRDefault="00C755B1" w:rsidP="00C755B1">
            <w:pPr>
              <w:jc w:val="right"/>
              <w:rPr>
                <w:color w:val="000000"/>
                <w:sz w:val="24"/>
                <w:szCs w:val="24"/>
              </w:rPr>
            </w:pPr>
            <w:r>
              <w:rPr>
                <w:color w:val="000000"/>
              </w:rPr>
              <w:t>18</w:t>
            </w:r>
          </w:p>
        </w:tc>
      </w:tr>
      <w:tr w:rsidR="00C755B1" w:rsidRPr="000A46ED" w14:paraId="5D7FA1E0"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203CC8C"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Maths skills.</w:t>
            </w:r>
          </w:p>
        </w:tc>
        <w:tc>
          <w:tcPr>
            <w:tcW w:w="255" w:type="pct"/>
            <w:tcBorders>
              <w:top w:val="nil"/>
              <w:left w:val="double" w:sz="6" w:space="0" w:color="auto"/>
              <w:bottom w:val="single" w:sz="4" w:space="0" w:color="auto"/>
              <w:right w:val="nil"/>
            </w:tcBorders>
            <w:shd w:val="clear" w:color="000000" w:fill="F2DCDB"/>
            <w:vAlign w:val="center"/>
          </w:tcPr>
          <w:p w14:paraId="56CAF4E5" w14:textId="77777777" w:rsidR="00C755B1" w:rsidRDefault="00C755B1" w:rsidP="00C755B1">
            <w:pPr>
              <w:jc w:val="right"/>
              <w:rPr>
                <w:color w:val="000000"/>
                <w:sz w:val="24"/>
                <w:szCs w:val="24"/>
              </w:rPr>
            </w:pPr>
            <w:r>
              <w:rPr>
                <w:color w:val="000000"/>
              </w:rPr>
              <w:t>151</w:t>
            </w:r>
          </w:p>
        </w:tc>
        <w:tc>
          <w:tcPr>
            <w:tcW w:w="256" w:type="pct"/>
            <w:tcBorders>
              <w:top w:val="nil"/>
              <w:left w:val="double" w:sz="6" w:space="0" w:color="auto"/>
              <w:bottom w:val="single" w:sz="4" w:space="0" w:color="auto"/>
              <w:right w:val="nil"/>
            </w:tcBorders>
            <w:shd w:val="clear" w:color="000000" w:fill="F2DCDB"/>
            <w:vAlign w:val="center"/>
          </w:tcPr>
          <w:p w14:paraId="4321CD75" w14:textId="77777777" w:rsidR="00C755B1" w:rsidRDefault="00C755B1" w:rsidP="00C755B1">
            <w:pPr>
              <w:jc w:val="right"/>
              <w:rPr>
                <w:color w:val="000000"/>
                <w:sz w:val="24"/>
                <w:szCs w:val="24"/>
              </w:rPr>
            </w:pPr>
            <w:r>
              <w:rPr>
                <w:color w:val="000000"/>
              </w:rPr>
              <w:t>174</w:t>
            </w:r>
          </w:p>
        </w:tc>
        <w:tc>
          <w:tcPr>
            <w:tcW w:w="249" w:type="pct"/>
            <w:tcBorders>
              <w:top w:val="nil"/>
              <w:left w:val="double" w:sz="6" w:space="0" w:color="auto"/>
              <w:bottom w:val="single" w:sz="4" w:space="0" w:color="auto"/>
              <w:right w:val="nil"/>
            </w:tcBorders>
            <w:shd w:val="clear" w:color="000000" w:fill="F2DCDB"/>
            <w:vAlign w:val="center"/>
          </w:tcPr>
          <w:p w14:paraId="02D3DA4C" w14:textId="77777777" w:rsidR="00C755B1" w:rsidRDefault="00C755B1" w:rsidP="00C755B1">
            <w:pPr>
              <w:jc w:val="right"/>
              <w:rPr>
                <w:color w:val="000000"/>
                <w:sz w:val="24"/>
                <w:szCs w:val="24"/>
              </w:rPr>
            </w:pPr>
            <w:r>
              <w:rPr>
                <w:color w:val="000000"/>
              </w:rPr>
              <w:t>108</w:t>
            </w:r>
          </w:p>
        </w:tc>
        <w:tc>
          <w:tcPr>
            <w:tcW w:w="249" w:type="pct"/>
            <w:tcBorders>
              <w:top w:val="nil"/>
              <w:left w:val="double" w:sz="6" w:space="0" w:color="auto"/>
              <w:bottom w:val="single" w:sz="4" w:space="0" w:color="auto"/>
              <w:right w:val="nil"/>
            </w:tcBorders>
            <w:shd w:val="clear" w:color="000000" w:fill="F2DCDB"/>
            <w:vAlign w:val="center"/>
          </w:tcPr>
          <w:p w14:paraId="146A5274" w14:textId="77777777" w:rsidR="00C755B1" w:rsidRDefault="00C755B1" w:rsidP="00C755B1">
            <w:pPr>
              <w:jc w:val="right"/>
              <w:rPr>
                <w:color w:val="000000"/>
                <w:sz w:val="24"/>
                <w:szCs w:val="24"/>
              </w:rPr>
            </w:pPr>
            <w:r>
              <w:rPr>
                <w:color w:val="000000"/>
              </w:rPr>
              <w:t>114</w:t>
            </w:r>
          </w:p>
        </w:tc>
        <w:tc>
          <w:tcPr>
            <w:tcW w:w="222" w:type="pct"/>
            <w:tcBorders>
              <w:top w:val="nil"/>
              <w:left w:val="double" w:sz="6" w:space="0" w:color="auto"/>
              <w:bottom w:val="single" w:sz="4" w:space="0" w:color="auto"/>
              <w:right w:val="nil"/>
            </w:tcBorders>
            <w:shd w:val="clear" w:color="000000" w:fill="F2DCDB"/>
            <w:vAlign w:val="center"/>
          </w:tcPr>
          <w:p w14:paraId="4DE9F280" w14:textId="77777777" w:rsidR="00C755B1" w:rsidRDefault="00C755B1" w:rsidP="00C755B1">
            <w:pPr>
              <w:jc w:val="right"/>
              <w:rPr>
                <w:color w:val="000000"/>
                <w:sz w:val="24"/>
                <w:szCs w:val="24"/>
              </w:rPr>
            </w:pPr>
            <w:r>
              <w:rPr>
                <w:color w:val="000000"/>
              </w:rPr>
              <w:t>8</w:t>
            </w:r>
          </w:p>
        </w:tc>
        <w:tc>
          <w:tcPr>
            <w:tcW w:w="228" w:type="pct"/>
            <w:tcBorders>
              <w:top w:val="nil"/>
              <w:left w:val="double" w:sz="6" w:space="0" w:color="auto"/>
              <w:bottom w:val="single" w:sz="4" w:space="0" w:color="auto"/>
              <w:right w:val="nil"/>
            </w:tcBorders>
            <w:shd w:val="clear" w:color="000000" w:fill="F2DCDB"/>
            <w:vAlign w:val="center"/>
          </w:tcPr>
          <w:p w14:paraId="2308F87C" w14:textId="77777777" w:rsidR="00C755B1" w:rsidRDefault="00C755B1" w:rsidP="00C755B1">
            <w:pPr>
              <w:jc w:val="right"/>
              <w:rPr>
                <w:color w:val="000000"/>
                <w:sz w:val="24"/>
                <w:szCs w:val="24"/>
              </w:rPr>
            </w:pPr>
            <w:r>
              <w:rPr>
                <w:color w:val="000000"/>
              </w:rPr>
              <w:t>24</w:t>
            </w:r>
          </w:p>
        </w:tc>
        <w:tc>
          <w:tcPr>
            <w:tcW w:w="291" w:type="pct"/>
            <w:tcBorders>
              <w:top w:val="nil"/>
              <w:left w:val="double" w:sz="6" w:space="0" w:color="auto"/>
              <w:bottom w:val="single" w:sz="4" w:space="0" w:color="auto"/>
              <w:right w:val="nil"/>
            </w:tcBorders>
            <w:shd w:val="clear" w:color="000000" w:fill="F2DCDB"/>
            <w:vAlign w:val="center"/>
          </w:tcPr>
          <w:p w14:paraId="2A317AAD" w14:textId="77777777" w:rsidR="00C755B1" w:rsidRDefault="00C755B1" w:rsidP="00C755B1">
            <w:pPr>
              <w:jc w:val="right"/>
              <w:rPr>
                <w:color w:val="000000"/>
                <w:sz w:val="24"/>
                <w:szCs w:val="24"/>
              </w:rPr>
            </w:pPr>
            <w:r>
              <w:rPr>
                <w:color w:val="000000"/>
              </w:rPr>
              <w:t>7</w:t>
            </w:r>
          </w:p>
        </w:tc>
        <w:tc>
          <w:tcPr>
            <w:tcW w:w="299" w:type="pct"/>
            <w:tcBorders>
              <w:top w:val="nil"/>
              <w:left w:val="double" w:sz="6" w:space="0" w:color="auto"/>
              <w:bottom w:val="single" w:sz="4" w:space="0" w:color="auto"/>
              <w:right w:val="nil"/>
            </w:tcBorders>
            <w:shd w:val="clear" w:color="000000" w:fill="F2DCDB"/>
            <w:vAlign w:val="center"/>
          </w:tcPr>
          <w:p w14:paraId="473BF937" w14:textId="77777777" w:rsidR="00C755B1" w:rsidRDefault="00C755B1" w:rsidP="00C755B1">
            <w:pPr>
              <w:jc w:val="right"/>
              <w:rPr>
                <w:color w:val="000000"/>
                <w:sz w:val="24"/>
                <w:szCs w:val="24"/>
              </w:rPr>
            </w:pPr>
            <w:r>
              <w:rPr>
                <w:color w:val="000000"/>
              </w:rPr>
              <w:t>12</w:t>
            </w:r>
          </w:p>
        </w:tc>
        <w:tc>
          <w:tcPr>
            <w:tcW w:w="222" w:type="pct"/>
            <w:tcBorders>
              <w:top w:val="nil"/>
              <w:left w:val="double" w:sz="6" w:space="0" w:color="auto"/>
              <w:bottom w:val="single" w:sz="4" w:space="0" w:color="auto"/>
              <w:right w:val="nil"/>
            </w:tcBorders>
            <w:shd w:val="clear" w:color="000000" w:fill="F2DCDB"/>
            <w:vAlign w:val="center"/>
          </w:tcPr>
          <w:p w14:paraId="62D49FED" w14:textId="77777777" w:rsidR="00C755B1" w:rsidRDefault="00C755B1" w:rsidP="00C755B1">
            <w:pPr>
              <w:jc w:val="right"/>
              <w:rPr>
                <w:color w:val="000000"/>
                <w:sz w:val="24"/>
                <w:szCs w:val="24"/>
              </w:rPr>
            </w:pPr>
            <w:r>
              <w:rPr>
                <w:color w:val="000000"/>
              </w:rPr>
              <w:t>22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20824FC" w14:textId="77777777" w:rsidR="00C755B1" w:rsidRDefault="00C755B1" w:rsidP="00C755B1">
            <w:pPr>
              <w:jc w:val="right"/>
              <w:rPr>
                <w:color w:val="000000"/>
                <w:sz w:val="24"/>
                <w:szCs w:val="24"/>
              </w:rPr>
            </w:pPr>
            <w:r>
              <w:rPr>
                <w:color w:val="000000"/>
              </w:rPr>
              <w:t>12</w:t>
            </w:r>
          </w:p>
        </w:tc>
      </w:tr>
    </w:tbl>
    <w:p w14:paraId="0471EF69" w14:textId="77777777" w:rsidR="005C5B3E" w:rsidRDefault="005C5B3E" w:rsidP="004910A6">
      <w:pPr>
        <w:rPr>
          <w:rFonts w:cs="Arial"/>
          <w:sz w:val="24"/>
          <w:szCs w:val="24"/>
        </w:rPr>
        <w:sectPr w:rsidR="005C5B3E" w:rsidSect="005C5B3E">
          <w:pgSz w:w="16838" w:h="11906" w:orient="landscape"/>
          <w:pgMar w:top="1418" w:right="1134" w:bottom="851" w:left="1134" w:header="709" w:footer="709" w:gutter="0"/>
          <w:cols w:space="708"/>
          <w:docGrid w:linePitch="360"/>
        </w:sectPr>
      </w:pPr>
    </w:p>
    <w:tbl>
      <w:tblPr>
        <w:tblW w:w="5000" w:type="pct"/>
        <w:tblLook w:val="04A0" w:firstRow="1" w:lastRow="0" w:firstColumn="1" w:lastColumn="0" w:noHBand="0" w:noVBand="1"/>
        <w:tblCaption w:val="Table - Literacy Year 4"/>
        <w:tblDescription w:val="Data relating to Literacy Year 4"/>
      </w:tblPr>
      <w:tblGrid>
        <w:gridCol w:w="7403"/>
        <w:gridCol w:w="755"/>
        <w:gridCol w:w="757"/>
        <w:gridCol w:w="736"/>
        <w:gridCol w:w="736"/>
        <w:gridCol w:w="656"/>
        <w:gridCol w:w="674"/>
        <w:gridCol w:w="861"/>
        <w:gridCol w:w="884"/>
        <w:gridCol w:w="656"/>
        <w:gridCol w:w="668"/>
      </w:tblGrid>
      <w:tr w:rsidR="005C5B3E" w:rsidRPr="000A46ED" w14:paraId="5C71C806" w14:textId="77777777" w:rsidTr="0001238E">
        <w:trPr>
          <w:trHeight w:val="567"/>
        </w:trPr>
        <w:tc>
          <w:tcPr>
            <w:tcW w:w="2503" w:type="pct"/>
            <w:vMerge w:val="restart"/>
            <w:tcBorders>
              <w:top w:val="single" w:sz="4" w:space="0" w:color="auto"/>
              <w:left w:val="single" w:sz="4" w:space="0" w:color="auto"/>
              <w:bottom w:val="nil"/>
              <w:right w:val="nil"/>
            </w:tcBorders>
            <w:shd w:val="clear" w:color="auto" w:fill="auto"/>
            <w:noWrap/>
            <w:vAlign w:val="center"/>
            <w:hideMark/>
          </w:tcPr>
          <w:p w14:paraId="21FA4B3D" w14:textId="77777777" w:rsidR="005C5B3E" w:rsidRPr="008826A5" w:rsidRDefault="009F25F9" w:rsidP="0001238E">
            <w:pPr>
              <w:spacing w:after="0" w:line="240" w:lineRule="auto"/>
              <w:jc w:val="center"/>
              <w:rPr>
                <w:rFonts w:eastAsia="Times New Roman" w:cs="Times New Roman"/>
                <w:b/>
                <w:bCs/>
                <w:color w:val="244061" w:themeColor="accent1" w:themeShade="80"/>
                <w:sz w:val="36"/>
                <w:szCs w:val="36"/>
                <w:lang w:eastAsia="en-AU"/>
              </w:rPr>
            </w:pPr>
            <w:r>
              <w:rPr>
                <w:rFonts w:eastAsia="Times New Roman" w:cs="Times New Roman"/>
                <w:b/>
                <w:bCs/>
                <w:color w:val="244061" w:themeColor="accent1" w:themeShade="80"/>
                <w:sz w:val="36"/>
                <w:szCs w:val="36"/>
                <w:lang w:eastAsia="en-AU"/>
              </w:rPr>
              <w:t>Literacy</w:t>
            </w:r>
          </w:p>
          <w:p w14:paraId="1A253090" w14:textId="77777777" w:rsidR="005C5B3E" w:rsidRPr="000A46ED" w:rsidRDefault="005C5B3E" w:rsidP="0001238E">
            <w:pPr>
              <w:spacing w:after="0" w:line="240" w:lineRule="auto"/>
              <w:jc w:val="center"/>
              <w:rPr>
                <w:rFonts w:eastAsia="Times New Roman" w:cs="Times New Roman"/>
                <w:b/>
                <w:bCs/>
                <w:color w:val="FF0000"/>
                <w:sz w:val="36"/>
                <w:szCs w:val="36"/>
                <w:lang w:eastAsia="en-AU"/>
              </w:rPr>
            </w:pPr>
          </w:p>
        </w:tc>
        <w:tc>
          <w:tcPr>
            <w:tcW w:w="2497"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1FC4D024" w14:textId="77777777" w:rsidR="005C5B3E" w:rsidRPr="000A46ED" w:rsidRDefault="005C5B3E" w:rsidP="0001238E">
            <w:pPr>
              <w:spacing w:after="0" w:line="240" w:lineRule="auto"/>
              <w:jc w:val="center"/>
              <w:rPr>
                <w:rFonts w:eastAsia="Times New Roman" w:cs="Times New Roman"/>
                <w:color w:val="000000"/>
                <w:sz w:val="52"/>
                <w:szCs w:val="52"/>
                <w:lang w:eastAsia="en-AU"/>
              </w:rPr>
            </w:pPr>
            <w:r>
              <w:rPr>
                <w:rFonts w:eastAsia="Times New Roman" w:cs="Times New Roman"/>
                <w:color w:val="000000"/>
                <w:sz w:val="52"/>
                <w:szCs w:val="52"/>
                <w:lang w:eastAsia="en-AU"/>
              </w:rPr>
              <w:t>Year 4</w:t>
            </w:r>
          </w:p>
        </w:tc>
      </w:tr>
      <w:tr w:rsidR="005C5B3E" w:rsidRPr="000A46ED" w14:paraId="1B44F0A7" w14:textId="77777777" w:rsidTr="00394D0F">
        <w:trPr>
          <w:trHeight w:val="276"/>
        </w:trPr>
        <w:tc>
          <w:tcPr>
            <w:tcW w:w="2503" w:type="pct"/>
            <w:vMerge/>
            <w:tcBorders>
              <w:left w:val="single" w:sz="4" w:space="0" w:color="auto"/>
              <w:right w:val="nil"/>
            </w:tcBorders>
            <w:shd w:val="clear" w:color="auto" w:fill="auto"/>
            <w:vAlign w:val="center"/>
            <w:hideMark/>
          </w:tcPr>
          <w:p w14:paraId="14136AF2"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511"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47FA7472"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498" w:type="pct"/>
            <w:gridSpan w:val="2"/>
            <w:tcBorders>
              <w:top w:val="double" w:sz="6" w:space="0" w:color="auto"/>
              <w:left w:val="nil"/>
              <w:bottom w:val="single" w:sz="4" w:space="0" w:color="auto"/>
              <w:right w:val="single" w:sz="12" w:space="0" w:color="000000"/>
            </w:tcBorders>
            <w:shd w:val="clear" w:color="auto" w:fill="auto"/>
            <w:vAlign w:val="center"/>
            <w:hideMark/>
          </w:tcPr>
          <w:p w14:paraId="6E520B88"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450" w:type="pct"/>
            <w:gridSpan w:val="2"/>
            <w:tcBorders>
              <w:top w:val="double" w:sz="6" w:space="0" w:color="auto"/>
              <w:left w:val="nil"/>
              <w:bottom w:val="single" w:sz="4" w:space="0" w:color="auto"/>
              <w:right w:val="single" w:sz="12" w:space="0" w:color="000000"/>
            </w:tcBorders>
            <w:shd w:val="clear" w:color="auto" w:fill="auto"/>
            <w:vAlign w:val="center"/>
            <w:hideMark/>
          </w:tcPr>
          <w:p w14:paraId="5C91639B"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590" w:type="pct"/>
            <w:gridSpan w:val="2"/>
            <w:tcBorders>
              <w:top w:val="double" w:sz="6" w:space="0" w:color="auto"/>
              <w:left w:val="nil"/>
              <w:bottom w:val="single" w:sz="4" w:space="0" w:color="auto"/>
              <w:right w:val="single" w:sz="12" w:space="0" w:color="000000"/>
            </w:tcBorders>
            <w:shd w:val="clear" w:color="auto" w:fill="auto"/>
            <w:vAlign w:val="center"/>
            <w:hideMark/>
          </w:tcPr>
          <w:p w14:paraId="50A70D3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448" w:type="pct"/>
            <w:gridSpan w:val="2"/>
            <w:tcBorders>
              <w:top w:val="double" w:sz="6" w:space="0" w:color="auto"/>
              <w:left w:val="nil"/>
              <w:bottom w:val="single" w:sz="4" w:space="0" w:color="auto"/>
              <w:right w:val="double" w:sz="6" w:space="0" w:color="000000"/>
            </w:tcBorders>
            <w:shd w:val="clear" w:color="auto" w:fill="auto"/>
            <w:vAlign w:val="center"/>
            <w:hideMark/>
          </w:tcPr>
          <w:p w14:paraId="33B3FEDB"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5C5B3E" w:rsidRPr="000A46ED" w14:paraId="552FB1BD" w14:textId="77777777" w:rsidTr="00394D0F">
        <w:trPr>
          <w:trHeight w:val="276"/>
        </w:trPr>
        <w:tc>
          <w:tcPr>
            <w:tcW w:w="2503" w:type="pct"/>
            <w:vMerge/>
            <w:tcBorders>
              <w:left w:val="single" w:sz="4" w:space="0" w:color="auto"/>
              <w:bottom w:val="single" w:sz="8" w:space="0" w:color="auto"/>
              <w:right w:val="nil"/>
            </w:tcBorders>
            <w:shd w:val="clear" w:color="auto" w:fill="auto"/>
            <w:vAlign w:val="center"/>
            <w:hideMark/>
          </w:tcPr>
          <w:p w14:paraId="3ED0E905"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255" w:type="pct"/>
            <w:tcBorders>
              <w:top w:val="nil"/>
              <w:left w:val="double" w:sz="6" w:space="0" w:color="auto"/>
              <w:bottom w:val="single" w:sz="4" w:space="0" w:color="auto"/>
              <w:right w:val="single" w:sz="4" w:space="0" w:color="auto"/>
            </w:tcBorders>
            <w:shd w:val="clear" w:color="auto" w:fill="auto"/>
            <w:vAlign w:val="center"/>
            <w:hideMark/>
          </w:tcPr>
          <w:p w14:paraId="6F88410D"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56" w:type="pct"/>
            <w:tcBorders>
              <w:top w:val="nil"/>
              <w:left w:val="nil"/>
              <w:bottom w:val="single" w:sz="4" w:space="0" w:color="auto"/>
              <w:right w:val="single" w:sz="12" w:space="0" w:color="auto"/>
            </w:tcBorders>
            <w:shd w:val="clear" w:color="auto" w:fill="auto"/>
            <w:vAlign w:val="center"/>
            <w:hideMark/>
          </w:tcPr>
          <w:p w14:paraId="59348090"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49" w:type="pct"/>
            <w:tcBorders>
              <w:top w:val="nil"/>
              <w:left w:val="nil"/>
              <w:bottom w:val="single" w:sz="4" w:space="0" w:color="auto"/>
              <w:right w:val="single" w:sz="4" w:space="0" w:color="auto"/>
            </w:tcBorders>
            <w:shd w:val="clear" w:color="auto" w:fill="auto"/>
            <w:vAlign w:val="center"/>
            <w:hideMark/>
          </w:tcPr>
          <w:p w14:paraId="4E35036E"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49" w:type="pct"/>
            <w:tcBorders>
              <w:top w:val="nil"/>
              <w:left w:val="nil"/>
              <w:bottom w:val="single" w:sz="4" w:space="0" w:color="auto"/>
              <w:right w:val="single" w:sz="12" w:space="0" w:color="auto"/>
            </w:tcBorders>
            <w:shd w:val="clear" w:color="auto" w:fill="auto"/>
            <w:vAlign w:val="center"/>
            <w:hideMark/>
          </w:tcPr>
          <w:p w14:paraId="62D17B1C"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196CCD72"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single" w:sz="12" w:space="0" w:color="auto"/>
            </w:tcBorders>
            <w:shd w:val="clear" w:color="auto" w:fill="auto"/>
            <w:vAlign w:val="center"/>
            <w:hideMark/>
          </w:tcPr>
          <w:p w14:paraId="7E1253F2"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1" w:type="pct"/>
            <w:tcBorders>
              <w:top w:val="nil"/>
              <w:left w:val="nil"/>
              <w:bottom w:val="single" w:sz="4" w:space="0" w:color="auto"/>
              <w:right w:val="single" w:sz="4" w:space="0" w:color="auto"/>
            </w:tcBorders>
            <w:shd w:val="clear" w:color="auto" w:fill="auto"/>
            <w:vAlign w:val="center"/>
            <w:hideMark/>
          </w:tcPr>
          <w:p w14:paraId="202B5A56"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3A354C9D"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29C905CB"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6" w:type="pct"/>
            <w:tcBorders>
              <w:top w:val="nil"/>
              <w:left w:val="nil"/>
              <w:bottom w:val="single" w:sz="4" w:space="0" w:color="auto"/>
              <w:right w:val="double" w:sz="6" w:space="0" w:color="auto"/>
            </w:tcBorders>
            <w:shd w:val="clear" w:color="auto" w:fill="auto"/>
            <w:vAlign w:val="center"/>
            <w:hideMark/>
          </w:tcPr>
          <w:p w14:paraId="1FEFFFA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394D0F" w:rsidRPr="000A46ED" w14:paraId="7AE09A7D"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1C2741B" w14:textId="36F6B69F"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reading.</w:t>
            </w:r>
          </w:p>
        </w:tc>
        <w:tc>
          <w:tcPr>
            <w:tcW w:w="255" w:type="pct"/>
            <w:tcBorders>
              <w:top w:val="nil"/>
              <w:left w:val="double" w:sz="6" w:space="0" w:color="auto"/>
              <w:bottom w:val="single" w:sz="4" w:space="0" w:color="auto"/>
              <w:right w:val="nil"/>
            </w:tcBorders>
            <w:shd w:val="clear" w:color="000000" w:fill="F2DCDB"/>
            <w:vAlign w:val="center"/>
          </w:tcPr>
          <w:p w14:paraId="3BECFE7C" w14:textId="77777777" w:rsidR="00394D0F" w:rsidRDefault="00394D0F">
            <w:pPr>
              <w:jc w:val="right"/>
              <w:rPr>
                <w:color w:val="000000"/>
                <w:sz w:val="24"/>
                <w:szCs w:val="24"/>
              </w:rPr>
            </w:pPr>
            <w:r>
              <w:rPr>
                <w:color w:val="000000"/>
              </w:rPr>
              <w:t>326</w:t>
            </w:r>
          </w:p>
        </w:tc>
        <w:tc>
          <w:tcPr>
            <w:tcW w:w="256" w:type="pct"/>
            <w:tcBorders>
              <w:top w:val="nil"/>
              <w:left w:val="double" w:sz="6" w:space="0" w:color="auto"/>
              <w:bottom w:val="single" w:sz="4" w:space="0" w:color="auto"/>
              <w:right w:val="nil"/>
            </w:tcBorders>
            <w:shd w:val="clear" w:color="000000" w:fill="F2DCDB"/>
            <w:vAlign w:val="center"/>
          </w:tcPr>
          <w:p w14:paraId="0DEBAA40" w14:textId="77777777" w:rsidR="00394D0F" w:rsidRDefault="00394D0F">
            <w:pPr>
              <w:jc w:val="right"/>
              <w:rPr>
                <w:color w:val="000000"/>
                <w:sz w:val="24"/>
                <w:szCs w:val="24"/>
              </w:rPr>
            </w:pPr>
            <w:r>
              <w:rPr>
                <w:color w:val="000000"/>
              </w:rPr>
              <w:t>230</w:t>
            </w:r>
          </w:p>
        </w:tc>
        <w:tc>
          <w:tcPr>
            <w:tcW w:w="249" w:type="pct"/>
            <w:tcBorders>
              <w:top w:val="nil"/>
              <w:left w:val="double" w:sz="6" w:space="0" w:color="auto"/>
              <w:bottom w:val="single" w:sz="4" w:space="0" w:color="auto"/>
              <w:right w:val="nil"/>
            </w:tcBorders>
            <w:shd w:val="clear" w:color="000000" w:fill="F2DCDB"/>
            <w:vAlign w:val="center"/>
          </w:tcPr>
          <w:p w14:paraId="24EF0C81" w14:textId="77777777" w:rsidR="00394D0F" w:rsidRDefault="00394D0F">
            <w:pPr>
              <w:jc w:val="right"/>
              <w:rPr>
                <w:color w:val="000000"/>
                <w:sz w:val="24"/>
                <w:szCs w:val="24"/>
              </w:rPr>
            </w:pPr>
            <w:r>
              <w:rPr>
                <w:color w:val="000000"/>
              </w:rPr>
              <w:t>371</w:t>
            </w:r>
          </w:p>
        </w:tc>
        <w:tc>
          <w:tcPr>
            <w:tcW w:w="249" w:type="pct"/>
            <w:tcBorders>
              <w:top w:val="nil"/>
              <w:left w:val="double" w:sz="6" w:space="0" w:color="auto"/>
              <w:bottom w:val="single" w:sz="4" w:space="0" w:color="auto"/>
              <w:right w:val="nil"/>
            </w:tcBorders>
            <w:shd w:val="clear" w:color="000000" w:fill="F2DCDB"/>
            <w:vAlign w:val="center"/>
          </w:tcPr>
          <w:p w14:paraId="01BF6DA2" w14:textId="77777777" w:rsidR="00394D0F" w:rsidRDefault="00394D0F">
            <w:pPr>
              <w:jc w:val="right"/>
              <w:rPr>
                <w:color w:val="000000"/>
                <w:sz w:val="24"/>
                <w:szCs w:val="24"/>
              </w:rPr>
            </w:pPr>
            <w:r>
              <w:rPr>
                <w:color w:val="000000"/>
              </w:rPr>
              <w:t>411</w:t>
            </w:r>
          </w:p>
        </w:tc>
        <w:tc>
          <w:tcPr>
            <w:tcW w:w="222" w:type="pct"/>
            <w:tcBorders>
              <w:top w:val="nil"/>
              <w:left w:val="double" w:sz="6" w:space="0" w:color="auto"/>
              <w:bottom w:val="single" w:sz="4" w:space="0" w:color="auto"/>
              <w:right w:val="nil"/>
            </w:tcBorders>
            <w:shd w:val="clear" w:color="000000" w:fill="F2DCDB"/>
            <w:vAlign w:val="center"/>
          </w:tcPr>
          <w:p w14:paraId="27DD9F3E" w14:textId="77777777" w:rsidR="00394D0F" w:rsidRDefault="00394D0F">
            <w:pPr>
              <w:jc w:val="right"/>
              <w:rPr>
                <w:color w:val="000000"/>
                <w:sz w:val="24"/>
                <w:szCs w:val="24"/>
              </w:rPr>
            </w:pPr>
            <w:r>
              <w:rPr>
                <w:color w:val="000000"/>
              </w:rPr>
              <w:t>28</w:t>
            </w:r>
          </w:p>
        </w:tc>
        <w:tc>
          <w:tcPr>
            <w:tcW w:w="228" w:type="pct"/>
            <w:tcBorders>
              <w:top w:val="nil"/>
              <w:left w:val="double" w:sz="6" w:space="0" w:color="auto"/>
              <w:bottom w:val="single" w:sz="4" w:space="0" w:color="auto"/>
              <w:right w:val="nil"/>
            </w:tcBorders>
            <w:shd w:val="clear" w:color="000000" w:fill="F2DCDB"/>
            <w:vAlign w:val="center"/>
          </w:tcPr>
          <w:p w14:paraId="7C32DAA0" w14:textId="77777777" w:rsidR="00394D0F" w:rsidRDefault="00394D0F">
            <w:pPr>
              <w:jc w:val="right"/>
              <w:rPr>
                <w:color w:val="000000"/>
                <w:sz w:val="24"/>
                <w:szCs w:val="24"/>
              </w:rPr>
            </w:pPr>
            <w:r>
              <w:rPr>
                <w:color w:val="000000"/>
              </w:rPr>
              <w:t>62</w:t>
            </w:r>
          </w:p>
        </w:tc>
        <w:tc>
          <w:tcPr>
            <w:tcW w:w="291" w:type="pct"/>
            <w:tcBorders>
              <w:top w:val="nil"/>
              <w:left w:val="double" w:sz="6" w:space="0" w:color="auto"/>
              <w:bottom w:val="single" w:sz="4" w:space="0" w:color="auto"/>
              <w:right w:val="nil"/>
            </w:tcBorders>
            <w:shd w:val="clear" w:color="000000" w:fill="F2DCDB"/>
            <w:vAlign w:val="center"/>
          </w:tcPr>
          <w:p w14:paraId="45FA1972" w14:textId="77777777" w:rsidR="00394D0F" w:rsidRDefault="00394D0F">
            <w:pPr>
              <w:jc w:val="right"/>
              <w:rPr>
                <w:color w:val="000000"/>
                <w:sz w:val="24"/>
                <w:szCs w:val="24"/>
              </w:rPr>
            </w:pPr>
            <w:r>
              <w:rPr>
                <w:color w:val="000000"/>
              </w:rPr>
              <w:t>4</w:t>
            </w:r>
          </w:p>
        </w:tc>
        <w:tc>
          <w:tcPr>
            <w:tcW w:w="299" w:type="pct"/>
            <w:tcBorders>
              <w:top w:val="nil"/>
              <w:left w:val="double" w:sz="6" w:space="0" w:color="auto"/>
              <w:bottom w:val="single" w:sz="4" w:space="0" w:color="auto"/>
              <w:right w:val="nil"/>
            </w:tcBorders>
            <w:shd w:val="clear" w:color="000000" w:fill="F2DCDB"/>
            <w:vAlign w:val="center"/>
          </w:tcPr>
          <w:p w14:paraId="26AF04DB" w14:textId="77777777" w:rsidR="00394D0F" w:rsidRDefault="00394D0F">
            <w:pPr>
              <w:jc w:val="right"/>
              <w:rPr>
                <w:color w:val="000000"/>
                <w:sz w:val="24"/>
                <w:szCs w:val="24"/>
              </w:rPr>
            </w:pPr>
            <w:r>
              <w:rPr>
                <w:color w:val="000000"/>
              </w:rPr>
              <w:t>25</w:t>
            </w:r>
          </w:p>
        </w:tc>
        <w:tc>
          <w:tcPr>
            <w:tcW w:w="222" w:type="pct"/>
            <w:tcBorders>
              <w:top w:val="nil"/>
              <w:left w:val="double" w:sz="6" w:space="0" w:color="auto"/>
              <w:bottom w:val="single" w:sz="4" w:space="0" w:color="auto"/>
              <w:right w:val="nil"/>
            </w:tcBorders>
            <w:shd w:val="clear" w:color="000000" w:fill="F2DCDB"/>
            <w:vAlign w:val="center"/>
          </w:tcPr>
          <w:p w14:paraId="235A0241" w14:textId="77777777" w:rsidR="00394D0F" w:rsidRDefault="00394D0F">
            <w:pPr>
              <w:jc w:val="right"/>
              <w:rPr>
                <w:color w:val="000000"/>
                <w:sz w:val="24"/>
                <w:szCs w:val="24"/>
              </w:rPr>
            </w:pPr>
            <w:r>
              <w:rPr>
                <w:color w:val="000000"/>
              </w:rPr>
              <w:t>20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F153009" w14:textId="77777777" w:rsidR="00394D0F" w:rsidRDefault="00394D0F">
            <w:pPr>
              <w:jc w:val="right"/>
              <w:rPr>
                <w:color w:val="000000"/>
                <w:sz w:val="24"/>
                <w:szCs w:val="24"/>
              </w:rPr>
            </w:pPr>
            <w:r>
              <w:rPr>
                <w:color w:val="000000"/>
              </w:rPr>
              <w:t>40</w:t>
            </w:r>
          </w:p>
        </w:tc>
      </w:tr>
      <w:tr w:rsidR="00394D0F" w:rsidRPr="000A46ED" w14:paraId="7E3F458C"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593A9B8" w14:textId="31C8C3BC"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 It is important to learn to read and to understand what you are reading.</w:t>
            </w:r>
          </w:p>
        </w:tc>
        <w:tc>
          <w:tcPr>
            <w:tcW w:w="255" w:type="pct"/>
            <w:tcBorders>
              <w:top w:val="nil"/>
              <w:left w:val="double" w:sz="6" w:space="0" w:color="auto"/>
              <w:bottom w:val="single" w:sz="4" w:space="0" w:color="auto"/>
              <w:right w:val="nil"/>
            </w:tcBorders>
            <w:shd w:val="clear" w:color="000000" w:fill="F2DCDB"/>
            <w:vAlign w:val="center"/>
          </w:tcPr>
          <w:p w14:paraId="5CE2B881" w14:textId="77777777" w:rsidR="00394D0F" w:rsidRDefault="00394D0F">
            <w:pPr>
              <w:jc w:val="right"/>
              <w:rPr>
                <w:color w:val="000000"/>
                <w:sz w:val="24"/>
                <w:szCs w:val="24"/>
              </w:rPr>
            </w:pPr>
            <w:r>
              <w:rPr>
                <w:color w:val="000000"/>
              </w:rPr>
              <w:t>516</w:t>
            </w:r>
          </w:p>
        </w:tc>
        <w:tc>
          <w:tcPr>
            <w:tcW w:w="256" w:type="pct"/>
            <w:tcBorders>
              <w:top w:val="nil"/>
              <w:left w:val="double" w:sz="6" w:space="0" w:color="auto"/>
              <w:bottom w:val="single" w:sz="4" w:space="0" w:color="auto"/>
              <w:right w:val="nil"/>
            </w:tcBorders>
            <w:shd w:val="clear" w:color="000000" w:fill="F2DCDB"/>
            <w:vAlign w:val="center"/>
          </w:tcPr>
          <w:p w14:paraId="00CD23B4" w14:textId="77777777" w:rsidR="00394D0F" w:rsidRDefault="00394D0F">
            <w:pPr>
              <w:jc w:val="right"/>
              <w:rPr>
                <w:color w:val="000000"/>
                <w:sz w:val="24"/>
                <w:szCs w:val="24"/>
              </w:rPr>
            </w:pPr>
            <w:r>
              <w:rPr>
                <w:color w:val="000000"/>
              </w:rPr>
              <w:t>474</w:t>
            </w:r>
          </w:p>
        </w:tc>
        <w:tc>
          <w:tcPr>
            <w:tcW w:w="249" w:type="pct"/>
            <w:tcBorders>
              <w:top w:val="nil"/>
              <w:left w:val="double" w:sz="6" w:space="0" w:color="auto"/>
              <w:bottom w:val="single" w:sz="4" w:space="0" w:color="auto"/>
              <w:right w:val="nil"/>
            </w:tcBorders>
            <w:shd w:val="clear" w:color="000000" w:fill="F2DCDB"/>
            <w:vAlign w:val="center"/>
          </w:tcPr>
          <w:p w14:paraId="58DF6703" w14:textId="77777777" w:rsidR="00394D0F" w:rsidRDefault="00394D0F">
            <w:pPr>
              <w:jc w:val="right"/>
              <w:rPr>
                <w:color w:val="000000"/>
                <w:sz w:val="24"/>
                <w:szCs w:val="24"/>
              </w:rPr>
            </w:pPr>
            <w:r>
              <w:rPr>
                <w:color w:val="000000"/>
              </w:rPr>
              <w:t>210</w:t>
            </w:r>
          </w:p>
        </w:tc>
        <w:tc>
          <w:tcPr>
            <w:tcW w:w="249" w:type="pct"/>
            <w:tcBorders>
              <w:top w:val="nil"/>
              <w:left w:val="double" w:sz="6" w:space="0" w:color="auto"/>
              <w:bottom w:val="single" w:sz="4" w:space="0" w:color="auto"/>
              <w:right w:val="nil"/>
            </w:tcBorders>
            <w:shd w:val="clear" w:color="000000" w:fill="F2DCDB"/>
            <w:vAlign w:val="center"/>
          </w:tcPr>
          <w:p w14:paraId="0D7FC7E5" w14:textId="77777777" w:rsidR="00394D0F" w:rsidRDefault="00394D0F">
            <w:pPr>
              <w:jc w:val="right"/>
              <w:rPr>
                <w:color w:val="000000"/>
                <w:sz w:val="24"/>
                <w:szCs w:val="24"/>
              </w:rPr>
            </w:pPr>
            <w:r>
              <w:rPr>
                <w:color w:val="000000"/>
              </w:rPr>
              <w:t>261</w:t>
            </w:r>
          </w:p>
        </w:tc>
        <w:tc>
          <w:tcPr>
            <w:tcW w:w="222" w:type="pct"/>
            <w:tcBorders>
              <w:top w:val="nil"/>
              <w:left w:val="double" w:sz="6" w:space="0" w:color="auto"/>
              <w:bottom w:val="single" w:sz="4" w:space="0" w:color="auto"/>
              <w:right w:val="nil"/>
            </w:tcBorders>
            <w:shd w:val="clear" w:color="000000" w:fill="F2DCDB"/>
            <w:vAlign w:val="center"/>
          </w:tcPr>
          <w:p w14:paraId="7A24470C" w14:textId="77777777" w:rsidR="00394D0F" w:rsidRDefault="00394D0F">
            <w:pPr>
              <w:jc w:val="right"/>
              <w:rPr>
                <w:color w:val="000000"/>
                <w:sz w:val="24"/>
                <w:szCs w:val="24"/>
              </w:rPr>
            </w:pPr>
            <w:r>
              <w:rPr>
                <w:color w:val="000000"/>
              </w:rPr>
              <w:t>6</w:t>
            </w:r>
          </w:p>
        </w:tc>
        <w:tc>
          <w:tcPr>
            <w:tcW w:w="228" w:type="pct"/>
            <w:tcBorders>
              <w:top w:val="nil"/>
              <w:left w:val="double" w:sz="6" w:space="0" w:color="auto"/>
              <w:bottom w:val="single" w:sz="4" w:space="0" w:color="auto"/>
              <w:right w:val="nil"/>
            </w:tcBorders>
            <w:shd w:val="clear" w:color="000000" w:fill="F2DCDB"/>
            <w:vAlign w:val="center"/>
          </w:tcPr>
          <w:p w14:paraId="5CC693AA" w14:textId="77777777" w:rsidR="00394D0F" w:rsidRDefault="00394D0F">
            <w:pPr>
              <w:jc w:val="right"/>
              <w:rPr>
                <w:color w:val="000000"/>
                <w:sz w:val="24"/>
                <w:szCs w:val="24"/>
              </w:rPr>
            </w:pPr>
            <w:r>
              <w:rPr>
                <w:color w:val="000000"/>
              </w:rPr>
              <w:t>18</w:t>
            </w:r>
          </w:p>
        </w:tc>
        <w:tc>
          <w:tcPr>
            <w:tcW w:w="291" w:type="pct"/>
            <w:tcBorders>
              <w:top w:val="nil"/>
              <w:left w:val="double" w:sz="6" w:space="0" w:color="auto"/>
              <w:bottom w:val="single" w:sz="4" w:space="0" w:color="auto"/>
              <w:right w:val="nil"/>
            </w:tcBorders>
            <w:shd w:val="clear" w:color="000000" w:fill="F2DCDB"/>
            <w:vAlign w:val="center"/>
          </w:tcPr>
          <w:p w14:paraId="491BC7C9" w14:textId="77777777" w:rsidR="00394D0F" w:rsidRDefault="00394D0F">
            <w:pPr>
              <w:jc w:val="right"/>
              <w:rPr>
                <w:color w:val="000000"/>
                <w:sz w:val="24"/>
                <w:szCs w:val="24"/>
              </w:rPr>
            </w:pPr>
            <w:r>
              <w:rPr>
                <w:color w:val="000000"/>
              </w:rPr>
              <w:t>1</w:t>
            </w:r>
          </w:p>
        </w:tc>
        <w:tc>
          <w:tcPr>
            <w:tcW w:w="299" w:type="pct"/>
            <w:tcBorders>
              <w:top w:val="nil"/>
              <w:left w:val="double" w:sz="6" w:space="0" w:color="auto"/>
              <w:bottom w:val="single" w:sz="4" w:space="0" w:color="auto"/>
              <w:right w:val="nil"/>
            </w:tcBorders>
            <w:shd w:val="clear" w:color="000000" w:fill="F2DCDB"/>
            <w:vAlign w:val="center"/>
          </w:tcPr>
          <w:p w14:paraId="49CC3A7E" w14:textId="77777777" w:rsidR="00394D0F" w:rsidRDefault="00394D0F">
            <w:pPr>
              <w:jc w:val="right"/>
              <w:rPr>
                <w:color w:val="000000"/>
                <w:sz w:val="24"/>
                <w:szCs w:val="24"/>
              </w:rPr>
            </w:pPr>
            <w:r>
              <w:rPr>
                <w:color w:val="000000"/>
              </w:rPr>
              <w:t>1</w:t>
            </w:r>
          </w:p>
        </w:tc>
        <w:tc>
          <w:tcPr>
            <w:tcW w:w="222" w:type="pct"/>
            <w:tcBorders>
              <w:top w:val="nil"/>
              <w:left w:val="double" w:sz="6" w:space="0" w:color="auto"/>
              <w:bottom w:val="single" w:sz="4" w:space="0" w:color="auto"/>
              <w:right w:val="nil"/>
            </w:tcBorders>
            <w:shd w:val="clear" w:color="000000" w:fill="F2DCDB"/>
            <w:vAlign w:val="center"/>
          </w:tcPr>
          <w:p w14:paraId="3AECD0C3" w14:textId="77777777" w:rsidR="00394D0F" w:rsidRDefault="00394D0F">
            <w:pPr>
              <w:jc w:val="right"/>
              <w:rPr>
                <w:color w:val="000000"/>
                <w:sz w:val="24"/>
                <w:szCs w:val="24"/>
              </w:rPr>
            </w:pPr>
            <w:r>
              <w:rPr>
                <w:color w:val="000000"/>
              </w:rPr>
              <w:t>10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A118C47" w14:textId="77777777" w:rsidR="00394D0F" w:rsidRDefault="00394D0F">
            <w:pPr>
              <w:jc w:val="right"/>
              <w:rPr>
                <w:color w:val="000000"/>
                <w:sz w:val="24"/>
                <w:szCs w:val="24"/>
              </w:rPr>
            </w:pPr>
            <w:r>
              <w:rPr>
                <w:color w:val="000000"/>
              </w:rPr>
              <w:t>14</w:t>
            </w:r>
          </w:p>
        </w:tc>
      </w:tr>
      <w:tr w:rsidR="00394D0F" w:rsidRPr="000A46ED" w14:paraId="0A6139CA"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C5C102E" w14:textId="7E09D231"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reading skills.</w:t>
            </w:r>
          </w:p>
        </w:tc>
        <w:tc>
          <w:tcPr>
            <w:tcW w:w="255" w:type="pct"/>
            <w:tcBorders>
              <w:top w:val="nil"/>
              <w:left w:val="double" w:sz="6" w:space="0" w:color="auto"/>
              <w:bottom w:val="single" w:sz="4" w:space="0" w:color="auto"/>
              <w:right w:val="nil"/>
            </w:tcBorders>
            <w:shd w:val="clear" w:color="000000" w:fill="F2DCDB"/>
            <w:vAlign w:val="center"/>
          </w:tcPr>
          <w:p w14:paraId="52E5AC85" w14:textId="77777777" w:rsidR="00394D0F" w:rsidRDefault="00394D0F">
            <w:pPr>
              <w:jc w:val="right"/>
              <w:rPr>
                <w:color w:val="000000"/>
                <w:sz w:val="24"/>
                <w:szCs w:val="24"/>
              </w:rPr>
            </w:pPr>
            <w:r>
              <w:rPr>
                <w:color w:val="000000"/>
              </w:rPr>
              <w:t>206</w:t>
            </w:r>
          </w:p>
        </w:tc>
        <w:tc>
          <w:tcPr>
            <w:tcW w:w="256" w:type="pct"/>
            <w:tcBorders>
              <w:top w:val="nil"/>
              <w:left w:val="double" w:sz="6" w:space="0" w:color="auto"/>
              <w:bottom w:val="single" w:sz="4" w:space="0" w:color="auto"/>
              <w:right w:val="nil"/>
            </w:tcBorders>
            <w:shd w:val="clear" w:color="000000" w:fill="F2DCDB"/>
            <w:vAlign w:val="center"/>
          </w:tcPr>
          <w:p w14:paraId="5018552A" w14:textId="77777777" w:rsidR="00394D0F" w:rsidRDefault="00394D0F">
            <w:pPr>
              <w:jc w:val="right"/>
              <w:rPr>
                <w:color w:val="000000"/>
                <w:sz w:val="24"/>
                <w:szCs w:val="24"/>
              </w:rPr>
            </w:pPr>
            <w:r>
              <w:rPr>
                <w:color w:val="000000"/>
              </w:rPr>
              <w:t>205</w:t>
            </w:r>
          </w:p>
        </w:tc>
        <w:tc>
          <w:tcPr>
            <w:tcW w:w="249" w:type="pct"/>
            <w:tcBorders>
              <w:top w:val="nil"/>
              <w:left w:val="double" w:sz="6" w:space="0" w:color="auto"/>
              <w:bottom w:val="single" w:sz="4" w:space="0" w:color="auto"/>
              <w:right w:val="nil"/>
            </w:tcBorders>
            <w:shd w:val="clear" w:color="000000" w:fill="F2DCDB"/>
            <w:vAlign w:val="center"/>
          </w:tcPr>
          <w:p w14:paraId="508806D8" w14:textId="77777777" w:rsidR="00394D0F" w:rsidRDefault="00394D0F">
            <w:pPr>
              <w:jc w:val="right"/>
              <w:rPr>
                <w:color w:val="000000"/>
                <w:sz w:val="24"/>
                <w:szCs w:val="24"/>
              </w:rPr>
            </w:pPr>
            <w:r>
              <w:rPr>
                <w:color w:val="000000"/>
              </w:rPr>
              <w:t>410</w:t>
            </w:r>
          </w:p>
        </w:tc>
        <w:tc>
          <w:tcPr>
            <w:tcW w:w="249" w:type="pct"/>
            <w:tcBorders>
              <w:top w:val="nil"/>
              <w:left w:val="double" w:sz="6" w:space="0" w:color="auto"/>
              <w:bottom w:val="single" w:sz="4" w:space="0" w:color="auto"/>
              <w:right w:val="nil"/>
            </w:tcBorders>
            <w:shd w:val="clear" w:color="000000" w:fill="F2DCDB"/>
            <w:vAlign w:val="center"/>
          </w:tcPr>
          <w:p w14:paraId="0D7B7D77" w14:textId="77777777" w:rsidR="00394D0F" w:rsidRDefault="00394D0F">
            <w:pPr>
              <w:jc w:val="right"/>
              <w:rPr>
                <w:color w:val="000000"/>
                <w:sz w:val="24"/>
                <w:szCs w:val="24"/>
              </w:rPr>
            </w:pPr>
            <w:r>
              <w:rPr>
                <w:color w:val="000000"/>
              </w:rPr>
              <w:t>385</w:t>
            </w:r>
          </w:p>
        </w:tc>
        <w:tc>
          <w:tcPr>
            <w:tcW w:w="222" w:type="pct"/>
            <w:tcBorders>
              <w:top w:val="nil"/>
              <w:left w:val="double" w:sz="6" w:space="0" w:color="auto"/>
              <w:bottom w:val="single" w:sz="4" w:space="0" w:color="auto"/>
              <w:right w:val="nil"/>
            </w:tcBorders>
            <w:shd w:val="clear" w:color="000000" w:fill="F2DCDB"/>
            <w:vAlign w:val="center"/>
          </w:tcPr>
          <w:p w14:paraId="5588EE69" w14:textId="77777777" w:rsidR="00394D0F" w:rsidRDefault="00394D0F">
            <w:pPr>
              <w:jc w:val="right"/>
              <w:rPr>
                <w:color w:val="000000"/>
                <w:sz w:val="24"/>
                <w:szCs w:val="24"/>
              </w:rPr>
            </w:pPr>
            <w:r>
              <w:rPr>
                <w:color w:val="000000"/>
              </w:rPr>
              <w:t>47</w:t>
            </w:r>
          </w:p>
        </w:tc>
        <w:tc>
          <w:tcPr>
            <w:tcW w:w="228" w:type="pct"/>
            <w:tcBorders>
              <w:top w:val="nil"/>
              <w:left w:val="double" w:sz="6" w:space="0" w:color="auto"/>
              <w:bottom w:val="single" w:sz="4" w:space="0" w:color="auto"/>
              <w:right w:val="nil"/>
            </w:tcBorders>
            <w:shd w:val="clear" w:color="000000" w:fill="F2DCDB"/>
            <w:vAlign w:val="center"/>
          </w:tcPr>
          <w:p w14:paraId="012F041F" w14:textId="77777777" w:rsidR="00394D0F" w:rsidRDefault="00394D0F">
            <w:pPr>
              <w:jc w:val="right"/>
              <w:rPr>
                <w:color w:val="000000"/>
                <w:sz w:val="24"/>
                <w:szCs w:val="24"/>
              </w:rPr>
            </w:pPr>
            <w:r>
              <w:rPr>
                <w:color w:val="000000"/>
              </w:rPr>
              <w:t>92</w:t>
            </w:r>
          </w:p>
        </w:tc>
        <w:tc>
          <w:tcPr>
            <w:tcW w:w="291" w:type="pct"/>
            <w:tcBorders>
              <w:top w:val="nil"/>
              <w:left w:val="double" w:sz="6" w:space="0" w:color="auto"/>
              <w:bottom w:val="single" w:sz="4" w:space="0" w:color="auto"/>
              <w:right w:val="nil"/>
            </w:tcBorders>
            <w:shd w:val="clear" w:color="000000" w:fill="F2DCDB"/>
            <w:vAlign w:val="center"/>
          </w:tcPr>
          <w:p w14:paraId="03BDC1CD" w14:textId="77777777" w:rsidR="00394D0F" w:rsidRDefault="00394D0F">
            <w:pPr>
              <w:jc w:val="right"/>
              <w:rPr>
                <w:color w:val="000000"/>
                <w:sz w:val="24"/>
                <w:szCs w:val="24"/>
              </w:rPr>
            </w:pPr>
            <w:r>
              <w:rPr>
                <w:color w:val="000000"/>
              </w:rPr>
              <w:t>8</w:t>
            </w:r>
          </w:p>
        </w:tc>
        <w:tc>
          <w:tcPr>
            <w:tcW w:w="299" w:type="pct"/>
            <w:tcBorders>
              <w:top w:val="nil"/>
              <w:left w:val="double" w:sz="6" w:space="0" w:color="auto"/>
              <w:bottom w:val="single" w:sz="4" w:space="0" w:color="auto"/>
              <w:right w:val="nil"/>
            </w:tcBorders>
            <w:shd w:val="clear" w:color="000000" w:fill="F2DCDB"/>
            <w:vAlign w:val="center"/>
          </w:tcPr>
          <w:p w14:paraId="21C09338" w14:textId="77777777" w:rsidR="00394D0F" w:rsidRDefault="00394D0F">
            <w:pPr>
              <w:jc w:val="right"/>
              <w:rPr>
                <w:color w:val="000000"/>
                <w:sz w:val="24"/>
                <w:szCs w:val="24"/>
              </w:rPr>
            </w:pPr>
            <w:r>
              <w:rPr>
                <w:color w:val="000000"/>
              </w:rPr>
              <w:t>16</w:t>
            </w:r>
          </w:p>
        </w:tc>
        <w:tc>
          <w:tcPr>
            <w:tcW w:w="222" w:type="pct"/>
            <w:tcBorders>
              <w:top w:val="nil"/>
              <w:left w:val="double" w:sz="6" w:space="0" w:color="auto"/>
              <w:bottom w:val="single" w:sz="4" w:space="0" w:color="auto"/>
              <w:right w:val="nil"/>
            </w:tcBorders>
            <w:shd w:val="clear" w:color="000000" w:fill="F2DCDB"/>
            <w:vAlign w:val="center"/>
          </w:tcPr>
          <w:p w14:paraId="73DC7DBA" w14:textId="77777777" w:rsidR="00394D0F" w:rsidRDefault="00394D0F">
            <w:pPr>
              <w:jc w:val="right"/>
              <w:rPr>
                <w:color w:val="000000"/>
                <w:sz w:val="24"/>
                <w:szCs w:val="24"/>
              </w:rPr>
            </w:pPr>
            <w:r>
              <w:rPr>
                <w:color w:val="000000"/>
              </w:rPr>
              <w:t>77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CD033D4" w14:textId="77777777" w:rsidR="00394D0F" w:rsidRDefault="00394D0F">
            <w:pPr>
              <w:jc w:val="right"/>
              <w:rPr>
                <w:color w:val="000000"/>
                <w:sz w:val="24"/>
                <w:szCs w:val="24"/>
              </w:rPr>
            </w:pPr>
            <w:r>
              <w:rPr>
                <w:color w:val="000000"/>
              </w:rPr>
              <w:t>67</w:t>
            </w:r>
          </w:p>
        </w:tc>
      </w:tr>
      <w:tr w:rsidR="00394D0F" w:rsidRPr="000A46ED" w14:paraId="68ED06A6"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EF2B1E7" w14:textId="59D1AC44"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my learning as I get older.</w:t>
            </w:r>
          </w:p>
        </w:tc>
        <w:tc>
          <w:tcPr>
            <w:tcW w:w="255" w:type="pct"/>
            <w:tcBorders>
              <w:top w:val="nil"/>
              <w:left w:val="double" w:sz="6" w:space="0" w:color="auto"/>
              <w:bottom w:val="single" w:sz="4" w:space="0" w:color="auto"/>
              <w:right w:val="nil"/>
            </w:tcBorders>
            <w:shd w:val="clear" w:color="000000" w:fill="F2DCDB"/>
            <w:vAlign w:val="center"/>
          </w:tcPr>
          <w:p w14:paraId="4F9FDB9C" w14:textId="77777777" w:rsidR="00394D0F" w:rsidRDefault="00394D0F">
            <w:pPr>
              <w:jc w:val="right"/>
              <w:rPr>
                <w:color w:val="000000"/>
                <w:sz w:val="24"/>
                <w:szCs w:val="24"/>
              </w:rPr>
            </w:pPr>
            <w:r>
              <w:rPr>
                <w:color w:val="000000"/>
              </w:rPr>
              <w:t>384</w:t>
            </w:r>
          </w:p>
        </w:tc>
        <w:tc>
          <w:tcPr>
            <w:tcW w:w="256" w:type="pct"/>
            <w:tcBorders>
              <w:top w:val="nil"/>
              <w:left w:val="double" w:sz="6" w:space="0" w:color="auto"/>
              <w:bottom w:val="single" w:sz="4" w:space="0" w:color="auto"/>
              <w:right w:val="nil"/>
            </w:tcBorders>
            <w:shd w:val="clear" w:color="000000" w:fill="F2DCDB"/>
            <w:vAlign w:val="center"/>
          </w:tcPr>
          <w:p w14:paraId="42B8D0B4" w14:textId="77777777" w:rsidR="00394D0F" w:rsidRDefault="00394D0F">
            <w:pPr>
              <w:jc w:val="right"/>
              <w:rPr>
                <w:color w:val="000000"/>
                <w:sz w:val="24"/>
                <w:szCs w:val="24"/>
              </w:rPr>
            </w:pPr>
            <w:r>
              <w:rPr>
                <w:color w:val="000000"/>
              </w:rPr>
              <w:t>343</w:t>
            </w:r>
          </w:p>
        </w:tc>
        <w:tc>
          <w:tcPr>
            <w:tcW w:w="249" w:type="pct"/>
            <w:tcBorders>
              <w:top w:val="nil"/>
              <w:left w:val="double" w:sz="6" w:space="0" w:color="auto"/>
              <w:bottom w:val="single" w:sz="4" w:space="0" w:color="auto"/>
              <w:right w:val="nil"/>
            </w:tcBorders>
            <w:shd w:val="clear" w:color="000000" w:fill="F2DCDB"/>
            <w:vAlign w:val="center"/>
          </w:tcPr>
          <w:p w14:paraId="472B6BD9" w14:textId="77777777" w:rsidR="00394D0F" w:rsidRDefault="00394D0F">
            <w:pPr>
              <w:jc w:val="right"/>
              <w:rPr>
                <w:color w:val="000000"/>
                <w:sz w:val="24"/>
                <w:szCs w:val="24"/>
              </w:rPr>
            </w:pPr>
            <w:r>
              <w:rPr>
                <w:color w:val="000000"/>
              </w:rPr>
              <w:t>311</w:t>
            </w:r>
          </w:p>
        </w:tc>
        <w:tc>
          <w:tcPr>
            <w:tcW w:w="249" w:type="pct"/>
            <w:tcBorders>
              <w:top w:val="nil"/>
              <w:left w:val="double" w:sz="6" w:space="0" w:color="auto"/>
              <w:bottom w:val="single" w:sz="4" w:space="0" w:color="auto"/>
              <w:right w:val="nil"/>
            </w:tcBorders>
            <w:shd w:val="clear" w:color="000000" w:fill="F2DCDB"/>
            <w:vAlign w:val="center"/>
          </w:tcPr>
          <w:p w14:paraId="67D5313B" w14:textId="77777777" w:rsidR="00394D0F" w:rsidRDefault="00394D0F">
            <w:pPr>
              <w:jc w:val="right"/>
              <w:rPr>
                <w:color w:val="000000"/>
                <w:sz w:val="24"/>
                <w:szCs w:val="24"/>
              </w:rPr>
            </w:pPr>
            <w:r>
              <w:rPr>
                <w:color w:val="000000"/>
              </w:rPr>
              <w:t>310</w:t>
            </w:r>
          </w:p>
        </w:tc>
        <w:tc>
          <w:tcPr>
            <w:tcW w:w="222" w:type="pct"/>
            <w:tcBorders>
              <w:top w:val="nil"/>
              <w:left w:val="double" w:sz="6" w:space="0" w:color="auto"/>
              <w:bottom w:val="single" w:sz="4" w:space="0" w:color="auto"/>
              <w:right w:val="nil"/>
            </w:tcBorders>
            <w:shd w:val="clear" w:color="000000" w:fill="F2DCDB"/>
            <w:vAlign w:val="center"/>
          </w:tcPr>
          <w:p w14:paraId="78CE969F" w14:textId="77777777" w:rsidR="00394D0F" w:rsidRDefault="00394D0F">
            <w:pPr>
              <w:jc w:val="right"/>
              <w:rPr>
                <w:color w:val="000000"/>
                <w:sz w:val="24"/>
                <w:szCs w:val="24"/>
              </w:rPr>
            </w:pPr>
            <w:r>
              <w:rPr>
                <w:color w:val="000000"/>
              </w:rPr>
              <w:t>15</w:t>
            </w:r>
          </w:p>
        </w:tc>
        <w:tc>
          <w:tcPr>
            <w:tcW w:w="228" w:type="pct"/>
            <w:tcBorders>
              <w:top w:val="nil"/>
              <w:left w:val="double" w:sz="6" w:space="0" w:color="auto"/>
              <w:bottom w:val="single" w:sz="4" w:space="0" w:color="auto"/>
              <w:right w:val="nil"/>
            </w:tcBorders>
            <w:shd w:val="clear" w:color="000000" w:fill="F2DCDB"/>
            <w:vAlign w:val="center"/>
          </w:tcPr>
          <w:p w14:paraId="28754B13" w14:textId="77777777" w:rsidR="00394D0F" w:rsidRDefault="00394D0F">
            <w:pPr>
              <w:jc w:val="right"/>
              <w:rPr>
                <w:color w:val="000000"/>
                <w:sz w:val="24"/>
                <w:szCs w:val="24"/>
              </w:rPr>
            </w:pPr>
            <w:r>
              <w:rPr>
                <w:color w:val="000000"/>
              </w:rPr>
              <w:t>39</w:t>
            </w:r>
          </w:p>
        </w:tc>
        <w:tc>
          <w:tcPr>
            <w:tcW w:w="291" w:type="pct"/>
            <w:tcBorders>
              <w:top w:val="nil"/>
              <w:left w:val="double" w:sz="6" w:space="0" w:color="auto"/>
              <w:bottom w:val="single" w:sz="4" w:space="0" w:color="auto"/>
              <w:right w:val="nil"/>
            </w:tcBorders>
            <w:shd w:val="clear" w:color="000000" w:fill="F2DCDB"/>
            <w:vAlign w:val="center"/>
          </w:tcPr>
          <w:p w14:paraId="36CDCE60" w14:textId="77777777" w:rsidR="00394D0F" w:rsidRDefault="00394D0F">
            <w:pPr>
              <w:jc w:val="right"/>
              <w:rPr>
                <w:color w:val="000000"/>
                <w:sz w:val="24"/>
                <w:szCs w:val="24"/>
              </w:rPr>
            </w:pPr>
            <w:r>
              <w:rPr>
                <w:color w:val="000000"/>
              </w:rPr>
              <w:t>7</w:t>
            </w:r>
          </w:p>
        </w:tc>
        <w:tc>
          <w:tcPr>
            <w:tcW w:w="299" w:type="pct"/>
            <w:tcBorders>
              <w:top w:val="nil"/>
              <w:left w:val="double" w:sz="6" w:space="0" w:color="auto"/>
              <w:bottom w:val="single" w:sz="4" w:space="0" w:color="auto"/>
              <w:right w:val="nil"/>
            </w:tcBorders>
            <w:shd w:val="clear" w:color="000000" w:fill="F2DCDB"/>
            <w:vAlign w:val="center"/>
          </w:tcPr>
          <w:p w14:paraId="107314BE" w14:textId="77777777" w:rsidR="00394D0F" w:rsidRDefault="00394D0F">
            <w:pPr>
              <w:jc w:val="right"/>
              <w:rPr>
                <w:color w:val="000000"/>
                <w:sz w:val="24"/>
                <w:szCs w:val="24"/>
              </w:rPr>
            </w:pPr>
            <w:r>
              <w:rPr>
                <w:color w:val="000000"/>
              </w:rPr>
              <w:t>12</w:t>
            </w:r>
          </w:p>
        </w:tc>
        <w:tc>
          <w:tcPr>
            <w:tcW w:w="222" w:type="pct"/>
            <w:tcBorders>
              <w:top w:val="nil"/>
              <w:left w:val="double" w:sz="6" w:space="0" w:color="auto"/>
              <w:bottom w:val="single" w:sz="4" w:space="0" w:color="auto"/>
              <w:right w:val="nil"/>
            </w:tcBorders>
            <w:shd w:val="clear" w:color="000000" w:fill="F2DCDB"/>
            <w:vAlign w:val="center"/>
          </w:tcPr>
          <w:p w14:paraId="29EF64AA" w14:textId="77777777" w:rsidR="00394D0F" w:rsidRDefault="00394D0F">
            <w:pPr>
              <w:jc w:val="right"/>
              <w:rPr>
                <w:color w:val="000000"/>
                <w:sz w:val="24"/>
                <w:szCs w:val="24"/>
              </w:rPr>
            </w:pPr>
            <w:r>
              <w:rPr>
                <w:color w:val="000000"/>
              </w:rPr>
              <w:t>30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5FF5849B" w14:textId="77777777" w:rsidR="00394D0F" w:rsidRDefault="00394D0F">
            <w:pPr>
              <w:jc w:val="right"/>
              <w:rPr>
                <w:color w:val="000000"/>
                <w:sz w:val="24"/>
                <w:szCs w:val="24"/>
              </w:rPr>
            </w:pPr>
            <w:r>
              <w:rPr>
                <w:color w:val="000000"/>
              </w:rPr>
              <w:t>62</w:t>
            </w:r>
          </w:p>
        </w:tc>
      </w:tr>
      <w:tr w:rsidR="00394D0F" w:rsidRPr="000A46ED" w14:paraId="282F7B8C"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824EE10" w14:textId="5BCAA051"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 My teacher expects more of me in reading as I get older.</w:t>
            </w:r>
          </w:p>
        </w:tc>
        <w:tc>
          <w:tcPr>
            <w:tcW w:w="255" w:type="pct"/>
            <w:tcBorders>
              <w:top w:val="nil"/>
              <w:left w:val="double" w:sz="6" w:space="0" w:color="auto"/>
              <w:bottom w:val="single" w:sz="4" w:space="0" w:color="auto"/>
              <w:right w:val="nil"/>
            </w:tcBorders>
            <w:shd w:val="clear" w:color="000000" w:fill="F2DCDB"/>
            <w:vAlign w:val="center"/>
          </w:tcPr>
          <w:p w14:paraId="6BCDBAE5" w14:textId="77777777" w:rsidR="00394D0F" w:rsidRDefault="00394D0F">
            <w:pPr>
              <w:jc w:val="right"/>
              <w:rPr>
                <w:color w:val="000000"/>
                <w:sz w:val="24"/>
                <w:szCs w:val="24"/>
              </w:rPr>
            </w:pPr>
            <w:r>
              <w:rPr>
                <w:color w:val="000000"/>
              </w:rPr>
              <w:t>376</w:t>
            </w:r>
          </w:p>
        </w:tc>
        <w:tc>
          <w:tcPr>
            <w:tcW w:w="256" w:type="pct"/>
            <w:tcBorders>
              <w:top w:val="nil"/>
              <w:left w:val="double" w:sz="6" w:space="0" w:color="auto"/>
              <w:bottom w:val="single" w:sz="4" w:space="0" w:color="auto"/>
              <w:right w:val="nil"/>
            </w:tcBorders>
            <w:shd w:val="clear" w:color="000000" w:fill="F2DCDB"/>
            <w:vAlign w:val="center"/>
          </w:tcPr>
          <w:p w14:paraId="4E87D049" w14:textId="77777777" w:rsidR="00394D0F" w:rsidRDefault="00394D0F">
            <w:pPr>
              <w:jc w:val="right"/>
              <w:rPr>
                <w:color w:val="000000"/>
                <w:sz w:val="24"/>
                <w:szCs w:val="24"/>
              </w:rPr>
            </w:pPr>
            <w:r>
              <w:rPr>
                <w:color w:val="000000"/>
              </w:rPr>
              <w:t>371</w:t>
            </w:r>
          </w:p>
        </w:tc>
        <w:tc>
          <w:tcPr>
            <w:tcW w:w="249" w:type="pct"/>
            <w:tcBorders>
              <w:top w:val="nil"/>
              <w:left w:val="double" w:sz="6" w:space="0" w:color="auto"/>
              <w:bottom w:val="single" w:sz="4" w:space="0" w:color="auto"/>
              <w:right w:val="nil"/>
            </w:tcBorders>
            <w:shd w:val="clear" w:color="000000" w:fill="F2DCDB"/>
            <w:vAlign w:val="center"/>
          </w:tcPr>
          <w:p w14:paraId="4B4E6C57" w14:textId="77777777" w:rsidR="00394D0F" w:rsidRDefault="00394D0F">
            <w:pPr>
              <w:jc w:val="right"/>
              <w:rPr>
                <w:color w:val="000000"/>
                <w:sz w:val="24"/>
                <w:szCs w:val="24"/>
              </w:rPr>
            </w:pPr>
            <w:r>
              <w:rPr>
                <w:color w:val="000000"/>
              </w:rPr>
              <w:t>258</w:t>
            </w:r>
          </w:p>
        </w:tc>
        <w:tc>
          <w:tcPr>
            <w:tcW w:w="249" w:type="pct"/>
            <w:tcBorders>
              <w:top w:val="nil"/>
              <w:left w:val="double" w:sz="6" w:space="0" w:color="auto"/>
              <w:bottom w:val="single" w:sz="4" w:space="0" w:color="auto"/>
              <w:right w:val="nil"/>
            </w:tcBorders>
            <w:shd w:val="clear" w:color="000000" w:fill="F2DCDB"/>
            <w:vAlign w:val="center"/>
          </w:tcPr>
          <w:p w14:paraId="1A9F2E0F" w14:textId="77777777" w:rsidR="00394D0F" w:rsidRDefault="00394D0F">
            <w:pPr>
              <w:jc w:val="right"/>
              <w:rPr>
                <w:color w:val="000000"/>
                <w:sz w:val="24"/>
                <w:szCs w:val="24"/>
              </w:rPr>
            </w:pPr>
            <w:r>
              <w:rPr>
                <w:color w:val="000000"/>
              </w:rPr>
              <w:t>296</w:t>
            </w:r>
          </w:p>
        </w:tc>
        <w:tc>
          <w:tcPr>
            <w:tcW w:w="222" w:type="pct"/>
            <w:tcBorders>
              <w:top w:val="nil"/>
              <w:left w:val="double" w:sz="6" w:space="0" w:color="auto"/>
              <w:bottom w:val="single" w:sz="4" w:space="0" w:color="auto"/>
              <w:right w:val="nil"/>
            </w:tcBorders>
            <w:shd w:val="clear" w:color="000000" w:fill="F2DCDB"/>
            <w:vAlign w:val="center"/>
          </w:tcPr>
          <w:p w14:paraId="67B6B0DE" w14:textId="77777777" w:rsidR="00394D0F" w:rsidRDefault="00394D0F">
            <w:pPr>
              <w:jc w:val="right"/>
              <w:rPr>
                <w:color w:val="000000"/>
                <w:sz w:val="24"/>
                <w:szCs w:val="24"/>
              </w:rPr>
            </w:pPr>
            <w:r>
              <w:rPr>
                <w:color w:val="000000"/>
              </w:rPr>
              <w:t>23</w:t>
            </w:r>
          </w:p>
        </w:tc>
        <w:tc>
          <w:tcPr>
            <w:tcW w:w="228" w:type="pct"/>
            <w:tcBorders>
              <w:top w:val="nil"/>
              <w:left w:val="double" w:sz="6" w:space="0" w:color="auto"/>
              <w:bottom w:val="single" w:sz="4" w:space="0" w:color="auto"/>
              <w:right w:val="nil"/>
            </w:tcBorders>
            <w:shd w:val="clear" w:color="000000" w:fill="F2DCDB"/>
            <w:vAlign w:val="center"/>
          </w:tcPr>
          <w:p w14:paraId="66AC100F" w14:textId="77777777" w:rsidR="00394D0F" w:rsidRDefault="00394D0F">
            <w:pPr>
              <w:jc w:val="right"/>
              <w:rPr>
                <w:color w:val="000000"/>
                <w:sz w:val="24"/>
                <w:szCs w:val="24"/>
              </w:rPr>
            </w:pPr>
            <w:r>
              <w:rPr>
                <w:color w:val="000000"/>
              </w:rPr>
              <w:t>32</w:t>
            </w:r>
          </w:p>
        </w:tc>
        <w:tc>
          <w:tcPr>
            <w:tcW w:w="291" w:type="pct"/>
            <w:tcBorders>
              <w:top w:val="nil"/>
              <w:left w:val="double" w:sz="6" w:space="0" w:color="auto"/>
              <w:bottom w:val="single" w:sz="4" w:space="0" w:color="auto"/>
              <w:right w:val="nil"/>
            </w:tcBorders>
            <w:shd w:val="clear" w:color="000000" w:fill="F2DCDB"/>
            <w:vAlign w:val="center"/>
          </w:tcPr>
          <w:p w14:paraId="71F1005D" w14:textId="77777777" w:rsidR="00394D0F" w:rsidRDefault="00394D0F">
            <w:pPr>
              <w:jc w:val="right"/>
              <w:rPr>
                <w:color w:val="000000"/>
                <w:sz w:val="24"/>
                <w:szCs w:val="24"/>
              </w:rPr>
            </w:pPr>
            <w:r>
              <w:rPr>
                <w:color w:val="000000"/>
              </w:rPr>
              <w:t>9</w:t>
            </w:r>
          </w:p>
        </w:tc>
        <w:tc>
          <w:tcPr>
            <w:tcW w:w="299" w:type="pct"/>
            <w:tcBorders>
              <w:top w:val="nil"/>
              <w:left w:val="double" w:sz="6" w:space="0" w:color="auto"/>
              <w:bottom w:val="single" w:sz="4" w:space="0" w:color="auto"/>
              <w:right w:val="nil"/>
            </w:tcBorders>
            <w:shd w:val="clear" w:color="000000" w:fill="F2DCDB"/>
            <w:vAlign w:val="center"/>
          </w:tcPr>
          <w:p w14:paraId="45A7E5B9" w14:textId="77777777" w:rsidR="00394D0F" w:rsidRDefault="00394D0F">
            <w:pPr>
              <w:jc w:val="right"/>
              <w:rPr>
                <w:color w:val="000000"/>
                <w:sz w:val="24"/>
                <w:szCs w:val="24"/>
              </w:rPr>
            </w:pPr>
            <w:r>
              <w:rPr>
                <w:color w:val="000000"/>
              </w:rPr>
              <w:t>9</w:t>
            </w:r>
          </w:p>
        </w:tc>
        <w:tc>
          <w:tcPr>
            <w:tcW w:w="222" w:type="pct"/>
            <w:tcBorders>
              <w:top w:val="nil"/>
              <w:left w:val="double" w:sz="6" w:space="0" w:color="auto"/>
              <w:bottom w:val="single" w:sz="4" w:space="0" w:color="auto"/>
              <w:right w:val="nil"/>
            </w:tcBorders>
            <w:shd w:val="clear" w:color="000000" w:fill="F2DCDB"/>
            <w:vAlign w:val="center"/>
          </w:tcPr>
          <w:p w14:paraId="5524C073" w14:textId="77777777" w:rsidR="00394D0F" w:rsidRDefault="00394D0F">
            <w:pPr>
              <w:jc w:val="right"/>
              <w:rPr>
                <w:color w:val="000000"/>
                <w:sz w:val="24"/>
                <w:szCs w:val="24"/>
              </w:rPr>
            </w:pPr>
            <w:r>
              <w:rPr>
                <w:color w:val="000000"/>
              </w:rPr>
              <w:t>80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DF7D83C" w14:textId="77777777" w:rsidR="00394D0F" w:rsidRDefault="00394D0F">
            <w:pPr>
              <w:jc w:val="right"/>
              <w:rPr>
                <w:color w:val="000000"/>
                <w:sz w:val="24"/>
                <w:szCs w:val="24"/>
              </w:rPr>
            </w:pPr>
            <w:r>
              <w:rPr>
                <w:color w:val="000000"/>
              </w:rPr>
              <w:t>56</w:t>
            </w:r>
          </w:p>
        </w:tc>
      </w:tr>
      <w:tr w:rsidR="00394D0F" w:rsidRPr="000A46ED" w14:paraId="3FB505A0"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0A3662D" w14:textId="077527AF"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 My teacher tells me what I am learning in reading and why.</w:t>
            </w:r>
          </w:p>
        </w:tc>
        <w:tc>
          <w:tcPr>
            <w:tcW w:w="255" w:type="pct"/>
            <w:tcBorders>
              <w:top w:val="nil"/>
              <w:left w:val="double" w:sz="6" w:space="0" w:color="auto"/>
              <w:bottom w:val="single" w:sz="4" w:space="0" w:color="auto"/>
              <w:right w:val="nil"/>
            </w:tcBorders>
            <w:shd w:val="clear" w:color="000000" w:fill="F2DCDB"/>
            <w:vAlign w:val="center"/>
          </w:tcPr>
          <w:p w14:paraId="5793AEA7" w14:textId="77777777" w:rsidR="00394D0F" w:rsidRDefault="00394D0F">
            <w:pPr>
              <w:jc w:val="right"/>
              <w:rPr>
                <w:color w:val="000000"/>
                <w:sz w:val="24"/>
                <w:szCs w:val="24"/>
              </w:rPr>
            </w:pPr>
            <w:r>
              <w:rPr>
                <w:color w:val="000000"/>
              </w:rPr>
              <w:t>292</w:t>
            </w:r>
          </w:p>
        </w:tc>
        <w:tc>
          <w:tcPr>
            <w:tcW w:w="256" w:type="pct"/>
            <w:tcBorders>
              <w:top w:val="nil"/>
              <w:left w:val="double" w:sz="6" w:space="0" w:color="auto"/>
              <w:bottom w:val="single" w:sz="4" w:space="0" w:color="auto"/>
              <w:right w:val="nil"/>
            </w:tcBorders>
            <w:shd w:val="clear" w:color="000000" w:fill="F2DCDB"/>
            <w:vAlign w:val="center"/>
          </w:tcPr>
          <w:p w14:paraId="57A0227F" w14:textId="77777777" w:rsidR="00394D0F" w:rsidRDefault="00394D0F">
            <w:pPr>
              <w:jc w:val="right"/>
              <w:rPr>
                <w:color w:val="000000"/>
                <w:sz w:val="24"/>
                <w:szCs w:val="24"/>
              </w:rPr>
            </w:pPr>
            <w:r>
              <w:rPr>
                <w:color w:val="000000"/>
              </w:rPr>
              <w:t>257</w:t>
            </w:r>
          </w:p>
        </w:tc>
        <w:tc>
          <w:tcPr>
            <w:tcW w:w="249" w:type="pct"/>
            <w:tcBorders>
              <w:top w:val="nil"/>
              <w:left w:val="double" w:sz="6" w:space="0" w:color="auto"/>
              <w:bottom w:val="single" w:sz="4" w:space="0" w:color="auto"/>
              <w:right w:val="nil"/>
            </w:tcBorders>
            <w:shd w:val="clear" w:color="000000" w:fill="F2DCDB"/>
            <w:vAlign w:val="center"/>
          </w:tcPr>
          <w:p w14:paraId="35583635" w14:textId="77777777" w:rsidR="00394D0F" w:rsidRDefault="00394D0F">
            <w:pPr>
              <w:jc w:val="right"/>
              <w:rPr>
                <w:color w:val="000000"/>
                <w:sz w:val="24"/>
                <w:szCs w:val="24"/>
              </w:rPr>
            </w:pPr>
            <w:r>
              <w:rPr>
                <w:color w:val="000000"/>
              </w:rPr>
              <w:t>350</w:t>
            </w:r>
          </w:p>
        </w:tc>
        <w:tc>
          <w:tcPr>
            <w:tcW w:w="249" w:type="pct"/>
            <w:tcBorders>
              <w:top w:val="nil"/>
              <w:left w:val="double" w:sz="6" w:space="0" w:color="auto"/>
              <w:bottom w:val="single" w:sz="4" w:space="0" w:color="auto"/>
              <w:right w:val="nil"/>
            </w:tcBorders>
            <w:shd w:val="clear" w:color="000000" w:fill="F2DCDB"/>
            <w:vAlign w:val="center"/>
          </w:tcPr>
          <w:p w14:paraId="14246174" w14:textId="77777777" w:rsidR="00394D0F" w:rsidRDefault="00394D0F">
            <w:pPr>
              <w:jc w:val="right"/>
              <w:rPr>
                <w:color w:val="000000"/>
                <w:sz w:val="24"/>
                <w:szCs w:val="24"/>
              </w:rPr>
            </w:pPr>
            <w:r>
              <w:rPr>
                <w:color w:val="000000"/>
              </w:rPr>
              <w:t>389</w:t>
            </w:r>
          </w:p>
        </w:tc>
        <w:tc>
          <w:tcPr>
            <w:tcW w:w="222" w:type="pct"/>
            <w:tcBorders>
              <w:top w:val="nil"/>
              <w:left w:val="double" w:sz="6" w:space="0" w:color="auto"/>
              <w:bottom w:val="single" w:sz="4" w:space="0" w:color="auto"/>
              <w:right w:val="nil"/>
            </w:tcBorders>
            <w:shd w:val="clear" w:color="000000" w:fill="F2DCDB"/>
            <w:vAlign w:val="center"/>
          </w:tcPr>
          <w:p w14:paraId="52BB5C95" w14:textId="77777777" w:rsidR="00394D0F" w:rsidRDefault="00394D0F">
            <w:pPr>
              <w:jc w:val="right"/>
              <w:rPr>
                <w:color w:val="000000"/>
                <w:sz w:val="24"/>
                <w:szCs w:val="24"/>
              </w:rPr>
            </w:pPr>
            <w:r>
              <w:rPr>
                <w:color w:val="000000"/>
              </w:rPr>
              <w:t>46</w:t>
            </w:r>
          </w:p>
        </w:tc>
        <w:tc>
          <w:tcPr>
            <w:tcW w:w="228" w:type="pct"/>
            <w:tcBorders>
              <w:top w:val="nil"/>
              <w:left w:val="double" w:sz="6" w:space="0" w:color="auto"/>
              <w:bottom w:val="single" w:sz="4" w:space="0" w:color="auto"/>
              <w:right w:val="nil"/>
            </w:tcBorders>
            <w:shd w:val="clear" w:color="000000" w:fill="F2DCDB"/>
            <w:vAlign w:val="center"/>
          </w:tcPr>
          <w:p w14:paraId="78DB97DE" w14:textId="77777777" w:rsidR="00394D0F" w:rsidRDefault="00394D0F">
            <w:pPr>
              <w:jc w:val="right"/>
              <w:rPr>
                <w:color w:val="000000"/>
                <w:sz w:val="24"/>
                <w:szCs w:val="24"/>
              </w:rPr>
            </w:pPr>
            <w:r>
              <w:rPr>
                <w:color w:val="000000"/>
              </w:rPr>
              <w:t>53</w:t>
            </w:r>
          </w:p>
        </w:tc>
        <w:tc>
          <w:tcPr>
            <w:tcW w:w="291" w:type="pct"/>
            <w:tcBorders>
              <w:top w:val="nil"/>
              <w:left w:val="double" w:sz="6" w:space="0" w:color="auto"/>
              <w:bottom w:val="single" w:sz="4" w:space="0" w:color="auto"/>
              <w:right w:val="nil"/>
            </w:tcBorders>
            <w:shd w:val="clear" w:color="000000" w:fill="F2DCDB"/>
            <w:vAlign w:val="center"/>
          </w:tcPr>
          <w:p w14:paraId="1B5E1464" w14:textId="77777777" w:rsidR="00394D0F" w:rsidRDefault="00394D0F">
            <w:pPr>
              <w:jc w:val="right"/>
              <w:rPr>
                <w:color w:val="000000"/>
                <w:sz w:val="24"/>
                <w:szCs w:val="24"/>
              </w:rPr>
            </w:pPr>
            <w:r>
              <w:rPr>
                <w:color w:val="000000"/>
              </w:rPr>
              <w:t>6</w:t>
            </w:r>
          </w:p>
        </w:tc>
        <w:tc>
          <w:tcPr>
            <w:tcW w:w="299" w:type="pct"/>
            <w:tcBorders>
              <w:top w:val="nil"/>
              <w:left w:val="double" w:sz="6" w:space="0" w:color="auto"/>
              <w:bottom w:val="single" w:sz="4" w:space="0" w:color="auto"/>
              <w:right w:val="nil"/>
            </w:tcBorders>
            <w:shd w:val="clear" w:color="000000" w:fill="F2DCDB"/>
            <w:vAlign w:val="center"/>
          </w:tcPr>
          <w:p w14:paraId="0340F3CF" w14:textId="77777777" w:rsidR="00394D0F" w:rsidRDefault="00394D0F">
            <w:pPr>
              <w:jc w:val="right"/>
              <w:rPr>
                <w:color w:val="000000"/>
                <w:sz w:val="24"/>
                <w:szCs w:val="24"/>
              </w:rPr>
            </w:pPr>
            <w:r>
              <w:rPr>
                <w:color w:val="000000"/>
              </w:rPr>
              <w:t>16</w:t>
            </w:r>
          </w:p>
        </w:tc>
        <w:tc>
          <w:tcPr>
            <w:tcW w:w="222" w:type="pct"/>
            <w:tcBorders>
              <w:top w:val="nil"/>
              <w:left w:val="double" w:sz="6" w:space="0" w:color="auto"/>
              <w:bottom w:val="single" w:sz="4" w:space="0" w:color="auto"/>
              <w:right w:val="nil"/>
            </w:tcBorders>
            <w:shd w:val="clear" w:color="000000" w:fill="F2DCDB"/>
            <w:vAlign w:val="center"/>
          </w:tcPr>
          <w:p w14:paraId="6DD5F781" w14:textId="77777777" w:rsidR="00394D0F" w:rsidRDefault="00394D0F">
            <w:pPr>
              <w:jc w:val="right"/>
              <w:rPr>
                <w:color w:val="000000"/>
                <w:sz w:val="24"/>
                <w:szCs w:val="24"/>
              </w:rPr>
            </w:pPr>
            <w:r>
              <w:rPr>
                <w:color w:val="000000"/>
              </w:rPr>
              <w:t>56</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4850F9E" w14:textId="77777777" w:rsidR="00394D0F" w:rsidRDefault="00394D0F">
            <w:pPr>
              <w:jc w:val="right"/>
              <w:rPr>
                <w:color w:val="000000"/>
                <w:sz w:val="24"/>
                <w:szCs w:val="24"/>
              </w:rPr>
            </w:pPr>
            <w:r>
              <w:rPr>
                <w:color w:val="000000"/>
              </w:rPr>
              <w:t>52</w:t>
            </w:r>
          </w:p>
        </w:tc>
      </w:tr>
      <w:tr w:rsidR="00394D0F" w:rsidRPr="000A46ED" w14:paraId="64EE87E1"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EA5B42D" w14:textId="34801966"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 The activities my teachers use in reading help me learn.</w:t>
            </w:r>
          </w:p>
        </w:tc>
        <w:tc>
          <w:tcPr>
            <w:tcW w:w="255" w:type="pct"/>
            <w:tcBorders>
              <w:top w:val="nil"/>
              <w:left w:val="double" w:sz="6" w:space="0" w:color="auto"/>
              <w:bottom w:val="single" w:sz="4" w:space="0" w:color="auto"/>
              <w:right w:val="nil"/>
            </w:tcBorders>
            <w:shd w:val="clear" w:color="000000" w:fill="F2DCDB"/>
            <w:vAlign w:val="center"/>
          </w:tcPr>
          <w:p w14:paraId="55FDEF26" w14:textId="77777777" w:rsidR="00394D0F" w:rsidRDefault="00394D0F">
            <w:pPr>
              <w:jc w:val="right"/>
              <w:rPr>
                <w:color w:val="000000"/>
                <w:sz w:val="24"/>
                <w:szCs w:val="24"/>
              </w:rPr>
            </w:pPr>
            <w:r>
              <w:rPr>
                <w:color w:val="000000"/>
              </w:rPr>
              <w:t>423</w:t>
            </w:r>
          </w:p>
        </w:tc>
        <w:tc>
          <w:tcPr>
            <w:tcW w:w="256" w:type="pct"/>
            <w:tcBorders>
              <w:top w:val="nil"/>
              <w:left w:val="double" w:sz="6" w:space="0" w:color="auto"/>
              <w:bottom w:val="single" w:sz="4" w:space="0" w:color="auto"/>
              <w:right w:val="nil"/>
            </w:tcBorders>
            <w:shd w:val="clear" w:color="000000" w:fill="F2DCDB"/>
            <w:vAlign w:val="center"/>
          </w:tcPr>
          <w:p w14:paraId="09CC659E" w14:textId="77777777" w:rsidR="00394D0F" w:rsidRDefault="00394D0F">
            <w:pPr>
              <w:jc w:val="right"/>
              <w:rPr>
                <w:color w:val="000000"/>
                <w:sz w:val="24"/>
                <w:szCs w:val="24"/>
              </w:rPr>
            </w:pPr>
            <w:r>
              <w:rPr>
                <w:color w:val="000000"/>
              </w:rPr>
              <w:t>385</w:t>
            </w:r>
          </w:p>
        </w:tc>
        <w:tc>
          <w:tcPr>
            <w:tcW w:w="249" w:type="pct"/>
            <w:tcBorders>
              <w:top w:val="nil"/>
              <w:left w:val="double" w:sz="6" w:space="0" w:color="auto"/>
              <w:bottom w:val="single" w:sz="4" w:space="0" w:color="auto"/>
              <w:right w:val="nil"/>
            </w:tcBorders>
            <w:shd w:val="clear" w:color="000000" w:fill="F2DCDB"/>
            <w:vAlign w:val="center"/>
          </w:tcPr>
          <w:p w14:paraId="01630597" w14:textId="77777777" w:rsidR="00394D0F" w:rsidRDefault="00394D0F">
            <w:pPr>
              <w:jc w:val="right"/>
              <w:rPr>
                <w:color w:val="000000"/>
                <w:sz w:val="24"/>
                <w:szCs w:val="24"/>
              </w:rPr>
            </w:pPr>
            <w:r>
              <w:rPr>
                <w:color w:val="000000"/>
              </w:rPr>
              <w:t>274</w:t>
            </w:r>
          </w:p>
        </w:tc>
        <w:tc>
          <w:tcPr>
            <w:tcW w:w="249" w:type="pct"/>
            <w:tcBorders>
              <w:top w:val="nil"/>
              <w:left w:val="double" w:sz="6" w:space="0" w:color="auto"/>
              <w:bottom w:val="single" w:sz="4" w:space="0" w:color="auto"/>
              <w:right w:val="nil"/>
            </w:tcBorders>
            <w:shd w:val="clear" w:color="000000" w:fill="F2DCDB"/>
            <w:vAlign w:val="center"/>
          </w:tcPr>
          <w:p w14:paraId="4EDA2541" w14:textId="77777777" w:rsidR="00394D0F" w:rsidRDefault="00394D0F">
            <w:pPr>
              <w:jc w:val="right"/>
              <w:rPr>
                <w:color w:val="000000"/>
                <w:sz w:val="24"/>
                <w:szCs w:val="24"/>
              </w:rPr>
            </w:pPr>
            <w:r>
              <w:rPr>
                <w:color w:val="000000"/>
              </w:rPr>
              <w:t>317</w:t>
            </w:r>
          </w:p>
        </w:tc>
        <w:tc>
          <w:tcPr>
            <w:tcW w:w="222" w:type="pct"/>
            <w:tcBorders>
              <w:top w:val="nil"/>
              <w:left w:val="double" w:sz="6" w:space="0" w:color="auto"/>
              <w:bottom w:val="single" w:sz="4" w:space="0" w:color="auto"/>
              <w:right w:val="nil"/>
            </w:tcBorders>
            <w:shd w:val="clear" w:color="000000" w:fill="F2DCDB"/>
            <w:vAlign w:val="center"/>
          </w:tcPr>
          <w:p w14:paraId="21D41FAF" w14:textId="77777777" w:rsidR="00394D0F" w:rsidRDefault="00394D0F">
            <w:pPr>
              <w:jc w:val="right"/>
              <w:rPr>
                <w:color w:val="000000"/>
                <w:sz w:val="24"/>
                <w:szCs w:val="24"/>
              </w:rPr>
            </w:pPr>
            <w:r>
              <w:rPr>
                <w:color w:val="000000"/>
              </w:rPr>
              <w:t>16</w:t>
            </w:r>
          </w:p>
        </w:tc>
        <w:tc>
          <w:tcPr>
            <w:tcW w:w="228" w:type="pct"/>
            <w:tcBorders>
              <w:top w:val="nil"/>
              <w:left w:val="double" w:sz="6" w:space="0" w:color="auto"/>
              <w:bottom w:val="single" w:sz="4" w:space="0" w:color="auto"/>
              <w:right w:val="nil"/>
            </w:tcBorders>
            <w:shd w:val="clear" w:color="000000" w:fill="F2DCDB"/>
            <w:vAlign w:val="center"/>
          </w:tcPr>
          <w:p w14:paraId="61D03F2F" w14:textId="77777777" w:rsidR="00394D0F" w:rsidRDefault="00394D0F">
            <w:pPr>
              <w:jc w:val="right"/>
              <w:rPr>
                <w:color w:val="000000"/>
                <w:sz w:val="24"/>
                <w:szCs w:val="24"/>
              </w:rPr>
            </w:pPr>
            <w:r>
              <w:rPr>
                <w:color w:val="000000"/>
              </w:rPr>
              <w:t>37</w:t>
            </w:r>
          </w:p>
        </w:tc>
        <w:tc>
          <w:tcPr>
            <w:tcW w:w="291" w:type="pct"/>
            <w:tcBorders>
              <w:top w:val="nil"/>
              <w:left w:val="double" w:sz="6" w:space="0" w:color="auto"/>
              <w:bottom w:val="single" w:sz="4" w:space="0" w:color="auto"/>
              <w:right w:val="nil"/>
            </w:tcBorders>
            <w:shd w:val="clear" w:color="000000" w:fill="F2DCDB"/>
            <w:vAlign w:val="center"/>
          </w:tcPr>
          <w:p w14:paraId="0D14DA46" w14:textId="77777777" w:rsidR="00394D0F" w:rsidRDefault="00394D0F">
            <w:pPr>
              <w:jc w:val="right"/>
              <w:rPr>
                <w:color w:val="000000"/>
                <w:sz w:val="24"/>
                <w:szCs w:val="24"/>
              </w:rPr>
            </w:pPr>
            <w:r>
              <w:rPr>
                <w:color w:val="000000"/>
              </w:rPr>
              <w:t>4</w:t>
            </w:r>
          </w:p>
        </w:tc>
        <w:tc>
          <w:tcPr>
            <w:tcW w:w="299" w:type="pct"/>
            <w:tcBorders>
              <w:top w:val="nil"/>
              <w:left w:val="double" w:sz="6" w:space="0" w:color="auto"/>
              <w:bottom w:val="single" w:sz="4" w:space="0" w:color="auto"/>
              <w:right w:val="nil"/>
            </w:tcBorders>
            <w:shd w:val="clear" w:color="000000" w:fill="F2DCDB"/>
            <w:vAlign w:val="center"/>
          </w:tcPr>
          <w:p w14:paraId="74066DFE" w14:textId="77777777" w:rsidR="00394D0F" w:rsidRDefault="00394D0F">
            <w:pPr>
              <w:jc w:val="right"/>
              <w:rPr>
                <w:color w:val="000000"/>
                <w:sz w:val="24"/>
                <w:szCs w:val="24"/>
              </w:rPr>
            </w:pPr>
            <w:r>
              <w:rPr>
                <w:color w:val="000000"/>
              </w:rPr>
              <w:t>9</w:t>
            </w:r>
          </w:p>
        </w:tc>
        <w:tc>
          <w:tcPr>
            <w:tcW w:w="222" w:type="pct"/>
            <w:tcBorders>
              <w:top w:val="nil"/>
              <w:left w:val="double" w:sz="6" w:space="0" w:color="auto"/>
              <w:bottom w:val="single" w:sz="4" w:space="0" w:color="auto"/>
              <w:right w:val="nil"/>
            </w:tcBorders>
            <w:shd w:val="clear" w:color="000000" w:fill="F2DCDB"/>
            <w:vAlign w:val="center"/>
          </w:tcPr>
          <w:p w14:paraId="35B69CD0" w14:textId="77777777" w:rsidR="00394D0F" w:rsidRDefault="00394D0F">
            <w:pPr>
              <w:jc w:val="right"/>
              <w:rPr>
                <w:color w:val="000000"/>
                <w:sz w:val="24"/>
                <w:szCs w:val="24"/>
              </w:rPr>
            </w:pPr>
            <w:r>
              <w:rPr>
                <w:color w:val="000000"/>
              </w:rPr>
              <w:t>32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9AAB500" w14:textId="77777777" w:rsidR="00394D0F" w:rsidRDefault="00394D0F">
            <w:pPr>
              <w:jc w:val="right"/>
              <w:rPr>
                <w:color w:val="000000"/>
                <w:sz w:val="24"/>
                <w:szCs w:val="24"/>
              </w:rPr>
            </w:pPr>
            <w:r>
              <w:rPr>
                <w:color w:val="000000"/>
              </w:rPr>
              <w:t>19</w:t>
            </w:r>
          </w:p>
        </w:tc>
      </w:tr>
      <w:tr w:rsidR="00394D0F" w:rsidRPr="000A46ED" w14:paraId="3AE737E6"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DDFBC80" w14:textId="315B3A11"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what I read.</w:t>
            </w:r>
          </w:p>
        </w:tc>
        <w:tc>
          <w:tcPr>
            <w:tcW w:w="255" w:type="pct"/>
            <w:tcBorders>
              <w:top w:val="nil"/>
              <w:left w:val="double" w:sz="6" w:space="0" w:color="auto"/>
              <w:bottom w:val="single" w:sz="4" w:space="0" w:color="auto"/>
              <w:right w:val="nil"/>
            </w:tcBorders>
            <w:shd w:val="clear" w:color="000000" w:fill="F2DCDB"/>
            <w:vAlign w:val="center"/>
          </w:tcPr>
          <w:p w14:paraId="7B4F3457" w14:textId="77777777" w:rsidR="00394D0F" w:rsidRDefault="00394D0F">
            <w:pPr>
              <w:jc w:val="right"/>
              <w:rPr>
                <w:color w:val="000000"/>
                <w:sz w:val="24"/>
                <w:szCs w:val="24"/>
              </w:rPr>
            </w:pPr>
            <w:r>
              <w:rPr>
                <w:color w:val="000000"/>
              </w:rPr>
              <w:t>381</w:t>
            </w:r>
          </w:p>
        </w:tc>
        <w:tc>
          <w:tcPr>
            <w:tcW w:w="256" w:type="pct"/>
            <w:tcBorders>
              <w:top w:val="nil"/>
              <w:left w:val="double" w:sz="6" w:space="0" w:color="auto"/>
              <w:bottom w:val="single" w:sz="4" w:space="0" w:color="auto"/>
              <w:right w:val="nil"/>
            </w:tcBorders>
            <w:shd w:val="clear" w:color="000000" w:fill="F2DCDB"/>
            <w:vAlign w:val="center"/>
          </w:tcPr>
          <w:p w14:paraId="2897F680" w14:textId="77777777" w:rsidR="00394D0F" w:rsidRDefault="00394D0F">
            <w:pPr>
              <w:jc w:val="right"/>
              <w:rPr>
                <w:color w:val="000000"/>
                <w:sz w:val="24"/>
                <w:szCs w:val="24"/>
              </w:rPr>
            </w:pPr>
            <w:r>
              <w:rPr>
                <w:color w:val="000000"/>
              </w:rPr>
              <w:t>307</w:t>
            </w:r>
          </w:p>
        </w:tc>
        <w:tc>
          <w:tcPr>
            <w:tcW w:w="249" w:type="pct"/>
            <w:tcBorders>
              <w:top w:val="nil"/>
              <w:left w:val="double" w:sz="6" w:space="0" w:color="auto"/>
              <w:bottom w:val="single" w:sz="4" w:space="0" w:color="auto"/>
              <w:right w:val="nil"/>
            </w:tcBorders>
            <w:shd w:val="clear" w:color="000000" w:fill="F2DCDB"/>
            <w:vAlign w:val="center"/>
          </w:tcPr>
          <w:p w14:paraId="68D860F1" w14:textId="77777777" w:rsidR="00394D0F" w:rsidRDefault="00394D0F">
            <w:pPr>
              <w:jc w:val="right"/>
              <w:rPr>
                <w:color w:val="000000"/>
                <w:sz w:val="24"/>
                <w:szCs w:val="24"/>
              </w:rPr>
            </w:pPr>
            <w:r>
              <w:rPr>
                <w:color w:val="000000"/>
              </w:rPr>
              <w:t>308</w:t>
            </w:r>
          </w:p>
        </w:tc>
        <w:tc>
          <w:tcPr>
            <w:tcW w:w="249" w:type="pct"/>
            <w:tcBorders>
              <w:top w:val="nil"/>
              <w:left w:val="double" w:sz="6" w:space="0" w:color="auto"/>
              <w:bottom w:val="single" w:sz="4" w:space="0" w:color="auto"/>
              <w:right w:val="nil"/>
            </w:tcBorders>
            <w:shd w:val="clear" w:color="000000" w:fill="F2DCDB"/>
            <w:vAlign w:val="center"/>
          </w:tcPr>
          <w:p w14:paraId="500BF297" w14:textId="77777777" w:rsidR="00394D0F" w:rsidRDefault="00394D0F">
            <w:pPr>
              <w:jc w:val="right"/>
              <w:rPr>
                <w:color w:val="000000"/>
                <w:sz w:val="24"/>
                <w:szCs w:val="24"/>
              </w:rPr>
            </w:pPr>
            <w:r>
              <w:rPr>
                <w:color w:val="000000"/>
              </w:rPr>
              <w:t>362</w:t>
            </w:r>
          </w:p>
        </w:tc>
        <w:tc>
          <w:tcPr>
            <w:tcW w:w="222" w:type="pct"/>
            <w:tcBorders>
              <w:top w:val="nil"/>
              <w:left w:val="double" w:sz="6" w:space="0" w:color="auto"/>
              <w:bottom w:val="single" w:sz="4" w:space="0" w:color="auto"/>
              <w:right w:val="nil"/>
            </w:tcBorders>
            <w:shd w:val="clear" w:color="000000" w:fill="F2DCDB"/>
            <w:vAlign w:val="center"/>
          </w:tcPr>
          <w:p w14:paraId="75665A0D" w14:textId="77777777" w:rsidR="00394D0F" w:rsidRDefault="00394D0F">
            <w:pPr>
              <w:jc w:val="right"/>
              <w:rPr>
                <w:color w:val="000000"/>
                <w:sz w:val="24"/>
                <w:szCs w:val="24"/>
              </w:rPr>
            </w:pPr>
            <w:r>
              <w:rPr>
                <w:color w:val="000000"/>
              </w:rPr>
              <w:t>22</w:t>
            </w:r>
          </w:p>
        </w:tc>
        <w:tc>
          <w:tcPr>
            <w:tcW w:w="228" w:type="pct"/>
            <w:tcBorders>
              <w:top w:val="nil"/>
              <w:left w:val="double" w:sz="6" w:space="0" w:color="auto"/>
              <w:bottom w:val="single" w:sz="4" w:space="0" w:color="auto"/>
              <w:right w:val="nil"/>
            </w:tcBorders>
            <w:shd w:val="clear" w:color="000000" w:fill="F2DCDB"/>
            <w:vAlign w:val="center"/>
          </w:tcPr>
          <w:p w14:paraId="7299A4B3" w14:textId="77777777" w:rsidR="00394D0F" w:rsidRDefault="00394D0F">
            <w:pPr>
              <w:jc w:val="right"/>
              <w:rPr>
                <w:color w:val="000000"/>
                <w:sz w:val="24"/>
                <w:szCs w:val="24"/>
              </w:rPr>
            </w:pPr>
            <w:r>
              <w:rPr>
                <w:color w:val="000000"/>
              </w:rPr>
              <w:t>53</w:t>
            </w:r>
          </w:p>
        </w:tc>
        <w:tc>
          <w:tcPr>
            <w:tcW w:w="291" w:type="pct"/>
            <w:tcBorders>
              <w:top w:val="nil"/>
              <w:left w:val="double" w:sz="6" w:space="0" w:color="auto"/>
              <w:bottom w:val="single" w:sz="4" w:space="0" w:color="auto"/>
              <w:right w:val="nil"/>
            </w:tcBorders>
            <w:shd w:val="clear" w:color="000000" w:fill="F2DCDB"/>
            <w:vAlign w:val="center"/>
          </w:tcPr>
          <w:p w14:paraId="0B504A29" w14:textId="77777777" w:rsidR="00394D0F" w:rsidRDefault="00394D0F">
            <w:pPr>
              <w:jc w:val="right"/>
              <w:rPr>
                <w:color w:val="000000"/>
                <w:sz w:val="24"/>
                <w:szCs w:val="24"/>
              </w:rPr>
            </w:pPr>
            <w:r>
              <w:rPr>
                <w:color w:val="000000"/>
              </w:rPr>
              <w:t>5</w:t>
            </w:r>
          </w:p>
        </w:tc>
        <w:tc>
          <w:tcPr>
            <w:tcW w:w="299" w:type="pct"/>
            <w:tcBorders>
              <w:top w:val="nil"/>
              <w:left w:val="double" w:sz="6" w:space="0" w:color="auto"/>
              <w:bottom w:val="single" w:sz="4" w:space="0" w:color="auto"/>
              <w:right w:val="nil"/>
            </w:tcBorders>
            <w:shd w:val="clear" w:color="000000" w:fill="F2DCDB"/>
            <w:vAlign w:val="center"/>
          </w:tcPr>
          <w:p w14:paraId="2239C65C" w14:textId="77777777" w:rsidR="00394D0F" w:rsidRDefault="00394D0F">
            <w:pPr>
              <w:jc w:val="right"/>
              <w:rPr>
                <w:color w:val="000000"/>
                <w:sz w:val="24"/>
                <w:szCs w:val="24"/>
              </w:rPr>
            </w:pPr>
            <w:r>
              <w:rPr>
                <w:color w:val="000000"/>
              </w:rPr>
              <w:t>15</w:t>
            </w:r>
          </w:p>
        </w:tc>
        <w:tc>
          <w:tcPr>
            <w:tcW w:w="222" w:type="pct"/>
            <w:tcBorders>
              <w:top w:val="nil"/>
              <w:left w:val="double" w:sz="6" w:space="0" w:color="auto"/>
              <w:bottom w:val="single" w:sz="4" w:space="0" w:color="auto"/>
              <w:right w:val="nil"/>
            </w:tcBorders>
            <w:shd w:val="clear" w:color="000000" w:fill="F2DCDB"/>
            <w:vAlign w:val="center"/>
          </w:tcPr>
          <w:p w14:paraId="1D7B8B7E" w14:textId="77777777" w:rsidR="00394D0F" w:rsidRDefault="00394D0F">
            <w:pPr>
              <w:jc w:val="right"/>
              <w:rPr>
                <w:color w:val="000000"/>
                <w:sz w:val="24"/>
                <w:szCs w:val="24"/>
              </w:rPr>
            </w:pPr>
            <w:r>
              <w:rPr>
                <w:color w:val="000000"/>
              </w:rPr>
              <w:t>32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7A332F9" w14:textId="77777777" w:rsidR="00394D0F" w:rsidRDefault="00394D0F">
            <w:pPr>
              <w:jc w:val="right"/>
              <w:rPr>
                <w:color w:val="000000"/>
                <w:sz w:val="24"/>
                <w:szCs w:val="24"/>
              </w:rPr>
            </w:pPr>
            <w:r>
              <w:rPr>
                <w:color w:val="000000"/>
              </w:rPr>
              <w:t>31</w:t>
            </w:r>
          </w:p>
        </w:tc>
      </w:tr>
      <w:tr w:rsidR="00394D0F" w:rsidRPr="000A46ED" w14:paraId="6DBFBC99"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3584A4B" w14:textId="13CF7A1E"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reading skills in all subjects.</w:t>
            </w:r>
          </w:p>
        </w:tc>
        <w:tc>
          <w:tcPr>
            <w:tcW w:w="255" w:type="pct"/>
            <w:tcBorders>
              <w:top w:val="nil"/>
              <w:left w:val="double" w:sz="6" w:space="0" w:color="auto"/>
              <w:bottom w:val="single" w:sz="4" w:space="0" w:color="auto"/>
              <w:right w:val="nil"/>
            </w:tcBorders>
            <w:shd w:val="clear" w:color="000000" w:fill="F2DCDB"/>
            <w:vAlign w:val="center"/>
          </w:tcPr>
          <w:p w14:paraId="7D2713FB" w14:textId="77777777" w:rsidR="00394D0F" w:rsidRDefault="00394D0F">
            <w:pPr>
              <w:jc w:val="right"/>
              <w:rPr>
                <w:color w:val="000000"/>
                <w:sz w:val="24"/>
                <w:szCs w:val="24"/>
              </w:rPr>
            </w:pPr>
            <w:r>
              <w:rPr>
                <w:color w:val="000000"/>
              </w:rPr>
              <w:t>349</w:t>
            </w:r>
          </w:p>
        </w:tc>
        <w:tc>
          <w:tcPr>
            <w:tcW w:w="256" w:type="pct"/>
            <w:tcBorders>
              <w:top w:val="nil"/>
              <w:left w:val="double" w:sz="6" w:space="0" w:color="auto"/>
              <w:bottom w:val="single" w:sz="4" w:space="0" w:color="auto"/>
              <w:right w:val="nil"/>
            </w:tcBorders>
            <w:shd w:val="clear" w:color="000000" w:fill="F2DCDB"/>
            <w:vAlign w:val="center"/>
          </w:tcPr>
          <w:p w14:paraId="5F36843C" w14:textId="77777777" w:rsidR="00394D0F" w:rsidRDefault="00394D0F">
            <w:pPr>
              <w:jc w:val="right"/>
              <w:rPr>
                <w:color w:val="000000"/>
                <w:sz w:val="24"/>
                <w:szCs w:val="24"/>
              </w:rPr>
            </w:pPr>
            <w:r>
              <w:rPr>
                <w:color w:val="000000"/>
              </w:rPr>
              <w:t>288</w:t>
            </w:r>
          </w:p>
        </w:tc>
        <w:tc>
          <w:tcPr>
            <w:tcW w:w="249" w:type="pct"/>
            <w:tcBorders>
              <w:top w:val="nil"/>
              <w:left w:val="double" w:sz="6" w:space="0" w:color="auto"/>
              <w:bottom w:val="single" w:sz="4" w:space="0" w:color="auto"/>
              <w:right w:val="nil"/>
            </w:tcBorders>
            <w:shd w:val="clear" w:color="000000" w:fill="F2DCDB"/>
            <w:vAlign w:val="center"/>
          </w:tcPr>
          <w:p w14:paraId="497BDBF8" w14:textId="77777777" w:rsidR="00394D0F" w:rsidRDefault="00394D0F">
            <w:pPr>
              <w:jc w:val="right"/>
              <w:rPr>
                <w:color w:val="000000"/>
                <w:sz w:val="24"/>
                <w:szCs w:val="24"/>
              </w:rPr>
            </w:pPr>
            <w:r>
              <w:rPr>
                <w:color w:val="000000"/>
              </w:rPr>
              <w:t>285</w:t>
            </w:r>
          </w:p>
        </w:tc>
        <w:tc>
          <w:tcPr>
            <w:tcW w:w="249" w:type="pct"/>
            <w:tcBorders>
              <w:top w:val="nil"/>
              <w:left w:val="double" w:sz="6" w:space="0" w:color="auto"/>
              <w:bottom w:val="single" w:sz="4" w:space="0" w:color="auto"/>
              <w:right w:val="nil"/>
            </w:tcBorders>
            <w:shd w:val="clear" w:color="000000" w:fill="F2DCDB"/>
            <w:vAlign w:val="center"/>
          </w:tcPr>
          <w:p w14:paraId="2FB2A1B2" w14:textId="77777777" w:rsidR="00394D0F" w:rsidRDefault="00394D0F">
            <w:pPr>
              <w:jc w:val="right"/>
              <w:rPr>
                <w:color w:val="000000"/>
                <w:sz w:val="24"/>
                <w:szCs w:val="24"/>
              </w:rPr>
            </w:pPr>
            <w:r>
              <w:rPr>
                <w:color w:val="000000"/>
              </w:rPr>
              <w:t>333</w:t>
            </w:r>
          </w:p>
        </w:tc>
        <w:tc>
          <w:tcPr>
            <w:tcW w:w="222" w:type="pct"/>
            <w:tcBorders>
              <w:top w:val="nil"/>
              <w:left w:val="double" w:sz="6" w:space="0" w:color="auto"/>
              <w:bottom w:val="single" w:sz="4" w:space="0" w:color="auto"/>
              <w:right w:val="nil"/>
            </w:tcBorders>
            <w:shd w:val="clear" w:color="000000" w:fill="F2DCDB"/>
            <w:vAlign w:val="center"/>
          </w:tcPr>
          <w:p w14:paraId="72F1F304" w14:textId="77777777" w:rsidR="00394D0F" w:rsidRDefault="00394D0F">
            <w:pPr>
              <w:jc w:val="right"/>
              <w:rPr>
                <w:color w:val="000000"/>
                <w:sz w:val="24"/>
                <w:szCs w:val="24"/>
              </w:rPr>
            </w:pPr>
            <w:r>
              <w:rPr>
                <w:color w:val="000000"/>
              </w:rPr>
              <w:t>66</w:t>
            </w:r>
          </w:p>
        </w:tc>
        <w:tc>
          <w:tcPr>
            <w:tcW w:w="228" w:type="pct"/>
            <w:tcBorders>
              <w:top w:val="nil"/>
              <w:left w:val="double" w:sz="6" w:space="0" w:color="auto"/>
              <w:bottom w:val="single" w:sz="4" w:space="0" w:color="auto"/>
              <w:right w:val="nil"/>
            </w:tcBorders>
            <w:shd w:val="clear" w:color="000000" w:fill="F2DCDB"/>
            <w:vAlign w:val="center"/>
          </w:tcPr>
          <w:p w14:paraId="4704D9FD" w14:textId="77777777" w:rsidR="00394D0F" w:rsidRDefault="00394D0F">
            <w:pPr>
              <w:jc w:val="right"/>
              <w:rPr>
                <w:color w:val="000000"/>
                <w:sz w:val="24"/>
                <w:szCs w:val="24"/>
              </w:rPr>
            </w:pPr>
            <w:r>
              <w:rPr>
                <w:color w:val="000000"/>
              </w:rPr>
              <w:t>79</w:t>
            </w:r>
          </w:p>
        </w:tc>
        <w:tc>
          <w:tcPr>
            <w:tcW w:w="291" w:type="pct"/>
            <w:tcBorders>
              <w:top w:val="nil"/>
              <w:left w:val="double" w:sz="6" w:space="0" w:color="auto"/>
              <w:bottom w:val="single" w:sz="4" w:space="0" w:color="auto"/>
              <w:right w:val="nil"/>
            </w:tcBorders>
            <w:shd w:val="clear" w:color="000000" w:fill="F2DCDB"/>
            <w:vAlign w:val="center"/>
          </w:tcPr>
          <w:p w14:paraId="202B8A5D" w14:textId="77777777" w:rsidR="00394D0F" w:rsidRDefault="00394D0F">
            <w:pPr>
              <w:jc w:val="right"/>
              <w:rPr>
                <w:color w:val="000000"/>
                <w:sz w:val="24"/>
                <w:szCs w:val="24"/>
              </w:rPr>
            </w:pPr>
            <w:r>
              <w:rPr>
                <w:color w:val="000000"/>
              </w:rPr>
              <w:t>8</w:t>
            </w:r>
          </w:p>
        </w:tc>
        <w:tc>
          <w:tcPr>
            <w:tcW w:w="299" w:type="pct"/>
            <w:tcBorders>
              <w:top w:val="nil"/>
              <w:left w:val="double" w:sz="6" w:space="0" w:color="auto"/>
              <w:bottom w:val="single" w:sz="4" w:space="0" w:color="auto"/>
              <w:right w:val="nil"/>
            </w:tcBorders>
            <w:shd w:val="clear" w:color="000000" w:fill="F2DCDB"/>
            <w:vAlign w:val="center"/>
          </w:tcPr>
          <w:p w14:paraId="4167E841" w14:textId="77777777" w:rsidR="00394D0F" w:rsidRDefault="00394D0F">
            <w:pPr>
              <w:jc w:val="right"/>
              <w:rPr>
                <w:color w:val="000000"/>
                <w:sz w:val="24"/>
                <w:szCs w:val="24"/>
              </w:rPr>
            </w:pPr>
            <w:r>
              <w:rPr>
                <w:color w:val="000000"/>
              </w:rPr>
              <w:t>14</w:t>
            </w:r>
          </w:p>
        </w:tc>
        <w:tc>
          <w:tcPr>
            <w:tcW w:w="222" w:type="pct"/>
            <w:tcBorders>
              <w:top w:val="nil"/>
              <w:left w:val="double" w:sz="6" w:space="0" w:color="auto"/>
              <w:bottom w:val="single" w:sz="4" w:space="0" w:color="auto"/>
              <w:right w:val="nil"/>
            </w:tcBorders>
            <w:shd w:val="clear" w:color="000000" w:fill="F2DCDB"/>
            <w:vAlign w:val="center"/>
          </w:tcPr>
          <w:p w14:paraId="4A45D09E" w14:textId="77777777" w:rsidR="00394D0F" w:rsidRDefault="00394D0F">
            <w:pPr>
              <w:jc w:val="right"/>
              <w:rPr>
                <w:color w:val="000000"/>
                <w:sz w:val="24"/>
                <w:szCs w:val="24"/>
              </w:rPr>
            </w:pPr>
            <w:r>
              <w:rPr>
                <w:color w:val="000000"/>
              </w:rPr>
              <w:t>40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361106B" w14:textId="77777777" w:rsidR="00394D0F" w:rsidRDefault="00394D0F">
            <w:pPr>
              <w:jc w:val="right"/>
              <w:rPr>
                <w:color w:val="000000"/>
                <w:sz w:val="24"/>
                <w:szCs w:val="24"/>
              </w:rPr>
            </w:pPr>
            <w:r>
              <w:rPr>
                <w:color w:val="000000"/>
              </w:rPr>
              <w:t>51</w:t>
            </w:r>
          </w:p>
        </w:tc>
      </w:tr>
      <w:tr w:rsidR="00394D0F" w:rsidRPr="000A46ED" w14:paraId="7E8A4C65"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FB330CA"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reading challenges me and makes me think.</w:t>
            </w:r>
          </w:p>
        </w:tc>
        <w:tc>
          <w:tcPr>
            <w:tcW w:w="255" w:type="pct"/>
            <w:tcBorders>
              <w:top w:val="nil"/>
              <w:left w:val="double" w:sz="6" w:space="0" w:color="auto"/>
              <w:bottom w:val="single" w:sz="4" w:space="0" w:color="auto"/>
              <w:right w:val="nil"/>
            </w:tcBorders>
            <w:shd w:val="clear" w:color="000000" w:fill="F2DCDB"/>
            <w:vAlign w:val="center"/>
          </w:tcPr>
          <w:p w14:paraId="4863B549" w14:textId="77777777" w:rsidR="00394D0F" w:rsidRDefault="00394D0F">
            <w:pPr>
              <w:jc w:val="right"/>
              <w:rPr>
                <w:color w:val="000000"/>
                <w:sz w:val="24"/>
                <w:szCs w:val="24"/>
              </w:rPr>
            </w:pPr>
            <w:r>
              <w:rPr>
                <w:color w:val="000000"/>
              </w:rPr>
              <w:t>328</w:t>
            </w:r>
          </w:p>
        </w:tc>
        <w:tc>
          <w:tcPr>
            <w:tcW w:w="256" w:type="pct"/>
            <w:tcBorders>
              <w:top w:val="nil"/>
              <w:left w:val="double" w:sz="6" w:space="0" w:color="auto"/>
              <w:bottom w:val="single" w:sz="4" w:space="0" w:color="auto"/>
              <w:right w:val="nil"/>
            </w:tcBorders>
            <w:shd w:val="clear" w:color="000000" w:fill="F2DCDB"/>
            <w:vAlign w:val="center"/>
          </w:tcPr>
          <w:p w14:paraId="342E8DC2" w14:textId="77777777" w:rsidR="00394D0F" w:rsidRDefault="00394D0F">
            <w:pPr>
              <w:jc w:val="right"/>
              <w:rPr>
                <w:color w:val="000000"/>
                <w:sz w:val="24"/>
                <w:szCs w:val="24"/>
              </w:rPr>
            </w:pPr>
            <w:r>
              <w:rPr>
                <w:color w:val="000000"/>
              </w:rPr>
              <w:t>302</w:t>
            </w:r>
          </w:p>
        </w:tc>
        <w:tc>
          <w:tcPr>
            <w:tcW w:w="249" w:type="pct"/>
            <w:tcBorders>
              <w:top w:val="nil"/>
              <w:left w:val="double" w:sz="6" w:space="0" w:color="auto"/>
              <w:bottom w:val="single" w:sz="4" w:space="0" w:color="auto"/>
              <w:right w:val="nil"/>
            </w:tcBorders>
            <w:shd w:val="clear" w:color="000000" w:fill="F2DCDB"/>
            <w:vAlign w:val="center"/>
          </w:tcPr>
          <w:p w14:paraId="790115F4" w14:textId="77777777" w:rsidR="00394D0F" w:rsidRDefault="00394D0F">
            <w:pPr>
              <w:jc w:val="right"/>
              <w:rPr>
                <w:color w:val="000000"/>
                <w:sz w:val="24"/>
                <w:szCs w:val="24"/>
              </w:rPr>
            </w:pPr>
            <w:r>
              <w:rPr>
                <w:color w:val="000000"/>
              </w:rPr>
              <w:t>328</w:t>
            </w:r>
          </w:p>
        </w:tc>
        <w:tc>
          <w:tcPr>
            <w:tcW w:w="249" w:type="pct"/>
            <w:tcBorders>
              <w:top w:val="nil"/>
              <w:left w:val="double" w:sz="6" w:space="0" w:color="auto"/>
              <w:bottom w:val="single" w:sz="4" w:space="0" w:color="auto"/>
              <w:right w:val="nil"/>
            </w:tcBorders>
            <w:shd w:val="clear" w:color="000000" w:fill="F2DCDB"/>
            <w:vAlign w:val="center"/>
          </w:tcPr>
          <w:p w14:paraId="39B4209C" w14:textId="77777777" w:rsidR="00394D0F" w:rsidRDefault="00394D0F">
            <w:pPr>
              <w:jc w:val="right"/>
              <w:rPr>
                <w:color w:val="000000"/>
                <w:sz w:val="24"/>
                <w:szCs w:val="24"/>
              </w:rPr>
            </w:pPr>
            <w:r>
              <w:rPr>
                <w:color w:val="000000"/>
              </w:rPr>
              <w:t>327</w:t>
            </w:r>
          </w:p>
        </w:tc>
        <w:tc>
          <w:tcPr>
            <w:tcW w:w="222" w:type="pct"/>
            <w:tcBorders>
              <w:top w:val="nil"/>
              <w:left w:val="double" w:sz="6" w:space="0" w:color="auto"/>
              <w:bottom w:val="single" w:sz="4" w:space="0" w:color="auto"/>
              <w:right w:val="nil"/>
            </w:tcBorders>
            <w:shd w:val="clear" w:color="000000" w:fill="F2DCDB"/>
            <w:vAlign w:val="center"/>
          </w:tcPr>
          <w:p w14:paraId="4E53DAF6" w14:textId="77777777" w:rsidR="00394D0F" w:rsidRDefault="00394D0F">
            <w:pPr>
              <w:jc w:val="right"/>
              <w:rPr>
                <w:color w:val="000000"/>
                <w:sz w:val="24"/>
                <w:szCs w:val="24"/>
              </w:rPr>
            </w:pPr>
            <w:r>
              <w:rPr>
                <w:color w:val="000000"/>
              </w:rPr>
              <w:t>38</w:t>
            </w:r>
          </w:p>
        </w:tc>
        <w:tc>
          <w:tcPr>
            <w:tcW w:w="228" w:type="pct"/>
            <w:tcBorders>
              <w:top w:val="nil"/>
              <w:left w:val="double" w:sz="6" w:space="0" w:color="auto"/>
              <w:bottom w:val="single" w:sz="4" w:space="0" w:color="auto"/>
              <w:right w:val="nil"/>
            </w:tcBorders>
            <w:shd w:val="clear" w:color="000000" w:fill="F2DCDB"/>
            <w:vAlign w:val="center"/>
          </w:tcPr>
          <w:p w14:paraId="0203E47D" w14:textId="77777777" w:rsidR="00394D0F" w:rsidRDefault="00394D0F">
            <w:pPr>
              <w:jc w:val="right"/>
              <w:rPr>
                <w:color w:val="000000"/>
                <w:sz w:val="24"/>
                <w:szCs w:val="24"/>
              </w:rPr>
            </w:pPr>
            <w:r>
              <w:rPr>
                <w:color w:val="000000"/>
              </w:rPr>
              <w:t>75</w:t>
            </w:r>
          </w:p>
        </w:tc>
        <w:tc>
          <w:tcPr>
            <w:tcW w:w="291" w:type="pct"/>
            <w:tcBorders>
              <w:top w:val="nil"/>
              <w:left w:val="double" w:sz="6" w:space="0" w:color="auto"/>
              <w:bottom w:val="single" w:sz="4" w:space="0" w:color="auto"/>
              <w:right w:val="nil"/>
            </w:tcBorders>
            <w:shd w:val="clear" w:color="000000" w:fill="F2DCDB"/>
            <w:vAlign w:val="center"/>
          </w:tcPr>
          <w:p w14:paraId="6A615012" w14:textId="77777777" w:rsidR="00394D0F" w:rsidRDefault="00394D0F">
            <w:pPr>
              <w:jc w:val="right"/>
              <w:rPr>
                <w:color w:val="000000"/>
                <w:sz w:val="24"/>
                <w:szCs w:val="24"/>
              </w:rPr>
            </w:pPr>
            <w:r>
              <w:rPr>
                <w:color w:val="000000"/>
              </w:rPr>
              <w:t>17</w:t>
            </w:r>
          </w:p>
        </w:tc>
        <w:tc>
          <w:tcPr>
            <w:tcW w:w="299" w:type="pct"/>
            <w:tcBorders>
              <w:top w:val="nil"/>
              <w:left w:val="double" w:sz="6" w:space="0" w:color="auto"/>
              <w:bottom w:val="single" w:sz="4" w:space="0" w:color="auto"/>
              <w:right w:val="nil"/>
            </w:tcBorders>
            <w:shd w:val="clear" w:color="000000" w:fill="F2DCDB"/>
            <w:vAlign w:val="center"/>
          </w:tcPr>
          <w:p w14:paraId="3249B961" w14:textId="77777777" w:rsidR="00394D0F" w:rsidRDefault="00394D0F">
            <w:pPr>
              <w:jc w:val="right"/>
              <w:rPr>
                <w:color w:val="000000"/>
                <w:sz w:val="24"/>
                <w:szCs w:val="24"/>
              </w:rPr>
            </w:pPr>
            <w:r>
              <w:rPr>
                <w:color w:val="000000"/>
              </w:rPr>
              <w:t>19</w:t>
            </w:r>
          </w:p>
        </w:tc>
        <w:tc>
          <w:tcPr>
            <w:tcW w:w="222" w:type="pct"/>
            <w:tcBorders>
              <w:top w:val="nil"/>
              <w:left w:val="double" w:sz="6" w:space="0" w:color="auto"/>
              <w:bottom w:val="single" w:sz="4" w:space="0" w:color="auto"/>
              <w:right w:val="nil"/>
            </w:tcBorders>
            <w:shd w:val="clear" w:color="000000" w:fill="F2DCDB"/>
            <w:vAlign w:val="center"/>
          </w:tcPr>
          <w:p w14:paraId="51598BDD" w14:textId="77777777" w:rsidR="00394D0F" w:rsidRDefault="00394D0F">
            <w:pPr>
              <w:jc w:val="right"/>
              <w:rPr>
                <w:color w:val="000000"/>
                <w:sz w:val="24"/>
                <w:szCs w:val="24"/>
              </w:rPr>
            </w:pPr>
            <w:r>
              <w:rPr>
                <w:color w:val="000000"/>
              </w:rPr>
              <w:t>34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3577E04" w14:textId="77777777" w:rsidR="00394D0F" w:rsidRDefault="00394D0F">
            <w:pPr>
              <w:jc w:val="right"/>
              <w:rPr>
                <w:color w:val="000000"/>
                <w:sz w:val="24"/>
                <w:szCs w:val="24"/>
              </w:rPr>
            </w:pPr>
            <w:r>
              <w:rPr>
                <w:color w:val="000000"/>
              </w:rPr>
              <w:t>42</w:t>
            </w:r>
          </w:p>
        </w:tc>
      </w:tr>
      <w:tr w:rsidR="00394D0F" w:rsidRPr="000A46ED" w14:paraId="2EFD3C39"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AA1C318"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reading.</w:t>
            </w:r>
          </w:p>
        </w:tc>
        <w:tc>
          <w:tcPr>
            <w:tcW w:w="255" w:type="pct"/>
            <w:tcBorders>
              <w:top w:val="nil"/>
              <w:left w:val="double" w:sz="6" w:space="0" w:color="auto"/>
              <w:bottom w:val="single" w:sz="4" w:space="0" w:color="auto"/>
              <w:right w:val="nil"/>
            </w:tcBorders>
            <w:shd w:val="clear" w:color="000000" w:fill="F2DCDB"/>
            <w:vAlign w:val="center"/>
          </w:tcPr>
          <w:p w14:paraId="4AC621B2" w14:textId="77777777" w:rsidR="00394D0F" w:rsidRDefault="00394D0F">
            <w:pPr>
              <w:jc w:val="right"/>
              <w:rPr>
                <w:color w:val="000000"/>
                <w:sz w:val="24"/>
                <w:szCs w:val="24"/>
              </w:rPr>
            </w:pPr>
            <w:r>
              <w:rPr>
                <w:color w:val="000000"/>
              </w:rPr>
              <w:t>306</w:t>
            </w:r>
          </w:p>
        </w:tc>
        <w:tc>
          <w:tcPr>
            <w:tcW w:w="256" w:type="pct"/>
            <w:tcBorders>
              <w:top w:val="nil"/>
              <w:left w:val="double" w:sz="6" w:space="0" w:color="auto"/>
              <w:bottom w:val="single" w:sz="4" w:space="0" w:color="auto"/>
              <w:right w:val="nil"/>
            </w:tcBorders>
            <w:shd w:val="clear" w:color="000000" w:fill="F2DCDB"/>
            <w:vAlign w:val="center"/>
          </w:tcPr>
          <w:p w14:paraId="2E07896D" w14:textId="77777777" w:rsidR="00394D0F" w:rsidRDefault="00394D0F">
            <w:pPr>
              <w:jc w:val="right"/>
              <w:rPr>
                <w:color w:val="000000"/>
                <w:sz w:val="24"/>
                <w:szCs w:val="24"/>
              </w:rPr>
            </w:pPr>
            <w:r>
              <w:rPr>
                <w:color w:val="000000"/>
              </w:rPr>
              <w:t>269</w:t>
            </w:r>
          </w:p>
        </w:tc>
        <w:tc>
          <w:tcPr>
            <w:tcW w:w="249" w:type="pct"/>
            <w:tcBorders>
              <w:top w:val="nil"/>
              <w:left w:val="double" w:sz="6" w:space="0" w:color="auto"/>
              <w:bottom w:val="single" w:sz="4" w:space="0" w:color="auto"/>
              <w:right w:val="nil"/>
            </w:tcBorders>
            <w:shd w:val="clear" w:color="000000" w:fill="F2DCDB"/>
            <w:vAlign w:val="center"/>
          </w:tcPr>
          <w:p w14:paraId="722FD351" w14:textId="77777777" w:rsidR="00394D0F" w:rsidRDefault="00394D0F">
            <w:pPr>
              <w:jc w:val="right"/>
              <w:rPr>
                <w:color w:val="000000"/>
                <w:sz w:val="24"/>
                <w:szCs w:val="24"/>
              </w:rPr>
            </w:pPr>
            <w:r>
              <w:rPr>
                <w:color w:val="000000"/>
              </w:rPr>
              <w:t>336</w:t>
            </w:r>
          </w:p>
        </w:tc>
        <w:tc>
          <w:tcPr>
            <w:tcW w:w="249" w:type="pct"/>
            <w:tcBorders>
              <w:top w:val="nil"/>
              <w:left w:val="double" w:sz="6" w:space="0" w:color="auto"/>
              <w:bottom w:val="single" w:sz="4" w:space="0" w:color="auto"/>
              <w:right w:val="nil"/>
            </w:tcBorders>
            <w:shd w:val="clear" w:color="000000" w:fill="F2DCDB"/>
            <w:vAlign w:val="center"/>
          </w:tcPr>
          <w:p w14:paraId="2FCAB786" w14:textId="77777777" w:rsidR="00394D0F" w:rsidRDefault="00394D0F">
            <w:pPr>
              <w:jc w:val="right"/>
              <w:rPr>
                <w:color w:val="000000"/>
                <w:sz w:val="24"/>
                <w:szCs w:val="24"/>
              </w:rPr>
            </w:pPr>
            <w:r>
              <w:rPr>
                <w:color w:val="000000"/>
              </w:rPr>
              <w:t>367</w:t>
            </w:r>
          </w:p>
        </w:tc>
        <w:tc>
          <w:tcPr>
            <w:tcW w:w="222" w:type="pct"/>
            <w:tcBorders>
              <w:top w:val="nil"/>
              <w:left w:val="double" w:sz="6" w:space="0" w:color="auto"/>
              <w:bottom w:val="single" w:sz="4" w:space="0" w:color="auto"/>
              <w:right w:val="nil"/>
            </w:tcBorders>
            <w:shd w:val="clear" w:color="000000" w:fill="F2DCDB"/>
            <w:vAlign w:val="center"/>
          </w:tcPr>
          <w:p w14:paraId="0EEF5524" w14:textId="77777777" w:rsidR="00394D0F" w:rsidRDefault="00394D0F">
            <w:pPr>
              <w:jc w:val="right"/>
              <w:rPr>
                <w:color w:val="000000"/>
                <w:sz w:val="24"/>
                <w:szCs w:val="24"/>
              </w:rPr>
            </w:pPr>
            <w:r>
              <w:rPr>
                <w:color w:val="000000"/>
              </w:rPr>
              <w:t>41</w:t>
            </w:r>
          </w:p>
        </w:tc>
        <w:tc>
          <w:tcPr>
            <w:tcW w:w="228" w:type="pct"/>
            <w:tcBorders>
              <w:top w:val="nil"/>
              <w:left w:val="double" w:sz="6" w:space="0" w:color="auto"/>
              <w:bottom w:val="single" w:sz="4" w:space="0" w:color="auto"/>
              <w:right w:val="nil"/>
            </w:tcBorders>
            <w:shd w:val="clear" w:color="000000" w:fill="F2DCDB"/>
            <w:vAlign w:val="center"/>
          </w:tcPr>
          <w:p w14:paraId="0EA2082B" w14:textId="77777777" w:rsidR="00394D0F" w:rsidRDefault="00394D0F">
            <w:pPr>
              <w:jc w:val="right"/>
              <w:rPr>
                <w:color w:val="000000"/>
                <w:sz w:val="24"/>
                <w:szCs w:val="24"/>
              </w:rPr>
            </w:pPr>
            <w:r>
              <w:rPr>
                <w:color w:val="000000"/>
              </w:rPr>
              <w:t>64</w:t>
            </w:r>
          </w:p>
        </w:tc>
        <w:tc>
          <w:tcPr>
            <w:tcW w:w="291" w:type="pct"/>
            <w:tcBorders>
              <w:top w:val="nil"/>
              <w:left w:val="double" w:sz="6" w:space="0" w:color="auto"/>
              <w:bottom w:val="single" w:sz="4" w:space="0" w:color="auto"/>
              <w:right w:val="nil"/>
            </w:tcBorders>
            <w:shd w:val="clear" w:color="000000" w:fill="F2DCDB"/>
            <w:vAlign w:val="center"/>
          </w:tcPr>
          <w:p w14:paraId="79201509" w14:textId="77777777" w:rsidR="00394D0F" w:rsidRDefault="00394D0F">
            <w:pPr>
              <w:jc w:val="right"/>
              <w:rPr>
                <w:color w:val="000000"/>
                <w:sz w:val="24"/>
                <w:szCs w:val="24"/>
              </w:rPr>
            </w:pPr>
            <w:r>
              <w:rPr>
                <w:color w:val="000000"/>
              </w:rPr>
              <w:t>6</w:t>
            </w:r>
          </w:p>
        </w:tc>
        <w:tc>
          <w:tcPr>
            <w:tcW w:w="299" w:type="pct"/>
            <w:tcBorders>
              <w:top w:val="nil"/>
              <w:left w:val="double" w:sz="6" w:space="0" w:color="auto"/>
              <w:bottom w:val="single" w:sz="4" w:space="0" w:color="auto"/>
              <w:right w:val="nil"/>
            </w:tcBorders>
            <w:shd w:val="clear" w:color="000000" w:fill="F2DCDB"/>
            <w:vAlign w:val="center"/>
          </w:tcPr>
          <w:p w14:paraId="5ED3FC0B" w14:textId="77777777" w:rsidR="00394D0F" w:rsidRDefault="00394D0F">
            <w:pPr>
              <w:jc w:val="right"/>
              <w:rPr>
                <w:color w:val="000000"/>
                <w:sz w:val="24"/>
                <w:szCs w:val="24"/>
              </w:rPr>
            </w:pPr>
            <w:r>
              <w:rPr>
                <w:color w:val="000000"/>
              </w:rPr>
              <w:t>19</w:t>
            </w:r>
          </w:p>
        </w:tc>
        <w:tc>
          <w:tcPr>
            <w:tcW w:w="222" w:type="pct"/>
            <w:tcBorders>
              <w:top w:val="nil"/>
              <w:left w:val="double" w:sz="6" w:space="0" w:color="auto"/>
              <w:bottom w:val="single" w:sz="4" w:space="0" w:color="auto"/>
              <w:right w:val="nil"/>
            </w:tcBorders>
            <w:shd w:val="clear" w:color="000000" w:fill="F2DCDB"/>
            <w:vAlign w:val="center"/>
          </w:tcPr>
          <w:p w14:paraId="057922EB" w14:textId="77777777" w:rsidR="00394D0F" w:rsidRDefault="00394D0F">
            <w:pPr>
              <w:jc w:val="right"/>
              <w:rPr>
                <w:color w:val="000000"/>
                <w:sz w:val="24"/>
                <w:szCs w:val="24"/>
              </w:rPr>
            </w:pPr>
            <w:r>
              <w:rPr>
                <w:color w:val="000000"/>
              </w:rPr>
              <w:t>61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33D3A96" w14:textId="77777777" w:rsidR="00394D0F" w:rsidRDefault="00394D0F">
            <w:pPr>
              <w:jc w:val="right"/>
              <w:rPr>
                <w:color w:val="000000"/>
                <w:sz w:val="24"/>
                <w:szCs w:val="24"/>
              </w:rPr>
            </w:pPr>
            <w:r>
              <w:rPr>
                <w:color w:val="000000"/>
              </w:rPr>
              <w:t>45</w:t>
            </w:r>
          </w:p>
        </w:tc>
      </w:tr>
      <w:tr w:rsidR="00394D0F" w:rsidRPr="000A46ED" w14:paraId="0A29A48D"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3FC253B"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reading skills.</w:t>
            </w:r>
          </w:p>
        </w:tc>
        <w:tc>
          <w:tcPr>
            <w:tcW w:w="255" w:type="pct"/>
            <w:tcBorders>
              <w:top w:val="nil"/>
              <w:left w:val="double" w:sz="6" w:space="0" w:color="auto"/>
              <w:bottom w:val="single" w:sz="4" w:space="0" w:color="auto"/>
              <w:right w:val="nil"/>
            </w:tcBorders>
            <w:shd w:val="clear" w:color="000000" w:fill="F2DCDB"/>
            <w:vAlign w:val="center"/>
          </w:tcPr>
          <w:p w14:paraId="3B2D300F" w14:textId="77777777" w:rsidR="00394D0F" w:rsidRDefault="00394D0F">
            <w:pPr>
              <w:jc w:val="right"/>
              <w:rPr>
                <w:color w:val="000000"/>
                <w:sz w:val="24"/>
                <w:szCs w:val="24"/>
              </w:rPr>
            </w:pPr>
            <w:r>
              <w:rPr>
                <w:color w:val="000000"/>
              </w:rPr>
              <w:t>355</w:t>
            </w:r>
          </w:p>
        </w:tc>
        <w:tc>
          <w:tcPr>
            <w:tcW w:w="256" w:type="pct"/>
            <w:tcBorders>
              <w:top w:val="nil"/>
              <w:left w:val="double" w:sz="6" w:space="0" w:color="auto"/>
              <w:bottom w:val="single" w:sz="4" w:space="0" w:color="auto"/>
              <w:right w:val="nil"/>
            </w:tcBorders>
            <w:shd w:val="clear" w:color="000000" w:fill="F2DCDB"/>
            <w:vAlign w:val="center"/>
          </w:tcPr>
          <w:p w14:paraId="4F99914E" w14:textId="77777777" w:rsidR="00394D0F" w:rsidRDefault="00394D0F">
            <w:pPr>
              <w:jc w:val="right"/>
              <w:rPr>
                <w:color w:val="000000"/>
                <w:sz w:val="24"/>
                <w:szCs w:val="24"/>
              </w:rPr>
            </w:pPr>
            <w:r>
              <w:rPr>
                <w:color w:val="000000"/>
              </w:rPr>
              <w:t>340</w:t>
            </w:r>
          </w:p>
        </w:tc>
        <w:tc>
          <w:tcPr>
            <w:tcW w:w="249" w:type="pct"/>
            <w:tcBorders>
              <w:top w:val="nil"/>
              <w:left w:val="double" w:sz="6" w:space="0" w:color="auto"/>
              <w:bottom w:val="single" w:sz="4" w:space="0" w:color="auto"/>
              <w:right w:val="nil"/>
            </w:tcBorders>
            <w:shd w:val="clear" w:color="000000" w:fill="F2DCDB"/>
            <w:vAlign w:val="center"/>
          </w:tcPr>
          <w:p w14:paraId="51683FB7" w14:textId="77777777" w:rsidR="00394D0F" w:rsidRDefault="00394D0F">
            <w:pPr>
              <w:jc w:val="right"/>
              <w:rPr>
                <w:color w:val="000000"/>
                <w:sz w:val="24"/>
                <w:szCs w:val="24"/>
              </w:rPr>
            </w:pPr>
            <w:r>
              <w:rPr>
                <w:color w:val="000000"/>
              </w:rPr>
              <w:t>311</w:t>
            </w:r>
          </w:p>
        </w:tc>
        <w:tc>
          <w:tcPr>
            <w:tcW w:w="249" w:type="pct"/>
            <w:tcBorders>
              <w:top w:val="nil"/>
              <w:left w:val="double" w:sz="6" w:space="0" w:color="auto"/>
              <w:bottom w:val="single" w:sz="4" w:space="0" w:color="auto"/>
              <w:right w:val="nil"/>
            </w:tcBorders>
            <w:shd w:val="clear" w:color="000000" w:fill="F2DCDB"/>
            <w:vAlign w:val="center"/>
          </w:tcPr>
          <w:p w14:paraId="27613C47" w14:textId="77777777" w:rsidR="00394D0F" w:rsidRDefault="00394D0F">
            <w:pPr>
              <w:jc w:val="right"/>
              <w:rPr>
                <w:color w:val="000000"/>
                <w:sz w:val="24"/>
                <w:szCs w:val="24"/>
              </w:rPr>
            </w:pPr>
            <w:r>
              <w:rPr>
                <w:color w:val="000000"/>
              </w:rPr>
              <w:t>301</w:t>
            </w:r>
          </w:p>
        </w:tc>
        <w:tc>
          <w:tcPr>
            <w:tcW w:w="222" w:type="pct"/>
            <w:tcBorders>
              <w:top w:val="nil"/>
              <w:left w:val="double" w:sz="6" w:space="0" w:color="auto"/>
              <w:bottom w:val="single" w:sz="4" w:space="0" w:color="auto"/>
              <w:right w:val="nil"/>
            </w:tcBorders>
            <w:shd w:val="clear" w:color="000000" w:fill="F2DCDB"/>
            <w:vAlign w:val="center"/>
          </w:tcPr>
          <w:p w14:paraId="58523FBE" w14:textId="77777777" w:rsidR="00394D0F" w:rsidRDefault="00394D0F">
            <w:pPr>
              <w:jc w:val="right"/>
              <w:rPr>
                <w:color w:val="000000"/>
                <w:sz w:val="24"/>
                <w:szCs w:val="24"/>
              </w:rPr>
            </w:pPr>
            <w:r>
              <w:rPr>
                <w:color w:val="000000"/>
              </w:rPr>
              <w:t>41</w:t>
            </w:r>
          </w:p>
        </w:tc>
        <w:tc>
          <w:tcPr>
            <w:tcW w:w="228" w:type="pct"/>
            <w:tcBorders>
              <w:top w:val="nil"/>
              <w:left w:val="double" w:sz="6" w:space="0" w:color="auto"/>
              <w:bottom w:val="single" w:sz="4" w:space="0" w:color="auto"/>
              <w:right w:val="nil"/>
            </w:tcBorders>
            <w:shd w:val="clear" w:color="000000" w:fill="F2DCDB"/>
            <w:vAlign w:val="center"/>
          </w:tcPr>
          <w:p w14:paraId="66642E98" w14:textId="77777777" w:rsidR="00394D0F" w:rsidRDefault="00394D0F">
            <w:pPr>
              <w:jc w:val="right"/>
              <w:rPr>
                <w:color w:val="000000"/>
                <w:sz w:val="24"/>
                <w:szCs w:val="24"/>
              </w:rPr>
            </w:pPr>
            <w:r>
              <w:rPr>
                <w:color w:val="000000"/>
              </w:rPr>
              <w:t>66</w:t>
            </w:r>
          </w:p>
        </w:tc>
        <w:tc>
          <w:tcPr>
            <w:tcW w:w="291" w:type="pct"/>
            <w:tcBorders>
              <w:top w:val="nil"/>
              <w:left w:val="double" w:sz="6" w:space="0" w:color="auto"/>
              <w:bottom w:val="single" w:sz="4" w:space="0" w:color="auto"/>
              <w:right w:val="nil"/>
            </w:tcBorders>
            <w:shd w:val="clear" w:color="000000" w:fill="F2DCDB"/>
            <w:vAlign w:val="center"/>
          </w:tcPr>
          <w:p w14:paraId="2C5C5D81" w14:textId="77777777" w:rsidR="00394D0F" w:rsidRDefault="00394D0F">
            <w:pPr>
              <w:jc w:val="right"/>
              <w:rPr>
                <w:color w:val="000000"/>
                <w:sz w:val="24"/>
                <w:szCs w:val="24"/>
              </w:rPr>
            </w:pPr>
            <w:r>
              <w:rPr>
                <w:color w:val="000000"/>
              </w:rPr>
              <w:t>12</w:t>
            </w:r>
          </w:p>
        </w:tc>
        <w:tc>
          <w:tcPr>
            <w:tcW w:w="299" w:type="pct"/>
            <w:tcBorders>
              <w:top w:val="nil"/>
              <w:left w:val="double" w:sz="6" w:space="0" w:color="auto"/>
              <w:bottom w:val="single" w:sz="4" w:space="0" w:color="auto"/>
              <w:right w:val="nil"/>
            </w:tcBorders>
            <w:shd w:val="clear" w:color="000000" w:fill="F2DCDB"/>
            <w:vAlign w:val="center"/>
          </w:tcPr>
          <w:p w14:paraId="6E7BE0FF" w14:textId="77777777" w:rsidR="00394D0F" w:rsidRDefault="00394D0F">
            <w:pPr>
              <w:jc w:val="right"/>
              <w:rPr>
                <w:color w:val="000000"/>
                <w:sz w:val="24"/>
                <w:szCs w:val="24"/>
              </w:rPr>
            </w:pPr>
            <w:r>
              <w:rPr>
                <w:color w:val="000000"/>
              </w:rPr>
              <w:t>35</w:t>
            </w:r>
          </w:p>
        </w:tc>
        <w:tc>
          <w:tcPr>
            <w:tcW w:w="222" w:type="pct"/>
            <w:tcBorders>
              <w:top w:val="nil"/>
              <w:left w:val="double" w:sz="6" w:space="0" w:color="auto"/>
              <w:bottom w:val="single" w:sz="4" w:space="0" w:color="auto"/>
              <w:right w:val="nil"/>
            </w:tcBorders>
            <w:shd w:val="clear" w:color="000000" w:fill="F2DCDB"/>
            <w:vAlign w:val="center"/>
          </w:tcPr>
          <w:p w14:paraId="21738D40" w14:textId="77777777" w:rsidR="00394D0F" w:rsidRDefault="00394D0F">
            <w:pPr>
              <w:jc w:val="right"/>
              <w:rPr>
                <w:color w:val="000000"/>
                <w:sz w:val="24"/>
                <w:szCs w:val="24"/>
              </w:rPr>
            </w:pPr>
            <w:r>
              <w:rPr>
                <w:color w:val="000000"/>
              </w:rPr>
              <w:t>30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8FE9867" w14:textId="77777777" w:rsidR="00394D0F" w:rsidRDefault="00394D0F">
            <w:pPr>
              <w:jc w:val="right"/>
              <w:rPr>
                <w:color w:val="000000"/>
                <w:sz w:val="24"/>
                <w:szCs w:val="24"/>
              </w:rPr>
            </w:pPr>
            <w:r>
              <w:rPr>
                <w:color w:val="000000"/>
              </w:rPr>
              <w:t>24</w:t>
            </w:r>
          </w:p>
        </w:tc>
      </w:tr>
    </w:tbl>
    <w:p w14:paraId="7A9A75BC" w14:textId="77777777" w:rsidR="005C5B3E" w:rsidRDefault="005C5B3E" w:rsidP="004910A6">
      <w:pPr>
        <w:rPr>
          <w:rFonts w:cs="Arial"/>
          <w:sz w:val="24"/>
          <w:szCs w:val="24"/>
        </w:rPr>
        <w:sectPr w:rsidR="005C5B3E" w:rsidSect="005C5B3E">
          <w:pgSz w:w="16838" w:h="11906" w:orient="landscape"/>
          <w:pgMar w:top="1418" w:right="1134" w:bottom="851" w:left="1134" w:header="709" w:footer="709" w:gutter="0"/>
          <w:cols w:space="708"/>
          <w:docGrid w:linePitch="360"/>
        </w:sectPr>
      </w:pPr>
    </w:p>
    <w:tbl>
      <w:tblPr>
        <w:tblW w:w="5000" w:type="pct"/>
        <w:tblLook w:val="04A0" w:firstRow="1" w:lastRow="0" w:firstColumn="1" w:lastColumn="0" w:noHBand="0" w:noVBand="1"/>
        <w:tblCaption w:val="Table - Numeracy Year 5"/>
        <w:tblDescription w:val="Data relating to Numeracy Year 5"/>
      </w:tblPr>
      <w:tblGrid>
        <w:gridCol w:w="7403"/>
        <w:gridCol w:w="755"/>
        <w:gridCol w:w="757"/>
        <w:gridCol w:w="736"/>
        <w:gridCol w:w="736"/>
        <w:gridCol w:w="656"/>
        <w:gridCol w:w="674"/>
        <w:gridCol w:w="861"/>
        <w:gridCol w:w="884"/>
        <w:gridCol w:w="656"/>
        <w:gridCol w:w="668"/>
      </w:tblGrid>
      <w:tr w:rsidR="005C5B3E" w:rsidRPr="000A46ED" w14:paraId="11B6300B" w14:textId="77777777" w:rsidTr="0001238E">
        <w:trPr>
          <w:trHeight w:val="567"/>
        </w:trPr>
        <w:tc>
          <w:tcPr>
            <w:tcW w:w="2503" w:type="pct"/>
            <w:vMerge w:val="restart"/>
            <w:tcBorders>
              <w:top w:val="single" w:sz="4" w:space="0" w:color="auto"/>
              <w:left w:val="single" w:sz="4" w:space="0" w:color="auto"/>
              <w:bottom w:val="nil"/>
              <w:right w:val="nil"/>
            </w:tcBorders>
            <w:shd w:val="clear" w:color="auto" w:fill="auto"/>
            <w:noWrap/>
            <w:vAlign w:val="center"/>
            <w:hideMark/>
          </w:tcPr>
          <w:p w14:paraId="12A39633" w14:textId="77777777" w:rsidR="005C5B3E" w:rsidRPr="008826A5" w:rsidRDefault="005C5B3E" w:rsidP="0001238E">
            <w:pPr>
              <w:spacing w:after="0" w:line="240" w:lineRule="auto"/>
              <w:jc w:val="center"/>
              <w:rPr>
                <w:rFonts w:eastAsia="Times New Roman" w:cs="Times New Roman"/>
                <w:b/>
                <w:bCs/>
                <w:color w:val="244061" w:themeColor="accent1" w:themeShade="80"/>
                <w:sz w:val="36"/>
                <w:szCs w:val="36"/>
                <w:lang w:eastAsia="en-AU"/>
              </w:rPr>
            </w:pPr>
            <w:r>
              <w:rPr>
                <w:rFonts w:eastAsia="Times New Roman" w:cs="Times New Roman"/>
                <w:b/>
                <w:bCs/>
                <w:color w:val="244061" w:themeColor="accent1" w:themeShade="80"/>
                <w:sz w:val="36"/>
                <w:szCs w:val="36"/>
                <w:lang w:eastAsia="en-AU"/>
              </w:rPr>
              <w:t>Numeracy</w:t>
            </w:r>
          </w:p>
          <w:p w14:paraId="28C5E165" w14:textId="77777777" w:rsidR="005C5B3E" w:rsidRPr="000A46ED" w:rsidRDefault="005C5B3E" w:rsidP="0001238E">
            <w:pPr>
              <w:spacing w:after="0" w:line="240" w:lineRule="auto"/>
              <w:jc w:val="center"/>
              <w:rPr>
                <w:rFonts w:eastAsia="Times New Roman" w:cs="Times New Roman"/>
                <w:b/>
                <w:bCs/>
                <w:color w:val="FF0000"/>
                <w:sz w:val="36"/>
                <w:szCs w:val="36"/>
                <w:lang w:eastAsia="en-AU"/>
              </w:rPr>
            </w:pPr>
          </w:p>
        </w:tc>
        <w:tc>
          <w:tcPr>
            <w:tcW w:w="2497"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4A64A261" w14:textId="77777777" w:rsidR="005C5B3E" w:rsidRPr="000A46ED" w:rsidRDefault="005C5B3E" w:rsidP="0001238E">
            <w:pPr>
              <w:spacing w:after="0" w:line="240" w:lineRule="auto"/>
              <w:jc w:val="center"/>
              <w:rPr>
                <w:rFonts w:eastAsia="Times New Roman" w:cs="Times New Roman"/>
                <w:color w:val="000000"/>
                <w:sz w:val="52"/>
                <w:szCs w:val="52"/>
                <w:lang w:eastAsia="en-AU"/>
              </w:rPr>
            </w:pPr>
            <w:r>
              <w:rPr>
                <w:rFonts w:eastAsia="Times New Roman" w:cs="Times New Roman"/>
                <w:color w:val="000000"/>
                <w:sz w:val="52"/>
                <w:szCs w:val="52"/>
                <w:lang w:eastAsia="en-AU"/>
              </w:rPr>
              <w:t>Year 5</w:t>
            </w:r>
          </w:p>
        </w:tc>
      </w:tr>
      <w:tr w:rsidR="005C5B3E" w:rsidRPr="000A46ED" w14:paraId="4414D380" w14:textId="77777777" w:rsidTr="00394D0F">
        <w:trPr>
          <w:trHeight w:val="276"/>
        </w:trPr>
        <w:tc>
          <w:tcPr>
            <w:tcW w:w="2503" w:type="pct"/>
            <w:vMerge/>
            <w:tcBorders>
              <w:left w:val="single" w:sz="4" w:space="0" w:color="auto"/>
              <w:right w:val="nil"/>
            </w:tcBorders>
            <w:shd w:val="clear" w:color="auto" w:fill="auto"/>
            <w:vAlign w:val="center"/>
            <w:hideMark/>
          </w:tcPr>
          <w:p w14:paraId="155DD071"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511"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4B124C9A"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498" w:type="pct"/>
            <w:gridSpan w:val="2"/>
            <w:tcBorders>
              <w:top w:val="double" w:sz="6" w:space="0" w:color="auto"/>
              <w:left w:val="nil"/>
              <w:bottom w:val="single" w:sz="4" w:space="0" w:color="auto"/>
              <w:right w:val="single" w:sz="12" w:space="0" w:color="000000"/>
            </w:tcBorders>
            <w:shd w:val="clear" w:color="auto" w:fill="auto"/>
            <w:vAlign w:val="center"/>
            <w:hideMark/>
          </w:tcPr>
          <w:p w14:paraId="181189B6"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450" w:type="pct"/>
            <w:gridSpan w:val="2"/>
            <w:tcBorders>
              <w:top w:val="double" w:sz="6" w:space="0" w:color="auto"/>
              <w:left w:val="nil"/>
              <w:bottom w:val="single" w:sz="4" w:space="0" w:color="auto"/>
              <w:right w:val="single" w:sz="12" w:space="0" w:color="000000"/>
            </w:tcBorders>
            <w:shd w:val="clear" w:color="auto" w:fill="auto"/>
            <w:vAlign w:val="center"/>
            <w:hideMark/>
          </w:tcPr>
          <w:p w14:paraId="73DCD5D1"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590" w:type="pct"/>
            <w:gridSpan w:val="2"/>
            <w:tcBorders>
              <w:top w:val="double" w:sz="6" w:space="0" w:color="auto"/>
              <w:left w:val="nil"/>
              <w:bottom w:val="single" w:sz="4" w:space="0" w:color="auto"/>
              <w:right w:val="single" w:sz="12" w:space="0" w:color="000000"/>
            </w:tcBorders>
            <w:shd w:val="clear" w:color="auto" w:fill="auto"/>
            <w:vAlign w:val="center"/>
            <w:hideMark/>
          </w:tcPr>
          <w:p w14:paraId="7A03B6CC"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448" w:type="pct"/>
            <w:gridSpan w:val="2"/>
            <w:tcBorders>
              <w:top w:val="double" w:sz="6" w:space="0" w:color="auto"/>
              <w:left w:val="nil"/>
              <w:bottom w:val="single" w:sz="4" w:space="0" w:color="auto"/>
              <w:right w:val="double" w:sz="6" w:space="0" w:color="000000"/>
            </w:tcBorders>
            <w:shd w:val="clear" w:color="auto" w:fill="auto"/>
            <w:vAlign w:val="center"/>
            <w:hideMark/>
          </w:tcPr>
          <w:p w14:paraId="7B88A452"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5C5B3E" w:rsidRPr="000A46ED" w14:paraId="76BBF59E" w14:textId="77777777" w:rsidTr="00394D0F">
        <w:trPr>
          <w:trHeight w:val="276"/>
        </w:trPr>
        <w:tc>
          <w:tcPr>
            <w:tcW w:w="2503" w:type="pct"/>
            <w:vMerge/>
            <w:tcBorders>
              <w:left w:val="single" w:sz="4" w:space="0" w:color="auto"/>
              <w:bottom w:val="single" w:sz="8" w:space="0" w:color="auto"/>
              <w:right w:val="nil"/>
            </w:tcBorders>
            <w:shd w:val="clear" w:color="auto" w:fill="auto"/>
            <w:vAlign w:val="center"/>
            <w:hideMark/>
          </w:tcPr>
          <w:p w14:paraId="6E02BD20"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255" w:type="pct"/>
            <w:tcBorders>
              <w:top w:val="nil"/>
              <w:left w:val="double" w:sz="6" w:space="0" w:color="auto"/>
              <w:bottom w:val="single" w:sz="4" w:space="0" w:color="auto"/>
              <w:right w:val="single" w:sz="4" w:space="0" w:color="auto"/>
            </w:tcBorders>
            <w:shd w:val="clear" w:color="auto" w:fill="auto"/>
            <w:vAlign w:val="center"/>
            <w:hideMark/>
          </w:tcPr>
          <w:p w14:paraId="7A1E567A"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56" w:type="pct"/>
            <w:tcBorders>
              <w:top w:val="nil"/>
              <w:left w:val="nil"/>
              <w:bottom w:val="single" w:sz="4" w:space="0" w:color="auto"/>
              <w:right w:val="single" w:sz="12" w:space="0" w:color="auto"/>
            </w:tcBorders>
            <w:shd w:val="clear" w:color="auto" w:fill="auto"/>
            <w:vAlign w:val="center"/>
            <w:hideMark/>
          </w:tcPr>
          <w:p w14:paraId="78E88F36"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49" w:type="pct"/>
            <w:tcBorders>
              <w:top w:val="nil"/>
              <w:left w:val="nil"/>
              <w:bottom w:val="single" w:sz="4" w:space="0" w:color="auto"/>
              <w:right w:val="single" w:sz="4" w:space="0" w:color="auto"/>
            </w:tcBorders>
            <w:shd w:val="clear" w:color="auto" w:fill="auto"/>
            <w:vAlign w:val="center"/>
            <w:hideMark/>
          </w:tcPr>
          <w:p w14:paraId="0CCB056E"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49" w:type="pct"/>
            <w:tcBorders>
              <w:top w:val="nil"/>
              <w:left w:val="nil"/>
              <w:bottom w:val="single" w:sz="4" w:space="0" w:color="auto"/>
              <w:right w:val="single" w:sz="12" w:space="0" w:color="auto"/>
            </w:tcBorders>
            <w:shd w:val="clear" w:color="auto" w:fill="auto"/>
            <w:vAlign w:val="center"/>
            <w:hideMark/>
          </w:tcPr>
          <w:p w14:paraId="639BF558"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71202D7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single" w:sz="12" w:space="0" w:color="auto"/>
            </w:tcBorders>
            <w:shd w:val="clear" w:color="auto" w:fill="auto"/>
            <w:vAlign w:val="center"/>
            <w:hideMark/>
          </w:tcPr>
          <w:p w14:paraId="7A7E5CFD"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1" w:type="pct"/>
            <w:tcBorders>
              <w:top w:val="nil"/>
              <w:left w:val="nil"/>
              <w:bottom w:val="single" w:sz="4" w:space="0" w:color="auto"/>
              <w:right w:val="single" w:sz="4" w:space="0" w:color="auto"/>
            </w:tcBorders>
            <w:shd w:val="clear" w:color="auto" w:fill="auto"/>
            <w:vAlign w:val="center"/>
            <w:hideMark/>
          </w:tcPr>
          <w:p w14:paraId="5CC25FDA"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27E4177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7465384C"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6" w:type="pct"/>
            <w:tcBorders>
              <w:top w:val="nil"/>
              <w:left w:val="nil"/>
              <w:bottom w:val="single" w:sz="4" w:space="0" w:color="auto"/>
              <w:right w:val="double" w:sz="6" w:space="0" w:color="auto"/>
            </w:tcBorders>
            <w:shd w:val="clear" w:color="auto" w:fill="auto"/>
            <w:vAlign w:val="center"/>
            <w:hideMark/>
          </w:tcPr>
          <w:p w14:paraId="6A2DB66A"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C755B1" w:rsidRPr="000A46ED" w14:paraId="56E3BF13"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3CAAAEE" w14:textId="198C7F82"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doing Maths.</w:t>
            </w:r>
          </w:p>
        </w:tc>
        <w:tc>
          <w:tcPr>
            <w:tcW w:w="255" w:type="pct"/>
            <w:tcBorders>
              <w:top w:val="nil"/>
              <w:left w:val="double" w:sz="6" w:space="0" w:color="auto"/>
              <w:bottom w:val="single" w:sz="4" w:space="0" w:color="auto"/>
              <w:right w:val="nil"/>
            </w:tcBorders>
            <w:shd w:val="clear" w:color="000000" w:fill="F2DCDB"/>
            <w:vAlign w:val="center"/>
          </w:tcPr>
          <w:p w14:paraId="310C421B" w14:textId="77777777" w:rsidR="00C755B1" w:rsidRDefault="00C755B1" w:rsidP="00C755B1">
            <w:pPr>
              <w:jc w:val="right"/>
              <w:rPr>
                <w:color w:val="000000"/>
                <w:sz w:val="24"/>
                <w:szCs w:val="24"/>
              </w:rPr>
            </w:pPr>
            <w:r>
              <w:rPr>
                <w:color w:val="000000"/>
              </w:rPr>
              <w:t>79</w:t>
            </w:r>
          </w:p>
        </w:tc>
        <w:tc>
          <w:tcPr>
            <w:tcW w:w="256" w:type="pct"/>
            <w:tcBorders>
              <w:top w:val="nil"/>
              <w:left w:val="double" w:sz="6" w:space="0" w:color="auto"/>
              <w:bottom w:val="single" w:sz="4" w:space="0" w:color="auto"/>
              <w:right w:val="nil"/>
            </w:tcBorders>
            <w:shd w:val="clear" w:color="000000" w:fill="F2DCDB"/>
            <w:vAlign w:val="center"/>
          </w:tcPr>
          <w:p w14:paraId="3E50D0E3" w14:textId="77777777" w:rsidR="00C755B1" w:rsidRDefault="00C755B1" w:rsidP="00C755B1">
            <w:pPr>
              <w:jc w:val="right"/>
              <w:rPr>
                <w:color w:val="000000"/>
                <w:sz w:val="24"/>
                <w:szCs w:val="24"/>
              </w:rPr>
            </w:pPr>
            <w:r>
              <w:rPr>
                <w:color w:val="000000"/>
              </w:rPr>
              <w:t>99</w:t>
            </w:r>
          </w:p>
        </w:tc>
        <w:tc>
          <w:tcPr>
            <w:tcW w:w="249" w:type="pct"/>
            <w:tcBorders>
              <w:top w:val="nil"/>
              <w:left w:val="double" w:sz="6" w:space="0" w:color="auto"/>
              <w:bottom w:val="single" w:sz="4" w:space="0" w:color="auto"/>
              <w:right w:val="nil"/>
            </w:tcBorders>
            <w:shd w:val="clear" w:color="000000" w:fill="F2DCDB"/>
            <w:vAlign w:val="center"/>
          </w:tcPr>
          <w:p w14:paraId="3D6A6E74" w14:textId="77777777" w:rsidR="00C755B1" w:rsidRDefault="00C755B1" w:rsidP="00C755B1">
            <w:pPr>
              <w:jc w:val="right"/>
              <w:rPr>
                <w:color w:val="000000"/>
                <w:sz w:val="24"/>
                <w:szCs w:val="24"/>
              </w:rPr>
            </w:pPr>
            <w:r>
              <w:rPr>
                <w:color w:val="000000"/>
              </w:rPr>
              <w:t>174</w:t>
            </w:r>
          </w:p>
        </w:tc>
        <w:tc>
          <w:tcPr>
            <w:tcW w:w="249" w:type="pct"/>
            <w:tcBorders>
              <w:top w:val="nil"/>
              <w:left w:val="double" w:sz="6" w:space="0" w:color="auto"/>
              <w:bottom w:val="single" w:sz="4" w:space="0" w:color="auto"/>
              <w:right w:val="nil"/>
            </w:tcBorders>
            <w:shd w:val="clear" w:color="000000" w:fill="F2DCDB"/>
            <w:vAlign w:val="center"/>
          </w:tcPr>
          <w:p w14:paraId="371C37C0" w14:textId="77777777" w:rsidR="00C755B1" w:rsidRDefault="00C755B1" w:rsidP="00C755B1">
            <w:pPr>
              <w:jc w:val="right"/>
              <w:rPr>
                <w:color w:val="000000"/>
                <w:sz w:val="24"/>
                <w:szCs w:val="24"/>
              </w:rPr>
            </w:pPr>
            <w:r>
              <w:rPr>
                <w:color w:val="000000"/>
              </w:rPr>
              <w:t>121</w:t>
            </w:r>
          </w:p>
        </w:tc>
        <w:tc>
          <w:tcPr>
            <w:tcW w:w="222" w:type="pct"/>
            <w:tcBorders>
              <w:top w:val="nil"/>
              <w:left w:val="double" w:sz="6" w:space="0" w:color="auto"/>
              <w:bottom w:val="single" w:sz="4" w:space="0" w:color="auto"/>
              <w:right w:val="nil"/>
            </w:tcBorders>
            <w:shd w:val="clear" w:color="000000" w:fill="F2DCDB"/>
            <w:vAlign w:val="center"/>
          </w:tcPr>
          <w:p w14:paraId="509391E6" w14:textId="77777777" w:rsidR="00C755B1" w:rsidRDefault="00C755B1" w:rsidP="00C755B1">
            <w:pPr>
              <w:jc w:val="right"/>
              <w:rPr>
                <w:color w:val="000000"/>
                <w:sz w:val="24"/>
                <w:szCs w:val="24"/>
              </w:rPr>
            </w:pPr>
            <w:r>
              <w:rPr>
                <w:color w:val="000000"/>
              </w:rPr>
              <w:t>24</w:t>
            </w:r>
          </w:p>
        </w:tc>
        <w:tc>
          <w:tcPr>
            <w:tcW w:w="228" w:type="pct"/>
            <w:tcBorders>
              <w:top w:val="nil"/>
              <w:left w:val="double" w:sz="6" w:space="0" w:color="auto"/>
              <w:bottom w:val="single" w:sz="4" w:space="0" w:color="auto"/>
              <w:right w:val="nil"/>
            </w:tcBorders>
            <w:shd w:val="clear" w:color="000000" w:fill="F2DCDB"/>
            <w:vAlign w:val="center"/>
          </w:tcPr>
          <w:p w14:paraId="4850F387" w14:textId="77777777" w:rsidR="00C755B1" w:rsidRDefault="00C755B1" w:rsidP="00C755B1">
            <w:pPr>
              <w:jc w:val="right"/>
              <w:rPr>
                <w:color w:val="000000"/>
                <w:sz w:val="24"/>
                <w:szCs w:val="24"/>
              </w:rPr>
            </w:pPr>
            <w:r>
              <w:rPr>
                <w:color w:val="000000"/>
              </w:rPr>
              <w:t>29</w:t>
            </w:r>
          </w:p>
        </w:tc>
        <w:tc>
          <w:tcPr>
            <w:tcW w:w="291" w:type="pct"/>
            <w:tcBorders>
              <w:top w:val="nil"/>
              <w:left w:val="double" w:sz="6" w:space="0" w:color="auto"/>
              <w:bottom w:val="single" w:sz="4" w:space="0" w:color="auto"/>
              <w:right w:val="nil"/>
            </w:tcBorders>
            <w:shd w:val="clear" w:color="000000" w:fill="F2DCDB"/>
            <w:vAlign w:val="center"/>
          </w:tcPr>
          <w:p w14:paraId="649B6D1D" w14:textId="77777777" w:rsidR="00C755B1" w:rsidRDefault="00C755B1" w:rsidP="00C755B1">
            <w:pPr>
              <w:jc w:val="right"/>
              <w:rPr>
                <w:color w:val="000000"/>
                <w:sz w:val="24"/>
                <w:szCs w:val="24"/>
              </w:rPr>
            </w:pPr>
            <w:r>
              <w:rPr>
                <w:color w:val="000000"/>
              </w:rPr>
              <w:t>2</w:t>
            </w:r>
          </w:p>
        </w:tc>
        <w:tc>
          <w:tcPr>
            <w:tcW w:w="299" w:type="pct"/>
            <w:tcBorders>
              <w:top w:val="nil"/>
              <w:left w:val="double" w:sz="6" w:space="0" w:color="auto"/>
              <w:bottom w:val="single" w:sz="4" w:space="0" w:color="auto"/>
              <w:right w:val="nil"/>
            </w:tcBorders>
            <w:shd w:val="clear" w:color="000000" w:fill="F2DCDB"/>
            <w:vAlign w:val="center"/>
          </w:tcPr>
          <w:p w14:paraId="39B5E107" w14:textId="77777777" w:rsidR="00C755B1" w:rsidRDefault="00C755B1" w:rsidP="00C755B1">
            <w:pPr>
              <w:jc w:val="right"/>
              <w:rPr>
                <w:color w:val="000000"/>
                <w:sz w:val="24"/>
                <w:szCs w:val="24"/>
              </w:rPr>
            </w:pPr>
            <w:r>
              <w:rPr>
                <w:color w:val="000000"/>
              </w:rPr>
              <w:t>9</w:t>
            </w:r>
          </w:p>
        </w:tc>
        <w:tc>
          <w:tcPr>
            <w:tcW w:w="222" w:type="pct"/>
            <w:tcBorders>
              <w:top w:val="nil"/>
              <w:left w:val="double" w:sz="6" w:space="0" w:color="auto"/>
              <w:bottom w:val="single" w:sz="4" w:space="0" w:color="auto"/>
              <w:right w:val="nil"/>
            </w:tcBorders>
            <w:shd w:val="clear" w:color="000000" w:fill="F2DCDB"/>
            <w:vAlign w:val="center"/>
          </w:tcPr>
          <w:p w14:paraId="1186AE2D" w14:textId="77777777" w:rsidR="00C755B1" w:rsidRDefault="00C755B1" w:rsidP="00C755B1">
            <w:pPr>
              <w:jc w:val="right"/>
              <w:rPr>
                <w:color w:val="000000"/>
                <w:sz w:val="24"/>
                <w:szCs w:val="24"/>
              </w:rPr>
            </w:pPr>
            <w:r>
              <w:rPr>
                <w:color w:val="000000"/>
              </w:rPr>
              <w:t>21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6D4A5A6" w14:textId="77777777" w:rsidR="00C755B1" w:rsidRDefault="00C755B1" w:rsidP="00C755B1">
            <w:pPr>
              <w:jc w:val="right"/>
              <w:rPr>
                <w:color w:val="000000"/>
                <w:sz w:val="24"/>
                <w:szCs w:val="24"/>
              </w:rPr>
            </w:pPr>
            <w:r>
              <w:rPr>
                <w:color w:val="000000"/>
              </w:rPr>
              <w:t>14</w:t>
            </w:r>
          </w:p>
        </w:tc>
      </w:tr>
      <w:tr w:rsidR="00C755B1" w:rsidRPr="000A46ED" w14:paraId="4590DC01"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A2619C9" w14:textId="3E0450F4"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 It is important to learn Maths.</w:t>
            </w:r>
          </w:p>
        </w:tc>
        <w:tc>
          <w:tcPr>
            <w:tcW w:w="255" w:type="pct"/>
            <w:tcBorders>
              <w:top w:val="nil"/>
              <w:left w:val="double" w:sz="6" w:space="0" w:color="auto"/>
              <w:bottom w:val="single" w:sz="4" w:space="0" w:color="auto"/>
              <w:right w:val="nil"/>
            </w:tcBorders>
            <w:shd w:val="clear" w:color="000000" w:fill="F2DCDB"/>
            <w:vAlign w:val="center"/>
          </w:tcPr>
          <w:p w14:paraId="22B824B7" w14:textId="77777777" w:rsidR="00C755B1" w:rsidRDefault="00C755B1" w:rsidP="00C755B1">
            <w:pPr>
              <w:jc w:val="right"/>
              <w:rPr>
                <w:color w:val="000000"/>
                <w:sz w:val="24"/>
                <w:szCs w:val="24"/>
              </w:rPr>
            </w:pPr>
            <w:r>
              <w:rPr>
                <w:color w:val="000000"/>
              </w:rPr>
              <w:t>205</w:t>
            </w:r>
          </w:p>
        </w:tc>
        <w:tc>
          <w:tcPr>
            <w:tcW w:w="256" w:type="pct"/>
            <w:tcBorders>
              <w:top w:val="nil"/>
              <w:left w:val="double" w:sz="6" w:space="0" w:color="auto"/>
              <w:bottom w:val="single" w:sz="4" w:space="0" w:color="auto"/>
              <w:right w:val="nil"/>
            </w:tcBorders>
            <w:shd w:val="clear" w:color="000000" w:fill="F2DCDB"/>
            <w:vAlign w:val="center"/>
          </w:tcPr>
          <w:p w14:paraId="0D653B27" w14:textId="77777777" w:rsidR="00C755B1" w:rsidRDefault="00C755B1" w:rsidP="00C755B1">
            <w:pPr>
              <w:jc w:val="right"/>
              <w:rPr>
                <w:color w:val="000000"/>
                <w:sz w:val="24"/>
                <w:szCs w:val="24"/>
              </w:rPr>
            </w:pPr>
            <w:r>
              <w:rPr>
                <w:color w:val="000000"/>
              </w:rPr>
              <w:t>182</w:t>
            </w:r>
          </w:p>
        </w:tc>
        <w:tc>
          <w:tcPr>
            <w:tcW w:w="249" w:type="pct"/>
            <w:tcBorders>
              <w:top w:val="nil"/>
              <w:left w:val="double" w:sz="6" w:space="0" w:color="auto"/>
              <w:bottom w:val="single" w:sz="4" w:space="0" w:color="auto"/>
              <w:right w:val="nil"/>
            </w:tcBorders>
            <w:shd w:val="clear" w:color="000000" w:fill="F2DCDB"/>
            <w:vAlign w:val="center"/>
          </w:tcPr>
          <w:p w14:paraId="7F9B0342" w14:textId="77777777" w:rsidR="00C755B1" w:rsidRDefault="00C755B1" w:rsidP="00C755B1">
            <w:pPr>
              <w:jc w:val="right"/>
              <w:rPr>
                <w:color w:val="000000"/>
                <w:sz w:val="24"/>
                <w:szCs w:val="24"/>
              </w:rPr>
            </w:pPr>
            <w:r>
              <w:rPr>
                <w:color w:val="000000"/>
              </w:rPr>
              <w:t>79</w:t>
            </w:r>
          </w:p>
        </w:tc>
        <w:tc>
          <w:tcPr>
            <w:tcW w:w="249" w:type="pct"/>
            <w:tcBorders>
              <w:top w:val="nil"/>
              <w:left w:val="double" w:sz="6" w:space="0" w:color="auto"/>
              <w:bottom w:val="single" w:sz="4" w:space="0" w:color="auto"/>
              <w:right w:val="nil"/>
            </w:tcBorders>
            <w:shd w:val="clear" w:color="000000" w:fill="F2DCDB"/>
            <w:vAlign w:val="center"/>
          </w:tcPr>
          <w:p w14:paraId="78D8EEBD" w14:textId="77777777" w:rsidR="00C755B1" w:rsidRDefault="00C755B1" w:rsidP="00C755B1">
            <w:pPr>
              <w:jc w:val="right"/>
              <w:rPr>
                <w:color w:val="000000"/>
                <w:sz w:val="24"/>
                <w:szCs w:val="24"/>
              </w:rPr>
            </w:pPr>
            <w:r>
              <w:rPr>
                <w:color w:val="000000"/>
              </w:rPr>
              <w:t>80</w:t>
            </w:r>
          </w:p>
        </w:tc>
        <w:tc>
          <w:tcPr>
            <w:tcW w:w="222" w:type="pct"/>
            <w:tcBorders>
              <w:top w:val="nil"/>
              <w:left w:val="double" w:sz="6" w:space="0" w:color="auto"/>
              <w:bottom w:val="single" w:sz="4" w:space="0" w:color="auto"/>
              <w:right w:val="nil"/>
            </w:tcBorders>
            <w:shd w:val="clear" w:color="000000" w:fill="F2DCDB"/>
            <w:vAlign w:val="center"/>
          </w:tcPr>
          <w:p w14:paraId="354BBAED" w14:textId="77777777" w:rsidR="00C755B1" w:rsidRDefault="00C755B1" w:rsidP="00C755B1">
            <w:pPr>
              <w:jc w:val="right"/>
              <w:rPr>
                <w:color w:val="000000"/>
                <w:sz w:val="24"/>
                <w:szCs w:val="24"/>
              </w:rPr>
            </w:pPr>
            <w:r>
              <w:rPr>
                <w:color w:val="000000"/>
              </w:rPr>
              <w:t>2</w:t>
            </w:r>
          </w:p>
        </w:tc>
        <w:tc>
          <w:tcPr>
            <w:tcW w:w="228" w:type="pct"/>
            <w:tcBorders>
              <w:top w:val="nil"/>
              <w:left w:val="double" w:sz="6" w:space="0" w:color="auto"/>
              <w:bottom w:val="single" w:sz="4" w:space="0" w:color="auto"/>
              <w:right w:val="nil"/>
            </w:tcBorders>
            <w:shd w:val="clear" w:color="000000" w:fill="F2DCDB"/>
            <w:vAlign w:val="center"/>
          </w:tcPr>
          <w:p w14:paraId="354EF016" w14:textId="77777777" w:rsidR="00C755B1" w:rsidRDefault="00C755B1" w:rsidP="00C755B1">
            <w:pPr>
              <w:jc w:val="right"/>
              <w:rPr>
                <w:color w:val="000000"/>
                <w:sz w:val="24"/>
                <w:szCs w:val="24"/>
              </w:rPr>
            </w:pPr>
            <w:r>
              <w:rPr>
                <w:color w:val="000000"/>
              </w:rPr>
              <w:t>4</w:t>
            </w:r>
          </w:p>
        </w:tc>
        <w:tc>
          <w:tcPr>
            <w:tcW w:w="291" w:type="pct"/>
            <w:tcBorders>
              <w:top w:val="nil"/>
              <w:left w:val="double" w:sz="6" w:space="0" w:color="auto"/>
              <w:bottom w:val="single" w:sz="4" w:space="0" w:color="auto"/>
              <w:right w:val="nil"/>
            </w:tcBorders>
            <w:shd w:val="clear" w:color="000000" w:fill="F2DCDB"/>
            <w:vAlign w:val="center"/>
          </w:tcPr>
          <w:p w14:paraId="305D5B9A" w14:textId="77777777" w:rsidR="00C755B1" w:rsidRDefault="00C755B1" w:rsidP="00C755B1">
            <w:pPr>
              <w:jc w:val="right"/>
              <w:rPr>
                <w:color w:val="000000"/>
                <w:sz w:val="24"/>
                <w:szCs w:val="24"/>
              </w:rPr>
            </w:pPr>
            <w:r>
              <w:rPr>
                <w:color w:val="000000"/>
              </w:rPr>
              <w:t>5</w:t>
            </w:r>
          </w:p>
        </w:tc>
        <w:tc>
          <w:tcPr>
            <w:tcW w:w="299" w:type="pct"/>
            <w:tcBorders>
              <w:top w:val="nil"/>
              <w:left w:val="double" w:sz="6" w:space="0" w:color="auto"/>
              <w:bottom w:val="single" w:sz="4" w:space="0" w:color="auto"/>
              <w:right w:val="nil"/>
            </w:tcBorders>
            <w:shd w:val="clear" w:color="000000" w:fill="F2DCDB"/>
            <w:vAlign w:val="center"/>
          </w:tcPr>
          <w:p w14:paraId="088FF419" w14:textId="77777777" w:rsidR="00C755B1" w:rsidRDefault="00C755B1" w:rsidP="00C755B1">
            <w:pPr>
              <w:jc w:val="right"/>
              <w:rPr>
                <w:color w:val="000000"/>
                <w:sz w:val="24"/>
                <w:szCs w:val="24"/>
              </w:rPr>
            </w:pPr>
            <w:r>
              <w:rPr>
                <w:color w:val="000000"/>
              </w:rPr>
              <w:t>2</w:t>
            </w:r>
          </w:p>
        </w:tc>
        <w:tc>
          <w:tcPr>
            <w:tcW w:w="222" w:type="pct"/>
            <w:tcBorders>
              <w:top w:val="nil"/>
              <w:left w:val="double" w:sz="6" w:space="0" w:color="auto"/>
              <w:bottom w:val="single" w:sz="4" w:space="0" w:color="auto"/>
              <w:right w:val="nil"/>
            </w:tcBorders>
            <w:shd w:val="clear" w:color="000000" w:fill="F2DCDB"/>
            <w:vAlign w:val="center"/>
          </w:tcPr>
          <w:p w14:paraId="15940BB2" w14:textId="77777777" w:rsidR="00C755B1" w:rsidRDefault="00C755B1" w:rsidP="00C755B1">
            <w:pPr>
              <w:jc w:val="right"/>
              <w:rPr>
                <w:color w:val="000000"/>
                <w:sz w:val="24"/>
                <w:szCs w:val="24"/>
              </w:rPr>
            </w:pPr>
            <w:r>
              <w:rPr>
                <w:color w:val="000000"/>
              </w:rPr>
              <w:t>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B91705F" w14:textId="77777777" w:rsidR="00C755B1" w:rsidRDefault="00C755B1" w:rsidP="00C755B1">
            <w:pPr>
              <w:jc w:val="right"/>
              <w:rPr>
                <w:color w:val="000000"/>
                <w:sz w:val="24"/>
                <w:szCs w:val="24"/>
              </w:rPr>
            </w:pPr>
            <w:r>
              <w:rPr>
                <w:color w:val="000000"/>
              </w:rPr>
              <w:t>3</w:t>
            </w:r>
          </w:p>
        </w:tc>
      </w:tr>
      <w:tr w:rsidR="00C755B1" w:rsidRPr="000A46ED" w14:paraId="511BD65D"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154F6FE" w14:textId="46A2795B"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Maths skills.</w:t>
            </w:r>
          </w:p>
        </w:tc>
        <w:tc>
          <w:tcPr>
            <w:tcW w:w="255" w:type="pct"/>
            <w:tcBorders>
              <w:top w:val="nil"/>
              <w:left w:val="double" w:sz="6" w:space="0" w:color="auto"/>
              <w:bottom w:val="single" w:sz="4" w:space="0" w:color="auto"/>
              <w:right w:val="nil"/>
            </w:tcBorders>
            <w:shd w:val="clear" w:color="000000" w:fill="F2DCDB"/>
            <w:vAlign w:val="center"/>
          </w:tcPr>
          <w:p w14:paraId="139445F1" w14:textId="77777777" w:rsidR="00C755B1" w:rsidRDefault="00C755B1" w:rsidP="00C755B1">
            <w:pPr>
              <w:jc w:val="right"/>
              <w:rPr>
                <w:color w:val="000000"/>
                <w:sz w:val="24"/>
                <w:szCs w:val="24"/>
              </w:rPr>
            </w:pPr>
            <w:r>
              <w:rPr>
                <w:color w:val="000000"/>
              </w:rPr>
              <w:t>38</w:t>
            </w:r>
          </w:p>
        </w:tc>
        <w:tc>
          <w:tcPr>
            <w:tcW w:w="256" w:type="pct"/>
            <w:tcBorders>
              <w:top w:val="nil"/>
              <w:left w:val="double" w:sz="6" w:space="0" w:color="auto"/>
              <w:bottom w:val="single" w:sz="4" w:space="0" w:color="auto"/>
              <w:right w:val="nil"/>
            </w:tcBorders>
            <w:shd w:val="clear" w:color="000000" w:fill="F2DCDB"/>
            <w:vAlign w:val="center"/>
          </w:tcPr>
          <w:p w14:paraId="3A4BF5F5" w14:textId="77777777" w:rsidR="00C755B1" w:rsidRDefault="00C755B1" w:rsidP="00C755B1">
            <w:pPr>
              <w:jc w:val="right"/>
              <w:rPr>
                <w:color w:val="000000"/>
                <w:sz w:val="24"/>
                <w:szCs w:val="24"/>
              </w:rPr>
            </w:pPr>
            <w:r>
              <w:rPr>
                <w:color w:val="000000"/>
              </w:rPr>
              <w:t>60</w:t>
            </w:r>
          </w:p>
        </w:tc>
        <w:tc>
          <w:tcPr>
            <w:tcW w:w="249" w:type="pct"/>
            <w:tcBorders>
              <w:top w:val="nil"/>
              <w:left w:val="double" w:sz="6" w:space="0" w:color="auto"/>
              <w:bottom w:val="single" w:sz="4" w:space="0" w:color="auto"/>
              <w:right w:val="nil"/>
            </w:tcBorders>
            <w:shd w:val="clear" w:color="000000" w:fill="F2DCDB"/>
            <w:vAlign w:val="center"/>
          </w:tcPr>
          <w:p w14:paraId="0F2795D1" w14:textId="77777777" w:rsidR="00C755B1" w:rsidRDefault="00C755B1" w:rsidP="00C755B1">
            <w:pPr>
              <w:jc w:val="right"/>
              <w:rPr>
                <w:color w:val="000000"/>
                <w:sz w:val="24"/>
                <w:szCs w:val="24"/>
              </w:rPr>
            </w:pPr>
            <w:r>
              <w:rPr>
                <w:color w:val="000000"/>
              </w:rPr>
              <w:t>137</w:t>
            </w:r>
          </w:p>
        </w:tc>
        <w:tc>
          <w:tcPr>
            <w:tcW w:w="249" w:type="pct"/>
            <w:tcBorders>
              <w:top w:val="nil"/>
              <w:left w:val="double" w:sz="6" w:space="0" w:color="auto"/>
              <w:bottom w:val="single" w:sz="4" w:space="0" w:color="auto"/>
              <w:right w:val="nil"/>
            </w:tcBorders>
            <w:shd w:val="clear" w:color="000000" w:fill="F2DCDB"/>
            <w:vAlign w:val="center"/>
          </w:tcPr>
          <w:p w14:paraId="7CAB3648" w14:textId="77777777" w:rsidR="00C755B1" w:rsidRDefault="00C755B1" w:rsidP="00C755B1">
            <w:pPr>
              <w:jc w:val="right"/>
              <w:rPr>
                <w:color w:val="000000"/>
                <w:sz w:val="24"/>
                <w:szCs w:val="24"/>
              </w:rPr>
            </w:pPr>
            <w:r>
              <w:rPr>
                <w:color w:val="000000"/>
              </w:rPr>
              <w:t>141</w:t>
            </w:r>
          </w:p>
        </w:tc>
        <w:tc>
          <w:tcPr>
            <w:tcW w:w="222" w:type="pct"/>
            <w:tcBorders>
              <w:top w:val="nil"/>
              <w:left w:val="double" w:sz="6" w:space="0" w:color="auto"/>
              <w:bottom w:val="single" w:sz="4" w:space="0" w:color="auto"/>
              <w:right w:val="nil"/>
            </w:tcBorders>
            <w:shd w:val="clear" w:color="000000" w:fill="F2DCDB"/>
            <w:vAlign w:val="center"/>
          </w:tcPr>
          <w:p w14:paraId="4F4E73AC" w14:textId="77777777" w:rsidR="00C755B1" w:rsidRDefault="00C755B1" w:rsidP="00C755B1">
            <w:pPr>
              <w:jc w:val="right"/>
              <w:rPr>
                <w:color w:val="000000"/>
                <w:sz w:val="24"/>
                <w:szCs w:val="24"/>
              </w:rPr>
            </w:pPr>
            <w:r>
              <w:rPr>
                <w:color w:val="000000"/>
              </w:rPr>
              <w:t>52</w:t>
            </w:r>
          </w:p>
        </w:tc>
        <w:tc>
          <w:tcPr>
            <w:tcW w:w="228" w:type="pct"/>
            <w:tcBorders>
              <w:top w:val="nil"/>
              <w:left w:val="double" w:sz="6" w:space="0" w:color="auto"/>
              <w:bottom w:val="single" w:sz="4" w:space="0" w:color="auto"/>
              <w:right w:val="nil"/>
            </w:tcBorders>
            <w:shd w:val="clear" w:color="000000" w:fill="F2DCDB"/>
            <w:vAlign w:val="center"/>
          </w:tcPr>
          <w:p w14:paraId="0FB86FB8" w14:textId="77777777" w:rsidR="00C755B1" w:rsidRDefault="00C755B1" w:rsidP="00C755B1">
            <w:pPr>
              <w:jc w:val="right"/>
              <w:rPr>
                <w:color w:val="000000"/>
                <w:sz w:val="24"/>
                <w:szCs w:val="24"/>
              </w:rPr>
            </w:pPr>
            <w:r>
              <w:rPr>
                <w:color w:val="000000"/>
              </w:rPr>
              <w:t>29</w:t>
            </w:r>
          </w:p>
        </w:tc>
        <w:tc>
          <w:tcPr>
            <w:tcW w:w="291" w:type="pct"/>
            <w:tcBorders>
              <w:top w:val="nil"/>
              <w:left w:val="double" w:sz="6" w:space="0" w:color="auto"/>
              <w:bottom w:val="single" w:sz="4" w:space="0" w:color="auto"/>
              <w:right w:val="nil"/>
            </w:tcBorders>
            <w:shd w:val="clear" w:color="000000" w:fill="F2DCDB"/>
            <w:vAlign w:val="center"/>
          </w:tcPr>
          <w:p w14:paraId="31A29E57" w14:textId="77777777" w:rsidR="00C755B1" w:rsidRDefault="00C755B1" w:rsidP="00C755B1">
            <w:pPr>
              <w:jc w:val="right"/>
              <w:rPr>
                <w:color w:val="000000"/>
                <w:sz w:val="24"/>
                <w:szCs w:val="24"/>
              </w:rPr>
            </w:pPr>
            <w:r>
              <w:rPr>
                <w:color w:val="000000"/>
              </w:rPr>
              <w:t>14</w:t>
            </w:r>
          </w:p>
        </w:tc>
        <w:tc>
          <w:tcPr>
            <w:tcW w:w="299" w:type="pct"/>
            <w:tcBorders>
              <w:top w:val="nil"/>
              <w:left w:val="double" w:sz="6" w:space="0" w:color="auto"/>
              <w:bottom w:val="single" w:sz="4" w:space="0" w:color="auto"/>
              <w:right w:val="nil"/>
            </w:tcBorders>
            <w:shd w:val="clear" w:color="000000" w:fill="F2DCDB"/>
            <w:vAlign w:val="center"/>
          </w:tcPr>
          <w:p w14:paraId="46A147CC" w14:textId="77777777" w:rsidR="00C755B1" w:rsidRDefault="00C755B1" w:rsidP="00C755B1">
            <w:pPr>
              <w:jc w:val="right"/>
              <w:rPr>
                <w:color w:val="000000"/>
                <w:sz w:val="24"/>
                <w:szCs w:val="24"/>
              </w:rPr>
            </w:pPr>
            <w:r>
              <w:rPr>
                <w:color w:val="000000"/>
              </w:rPr>
              <w:t>15</w:t>
            </w:r>
          </w:p>
        </w:tc>
        <w:tc>
          <w:tcPr>
            <w:tcW w:w="222" w:type="pct"/>
            <w:tcBorders>
              <w:top w:val="nil"/>
              <w:left w:val="double" w:sz="6" w:space="0" w:color="auto"/>
              <w:bottom w:val="single" w:sz="4" w:space="0" w:color="auto"/>
              <w:right w:val="nil"/>
            </w:tcBorders>
            <w:shd w:val="clear" w:color="000000" w:fill="F2DCDB"/>
            <w:vAlign w:val="center"/>
          </w:tcPr>
          <w:p w14:paraId="344C2EEF" w14:textId="77777777" w:rsidR="00C755B1" w:rsidRDefault="00C755B1" w:rsidP="00C755B1">
            <w:pPr>
              <w:jc w:val="right"/>
              <w:rPr>
                <w:color w:val="000000"/>
                <w:sz w:val="24"/>
                <w:szCs w:val="24"/>
              </w:rPr>
            </w:pPr>
            <w:r>
              <w:rPr>
                <w:color w:val="000000"/>
              </w:rPr>
              <w:t>49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9B147C9" w14:textId="77777777" w:rsidR="00C755B1" w:rsidRDefault="00C755B1" w:rsidP="00C755B1">
            <w:pPr>
              <w:jc w:val="right"/>
              <w:rPr>
                <w:color w:val="000000"/>
                <w:sz w:val="24"/>
                <w:szCs w:val="24"/>
              </w:rPr>
            </w:pPr>
            <w:r>
              <w:rPr>
                <w:color w:val="000000"/>
              </w:rPr>
              <w:t>27</w:t>
            </w:r>
          </w:p>
        </w:tc>
      </w:tr>
      <w:tr w:rsidR="00C755B1" w:rsidRPr="000A46ED" w14:paraId="26D4A59A"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3FBA0A7" w14:textId="6216744B"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learning as I get older.</w:t>
            </w:r>
          </w:p>
        </w:tc>
        <w:tc>
          <w:tcPr>
            <w:tcW w:w="255" w:type="pct"/>
            <w:tcBorders>
              <w:top w:val="nil"/>
              <w:left w:val="double" w:sz="6" w:space="0" w:color="auto"/>
              <w:bottom w:val="single" w:sz="4" w:space="0" w:color="auto"/>
              <w:right w:val="nil"/>
            </w:tcBorders>
            <w:shd w:val="clear" w:color="000000" w:fill="F2DCDB"/>
            <w:vAlign w:val="center"/>
          </w:tcPr>
          <w:p w14:paraId="574EEB9A" w14:textId="77777777" w:rsidR="00C755B1" w:rsidRDefault="00C755B1" w:rsidP="00C755B1">
            <w:pPr>
              <w:jc w:val="right"/>
              <w:rPr>
                <w:color w:val="000000"/>
                <w:sz w:val="24"/>
                <w:szCs w:val="24"/>
              </w:rPr>
            </w:pPr>
            <w:r>
              <w:rPr>
                <w:color w:val="000000"/>
              </w:rPr>
              <w:t>133</w:t>
            </w:r>
          </w:p>
        </w:tc>
        <w:tc>
          <w:tcPr>
            <w:tcW w:w="256" w:type="pct"/>
            <w:tcBorders>
              <w:top w:val="nil"/>
              <w:left w:val="double" w:sz="6" w:space="0" w:color="auto"/>
              <w:bottom w:val="single" w:sz="4" w:space="0" w:color="auto"/>
              <w:right w:val="nil"/>
            </w:tcBorders>
            <w:shd w:val="clear" w:color="000000" w:fill="F2DCDB"/>
            <w:vAlign w:val="center"/>
          </w:tcPr>
          <w:p w14:paraId="09B150FC" w14:textId="77777777" w:rsidR="00C755B1" w:rsidRDefault="00C755B1" w:rsidP="00C755B1">
            <w:pPr>
              <w:jc w:val="right"/>
              <w:rPr>
                <w:color w:val="000000"/>
                <w:sz w:val="24"/>
                <w:szCs w:val="24"/>
              </w:rPr>
            </w:pPr>
            <w:r>
              <w:rPr>
                <w:color w:val="000000"/>
              </w:rPr>
              <w:t>100</w:t>
            </w:r>
          </w:p>
        </w:tc>
        <w:tc>
          <w:tcPr>
            <w:tcW w:w="249" w:type="pct"/>
            <w:tcBorders>
              <w:top w:val="nil"/>
              <w:left w:val="double" w:sz="6" w:space="0" w:color="auto"/>
              <w:bottom w:val="single" w:sz="4" w:space="0" w:color="auto"/>
              <w:right w:val="nil"/>
            </w:tcBorders>
            <w:shd w:val="clear" w:color="000000" w:fill="F2DCDB"/>
            <w:vAlign w:val="center"/>
          </w:tcPr>
          <w:p w14:paraId="727C8572" w14:textId="77777777" w:rsidR="00C755B1" w:rsidRDefault="00C755B1" w:rsidP="00C755B1">
            <w:pPr>
              <w:jc w:val="right"/>
              <w:rPr>
                <w:color w:val="000000"/>
                <w:sz w:val="24"/>
                <w:szCs w:val="24"/>
              </w:rPr>
            </w:pPr>
            <w:r>
              <w:rPr>
                <w:color w:val="000000"/>
              </w:rPr>
              <w:t>132</w:t>
            </w:r>
          </w:p>
        </w:tc>
        <w:tc>
          <w:tcPr>
            <w:tcW w:w="249" w:type="pct"/>
            <w:tcBorders>
              <w:top w:val="nil"/>
              <w:left w:val="double" w:sz="6" w:space="0" w:color="auto"/>
              <w:bottom w:val="single" w:sz="4" w:space="0" w:color="auto"/>
              <w:right w:val="nil"/>
            </w:tcBorders>
            <w:shd w:val="clear" w:color="000000" w:fill="F2DCDB"/>
            <w:vAlign w:val="center"/>
          </w:tcPr>
          <w:p w14:paraId="2E186592" w14:textId="77777777" w:rsidR="00C755B1" w:rsidRDefault="00C755B1" w:rsidP="00C755B1">
            <w:pPr>
              <w:jc w:val="right"/>
              <w:rPr>
                <w:color w:val="000000"/>
                <w:sz w:val="24"/>
                <w:szCs w:val="24"/>
              </w:rPr>
            </w:pPr>
            <w:r>
              <w:rPr>
                <w:color w:val="000000"/>
              </w:rPr>
              <w:t>141</w:t>
            </w:r>
          </w:p>
        </w:tc>
        <w:tc>
          <w:tcPr>
            <w:tcW w:w="222" w:type="pct"/>
            <w:tcBorders>
              <w:top w:val="nil"/>
              <w:left w:val="double" w:sz="6" w:space="0" w:color="auto"/>
              <w:bottom w:val="single" w:sz="4" w:space="0" w:color="auto"/>
              <w:right w:val="nil"/>
            </w:tcBorders>
            <w:shd w:val="clear" w:color="000000" w:fill="F2DCDB"/>
            <w:vAlign w:val="center"/>
          </w:tcPr>
          <w:p w14:paraId="78FD4EF4" w14:textId="77777777" w:rsidR="00C755B1" w:rsidRDefault="00C755B1" w:rsidP="00C755B1">
            <w:pPr>
              <w:jc w:val="right"/>
              <w:rPr>
                <w:color w:val="000000"/>
                <w:sz w:val="24"/>
                <w:szCs w:val="24"/>
              </w:rPr>
            </w:pPr>
            <w:r>
              <w:rPr>
                <w:color w:val="000000"/>
              </w:rPr>
              <w:t>6</w:t>
            </w:r>
          </w:p>
        </w:tc>
        <w:tc>
          <w:tcPr>
            <w:tcW w:w="228" w:type="pct"/>
            <w:tcBorders>
              <w:top w:val="nil"/>
              <w:left w:val="double" w:sz="6" w:space="0" w:color="auto"/>
              <w:bottom w:val="single" w:sz="4" w:space="0" w:color="auto"/>
              <w:right w:val="nil"/>
            </w:tcBorders>
            <w:shd w:val="clear" w:color="000000" w:fill="F2DCDB"/>
            <w:vAlign w:val="center"/>
          </w:tcPr>
          <w:p w14:paraId="28CADA55" w14:textId="77777777" w:rsidR="00C755B1" w:rsidRDefault="00C755B1" w:rsidP="00C755B1">
            <w:pPr>
              <w:jc w:val="right"/>
              <w:rPr>
                <w:color w:val="000000"/>
                <w:sz w:val="24"/>
                <w:szCs w:val="24"/>
              </w:rPr>
            </w:pPr>
            <w:r>
              <w:rPr>
                <w:color w:val="000000"/>
              </w:rPr>
              <w:t>15</w:t>
            </w:r>
          </w:p>
        </w:tc>
        <w:tc>
          <w:tcPr>
            <w:tcW w:w="291" w:type="pct"/>
            <w:tcBorders>
              <w:top w:val="nil"/>
              <w:left w:val="double" w:sz="6" w:space="0" w:color="auto"/>
              <w:bottom w:val="single" w:sz="4" w:space="0" w:color="auto"/>
              <w:right w:val="nil"/>
            </w:tcBorders>
            <w:shd w:val="clear" w:color="000000" w:fill="F2DCDB"/>
            <w:vAlign w:val="center"/>
          </w:tcPr>
          <w:p w14:paraId="0926B3BE" w14:textId="77777777" w:rsidR="00C755B1" w:rsidRDefault="00C755B1" w:rsidP="00C755B1">
            <w:pPr>
              <w:jc w:val="right"/>
              <w:rPr>
                <w:color w:val="000000"/>
                <w:sz w:val="24"/>
                <w:szCs w:val="24"/>
              </w:rPr>
            </w:pPr>
            <w:r>
              <w:rPr>
                <w:color w:val="000000"/>
              </w:rPr>
              <w:t>3</w:t>
            </w:r>
          </w:p>
        </w:tc>
        <w:tc>
          <w:tcPr>
            <w:tcW w:w="299" w:type="pct"/>
            <w:tcBorders>
              <w:top w:val="nil"/>
              <w:left w:val="double" w:sz="6" w:space="0" w:color="auto"/>
              <w:bottom w:val="single" w:sz="4" w:space="0" w:color="auto"/>
              <w:right w:val="nil"/>
            </w:tcBorders>
            <w:shd w:val="clear" w:color="000000" w:fill="F2DCDB"/>
            <w:vAlign w:val="center"/>
          </w:tcPr>
          <w:p w14:paraId="2CCA30BA" w14:textId="77777777" w:rsidR="00C755B1" w:rsidRDefault="00C755B1" w:rsidP="00C755B1">
            <w:pPr>
              <w:jc w:val="right"/>
              <w:rPr>
                <w:color w:val="000000"/>
                <w:sz w:val="24"/>
                <w:szCs w:val="24"/>
              </w:rPr>
            </w:pPr>
            <w:r>
              <w:rPr>
                <w:color w:val="000000"/>
              </w:rPr>
              <w:t>4</w:t>
            </w:r>
          </w:p>
        </w:tc>
        <w:tc>
          <w:tcPr>
            <w:tcW w:w="222" w:type="pct"/>
            <w:tcBorders>
              <w:top w:val="nil"/>
              <w:left w:val="double" w:sz="6" w:space="0" w:color="auto"/>
              <w:bottom w:val="single" w:sz="4" w:space="0" w:color="auto"/>
              <w:right w:val="nil"/>
            </w:tcBorders>
            <w:shd w:val="clear" w:color="000000" w:fill="F2DCDB"/>
            <w:vAlign w:val="center"/>
          </w:tcPr>
          <w:p w14:paraId="63BC2BF4" w14:textId="77777777" w:rsidR="00C755B1" w:rsidRDefault="00C755B1" w:rsidP="00C755B1">
            <w:pPr>
              <w:jc w:val="right"/>
              <w:rPr>
                <w:color w:val="000000"/>
                <w:sz w:val="24"/>
                <w:szCs w:val="24"/>
              </w:rPr>
            </w:pPr>
            <w:r>
              <w:rPr>
                <w:color w:val="000000"/>
              </w:rPr>
              <w:t>13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4EF2E6B" w14:textId="77777777" w:rsidR="00C755B1" w:rsidRDefault="00C755B1" w:rsidP="00C755B1">
            <w:pPr>
              <w:jc w:val="right"/>
              <w:rPr>
                <w:color w:val="000000"/>
                <w:sz w:val="24"/>
                <w:szCs w:val="24"/>
              </w:rPr>
            </w:pPr>
            <w:r>
              <w:rPr>
                <w:color w:val="000000"/>
              </w:rPr>
              <w:t>14</w:t>
            </w:r>
          </w:p>
        </w:tc>
      </w:tr>
      <w:tr w:rsidR="00C755B1" w:rsidRPr="000A46ED" w14:paraId="175742B9"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6E1B98B" w14:textId="12785217"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 My teacher expects more of me in Maths as I get older.</w:t>
            </w:r>
          </w:p>
        </w:tc>
        <w:tc>
          <w:tcPr>
            <w:tcW w:w="255" w:type="pct"/>
            <w:tcBorders>
              <w:top w:val="nil"/>
              <w:left w:val="double" w:sz="6" w:space="0" w:color="auto"/>
              <w:bottom w:val="single" w:sz="4" w:space="0" w:color="auto"/>
              <w:right w:val="nil"/>
            </w:tcBorders>
            <w:shd w:val="clear" w:color="000000" w:fill="F2DCDB"/>
            <w:vAlign w:val="center"/>
          </w:tcPr>
          <w:p w14:paraId="5C97F6F7" w14:textId="77777777" w:rsidR="00C755B1" w:rsidRDefault="00C755B1" w:rsidP="00C755B1">
            <w:pPr>
              <w:jc w:val="right"/>
              <w:rPr>
                <w:color w:val="000000"/>
                <w:sz w:val="24"/>
                <w:szCs w:val="24"/>
              </w:rPr>
            </w:pPr>
            <w:r>
              <w:rPr>
                <w:color w:val="000000"/>
              </w:rPr>
              <w:t>115</w:t>
            </w:r>
          </w:p>
        </w:tc>
        <w:tc>
          <w:tcPr>
            <w:tcW w:w="256" w:type="pct"/>
            <w:tcBorders>
              <w:top w:val="nil"/>
              <w:left w:val="double" w:sz="6" w:space="0" w:color="auto"/>
              <w:bottom w:val="single" w:sz="4" w:space="0" w:color="auto"/>
              <w:right w:val="nil"/>
            </w:tcBorders>
            <w:shd w:val="clear" w:color="000000" w:fill="F2DCDB"/>
            <w:vAlign w:val="center"/>
          </w:tcPr>
          <w:p w14:paraId="4CEA4A08" w14:textId="77777777" w:rsidR="00C755B1" w:rsidRDefault="00C755B1" w:rsidP="00C755B1">
            <w:pPr>
              <w:jc w:val="right"/>
              <w:rPr>
                <w:color w:val="000000"/>
                <w:sz w:val="24"/>
                <w:szCs w:val="24"/>
              </w:rPr>
            </w:pPr>
            <w:r>
              <w:rPr>
                <w:color w:val="000000"/>
              </w:rPr>
              <w:t>128</w:t>
            </w:r>
          </w:p>
        </w:tc>
        <w:tc>
          <w:tcPr>
            <w:tcW w:w="249" w:type="pct"/>
            <w:tcBorders>
              <w:top w:val="nil"/>
              <w:left w:val="double" w:sz="6" w:space="0" w:color="auto"/>
              <w:bottom w:val="single" w:sz="4" w:space="0" w:color="auto"/>
              <w:right w:val="nil"/>
            </w:tcBorders>
            <w:shd w:val="clear" w:color="000000" w:fill="F2DCDB"/>
            <w:vAlign w:val="center"/>
          </w:tcPr>
          <w:p w14:paraId="5326E8C0" w14:textId="77777777" w:rsidR="00C755B1" w:rsidRDefault="00C755B1" w:rsidP="00C755B1">
            <w:pPr>
              <w:jc w:val="right"/>
              <w:rPr>
                <w:color w:val="000000"/>
                <w:sz w:val="24"/>
                <w:szCs w:val="24"/>
              </w:rPr>
            </w:pPr>
            <w:r>
              <w:rPr>
                <w:color w:val="000000"/>
              </w:rPr>
              <w:t>120</w:t>
            </w:r>
          </w:p>
        </w:tc>
        <w:tc>
          <w:tcPr>
            <w:tcW w:w="249" w:type="pct"/>
            <w:tcBorders>
              <w:top w:val="nil"/>
              <w:left w:val="double" w:sz="6" w:space="0" w:color="auto"/>
              <w:bottom w:val="single" w:sz="4" w:space="0" w:color="auto"/>
              <w:right w:val="nil"/>
            </w:tcBorders>
            <w:shd w:val="clear" w:color="000000" w:fill="F2DCDB"/>
            <w:vAlign w:val="center"/>
          </w:tcPr>
          <w:p w14:paraId="16BBF168" w14:textId="77777777" w:rsidR="00C755B1" w:rsidRDefault="00C755B1" w:rsidP="00C755B1">
            <w:pPr>
              <w:jc w:val="right"/>
              <w:rPr>
                <w:color w:val="000000"/>
                <w:sz w:val="24"/>
                <w:szCs w:val="24"/>
              </w:rPr>
            </w:pPr>
            <w:r>
              <w:rPr>
                <w:color w:val="000000"/>
              </w:rPr>
              <w:t>110</w:t>
            </w:r>
          </w:p>
        </w:tc>
        <w:tc>
          <w:tcPr>
            <w:tcW w:w="222" w:type="pct"/>
            <w:tcBorders>
              <w:top w:val="nil"/>
              <w:left w:val="double" w:sz="6" w:space="0" w:color="auto"/>
              <w:bottom w:val="single" w:sz="4" w:space="0" w:color="auto"/>
              <w:right w:val="nil"/>
            </w:tcBorders>
            <w:shd w:val="clear" w:color="000000" w:fill="F2DCDB"/>
            <w:vAlign w:val="center"/>
          </w:tcPr>
          <w:p w14:paraId="4328EC96" w14:textId="77777777" w:rsidR="00C755B1" w:rsidRDefault="00C755B1" w:rsidP="00C755B1">
            <w:pPr>
              <w:jc w:val="right"/>
              <w:rPr>
                <w:color w:val="000000"/>
                <w:sz w:val="24"/>
                <w:szCs w:val="24"/>
              </w:rPr>
            </w:pPr>
            <w:r>
              <w:rPr>
                <w:color w:val="000000"/>
              </w:rPr>
              <w:t>19</w:t>
            </w:r>
          </w:p>
        </w:tc>
        <w:tc>
          <w:tcPr>
            <w:tcW w:w="228" w:type="pct"/>
            <w:tcBorders>
              <w:top w:val="nil"/>
              <w:left w:val="double" w:sz="6" w:space="0" w:color="auto"/>
              <w:bottom w:val="single" w:sz="4" w:space="0" w:color="auto"/>
              <w:right w:val="nil"/>
            </w:tcBorders>
            <w:shd w:val="clear" w:color="000000" w:fill="F2DCDB"/>
            <w:vAlign w:val="center"/>
          </w:tcPr>
          <w:p w14:paraId="14090D1D" w14:textId="77777777" w:rsidR="00C755B1" w:rsidRDefault="00C755B1" w:rsidP="00C755B1">
            <w:pPr>
              <w:jc w:val="right"/>
              <w:rPr>
                <w:color w:val="000000"/>
                <w:sz w:val="24"/>
                <w:szCs w:val="24"/>
              </w:rPr>
            </w:pPr>
            <w:r>
              <w:rPr>
                <w:color w:val="000000"/>
              </w:rPr>
              <w:t>14</w:t>
            </w:r>
          </w:p>
        </w:tc>
        <w:tc>
          <w:tcPr>
            <w:tcW w:w="291" w:type="pct"/>
            <w:tcBorders>
              <w:top w:val="nil"/>
              <w:left w:val="double" w:sz="6" w:space="0" w:color="auto"/>
              <w:bottom w:val="single" w:sz="4" w:space="0" w:color="auto"/>
              <w:right w:val="nil"/>
            </w:tcBorders>
            <w:shd w:val="clear" w:color="000000" w:fill="F2DCDB"/>
            <w:vAlign w:val="center"/>
          </w:tcPr>
          <w:p w14:paraId="3A48C41D" w14:textId="77777777" w:rsidR="00C755B1" w:rsidRDefault="00C755B1" w:rsidP="00C755B1">
            <w:pPr>
              <w:jc w:val="right"/>
              <w:rPr>
                <w:color w:val="000000"/>
                <w:sz w:val="24"/>
                <w:szCs w:val="24"/>
              </w:rPr>
            </w:pPr>
            <w:r>
              <w:rPr>
                <w:color w:val="000000"/>
              </w:rPr>
              <w:t>4</w:t>
            </w:r>
          </w:p>
        </w:tc>
        <w:tc>
          <w:tcPr>
            <w:tcW w:w="299" w:type="pct"/>
            <w:tcBorders>
              <w:top w:val="nil"/>
              <w:left w:val="double" w:sz="6" w:space="0" w:color="auto"/>
              <w:bottom w:val="single" w:sz="4" w:space="0" w:color="auto"/>
              <w:right w:val="nil"/>
            </w:tcBorders>
            <w:shd w:val="clear" w:color="000000" w:fill="F2DCDB"/>
            <w:vAlign w:val="center"/>
          </w:tcPr>
          <w:p w14:paraId="14985751" w14:textId="77777777" w:rsidR="00C755B1" w:rsidRDefault="00C755B1" w:rsidP="00C755B1">
            <w:pPr>
              <w:jc w:val="right"/>
              <w:rPr>
                <w:color w:val="000000"/>
                <w:sz w:val="24"/>
                <w:szCs w:val="24"/>
              </w:rPr>
            </w:pPr>
            <w:r>
              <w:rPr>
                <w:color w:val="000000"/>
              </w:rPr>
              <w:t>3</w:t>
            </w:r>
          </w:p>
        </w:tc>
        <w:tc>
          <w:tcPr>
            <w:tcW w:w="222" w:type="pct"/>
            <w:tcBorders>
              <w:top w:val="nil"/>
              <w:left w:val="double" w:sz="6" w:space="0" w:color="auto"/>
              <w:bottom w:val="single" w:sz="4" w:space="0" w:color="auto"/>
              <w:right w:val="nil"/>
            </w:tcBorders>
            <w:shd w:val="clear" w:color="000000" w:fill="F2DCDB"/>
            <w:vAlign w:val="center"/>
          </w:tcPr>
          <w:p w14:paraId="335A7C8B" w14:textId="77777777" w:rsidR="00C755B1" w:rsidRDefault="00C755B1" w:rsidP="00C755B1">
            <w:pPr>
              <w:jc w:val="right"/>
              <w:rPr>
                <w:color w:val="000000"/>
                <w:sz w:val="24"/>
                <w:szCs w:val="24"/>
              </w:rPr>
            </w:pPr>
            <w:r>
              <w:rPr>
                <w:color w:val="000000"/>
              </w:rPr>
              <w:t>29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168AA3A" w14:textId="77777777" w:rsidR="00C755B1" w:rsidRDefault="00C755B1" w:rsidP="00C755B1">
            <w:pPr>
              <w:jc w:val="right"/>
              <w:rPr>
                <w:color w:val="000000"/>
                <w:sz w:val="24"/>
                <w:szCs w:val="24"/>
              </w:rPr>
            </w:pPr>
            <w:r>
              <w:rPr>
                <w:color w:val="000000"/>
              </w:rPr>
              <w:t>19</w:t>
            </w:r>
          </w:p>
        </w:tc>
      </w:tr>
      <w:tr w:rsidR="00C755B1" w:rsidRPr="000A46ED" w14:paraId="13C6204A"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9A769E9" w14:textId="2CF204F6"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 My teacher tells me what I am learning in Maths and why.</w:t>
            </w:r>
          </w:p>
        </w:tc>
        <w:tc>
          <w:tcPr>
            <w:tcW w:w="255" w:type="pct"/>
            <w:tcBorders>
              <w:top w:val="nil"/>
              <w:left w:val="double" w:sz="6" w:space="0" w:color="auto"/>
              <w:bottom w:val="single" w:sz="4" w:space="0" w:color="auto"/>
              <w:right w:val="nil"/>
            </w:tcBorders>
            <w:shd w:val="clear" w:color="000000" w:fill="F2DCDB"/>
            <w:vAlign w:val="center"/>
          </w:tcPr>
          <w:p w14:paraId="7696B3AF" w14:textId="77777777" w:rsidR="00C755B1" w:rsidRDefault="00C755B1" w:rsidP="00C755B1">
            <w:pPr>
              <w:jc w:val="right"/>
              <w:rPr>
                <w:color w:val="000000"/>
                <w:sz w:val="24"/>
                <w:szCs w:val="24"/>
              </w:rPr>
            </w:pPr>
            <w:r>
              <w:rPr>
                <w:color w:val="000000"/>
              </w:rPr>
              <w:t>117</w:t>
            </w:r>
          </w:p>
        </w:tc>
        <w:tc>
          <w:tcPr>
            <w:tcW w:w="256" w:type="pct"/>
            <w:tcBorders>
              <w:top w:val="nil"/>
              <w:left w:val="double" w:sz="6" w:space="0" w:color="auto"/>
              <w:bottom w:val="single" w:sz="4" w:space="0" w:color="auto"/>
              <w:right w:val="nil"/>
            </w:tcBorders>
            <w:shd w:val="clear" w:color="000000" w:fill="F2DCDB"/>
            <w:vAlign w:val="center"/>
          </w:tcPr>
          <w:p w14:paraId="0E782894" w14:textId="77777777" w:rsidR="00C755B1" w:rsidRDefault="00C755B1" w:rsidP="00C755B1">
            <w:pPr>
              <w:jc w:val="right"/>
              <w:rPr>
                <w:color w:val="000000"/>
                <w:sz w:val="24"/>
                <w:szCs w:val="24"/>
              </w:rPr>
            </w:pPr>
            <w:r>
              <w:rPr>
                <w:color w:val="000000"/>
              </w:rPr>
              <w:t>121</w:t>
            </w:r>
          </w:p>
        </w:tc>
        <w:tc>
          <w:tcPr>
            <w:tcW w:w="249" w:type="pct"/>
            <w:tcBorders>
              <w:top w:val="nil"/>
              <w:left w:val="double" w:sz="6" w:space="0" w:color="auto"/>
              <w:bottom w:val="single" w:sz="4" w:space="0" w:color="auto"/>
              <w:right w:val="nil"/>
            </w:tcBorders>
            <w:shd w:val="clear" w:color="000000" w:fill="F2DCDB"/>
            <w:vAlign w:val="center"/>
          </w:tcPr>
          <w:p w14:paraId="32B96DBD" w14:textId="77777777" w:rsidR="00C755B1" w:rsidRDefault="00C755B1" w:rsidP="00C755B1">
            <w:pPr>
              <w:jc w:val="right"/>
              <w:rPr>
                <w:color w:val="000000"/>
                <w:sz w:val="24"/>
                <w:szCs w:val="24"/>
              </w:rPr>
            </w:pPr>
            <w:r>
              <w:rPr>
                <w:color w:val="000000"/>
              </w:rPr>
              <w:t>132</w:t>
            </w:r>
          </w:p>
        </w:tc>
        <w:tc>
          <w:tcPr>
            <w:tcW w:w="249" w:type="pct"/>
            <w:tcBorders>
              <w:top w:val="nil"/>
              <w:left w:val="double" w:sz="6" w:space="0" w:color="auto"/>
              <w:bottom w:val="single" w:sz="4" w:space="0" w:color="auto"/>
              <w:right w:val="nil"/>
            </w:tcBorders>
            <w:shd w:val="clear" w:color="000000" w:fill="F2DCDB"/>
            <w:vAlign w:val="center"/>
          </w:tcPr>
          <w:p w14:paraId="0EB3B970" w14:textId="77777777" w:rsidR="00C755B1" w:rsidRDefault="00C755B1" w:rsidP="00C755B1">
            <w:pPr>
              <w:jc w:val="right"/>
              <w:rPr>
                <w:color w:val="000000"/>
                <w:sz w:val="24"/>
                <w:szCs w:val="24"/>
              </w:rPr>
            </w:pPr>
            <w:r>
              <w:rPr>
                <w:color w:val="000000"/>
              </w:rPr>
              <w:t>132</w:t>
            </w:r>
          </w:p>
        </w:tc>
        <w:tc>
          <w:tcPr>
            <w:tcW w:w="222" w:type="pct"/>
            <w:tcBorders>
              <w:top w:val="nil"/>
              <w:left w:val="double" w:sz="6" w:space="0" w:color="auto"/>
              <w:bottom w:val="single" w:sz="4" w:space="0" w:color="auto"/>
              <w:right w:val="nil"/>
            </w:tcBorders>
            <w:shd w:val="clear" w:color="000000" w:fill="F2DCDB"/>
            <w:vAlign w:val="center"/>
          </w:tcPr>
          <w:p w14:paraId="1FDDC5FF" w14:textId="77777777" w:rsidR="00C755B1" w:rsidRDefault="00C755B1" w:rsidP="00C755B1">
            <w:pPr>
              <w:jc w:val="right"/>
              <w:rPr>
                <w:color w:val="000000"/>
                <w:sz w:val="24"/>
                <w:szCs w:val="24"/>
              </w:rPr>
            </w:pPr>
            <w:r>
              <w:rPr>
                <w:color w:val="000000"/>
              </w:rPr>
              <w:t>20</w:t>
            </w:r>
          </w:p>
        </w:tc>
        <w:tc>
          <w:tcPr>
            <w:tcW w:w="228" w:type="pct"/>
            <w:tcBorders>
              <w:top w:val="nil"/>
              <w:left w:val="double" w:sz="6" w:space="0" w:color="auto"/>
              <w:bottom w:val="single" w:sz="4" w:space="0" w:color="auto"/>
              <w:right w:val="nil"/>
            </w:tcBorders>
            <w:shd w:val="clear" w:color="000000" w:fill="F2DCDB"/>
            <w:vAlign w:val="center"/>
          </w:tcPr>
          <w:p w14:paraId="1A0185FB" w14:textId="77777777" w:rsidR="00C755B1" w:rsidRDefault="00C755B1" w:rsidP="00C755B1">
            <w:pPr>
              <w:jc w:val="right"/>
              <w:rPr>
                <w:color w:val="000000"/>
                <w:sz w:val="24"/>
                <w:szCs w:val="24"/>
              </w:rPr>
            </w:pPr>
            <w:r>
              <w:rPr>
                <w:color w:val="000000"/>
              </w:rPr>
              <w:t>11</w:t>
            </w:r>
          </w:p>
        </w:tc>
        <w:tc>
          <w:tcPr>
            <w:tcW w:w="291" w:type="pct"/>
            <w:tcBorders>
              <w:top w:val="nil"/>
              <w:left w:val="double" w:sz="6" w:space="0" w:color="auto"/>
              <w:bottom w:val="single" w:sz="4" w:space="0" w:color="auto"/>
              <w:right w:val="nil"/>
            </w:tcBorders>
            <w:shd w:val="clear" w:color="000000" w:fill="F2DCDB"/>
            <w:vAlign w:val="center"/>
          </w:tcPr>
          <w:p w14:paraId="477DA674" w14:textId="77777777" w:rsidR="00C755B1" w:rsidRDefault="00C755B1" w:rsidP="00C755B1">
            <w:pPr>
              <w:jc w:val="right"/>
              <w:rPr>
                <w:color w:val="000000"/>
                <w:sz w:val="24"/>
                <w:szCs w:val="24"/>
              </w:rPr>
            </w:pPr>
            <w:r>
              <w:rPr>
                <w:color w:val="000000"/>
              </w:rPr>
              <w:t>4</w:t>
            </w:r>
          </w:p>
        </w:tc>
        <w:tc>
          <w:tcPr>
            <w:tcW w:w="299" w:type="pct"/>
            <w:tcBorders>
              <w:top w:val="nil"/>
              <w:left w:val="double" w:sz="6" w:space="0" w:color="auto"/>
              <w:bottom w:val="single" w:sz="4" w:space="0" w:color="auto"/>
              <w:right w:val="nil"/>
            </w:tcBorders>
            <w:shd w:val="clear" w:color="000000" w:fill="F2DCDB"/>
            <w:vAlign w:val="center"/>
          </w:tcPr>
          <w:p w14:paraId="3A6799CA" w14:textId="77777777" w:rsidR="00C755B1" w:rsidRDefault="00C755B1" w:rsidP="00C755B1">
            <w:pPr>
              <w:jc w:val="right"/>
              <w:rPr>
                <w:color w:val="000000"/>
                <w:sz w:val="24"/>
                <w:szCs w:val="24"/>
              </w:rPr>
            </w:pPr>
            <w:r>
              <w:rPr>
                <w:color w:val="000000"/>
              </w:rPr>
              <w:t>5</w:t>
            </w:r>
          </w:p>
        </w:tc>
        <w:tc>
          <w:tcPr>
            <w:tcW w:w="222" w:type="pct"/>
            <w:tcBorders>
              <w:top w:val="nil"/>
              <w:left w:val="double" w:sz="6" w:space="0" w:color="auto"/>
              <w:bottom w:val="single" w:sz="4" w:space="0" w:color="auto"/>
              <w:right w:val="nil"/>
            </w:tcBorders>
            <w:shd w:val="clear" w:color="000000" w:fill="F2DCDB"/>
            <w:vAlign w:val="center"/>
          </w:tcPr>
          <w:p w14:paraId="3383B892" w14:textId="77777777" w:rsidR="00C755B1" w:rsidRDefault="00C755B1" w:rsidP="00C755B1">
            <w:pPr>
              <w:jc w:val="right"/>
              <w:rPr>
                <w:color w:val="000000"/>
                <w:sz w:val="24"/>
                <w:szCs w:val="24"/>
              </w:rPr>
            </w:pPr>
            <w:r>
              <w:rPr>
                <w:color w:val="000000"/>
              </w:rPr>
              <w:t>12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5F4C78E0" w14:textId="77777777" w:rsidR="00C755B1" w:rsidRDefault="00C755B1" w:rsidP="00C755B1">
            <w:pPr>
              <w:jc w:val="right"/>
              <w:rPr>
                <w:color w:val="000000"/>
                <w:sz w:val="24"/>
                <w:szCs w:val="24"/>
              </w:rPr>
            </w:pPr>
            <w:r>
              <w:rPr>
                <w:color w:val="000000"/>
              </w:rPr>
              <w:t>7</w:t>
            </w:r>
          </w:p>
        </w:tc>
      </w:tr>
      <w:tr w:rsidR="00C755B1" w:rsidRPr="000A46ED" w14:paraId="2939EB21"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2D1747A" w14:textId="5BB52B94"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 The activities my teachers use in Maths help me learn.</w:t>
            </w:r>
          </w:p>
        </w:tc>
        <w:tc>
          <w:tcPr>
            <w:tcW w:w="255" w:type="pct"/>
            <w:tcBorders>
              <w:top w:val="nil"/>
              <w:left w:val="double" w:sz="6" w:space="0" w:color="auto"/>
              <w:bottom w:val="single" w:sz="4" w:space="0" w:color="auto"/>
              <w:right w:val="nil"/>
            </w:tcBorders>
            <w:shd w:val="clear" w:color="000000" w:fill="F2DCDB"/>
            <w:vAlign w:val="center"/>
          </w:tcPr>
          <w:p w14:paraId="286E2BA3" w14:textId="77777777" w:rsidR="00C755B1" w:rsidRDefault="00C755B1" w:rsidP="00C755B1">
            <w:pPr>
              <w:jc w:val="right"/>
              <w:rPr>
                <w:color w:val="000000"/>
                <w:sz w:val="24"/>
                <w:szCs w:val="24"/>
              </w:rPr>
            </w:pPr>
            <w:r>
              <w:rPr>
                <w:color w:val="000000"/>
              </w:rPr>
              <w:t>166</w:t>
            </w:r>
          </w:p>
        </w:tc>
        <w:tc>
          <w:tcPr>
            <w:tcW w:w="256" w:type="pct"/>
            <w:tcBorders>
              <w:top w:val="nil"/>
              <w:left w:val="double" w:sz="6" w:space="0" w:color="auto"/>
              <w:bottom w:val="single" w:sz="4" w:space="0" w:color="auto"/>
              <w:right w:val="nil"/>
            </w:tcBorders>
            <w:shd w:val="clear" w:color="000000" w:fill="F2DCDB"/>
            <w:vAlign w:val="center"/>
          </w:tcPr>
          <w:p w14:paraId="258CD25A" w14:textId="77777777" w:rsidR="00C755B1" w:rsidRDefault="00C755B1" w:rsidP="00C755B1">
            <w:pPr>
              <w:jc w:val="right"/>
              <w:rPr>
                <w:color w:val="000000"/>
                <w:sz w:val="24"/>
                <w:szCs w:val="24"/>
              </w:rPr>
            </w:pPr>
            <w:r>
              <w:rPr>
                <w:color w:val="000000"/>
              </w:rPr>
              <w:t>137</w:t>
            </w:r>
          </w:p>
        </w:tc>
        <w:tc>
          <w:tcPr>
            <w:tcW w:w="249" w:type="pct"/>
            <w:tcBorders>
              <w:top w:val="nil"/>
              <w:left w:val="double" w:sz="6" w:space="0" w:color="auto"/>
              <w:bottom w:val="single" w:sz="4" w:space="0" w:color="auto"/>
              <w:right w:val="nil"/>
            </w:tcBorders>
            <w:shd w:val="clear" w:color="000000" w:fill="F2DCDB"/>
            <w:vAlign w:val="center"/>
          </w:tcPr>
          <w:p w14:paraId="266E7AC6" w14:textId="77777777" w:rsidR="00C755B1" w:rsidRDefault="00C755B1" w:rsidP="00C755B1">
            <w:pPr>
              <w:jc w:val="right"/>
              <w:rPr>
                <w:color w:val="000000"/>
                <w:sz w:val="24"/>
                <w:szCs w:val="24"/>
              </w:rPr>
            </w:pPr>
            <w:r>
              <w:rPr>
                <w:color w:val="000000"/>
              </w:rPr>
              <w:t>101</w:t>
            </w:r>
          </w:p>
        </w:tc>
        <w:tc>
          <w:tcPr>
            <w:tcW w:w="249" w:type="pct"/>
            <w:tcBorders>
              <w:top w:val="nil"/>
              <w:left w:val="double" w:sz="6" w:space="0" w:color="auto"/>
              <w:bottom w:val="single" w:sz="4" w:space="0" w:color="auto"/>
              <w:right w:val="nil"/>
            </w:tcBorders>
            <w:shd w:val="clear" w:color="000000" w:fill="F2DCDB"/>
            <w:vAlign w:val="center"/>
          </w:tcPr>
          <w:p w14:paraId="7768BA9E" w14:textId="77777777" w:rsidR="00C755B1" w:rsidRDefault="00C755B1" w:rsidP="00C755B1">
            <w:pPr>
              <w:jc w:val="right"/>
              <w:rPr>
                <w:color w:val="000000"/>
                <w:sz w:val="24"/>
                <w:szCs w:val="24"/>
              </w:rPr>
            </w:pPr>
            <w:r>
              <w:rPr>
                <w:color w:val="000000"/>
              </w:rPr>
              <w:t>128</w:t>
            </w:r>
          </w:p>
        </w:tc>
        <w:tc>
          <w:tcPr>
            <w:tcW w:w="222" w:type="pct"/>
            <w:tcBorders>
              <w:top w:val="nil"/>
              <w:left w:val="double" w:sz="6" w:space="0" w:color="auto"/>
              <w:bottom w:val="single" w:sz="4" w:space="0" w:color="auto"/>
              <w:right w:val="nil"/>
            </w:tcBorders>
            <w:shd w:val="clear" w:color="000000" w:fill="F2DCDB"/>
            <w:vAlign w:val="center"/>
          </w:tcPr>
          <w:p w14:paraId="07CC448D" w14:textId="77777777" w:rsidR="00C755B1" w:rsidRDefault="00C755B1" w:rsidP="00C755B1">
            <w:pPr>
              <w:jc w:val="right"/>
              <w:rPr>
                <w:color w:val="000000"/>
                <w:sz w:val="24"/>
                <w:szCs w:val="24"/>
              </w:rPr>
            </w:pPr>
            <w:r>
              <w:rPr>
                <w:color w:val="000000"/>
              </w:rPr>
              <w:t>10</w:t>
            </w:r>
          </w:p>
        </w:tc>
        <w:tc>
          <w:tcPr>
            <w:tcW w:w="228" w:type="pct"/>
            <w:tcBorders>
              <w:top w:val="nil"/>
              <w:left w:val="double" w:sz="6" w:space="0" w:color="auto"/>
              <w:bottom w:val="single" w:sz="4" w:space="0" w:color="auto"/>
              <w:right w:val="nil"/>
            </w:tcBorders>
            <w:shd w:val="clear" w:color="000000" w:fill="F2DCDB"/>
            <w:vAlign w:val="center"/>
          </w:tcPr>
          <w:p w14:paraId="426E8028" w14:textId="77777777" w:rsidR="00C755B1" w:rsidRDefault="00C755B1" w:rsidP="00C755B1">
            <w:pPr>
              <w:jc w:val="right"/>
              <w:rPr>
                <w:color w:val="000000"/>
                <w:sz w:val="24"/>
                <w:szCs w:val="24"/>
              </w:rPr>
            </w:pPr>
            <w:r>
              <w:rPr>
                <w:color w:val="000000"/>
              </w:rPr>
              <w:t>7</w:t>
            </w:r>
          </w:p>
        </w:tc>
        <w:tc>
          <w:tcPr>
            <w:tcW w:w="291" w:type="pct"/>
            <w:tcBorders>
              <w:top w:val="nil"/>
              <w:left w:val="double" w:sz="6" w:space="0" w:color="auto"/>
              <w:bottom w:val="single" w:sz="4" w:space="0" w:color="auto"/>
              <w:right w:val="nil"/>
            </w:tcBorders>
            <w:shd w:val="clear" w:color="000000" w:fill="F2DCDB"/>
            <w:vAlign w:val="center"/>
          </w:tcPr>
          <w:p w14:paraId="24375B72" w14:textId="77777777" w:rsidR="00C755B1" w:rsidRDefault="00C755B1" w:rsidP="00C755B1">
            <w:pPr>
              <w:jc w:val="right"/>
              <w:rPr>
                <w:color w:val="000000"/>
                <w:sz w:val="24"/>
                <w:szCs w:val="24"/>
              </w:rPr>
            </w:pPr>
            <w:r>
              <w:rPr>
                <w:color w:val="000000"/>
              </w:rPr>
              <w:t>5</w:t>
            </w:r>
          </w:p>
        </w:tc>
        <w:tc>
          <w:tcPr>
            <w:tcW w:w="299" w:type="pct"/>
            <w:tcBorders>
              <w:top w:val="nil"/>
              <w:left w:val="double" w:sz="6" w:space="0" w:color="auto"/>
              <w:bottom w:val="single" w:sz="4" w:space="0" w:color="auto"/>
              <w:right w:val="nil"/>
            </w:tcBorders>
            <w:shd w:val="clear" w:color="000000" w:fill="F2DCDB"/>
            <w:vAlign w:val="center"/>
          </w:tcPr>
          <w:p w14:paraId="7ABBE0E1" w14:textId="77777777" w:rsidR="00C755B1" w:rsidRDefault="00C755B1" w:rsidP="00C755B1">
            <w:pPr>
              <w:jc w:val="right"/>
              <w:rPr>
                <w:color w:val="000000"/>
                <w:sz w:val="24"/>
                <w:szCs w:val="24"/>
              </w:rPr>
            </w:pPr>
            <w:r>
              <w:rPr>
                <w:color w:val="000000"/>
              </w:rPr>
              <w:t>3</w:t>
            </w:r>
          </w:p>
        </w:tc>
        <w:tc>
          <w:tcPr>
            <w:tcW w:w="222" w:type="pct"/>
            <w:tcBorders>
              <w:top w:val="nil"/>
              <w:left w:val="double" w:sz="6" w:space="0" w:color="auto"/>
              <w:bottom w:val="single" w:sz="4" w:space="0" w:color="auto"/>
              <w:right w:val="nil"/>
            </w:tcBorders>
            <w:shd w:val="clear" w:color="000000" w:fill="F2DCDB"/>
            <w:vAlign w:val="center"/>
          </w:tcPr>
          <w:p w14:paraId="14AF07FC" w14:textId="77777777" w:rsidR="00C755B1" w:rsidRDefault="00C755B1" w:rsidP="00C755B1">
            <w:pPr>
              <w:jc w:val="right"/>
              <w:rPr>
                <w:color w:val="000000"/>
                <w:sz w:val="24"/>
                <w:szCs w:val="24"/>
              </w:rPr>
            </w:pPr>
            <w:r>
              <w:rPr>
                <w:color w:val="000000"/>
              </w:rPr>
              <w:t>5</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9D205EC" w14:textId="77777777" w:rsidR="00C755B1" w:rsidRDefault="00C755B1" w:rsidP="00C755B1">
            <w:pPr>
              <w:jc w:val="right"/>
              <w:rPr>
                <w:color w:val="000000"/>
                <w:sz w:val="24"/>
                <w:szCs w:val="24"/>
              </w:rPr>
            </w:pPr>
            <w:r>
              <w:rPr>
                <w:color w:val="000000"/>
              </w:rPr>
              <w:t>6</w:t>
            </w:r>
          </w:p>
        </w:tc>
      </w:tr>
      <w:tr w:rsidR="00C755B1" w:rsidRPr="000A46ED" w14:paraId="64E8A446"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DFE13E7" w14:textId="5055C147"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Maths.</w:t>
            </w:r>
          </w:p>
        </w:tc>
        <w:tc>
          <w:tcPr>
            <w:tcW w:w="255" w:type="pct"/>
            <w:tcBorders>
              <w:top w:val="nil"/>
              <w:left w:val="double" w:sz="6" w:space="0" w:color="auto"/>
              <w:bottom w:val="single" w:sz="4" w:space="0" w:color="auto"/>
              <w:right w:val="nil"/>
            </w:tcBorders>
            <w:shd w:val="clear" w:color="000000" w:fill="F2DCDB"/>
            <w:vAlign w:val="center"/>
          </w:tcPr>
          <w:p w14:paraId="074E4044" w14:textId="77777777" w:rsidR="00C755B1" w:rsidRDefault="00C755B1" w:rsidP="00C755B1">
            <w:pPr>
              <w:jc w:val="right"/>
              <w:rPr>
                <w:color w:val="000000"/>
                <w:sz w:val="24"/>
                <w:szCs w:val="24"/>
              </w:rPr>
            </w:pPr>
            <w:r>
              <w:rPr>
                <w:color w:val="000000"/>
              </w:rPr>
              <w:t>149</w:t>
            </w:r>
          </w:p>
        </w:tc>
        <w:tc>
          <w:tcPr>
            <w:tcW w:w="256" w:type="pct"/>
            <w:tcBorders>
              <w:top w:val="nil"/>
              <w:left w:val="double" w:sz="6" w:space="0" w:color="auto"/>
              <w:bottom w:val="single" w:sz="4" w:space="0" w:color="auto"/>
              <w:right w:val="nil"/>
            </w:tcBorders>
            <w:shd w:val="clear" w:color="000000" w:fill="F2DCDB"/>
            <w:vAlign w:val="center"/>
          </w:tcPr>
          <w:p w14:paraId="60041EC8" w14:textId="77777777" w:rsidR="00C755B1" w:rsidRDefault="00C755B1" w:rsidP="00C755B1">
            <w:pPr>
              <w:jc w:val="right"/>
              <w:rPr>
                <w:color w:val="000000"/>
                <w:sz w:val="24"/>
                <w:szCs w:val="24"/>
              </w:rPr>
            </w:pPr>
            <w:r>
              <w:rPr>
                <w:color w:val="000000"/>
              </w:rPr>
              <w:t>130</w:t>
            </w:r>
          </w:p>
        </w:tc>
        <w:tc>
          <w:tcPr>
            <w:tcW w:w="249" w:type="pct"/>
            <w:tcBorders>
              <w:top w:val="nil"/>
              <w:left w:val="double" w:sz="6" w:space="0" w:color="auto"/>
              <w:bottom w:val="single" w:sz="4" w:space="0" w:color="auto"/>
              <w:right w:val="nil"/>
            </w:tcBorders>
            <w:shd w:val="clear" w:color="000000" w:fill="F2DCDB"/>
            <w:vAlign w:val="center"/>
          </w:tcPr>
          <w:p w14:paraId="191DD3B2" w14:textId="77777777" w:rsidR="00C755B1" w:rsidRDefault="00C755B1" w:rsidP="00C755B1">
            <w:pPr>
              <w:jc w:val="right"/>
              <w:rPr>
                <w:color w:val="000000"/>
                <w:sz w:val="24"/>
                <w:szCs w:val="24"/>
              </w:rPr>
            </w:pPr>
            <w:r>
              <w:rPr>
                <w:color w:val="000000"/>
              </w:rPr>
              <w:t>105</w:t>
            </w:r>
          </w:p>
        </w:tc>
        <w:tc>
          <w:tcPr>
            <w:tcW w:w="249" w:type="pct"/>
            <w:tcBorders>
              <w:top w:val="nil"/>
              <w:left w:val="double" w:sz="6" w:space="0" w:color="auto"/>
              <w:bottom w:val="single" w:sz="4" w:space="0" w:color="auto"/>
              <w:right w:val="nil"/>
            </w:tcBorders>
            <w:shd w:val="clear" w:color="000000" w:fill="F2DCDB"/>
            <w:vAlign w:val="center"/>
          </w:tcPr>
          <w:p w14:paraId="284F22DD" w14:textId="77777777" w:rsidR="00C755B1" w:rsidRDefault="00C755B1" w:rsidP="00C755B1">
            <w:pPr>
              <w:jc w:val="right"/>
              <w:rPr>
                <w:color w:val="000000"/>
                <w:sz w:val="24"/>
                <w:szCs w:val="24"/>
              </w:rPr>
            </w:pPr>
            <w:r>
              <w:rPr>
                <w:color w:val="000000"/>
              </w:rPr>
              <w:t>123</w:t>
            </w:r>
          </w:p>
        </w:tc>
        <w:tc>
          <w:tcPr>
            <w:tcW w:w="222" w:type="pct"/>
            <w:tcBorders>
              <w:top w:val="nil"/>
              <w:left w:val="double" w:sz="6" w:space="0" w:color="auto"/>
              <w:bottom w:val="single" w:sz="4" w:space="0" w:color="auto"/>
              <w:right w:val="nil"/>
            </w:tcBorders>
            <w:shd w:val="clear" w:color="000000" w:fill="F2DCDB"/>
            <w:vAlign w:val="center"/>
          </w:tcPr>
          <w:p w14:paraId="7EF951E5" w14:textId="77777777" w:rsidR="00C755B1" w:rsidRDefault="00C755B1" w:rsidP="00C755B1">
            <w:pPr>
              <w:jc w:val="right"/>
              <w:rPr>
                <w:color w:val="000000"/>
                <w:sz w:val="24"/>
                <w:szCs w:val="24"/>
              </w:rPr>
            </w:pPr>
            <w:r>
              <w:rPr>
                <w:color w:val="000000"/>
              </w:rPr>
              <w:t>13</w:t>
            </w:r>
          </w:p>
        </w:tc>
        <w:tc>
          <w:tcPr>
            <w:tcW w:w="228" w:type="pct"/>
            <w:tcBorders>
              <w:top w:val="nil"/>
              <w:left w:val="double" w:sz="6" w:space="0" w:color="auto"/>
              <w:bottom w:val="single" w:sz="4" w:space="0" w:color="auto"/>
              <w:right w:val="nil"/>
            </w:tcBorders>
            <w:shd w:val="clear" w:color="000000" w:fill="F2DCDB"/>
            <w:vAlign w:val="center"/>
          </w:tcPr>
          <w:p w14:paraId="3DC7C7AF" w14:textId="77777777" w:rsidR="00C755B1" w:rsidRDefault="00C755B1" w:rsidP="00C755B1">
            <w:pPr>
              <w:jc w:val="right"/>
              <w:rPr>
                <w:color w:val="000000"/>
                <w:sz w:val="24"/>
                <w:szCs w:val="24"/>
              </w:rPr>
            </w:pPr>
            <w:r>
              <w:rPr>
                <w:color w:val="000000"/>
              </w:rPr>
              <w:t>8</w:t>
            </w:r>
          </w:p>
        </w:tc>
        <w:tc>
          <w:tcPr>
            <w:tcW w:w="291" w:type="pct"/>
            <w:tcBorders>
              <w:top w:val="nil"/>
              <w:left w:val="double" w:sz="6" w:space="0" w:color="auto"/>
              <w:bottom w:val="single" w:sz="4" w:space="0" w:color="auto"/>
              <w:right w:val="nil"/>
            </w:tcBorders>
            <w:shd w:val="clear" w:color="000000" w:fill="F2DCDB"/>
            <w:vAlign w:val="center"/>
          </w:tcPr>
          <w:p w14:paraId="34446A67" w14:textId="77777777" w:rsidR="00C755B1" w:rsidRDefault="00C755B1" w:rsidP="00C755B1">
            <w:pPr>
              <w:jc w:val="right"/>
              <w:rPr>
                <w:color w:val="000000"/>
                <w:sz w:val="24"/>
                <w:szCs w:val="24"/>
              </w:rPr>
            </w:pPr>
            <w:r>
              <w:rPr>
                <w:color w:val="000000"/>
              </w:rPr>
              <w:t>6</w:t>
            </w:r>
          </w:p>
        </w:tc>
        <w:tc>
          <w:tcPr>
            <w:tcW w:w="299" w:type="pct"/>
            <w:tcBorders>
              <w:top w:val="nil"/>
              <w:left w:val="double" w:sz="6" w:space="0" w:color="auto"/>
              <w:bottom w:val="single" w:sz="4" w:space="0" w:color="auto"/>
              <w:right w:val="nil"/>
            </w:tcBorders>
            <w:shd w:val="clear" w:color="000000" w:fill="F2DCDB"/>
            <w:vAlign w:val="center"/>
          </w:tcPr>
          <w:p w14:paraId="3FB2C57D" w14:textId="77777777" w:rsidR="00C755B1" w:rsidRDefault="00C755B1" w:rsidP="00C755B1">
            <w:pPr>
              <w:jc w:val="right"/>
              <w:rPr>
                <w:color w:val="000000"/>
                <w:sz w:val="24"/>
                <w:szCs w:val="24"/>
              </w:rPr>
            </w:pPr>
            <w:r>
              <w:rPr>
                <w:color w:val="000000"/>
              </w:rPr>
              <w:t>7</w:t>
            </w:r>
          </w:p>
        </w:tc>
        <w:tc>
          <w:tcPr>
            <w:tcW w:w="222" w:type="pct"/>
            <w:tcBorders>
              <w:top w:val="nil"/>
              <w:left w:val="double" w:sz="6" w:space="0" w:color="auto"/>
              <w:bottom w:val="single" w:sz="4" w:space="0" w:color="auto"/>
              <w:right w:val="nil"/>
            </w:tcBorders>
            <w:shd w:val="clear" w:color="000000" w:fill="F2DCDB"/>
            <w:vAlign w:val="center"/>
          </w:tcPr>
          <w:p w14:paraId="484F1E9B" w14:textId="77777777" w:rsidR="00C755B1" w:rsidRDefault="00C755B1" w:rsidP="00C755B1">
            <w:pPr>
              <w:jc w:val="right"/>
              <w:rPr>
                <w:color w:val="000000"/>
                <w:sz w:val="24"/>
                <w:szCs w:val="24"/>
              </w:rPr>
            </w:pPr>
            <w:r>
              <w:rPr>
                <w:color w:val="000000"/>
              </w:rPr>
              <w:t>13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E56041E" w14:textId="77777777" w:rsidR="00C755B1" w:rsidRDefault="00C755B1" w:rsidP="00C755B1">
            <w:pPr>
              <w:jc w:val="right"/>
              <w:rPr>
                <w:color w:val="000000"/>
                <w:sz w:val="24"/>
                <w:szCs w:val="24"/>
              </w:rPr>
            </w:pPr>
            <w:r>
              <w:rPr>
                <w:color w:val="000000"/>
              </w:rPr>
              <w:t>7</w:t>
            </w:r>
          </w:p>
        </w:tc>
      </w:tr>
      <w:tr w:rsidR="00C755B1" w:rsidRPr="000A46ED" w14:paraId="7D991FDF"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BF3062B" w14:textId="04E4ABF2" w:rsidR="00C755B1" w:rsidRPr="000A46ED" w:rsidRDefault="00C755B1"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Maths skills in other subjects.</w:t>
            </w:r>
          </w:p>
        </w:tc>
        <w:tc>
          <w:tcPr>
            <w:tcW w:w="255" w:type="pct"/>
            <w:tcBorders>
              <w:top w:val="nil"/>
              <w:left w:val="double" w:sz="6" w:space="0" w:color="auto"/>
              <w:bottom w:val="single" w:sz="4" w:space="0" w:color="auto"/>
              <w:right w:val="nil"/>
            </w:tcBorders>
            <w:shd w:val="clear" w:color="000000" w:fill="F2DCDB"/>
            <w:vAlign w:val="center"/>
          </w:tcPr>
          <w:p w14:paraId="4540794F" w14:textId="77777777" w:rsidR="00C755B1" w:rsidRDefault="00C755B1" w:rsidP="00C755B1">
            <w:pPr>
              <w:jc w:val="right"/>
              <w:rPr>
                <w:color w:val="000000"/>
                <w:sz w:val="24"/>
                <w:szCs w:val="24"/>
              </w:rPr>
            </w:pPr>
            <w:r>
              <w:rPr>
                <w:color w:val="000000"/>
              </w:rPr>
              <w:t>88</w:t>
            </w:r>
          </w:p>
        </w:tc>
        <w:tc>
          <w:tcPr>
            <w:tcW w:w="256" w:type="pct"/>
            <w:tcBorders>
              <w:top w:val="nil"/>
              <w:left w:val="double" w:sz="6" w:space="0" w:color="auto"/>
              <w:bottom w:val="single" w:sz="4" w:space="0" w:color="auto"/>
              <w:right w:val="nil"/>
            </w:tcBorders>
            <w:shd w:val="clear" w:color="000000" w:fill="F2DCDB"/>
            <w:vAlign w:val="center"/>
          </w:tcPr>
          <w:p w14:paraId="557AB5CC" w14:textId="77777777" w:rsidR="00C755B1" w:rsidRDefault="00C755B1" w:rsidP="00C755B1">
            <w:pPr>
              <w:jc w:val="right"/>
              <w:rPr>
                <w:color w:val="000000"/>
                <w:sz w:val="24"/>
                <w:szCs w:val="24"/>
              </w:rPr>
            </w:pPr>
            <w:r>
              <w:rPr>
                <w:color w:val="000000"/>
              </w:rPr>
              <w:t>87</w:t>
            </w:r>
          </w:p>
        </w:tc>
        <w:tc>
          <w:tcPr>
            <w:tcW w:w="249" w:type="pct"/>
            <w:tcBorders>
              <w:top w:val="nil"/>
              <w:left w:val="double" w:sz="6" w:space="0" w:color="auto"/>
              <w:bottom w:val="single" w:sz="4" w:space="0" w:color="auto"/>
              <w:right w:val="nil"/>
            </w:tcBorders>
            <w:shd w:val="clear" w:color="000000" w:fill="F2DCDB"/>
            <w:vAlign w:val="center"/>
          </w:tcPr>
          <w:p w14:paraId="5F9D34BD" w14:textId="77777777" w:rsidR="00C755B1" w:rsidRDefault="00C755B1" w:rsidP="00C755B1">
            <w:pPr>
              <w:jc w:val="right"/>
              <w:rPr>
                <w:color w:val="000000"/>
                <w:sz w:val="24"/>
                <w:szCs w:val="24"/>
              </w:rPr>
            </w:pPr>
            <w:r>
              <w:rPr>
                <w:color w:val="000000"/>
              </w:rPr>
              <w:t>149</w:t>
            </w:r>
          </w:p>
        </w:tc>
        <w:tc>
          <w:tcPr>
            <w:tcW w:w="249" w:type="pct"/>
            <w:tcBorders>
              <w:top w:val="nil"/>
              <w:left w:val="double" w:sz="6" w:space="0" w:color="auto"/>
              <w:bottom w:val="single" w:sz="4" w:space="0" w:color="auto"/>
              <w:right w:val="nil"/>
            </w:tcBorders>
            <w:shd w:val="clear" w:color="000000" w:fill="F2DCDB"/>
            <w:vAlign w:val="center"/>
          </w:tcPr>
          <w:p w14:paraId="2CFD2A80" w14:textId="77777777" w:rsidR="00C755B1" w:rsidRDefault="00C755B1" w:rsidP="00C755B1">
            <w:pPr>
              <w:jc w:val="right"/>
              <w:rPr>
                <w:color w:val="000000"/>
                <w:sz w:val="24"/>
                <w:szCs w:val="24"/>
              </w:rPr>
            </w:pPr>
            <w:r>
              <w:rPr>
                <w:color w:val="000000"/>
              </w:rPr>
              <w:t>127</w:t>
            </w:r>
          </w:p>
        </w:tc>
        <w:tc>
          <w:tcPr>
            <w:tcW w:w="222" w:type="pct"/>
            <w:tcBorders>
              <w:top w:val="nil"/>
              <w:left w:val="double" w:sz="6" w:space="0" w:color="auto"/>
              <w:bottom w:val="single" w:sz="4" w:space="0" w:color="auto"/>
              <w:right w:val="nil"/>
            </w:tcBorders>
            <w:shd w:val="clear" w:color="000000" w:fill="F2DCDB"/>
            <w:vAlign w:val="center"/>
          </w:tcPr>
          <w:p w14:paraId="0754434D" w14:textId="77777777" w:rsidR="00C755B1" w:rsidRDefault="00C755B1" w:rsidP="00C755B1">
            <w:pPr>
              <w:jc w:val="right"/>
              <w:rPr>
                <w:color w:val="000000"/>
                <w:sz w:val="24"/>
                <w:szCs w:val="24"/>
              </w:rPr>
            </w:pPr>
            <w:r>
              <w:rPr>
                <w:color w:val="000000"/>
              </w:rPr>
              <w:t>21</w:t>
            </w:r>
          </w:p>
        </w:tc>
        <w:tc>
          <w:tcPr>
            <w:tcW w:w="228" w:type="pct"/>
            <w:tcBorders>
              <w:top w:val="nil"/>
              <w:left w:val="double" w:sz="6" w:space="0" w:color="auto"/>
              <w:bottom w:val="single" w:sz="4" w:space="0" w:color="auto"/>
              <w:right w:val="nil"/>
            </w:tcBorders>
            <w:shd w:val="clear" w:color="000000" w:fill="F2DCDB"/>
            <w:vAlign w:val="center"/>
          </w:tcPr>
          <w:p w14:paraId="46A6896F" w14:textId="77777777" w:rsidR="00C755B1" w:rsidRDefault="00C755B1" w:rsidP="00C755B1">
            <w:pPr>
              <w:jc w:val="right"/>
              <w:rPr>
                <w:color w:val="000000"/>
                <w:sz w:val="24"/>
                <w:szCs w:val="24"/>
              </w:rPr>
            </w:pPr>
            <w:r>
              <w:rPr>
                <w:color w:val="000000"/>
              </w:rPr>
              <w:t>30</w:t>
            </w:r>
          </w:p>
        </w:tc>
        <w:tc>
          <w:tcPr>
            <w:tcW w:w="291" w:type="pct"/>
            <w:tcBorders>
              <w:top w:val="nil"/>
              <w:left w:val="double" w:sz="6" w:space="0" w:color="auto"/>
              <w:bottom w:val="single" w:sz="4" w:space="0" w:color="auto"/>
              <w:right w:val="nil"/>
            </w:tcBorders>
            <w:shd w:val="clear" w:color="000000" w:fill="F2DCDB"/>
            <w:vAlign w:val="center"/>
          </w:tcPr>
          <w:p w14:paraId="7DF34475" w14:textId="77777777" w:rsidR="00C755B1" w:rsidRDefault="00C755B1" w:rsidP="00C755B1">
            <w:pPr>
              <w:jc w:val="right"/>
              <w:rPr>
                <w:color w:val="000000"/>
                <w:sz w:val="24"/>
                <w:szCs w:val="24"/>
              </w:rPr>
            </w:pPr>
            <w:r>
              <w:rPr>
                <w:color w:val="000000"/>
              </w:rPr>
              <w:t>9</w:t>
            </w:r>
          </w:p>
        </w:tc>
        <w:tc>
          <w:tcPr>
            <w:tcW w:w="299" w:type="pct"/>
            <w:tcBorders>
              <w:top w:val="nil"/>
              <w:left w:val="double" w:sz="6" w:space="0" w:color="auto"/>
              <w:bottom w:val="single" w:sz="4" w:space="0" w:color="auto"/>
              <w:right w:val="nil"/>
            </w:tcBorders>
            <w:shd w:val="clear" w:color="000000" w:fill="F2DCDB"/>
            <w:vAlign w:val="center"/>
          </w:tcPr>
          <w:p w14:paraId="7896343C" w14:textId="77777777" w:rsidR="00C755B1" w:rsidRDefault="00C755B1" w:rsidP="00C755B1">
            <w:pPr>
              <w:jc w:val="right"/>
              <w:rPr>
                <w:color w:val="000000"/>
                <w:sz w:val="24"/>
                <w:szCs w:val="24"/>
              </w:rPr>
            </w:pPr>
            <w:r>
              <w:rPr>
                <w:color w:val="000000"/>
              </w:rPr>
              <w:t>5</w:t>
            </w:r>
          </w:p>
        </w:tc>
        <w:tc>
          <w:tcPr>
            <w:tcW w:w="222" w:type="pct"/>
            <w:tcBorders>
              <w:top w:val="nil"/>
              <w:left w:val="double" w:sz="6" w:space="0" w:color="auto"/>
              <w:bottom w:val="single" w:sz="4" w:space="0" w:color="auto"/>
              <w:right w:val="nil"/>
            </w:tcBorders>
            <w:shd w:val="clear" w:color="000000" w:fill="F2DCDB"/>
            <w:vAlign w:val="center"/>
          </w:tcPr>
          <w:p w14:paraId="355EEC31" w14:textId="77777777" w:rsidR="00C755B1" w:rsidRDefault="00C755B1" w:rsidP="00C755B1">
            <w:pPr>
              <w:jc w:val="right"/>
              <w:rPr>
                <w:color w:val="000000"/>
                <w:sz w:val="24"/>
                <w:szCs w:val="24"/>
              </w:rPr>
            </w:pPr>
            <w:r>
              <w:rPr>
                <w:color w:val="000000"/>
              </w:rPr>
              <w:t>22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597DA29" w14:textId="77777777" w:rsidR="00C755B1" w:rsidRDefault="00C755B1" w:rsidP="00C755B1">
            <w:pPr>
              <w:jc w:val="right"/>
              <w:rPr>
                <w:color w:val="000000"/>
                <w:sz w:val="24"/>
                <w:szCs w:val="24"/>
              </w:rPr>
            </w:pPr>
            <w:r>
              <w:rPr>
                <w:color w:val="000000"/>
              </w:rPr>
              <w:t>28</w:t>
            </w:r>
          </w:p>
        </w:tc>
      </w:tr>
      <w:tr w:rsidR="00C755B1" w:rsidRPr="000A46ED" w14:paraId="6CAEB49C"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668AB10"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Maths challenges me and makes me think.</w:t>
            </w:r>
          </w:p>
        </w:tc>
        <w:tc>
          <w:tcPr>
            <w:tcW w:w="255" w:type="pct"/>
            <w:tcBorders>
              <w:top w:val="nil"/>
              <w:left w:val="double" w:sz="6" w:space="0" w:color="auto"/>
              <w:bottom w:val="single" w:sz="4" w:space="0" w:color="auto"/>
              <w:right w:val="nil"/>
            </w:tcBorders>
            <w:shd w:val="clear" w:color="000000" w:fill="F2DCDB"/>
            <w:vAlign w:val="center"/>
          </w:tcPr>
          <w:p w14:paraId="28778B29" w14:textId="77777777" w:rsidR="00C755B1" w:rsidRDefault="00C755B1" w:rsidP="00C755B1">
            <w:pPr>
              <w:jc w:val="right"/>
              <w:rPr>
                <w:color w:val="000000"/>
                <w:sz w:val="24"/>
                <w:szCs w:val="24"/>
              </w:rPr>
            </w:pPr>
            <w:r>
              <w:rPr>
                <w:color w:val="000000"/>
              </w:rPr>
              <w:t>130</w:t>
            </w:r>
          </w:p>
        </w:tc>
        <w:tc>
          <w:tcPr>
            <w:tcW w:w="256" w:type="pct"/>
            <w:tcBorders>
              <w:top w:val="nil"/>
              <w:left w:val="double" w:sz="6" w:space="0" w:color="auto"/>
              <w:bottom w:val="single" w:sz="4" w:space="0" w:color="auto"/>
              <w:right w:val="nil"/>
            </w:tcBorders>
            <w:shd w:val="clear" w:color="000000" w:fill="F2DCDB"/>
            <w:vAlign w:val="center"/>
          </w:tcPr>
          <w:p w14:paraId="0D227199" w14:textId="77777777" w:rsidR="00C755B1" w:rsidRDefault="00C755B1" w:rsidP="00C755B1">
            <w:pPr>
              <w:jc w:val="right"/>
              <w:rPr>
                <w:color w:val="000000"/>
                <w:sz w:val="24"/>
                <w:szCs w:val="24"/>
              </w:rPr>
            </w:pPr>
            <w:r>
              <w:rPr>
                <w:color w:val="000000"/>
              </w:rPr>
              <w:t>127</w:t>
            </w:r>
          </w:p>
        </w:tc>
        <w:tc>
          <w:tcPr>
            <w:tcW w:w="249" w:type="pct"/>
            <w:tcBorders>
              <w:top w:val="nil"/>
              <w:left w:val="double" w:sz="6" w:space="0" w:color="auto"/>
              <w:bottom w:val="single" w:sz="4" w:space="0" w:color="auto"/>
              <w:right w:val="nil"/>
            </w:tcBorders>
            <w:shd w:val="clear" w:color="000000" w:fill="F2DCDB"/>
            <w:vAlign w:val="center"/>
          </w:tcPr>
          <w:p w14:paraId="7D6CBBEB" w14:textId="77777777" w:rsidR="00C755B1" w:rsidRDefault="00C755B1" w:rsidP="00C755B1">
            <w:pPr>
              <w:jc w:val="right"/>
              <w:rPr>
                <w:color w:val="000000"/>
                <w:sz w:val="24"/>
                <w:szCs w:val="24"/>
              </w:rPr>
            </w:pPr>
            <w:r>
              <w:rPr>
                <w:color w:val="000000"/>
              </w:rPr>
              <w:t>122</w:t>
            </w:r>
          </w:p>
        </w:tc>
        <w:tc>
          <w:tcPr>
            <w:tcW w:w="249" w:type="pct"/>
            <w:tcBorders>
              <w:top w:val="nil"/>
              <w:left w:val="double" w:sz="6" w:space="0" w:color="auto"/>
              <w:bottom w:val="single" w:sz="4" w:space="0" w:color="auto"/>
              <w:right w:val="nil"/>
            </w:tcBorders>
            <w:shd w:val="clear" w:color="000000" w:fill="F2DCDB"/>
            <w:vAlign w:val="center"/>
          </w:tcPr>
          <w:p w14:paraId="4F720F32" w14:textId="77777777" w:rsidR="00C755B1" w:rsidRDefault="00C755B1" w:rsidP="00C755B1">
            <w:pPr>
              <w:jc w:val="right"/>
              <w:rPr>
                <w:color w:val="000000"/>
                <w:sz w:val="24"/>
                <w:szCs w:val="24"/>
              </w:rPr>
            </w:pPr>
            <w:r>
              <w:rPr>
                <w:color w:val="000000"/>
              </w:rPr>
              <w:t>126</w:t>
            </w:r>
          </w:p>
        </w:tc>
        <w:tc>
          <w:tcPr>
            <w:tcW w:w="222" w:type="pct"/>
            <w:tcBorders>
              <w:top w:val="nil"/>
              <w:left w:val="double" w:sz="6" w:space="0" w:color="auto"/>
              <w:bottom w:val="single" w:sz="4" w:space="0" w:color="auto"/>
              <w:right w:val="nil"/>
            </w:tcBorders>
            <w:shd w:val="clear" w:color="000000" w:fill="F2DCDB"/>
            <w:vAlign w:val="center"/>
          </w:tcPr>
          <w:p w14:paraId="65BDCF7F" w14:textId="77777777" w:rsidR="00C755B1" w:rsidRDefault="00C755B1" w:rsidP="00C755B1">
            <w:pPr>
              <w:jc w:val="right"/>
              <w:rPr>
                <w:color w:val="000000"/>
                <w:sz w:val="24"/>
                <w:szCs w:val="24"/>
              </w:rPr>
            </w:pPr>
            <w:r>
              <w:rPr>
                <w:color w:val="000000"/>
              </w:rPr>
              <w:t>17</w:t>
            </w:r>
          </w:p>
        </w:tc>
        <w:tc>
          <w:tcPr>
            <w:tcW w:w="228" w:type="pct"/>
            <w:tcBorders>
              <w:top w:val="nil"/>
              <w:left w:val="double" w:sz="6" w:space="0" w:color="auto"/>
              <w:bottom w:val="single" w:sz="4" w:space="0" w:color="auto"/>
              <w:right w:val="nil"/>
            </w:tcBorders>
            <w:shd w:val="clear" w:color="000000" w:fill="F2DCDB"/>
            <w:vAlign w:val="center"/>
          </w:tcPr>
          <w:p w14:paraId="3DCE2F47" w14:textId="77777777" w:rsidR="00C755B1" w:rsidRDefault="00C755B1" w:rsidP="00C755B1">
            <w:pPr>
              <w:jc w:val="right"/>
              <w:rPr>
                <w:color w:val="000000"/>
                <w:sz w:val="24"/>
                <w:szCs w:val="24"/>
              </w:rPr>
            </w:pPr>
            <w:r>
              <w:rPr>
                <w:color w:val="000000"/>
              </w:rPr>
              <w:t>15</w:t>
            </w:r>
          </w:p>
        </w:tc>
        <w:tc>
          <w:tcPr>
            <w:tcW w:w="291" w:type="pct"/>
            <w:tcBorders>
              <w:top w:val="nil"/>
              <w:left w:val="double" w:sz="6" w:space="0" w:color="auto"/>
              <w:bottom w:val="single" w:sz="4" w:space="0" w:color="auto"/>
              <w:right w:val="nil"/>
            </w:tcBorders>
            <w:shd w:val="clear" w:color="000000" w:fill="F2DCDB"/>
            <w:vAlign w:val="center"/>
          </w:tcPr>
          <w:p w14:paraId="29F87F1A" w14:textId="77777777" w:rsidR="00C755B1" w:rsidRDefault="00C755B1" w:rsidP="00C755B1">
            <w:pPr>
              <w:jc w:val="right"/>
              <w:rPr>
                <w:color w:val="000000"/>
                <w:sz w:val="24"/>
                <w:szCs w:val="24"/>
              </w:rPr>
            </w:pPr>
            <w:r>
              <w:rPr>
                <w:color w:val="000000"/>
              </w:rPr>
              <w:t>5</w:t>
            </w:r>
          </w:p>
        </w:tc>
        <w:tc>
          <w:tcPr>
            <w:tcW w:w="299" w:type="pct"/>
            <w:tcBorders>
              <w:top w:val="nil"/>
              <w:left w:val="double" w:sz="6" w:space="0" w:color="auto"/>
              <w:bottom w:val="single" w:sz="4" w:space="0" w:color="auto"/>
              <w:right w:val="nil"/>
            </w:tcBorders>
            <w:shd w:val="clear" w:color="000000" w:fill="F2DCDB"/>
            <w:vAlign w:val="center"/>
          </w:tcPr>
          <w:p w14:paraId="3D30C6C9" w14:textId="77777777" w:rsidR="00C755B1" w:rsidRDefault="00C755B1" w:rsidP="00C755B1">
            <w:pPr>
              <w:jc w:val="right"/>
              <w:rPr>
                <w:color w:val="000000"/>
                <w:sz w:val="24"/>
                <w:szCs w:val="24"/>
              </w:rPr>
            </w:pPr>
            <w:r>
              <w:rPr>
                <w:color w:val="000000"/>
              </w:rPr>
              <w:t>4</w:t>
            </w:r>
          </w:p>
        </w:tc>
        <w:tc>
          <w:tcPr>
            <w:tcW w:w="222" w:type="pct"/>
            <w:tcBorders>
              <w:top w:val="nil"/>
              <w:left w:val="double" w:sz="6" w:space="0" w:color="auto"/>
              <w:bottom w:val="single" w:sz="4" w:space="0" w:color="auto"/>
              <w:right w:val="nil"/>
            </w:tcBorders>
            <w:shd w:val="clear" w:color="000000" w:fill="F2DCDB"/>
            <w:vAlign w:val="center"/>
          </w:tcPr>
          <w:p w14:paraId="1346EBA8" w14:textId="77777777" w:rsidR="00C755B1" w:rsidRDefault="00C755B1" w:rsidP="00C755B1">
            <w:pPr>
              <w:jc w:val="right"/>
              <w:rPr>
                <w:color w:val="000000"/>
                <w:sz w:val="24"/>
                <w:szCs w:val="24"/>
              </w:rPr>
            </w:pPr>
            <w:r>
              <w:rPr>
                <w:color w:val="000000"/>
              </w:rPr>
              <w:t>12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2CB4F52" w14:textId="77777777" w:rsidR="00C755B1" w:rsidRDefault="00C755B1" w:rsidP="00C755B1">
            <w:pPr>
              <w:jc w:val="right"/>
              <w:rPr>
                <w:color w:val="000000"/>
                <w:sz w:val="24"/>
                <w:szCs w:val="24"/>
              </w:rPr>
            </w:pPr>
            <w:r>
              <w:rPr>
                <w:color w:val="000000"/>
              </w:rPr>
              <w:t>9</w:t>
            </w:r>
          </w:p>
        </w:tc>
      </w:tr>
      <w:tr w:rsidR="00C755B1" w:rsidRPr="000A46ED" w14:paraId="340ABA3B"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553AAE1"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Maths.</w:t>
            </w:r>
          </w:p>
        </w:tc>
        <w:tc>
          <w:tcPr>
            <w:tcW w:w="255" w:type="pct"/>
            <w:tcBorders>
              <w:top w:val="nil"/>
              <w:left w:val="double" w:sz="6" w:space="0" w:color="auto"/>
              <w:bottom w:val="single" w:sz="4" w:space="0" w:color="auto"/>
              <w:right w:val="nil"/>
            </w:tcBorders>
            <w:shd w:val="clear" w:color="000000" w:fill="F2DCDB"/>
            <w:vAlign w:val="center"/>
          </w:tcPr>
          <w:p w14:paraId="75CF23EC" w14:textId="77777777" w:rsidR="00C755B1" w:rsidRDefault="00C755B1" w:rsidP="00C755B1">
            <w:pPr>
              <w:jc w:val="right"/>
              <w:rPr>
                <w:color w:val="000000"/>
                <w:sz w:val="24"/>
                <w:szCs w:val="24"/>
              </w:rPr>
            </w:pPr>
            <w:r>
              <w:rPr>
                <w:color w:val="000000"/>
              </w:rPr>
              <w:t>106</w:t>
            </w:r>
          </w:p>
        </w:tc>
        <w:tc>
          <w:tcPr>
            <w:tcW w:w="256" w:type="pct"/>
            <w:tcBorders>
              <w:top w:val="nil"/>
              <w:left w:val="double" w:sz="6" w:space="0" w:color="auto"/>
              <w:bottom w:val="single" w:sz="4" w:space="0" w:color="auto"/>
              <w:right w:val="nil"/>
            </w:tcBorders>
            <w:shd w:val="clear" w:color="000000" w:fill="F2DCDB"/>
            <w:vAlign w:val="center"/>
          </w:tcPr>
          <w:p w14:paraId="26A1F8B1" w14:textId="77777777" w:rsidR="00C755B1" w:rsidRDefault="00C755B1" w:rsidP="00C755B1">
            <w:pPr>
              <w:jc w:val="right"/>
              <w:rPr>
                <w:color w:val="000000"/>
                <w:sz w:val="24"/>
                <w:szCs w:val="24"/>
              </w:rPr>
            </w:pPr>
            <w:r>
              <w:rPr>
                <w:color w:val="000000"/>
              </w:rPr>
              <w:t>113</w:t>
            </w:r>
          </w:p>
        </w:tc>
        <w:tc>
          <w:tcPr>
            <w:tcW w:w="249" w:type="pct"/>
            <w:tcBorders>
              <w:top w:val="nil"/>
              <w:left w:val="double" w:sz="6" w:space="0" w:color="auto"/>
              <w:bottom w:val="single" w:sz="4" w:space="0" w:color="auto"/>
              <w:right w:val="nil"/>
            </w:tcBorders>
            <w:shd w:val="clear" w:color="000000" w:fill="F2DCDB"/>
            <w:vAlign w:val="center"/>
          </w:tcPr>
          <w:p w14:paraId="2ECE5DC4" w14:textId="77777777" w:rsidR="00C755B1" w:rsidRDefault="00C755B1" w:rsidP="00C755B1">
            <w:pPr>
              <w:jc w:val="right"/>
              <w:rPr>
                <w:color w:val="000000"/>
                <w:sz w:val="24"/>
                <w:szCs w:val="24"/>
              </w:rPr>
            </w:pPr>
            <w:r>
              <w:rPr>
                <w:color w:val="000000"/>
              </w:rPr>
              <w:t>121</w:t>
            </w:r>
          </w:p>
        </w:tc>
        <w:tc>
          <w:tcPr>
            <w:tcW w:w="249" w:type="pct"/>
            <w:tcBorders>
              <w:top w:val="nil"/>
              <w:left w:val="double" w:sz="6" w:space="0" w:color="auto"/>
              <w:bottom w:val="single" w:sz="4" w:space="0" w:color="auto"/>
              <w:right w:val="nil"/>
            </w:tcBorders>
            <w:shd w:val="clear" w:color="000000" w:fill="F2DCDB"/>
            <w:vAlign w:val="center"/>
          </w:tcPr>
          <w:p w14:paraId="3DEFFC46" w14:textId="77777777" w:rsidR="00C755B1" w:rsidRDefault="00C755B1" w:rsidP="00C755B1">
            <w:pPr>
              <w:jc w:val="right"/>
              <w:rPr>
                <w:color w:val="000000"/>
                <w:sz w:val="24"/>
                <w:szCs w:val="24"/>
              </w:rPr>
            </w:pPr>
            <w:r>
              <w:rPr>
                <w:color w:val="000000"/>
              </w:rPr>
              <w:t>120</w:t>
            </w:r>
          </w:p>
        </w:tc>
        <w:tc>
          <w:tcPr>
            <w:tcW w:w="222" w:type="pct"/>
            <w:tcBorders>
              <w:top w:val="nil"/>
              <w:left w:val="double" w:sz="6" w:space="0" w:color="auto"/>
              <w:bottom w:val="single" w:sz="4" w:space="0" w:color="auto"/>
              <w:right w:val="nil"/>
            </w:tcBorders>
            <w:shd w:val="clear" w:color="000000" w:fill="F2DCDB"/>
            <w:vAlign w:val="center"/>
          </w:tcPr>
          <w:p w14:paraId="3AADDBA0" w14:textId="77777777" w:rsidR="00C755B1" w:rsidRDefault="00C755B1" w:rsidP="00C755B1">
            <w:pPr>
              <w:jc w:val="right"/>
              <w:rPr>
                <w:color w:val="000000"/>
                <w:sz w:val="24"/>
                <w:szCs w:val="24"/>
              </w:rPr>
            </w:pPr>
            <w:r>
              <w:rPr>
                <w:color w:val="000000"/>
              </w:rPr>
              <w:t>29</w:t>
            </w:r>
          </w:p>
        </w:tc>
        <w:tc>
          <w:tcPr>
            <w:tcW w:w="228" w:type="pct"/>
            <w:tcBorders>
              <w:top w:val="nil"/>
              <w:left w:val="double" w:sz="6" w:space="0" w:color="auto"/>
              <w:bottom w:val="single" w:sz="4" w:space="0" w:color="auto"/>
              <w:right w:val="nil"/>
            </w:tcBorders>
            <w:shd w:val="clear" w:color="000000" w:fill="F2DCDB"/>
            <w:vAlign w:val="center"/>
          </w:tcPr>
          <w:p w14:paraId="3ACF6CEE" w14:textId="77777777" w:rsidR="00C755B1" w:rsidRDefault="00C755B1" w:rsidP="00C755B1">
            <w:pPr>
              <w:jc w:val="right"/>
              <w:rPr>
                <w:color w:val="000000"/>
                <w:sz w:val="24"/>
                <w:szCs w:val="24"/>
              </w:rPr>
            </w:pPr>
            <w:r>
              <w:rPr>
                <w:color w:val="000000"/>
              </w:rPr>
              <w:t>21</w:t>
            </w:r>
          </w:p>
        </w:tc>
        <w:tc>
          <w:tcPr>
            <w:tcW w:w="291" w:type="pct"/>
            <w:tcBorders>
              <w:top w:val="nil"/>
              <w:left w:val="double" w:sz="6" w:space="0" w:color="auto"/>
              <w:bottom w:val="single" w:sz="4" w:space="0" w:color="auto"/>
              <w:right w:val="nil"/>
            </w:tcBorders>
            <w:shd w:val="clear" w:color="000000" w:fill="F2DCDB"/>
            <w:vAlign w:val="center"/>
          </w:tcPr>
          <w:p w14:paraId="4292BE34" w14:textId="77777777" w:rsidR="00C755B1" w:rsidRDefault="00C755B1" w:rsidP="00C755B1">
            <w:pPr>
              <w:jc w:val="right"/>
              <w:rPr>
                <w:color w:val="000000"/>
                <w:sz w:val="24"/>
                <w:szCs w:val="24"/>
              </w:rPr>
            </w:pPr>
            <w:r>
              <w:rPr>
                <w:color w:val="000000"/>
              </w:rPr>
              <w:t>4</w:t>
            </w:r>
          </w:p>
        </w:tc>
        <w:tc>
          <w:tcPr>
            <w:tcW w:w="299" w:type="pct"/>
            <w:tcBorders>
              <w:top w:val="nil"/>
              <w:left w:val="double" w:sz="6" w:space="0" w:color="auto"/>
              <w:bottom w:val="single" w:sz="4" w:space="0" w:color="auto"/>
              <w:right w:val="nil"/>
            </w:tcBorders>
            <w:shd w:val="clear" w:color="000000" w:fill="F2DCDB"/>
            <w:vAlign w:val="center"/>
          </w:tcPr>
          <w:p w14:paraId="12979F45" w14:textId="77777777" w:rsidR="00C755B1" w:rsidRDefault="00C755B1" w:rsidP="00C755B1">
            <w:pPr>
              <w:jc w:val="right"/>
              <w:rPr>
                <w:color w:val="000000"/>
                <w:sz w:val="24"/>
                <w:szCs w:val="24"/>
              </w:rPr>
            </w:pPr>
            <w:r>
              <w:rPr>
                <w:color w:val="000000"/>
              </w:rPr>
              <w:t>7</w:t>
            </w:r>
          </w:p>
        </w:tc>
        <w:tc>
          <w:tcPr>
            <w:tcW w:w="222" w:type="pct"/>
            <w:tcBorders>
              <w:top w:val="nil"/>
              <w:left w:val="double" w:sz="6" w:space="0" w:color="auto"/>
              <w:bottom w:val="single" w:sz="4" w:space="0" w:color="auto"/>
              <w:right w:val="nil"/>
            </w:tcBorders>
            <w:shd w:val="clear" w:color="000000" w:fill="F2DCDB"/>
            <w:vAlign w:val="center"/>
          </w:tcPr>
          <w:p w14:paraId="5DC5CD64" w14:textId="77777777" w:rsidR="00C755B1" w:rsidRDefault="00C755B1" w:rsidP="00C755B1">
            <w:pPr>
              <w:jc w:val="right"/>
              <w:rPr>
                <w:color w:val="000000"/>
                <w:sz w:val="24"/>
                <w:szCs w:val="24"/>
              </w:rPr>
            </w:pPr>
            <w:r>
              <w:rPr>
                <w:color w:val="000000"/>
              </w:rPr>
              <w:t>27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8655F6E" w14:textId="77777777" w:rsidR="00C755B1" w:rsidRDefault="00C755B1" w:rsidP="00C755B1">
            <w:pPr>
              <w:jc w:val="right"/>
              <w:rPr>
                <w:color w:val="000000"/>
                <w:sz w:val="24"/>
                <w:szCs w:val="24"/>
              </w:rPr>
            </w:pPr>
            <w:r>
              <w:rPr>
                <w:color w:val="000000"/>
              </w:rPr>
              <w:t>16</w:t>
            </w:r>
          </w:p>
        </w:tc>
      </w:tr>
      <w:tr w:rsidR="00C755B1" w:rsidRPr="000A46ED" w14:paraId="6D0194FD"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A9736E9"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Maths skills.</w:t>
            </w:r>
          </w:p>
        </w:tc>
        <w:tc>
          <w:tcPr>
            <w:tcW w:w="255" w:type="pct"/>
            <w:tcBorders>
              <w:top w:val="nil"/>
              <w:left w:val="double" w:sz="6" w:space="0" w:color="auto"/>
              <w:bottom w:val="single" w:sz="4" w:space="0" w:color="auto"/>
              <w:right w:val="nil"/>
            </w:tcBorders>
            <w:shd w:val="clear" w:color="000000" w:fill="F2DCDB"/>
            <w:vAlign w:val="center"/>
          </w:tcPr>
          <w:p w14:paraId="36225B71" w14:textId="77777777" w:rsidR="00C755B1" w:rsidRDefault="00C755B1" w:rsidP="00C755B1">
            <w:pPr>
              <w:jc w:val="right"/>
              <w:rPr>
                <w:color w:val="000000"/>
                <w:sz w:val="24"/>
                <w:szCs w:val="24"/>
              </w:rPr>
            </w:pPr>
            <w:r>
              <w:rPr>
                <w:color w:val="000000"/>
              </w:rPr>
              <w:t>114</w:t>
            </w:r>
          </w:p>
        </w:tc>
        <w:tc>
          <w:tcPr>
            <w:tcW w:w="256" w:type="pct"/>
            <w:tcBorders>
              <w:top w:val="nil"/>
              <w:left w:val="double" w:sz="6" w:space="0" w:color="auto"/>
              <w:bottom w:val="single" w:sz="4" w:space="0" w:color="auto"/>
              <w:right w:val="nil"/>
            </w:tcBorders>
            <w:shd w:val="clear" w:color="000000" w:fill="F2DCDB"/>
            <w:vAlign w:val="center"/>
          </w:tcPr>
          <w:p w14:paraId="5F1ACCE0" w14:textId="77777777" w:rsidR="00C755B1" w:rsidRDefault="00C755B1" w:rsidP="00C755B1">
            <w:pPr>
              <w:jc w:val="right"/>
              <w:rPr>
                <w:color w:val="000000"/>
                <w:sz w:val="24"/>
                <w:szCs w:val="24"/>
              </w:rPr>
            </w:pPr>
            <w:r>
              <w:rPr>
                <w:color w:val="000000"/>
              </w:rPr>
              <w:t>125</w:t>
            </w:r>
          </w:p>
        </w:tc>
        <w:tc>
          <w:tcPr>
            <w:tcW w:w="249" w:type="pct"/>
            <w:tcBorders>
              <w:top w:val="nil"/>
              <w:left w:val="double" w:sz="6" w:space="0" w:color="auto"/>
              <w:bottom w:val="single" w:sz="4" w:space="0" w:color="auto"/>
              <w:right w:val="nil"/>
            </w:tcBorders>
            <w:shd w:val="clear" w:color="000000" w:fill="F2DCDB"/>
            <w:vAlign w:val="center"/>
          </w:tcPr>
          <w:p w14:paraId="22328A83" w14:textId="77777777" w:rsidR="00C755B1" w:rsidRDefault="00C755B1" w:rsidP="00C755B1">
            <w:pPr>
              <w:jc w:val="right"/>
              <w:rPr>
                <w:color w:val="000000"/>
                <w:sz w:val="24"/>
                <w:szCs w:val="24"/>
              </w:rPr>
            </w:pPr>
            <w:r>
              <w:rPr>
                <w:color w:val="000000"/>
              </w:rPr>
              <w:t>111</w:t>
            </w:r>
          </w:p>
        </w:tc>
        <w:tc>
          <w:tcPr>
            <w:tcW w:w="249" w:type="pct"/>
            <w:tcBorders>
              <w:top w:val="nil"/>
              <w:left w:val="double" w:sz="6" w:space="0" w:color="auto"/>
              <w:bottom w:val="single" w:sz="4" w:space="0" w:color="auto"/>
              <w:right w:val="nil"/>
            </w:tcBorders>
            <w:shd w:val="clear" w:color="000000" w:fill="F2DCDB"/>
            <w:vAlign w:val="center"/>
          </w:tcPr>
          <w:p w14:paraId="07F894F7" w14:textId="77777777" w:rsidR="00C755B1" w:rsidRDefault="00C755B1" w:rsidP="00C755B1">
            <w:pPr>
              <w:jc w:val="right"/>
              <w:rPr>
                <w:color w:val="000000"/>
                <w:sz w:val="24"/>
                <w:szCs w:val="24"/>
              </w:rPr>
            </w:pPr>
            <w:r>
              <w:rPr>
                <w:color w:val="000000"/>
              </w:rPr>
              <w:t>116</w:t>
            </w:r>
          </w:p>
        </w:tc>
        <w:tc>
          <w:tcPr>
            <w:tcW w:w="222" w:type="pct"/>
            <w:tcBorders>
              <w:top w:val="nil"/>
              <w:left w:val="double" w:sz="6" w:space="0" w:color="auto"/>
              <w:bottom w:val="single" w:sz="4" w:space="0" w:color="auto"/>
              <w:right w:val="nil"/>
            </w:tcBorders>
            <w:shd w:val="clear" w:color="000000" w:fill="F2DCDB"/>
            <w:vAlign w:val="center"/>
          </w:tcPr>
          <w:p w14:paraId="6677853F" w14:textId="77777777" w:rsidR="00C755B1" w:rsidRDefault="00C755B1" w:rsidP="00C755B1">
            <w:pPr>
              <w:jc w:val="right"/>
              <w:rPr>
                <w:color w:val="000000"/>
                <w:sz w:val="24"/>
                <w:szCs w:val="24"/>
              </w:rPr>
            </w:pPr>
            <w:r>
              <w:rPr>
                <w:color w:val="000000"/>
              </w:rPr>
              <w:t>29</w:t>
            </w:r>
          </w:p>
        </w:tc>
        <w:tc>
          <w:tcPr>
            <w:tcW w:w="228" w:type="pct"/>
            <w:tcBorders>
              <w:top w:val="nil"/>
              <w:left w:val="double" w:sz="6" w:space="0" w:color="auto"/>
              <w:bottom w:val="single" w:sz="4" w:space="0" w:color="auto"/>
              <w:right w:val="nil"/>
            </w:tcBorders>
            <w:shd w:val="clear" w:color="000000" w:fill="F2DCDB"/>
            <w:vAlign w:val="center"/>
          </w:tcPr>
          <w:p w14:paraId="123FA099" w14:textId="77777777" w:rsidR="00C755B1" w:rsidRDefault="00C755B1" w:rsidP="00C755B1">
            <w:pPr>
              <w:jc w:val="right"/>
              <w:rPr>
                <w:color w:val="000000"/>
                <w:sz w:val="24"/>
                <w:szCs w:val="24"/>
              </w:rPr>
            </w:pPr>
            <w:r>
              <w:rPr>
                <w:color w:val="000000"/>
              </w:rPr>
              <w:t>20</w:t>
            </w:r>
          </w:p>
        </w:tc>
        <w:tc>
          <w:tcPr>
            <w:tcW w:w="291" w:type="pct"/>
            <w:tcBorders>
              <w:top w:val="nil"/>
              <w:left w:val="double" w:sz="6" w:space="0" w:color="auto"/>
              <w:bottom w:val="single" w:sz="4" w:space="0" w:color="auto"/>
              <w:right w:val="nil"/>
            </w:tcBorders>
            <w:shd w:val="clear" w:color="000000" w:fill="F2DCDB"/>
            <w:vAlign w:val="center"/>
          </w:tcPr>
          <w:p w14:paraId="2E00D7D6" w14:textId="77777777" w:rsidR="00C755B1" w:rsidRDefault="00C755B1" w:rsidP="00C755B1">
            <w:pPr>
              <w:jc w:val="right"/>
              <w:rPr>
                <w:color w:val="000000"/>
                <w:sz w:val="24"/>
                <w:szCs w:val="24"/>
              </w:rPr>
            </w:pPr>
            <w:r>
              <w:rPr>
                <w:color w:val="000000"/>
              </w:rPr>
              <w:t>13</w:t>
            </w:r>
          </w:p>
        </w:tc>
        <w:tc>
          <w:tcPr>
            <w:tcW w:w="299" w:type="pct"/>
            <w:tcBorders>
              <w:top w:val="nil"/>
              <w:left w:val="double" w:sz="6" w:space="0" w:color="auto"/>
              <w:bottom w:val="single" w:sz="4" w:space="0" w:color="auto"/>
              <w:right w:val="nil"/>
            </w:tcBorders>
            <w:shd w:val="clear" w:color="000000" w:fill="F2DCDB"/>
            <w:vAlign w:val="center"/>
          </w:tcPr>
          <w:p w14:paraId="716506CE" w14:textId="77777777" w:rsidR="00C755B1" w:rsidRDefault="00C755B1" w:rsidP="00C755B1">
            <w:pPr>
              <w:jc w:val="right"/>
              <w:rPr>
                <w:color w:val="000000"/>
                <w:sz w:val="24"/>
                <w:szCs w:val="24"/>
              </w:rPr>
            </w:pPr>
            <w:r>
              <w:rPr>
                <w:color w:val="000000"/>
              </w:rPr>
              <w:t>6</w:t>
            </w:r>
          </w:p>
        </w:tc>
        <w:tc>
          <w:tcPr>
            <w:tcW w:w="222" w:type="pct"/>
            <w:tcBorders>
              <w:top w:val="nil"/>
              <w:left w:val="double" w:sz="6" w:space="0" w:color="auto"/>
              <w:bottom w:val="single" w:sz="4" w:space="0" w:color="auto"/>
              <w:right w:val="nil"/>
            </w:tcBorders>
            <w:shd w:val="clear" w:color="000000" w:fill="F2DCDB"/>
            <w:vAlign w:val="center"/>
          </w:tcPr>
          <w:p w14:paraId="4BC2F36A" w14:textId="77777777" w:rsidR="00C755B1" w:rsidRDefault="00C755B1" w:rsidP="00C755B1">
            <w:pPr>
              <w:jc w:val="right"/>
              <w:rPr>
                <w:color w:val="000000"/>
                <w:sz w:val="24"/>
                <w:szCs w:val="24"/>
              </w:rPr>
            </w:pPr>
            <w:r>
              <w:rPr>
                <w:color w:val="000000"/>
              </w:rPr>
              <w:t>19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100F69D" w14:textId="77777777" w:rsidR="00C755B1" w:rsidRDefault="00C755B1" w:rsidP="00C755B1">
            <w:pPr>
              <w:jc w:val="right"/>
              <w:rPr>
                <w:color w:val="000000"/>
                <w:sz w:val="24"/>
                <w:szCs w:val="24"/>
              </w:rPr>
            </w:pPr>
            <w:r>
              <w:rPr>
                <w:color w:val="000000"/>
              </w:rPr>
              <w:t>11</w:t>
            </w:r>
          </w:p>
        </w:tc>
      </w:tr>
    </w:tbl>
    <w:p w14:paraId="70BD9156" w14:textId="77777777" w:rsidR="005C5B3E" w:rsidRDefault="005C5B3E" w:rsidP="004910A6">
      <w:pPr>
        <w:rPr>
          <w:rFonts w:cs="Arial"/>
          <w:sz w:val="24"/>
          <w:szCs w:val="24"/>
        </w:rPr>
        <w:sectPr w:rsidR="005C5B3E" w:rsidSect="005C5B3E">
          <w:pgSz w:w="16838" w:h="11906" w:orient="landscape"/>
          <w:pgMar w:top="1418" w:right="1134" w:bottom="851" w:left="1134" w:header="709" w:footer="709" w:gutter="0"/>
          <w:cols w:space="708"/>
          <w:docGrid w:linePitch="360"/>
        </w:sectPr>
      </w:pPr>
    </w:p>
    <w:tbl>
      <w:tblPr>
        <w:tblW w:w="5000" w:type="pct"/>
        <w:tblLook w:val="04A0" w:firstRow="1" w:lastRow="0" w:firstColumn="1" w:lastColumn="0" w:noHBand="0" w:noVBand="1"/>
        <w:tblCaption w:val="Table - Literacy Year 5"/>
        <w:tblDescription w:val="Data relating to Literacy Year 5"/>
      </w:tblPr>
      <w:tblGrid>
        <w:gridCol w:w="7403"/>
        <w:gridCol w:w="755"/>
        <w:gridCol w:w="757"/>
        <w:gridCol w:w="736"/>
        <w:gridCol w:w="736"/>
        <w:gridCol w:w="656"/>
        <w:gridCol w:w="674"/>
        <w:gridCol w:w="861"/>
        <w:gridCol w:w="884"/>
        <w:gridCol w:w="656"/>
        <w:gridCol w:w="668"/>
      </w:tblGrid>
      <w:tr w:rsidR="005C5B3E" w:rsidRPr="000A46ED" w14:paraId="06ACCBED" w14:textId="77777777" w:rsidTr="0001238E">
        <w:trPr>
          <w:trHeight w:val="567"/>
        </w:trPr>
        <w:tc>
          <w:tcPr>
            <w:tcW w:w="2503" w:type="pct"/>
            <w:vMerge w:val="restart"/>
            <w:tcBorders>
              <w:top w:val="single" w:sz="4" w:space="0" w:color="auto"/>
              <w:left w:val="single" w:sz="4" w:space="0" w:color="auto"/>
              <w:bottom w:val="nil"/>
              <w:right w:val="nil"/>
            </w:tcBorders>
            <w:shd w:val="clear" w:color="auto" w:fill="auto"/>
            <w:noWrap/>
            <w:vAlign w:val="center"/>
            <w:hideMark/>
          </w:tcPr>
          <w:p w14:paraId="337D91F2" w14:textId="77777777" w:rsidR="005C5B3E" w:rsidRPr="008826A5" w:rsidRDefault="009F25F9" w:rsidP="0001238E">
            <w:pPr>
              <w:spacing w:after="0" w:line="240" w:lineRule="auto"/>
              <w:jc w:val="center"/>
              <w:rPr>
                <w:rFonts w:eastAsia="Times New Roman" w:cs="Times New Roman"/>
                <w:b/>
                <w:bCs/>
                <w:color w:val="244061" w:themeColor="accent1" w:themeShade="80"/>
                <w:sz w:val="36"/>
                <w:szCs w:val="36"/>
                <w:lang w:eastAsia="en-AU"/>
              </w:rPr>
            </w:pPr>
            <w:r>
              <w:rPr>
                <w:rFonts w:eastAsia="Times New Roman" w:cs="Times New Roman"/>
                <w:b/>
                <w:bCs/>
                <w:color w:val="244061" w:themeColor="accent1" w:themeShade="80"/>
                <w:sz w:val="36"/>
                <w:szCs w:val="36"/>
                <w:lang w:eastAsia="en-AU"/>
              </w:rPr>
              <w:t>Literacy</w:t>
            </w:r>
          </w:p>
          <w:p w14:paraId="7354B492" w14:textId="77777777" w:rsidR="005C5B3E" w:rsidRPr="000A46ED" w:rsidRDefault="005C5B3E" w:rsidP="0001238E">
            <w:pPr>
              <w:spacing w:after="0" w:line="240" w:lineRule="auto"/>
              <w:jc w:val="center"/>
              <w:rPr>
                <w:rFonts w:eastAsia="Times New Roman" w:cs="Times New Roman"/>
                <w:b/>
                <w:bCs/>
                <w:color w:val="FF0000"/>
                <w:sz w:val="36"/>
                <w:szCs w:val="36"/>
                <w:lang w:eastAsia="en-AU"/>
              </w:rPr>
            </w:pPr>
          </w:p>
        </w:tc>
        <w:tc>
          <w:tcPr>
            <w:tcW w:w="2497"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13A04612" w14:textId="77777777" w:rsidR="005C5B3E" w:rsidRPr="000A46ED" w:rsidRDefault="005C5B3E" w:rsidP="0001238E">
            <w:pPr>
              <w:spacing w:after="0" w:line="240" w:lineRule="auto"/>
              <w:jc w:val="center"/>
              <w:rPr>
                <w:rFonts w:eastAsia="Times New Roman" w:cs="Times New Roman"/>
                <w:color w:val="000000"/>
                <w:sz w:val="52"/>
                <w:szCs w:val="52"/>
                <w:lang w:eastAsia="en-AU"/>
              </w:rPr>
            </w:pPr>
            <w:r>
              <w:rPr>
                <w:rFonts w:eastAsia="Times New Roman" w:cs="Times New Roman"/>
                <w:color w:val="000000"/>
                <w:sz w:val="52"/>
                <w:szCs w:val="52"/>
                <w:lang w:eastAsia="en-AU"/>
              </w:rPr>
              <w:t>Year 5</w:t>
            </w:r>
          </w:p>
        </w:tc>
      </w:tr>
      <w:tr w:rsidR="005C5B3E" w:rsidRPr="000A46ED" w14:paraId="36EDDA0A" w14:textId="77777777" w:rsidTr="00394D0F">
        <w:trPr>
          <w:trHeight w:val="276"/>
        </w:trPr>
        <w:tc>
          <w:tcPr>
            <w:tcW w:w="2503" w:type="pct"/>
            <w:vMerge/>
            <w:tcBorders>
              <w:left w:val="single" w:sz="4" w:space="0" w:color="auto"/>
              <w:right w:val="nil"/>
            </w:tcBorders>
            <w:shd w:val="clear" w:color="auto" w:fill="auto"/>
            <w:vAlign w:val="center"/>
            <w:hideMark/>
          </w:tcPr>
          <w:p w14:paraId="2E17FD18"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511"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69554BD2"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498" w:type="pct"/>
            <w:gridSpan w:val="2"/>
            <w:tcBorders>
              <w:top w:val="double" w:sz="6" w:space="0" w:color="auto"/>
              <w:left w:val="nil"/>
              <w:bottom w:val="single" w:sz="4" w:space="0" w:color="auto"/>
              <w:right w:val="single" w:sz="12" w:space="0" w:color="000000"/>
            </w:tcBorders>
            <w:shd w:val="clear" w:color="auto" w:fill="auto"/>
            <w:vAlign w:val="center"/>
            <w:hideMark/>
          </w:tcPr>
          <w:p w14:paraId="084AA9C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450" w:type="pct"/>
            <w:gridSpan w:val="2"/>
            <w:tcBorders>
              <w:top w:val="double" w:sz="6" w:space="0" w:color="auto"/>
              <w:left w:val="nil"/>
              <w:bottom w:val="single" w:sz="4" w:space="0" w:color="auto"/>
              <w:right w:val="single" w:sz="12" w:space="0" w:color="000000"/>
            </w:tcBorders>
            <w:shd w:val="clear" w:color="auto" w:fill="auto"/>
            <w:vAlign w:val="center"/>
            <w:hideMark/>
          </w:tcPr>
          <w:p w14:paraId="3360261D"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590" w:type="pct"/>
            <w:gridSpan w:val="2"/>
            <w:tcBorders>
              <w:top w:val="double" w:sz="6" w:space="0" w:color="auto"/>
              <w:left w:val="nil"/>
              <w:bottom w:val="single" w:sz="4" w:space="0" w:color="auto"/>
              <w:right w:val="single" w:sz="12" w:space="0" w:color="000000"/>
            </w:tcBorders>
            <w:shd w:val="clear" w:color="auto" w:fill="auto"/>
            <w:vAlign w:val="center"/>
            <w:hideMark/>
          </w:tcPr>
          <w:p w14:paraId="0AA2F2D1"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448" w:type="pct"/>
            <w:gridSpan w:val="2"/>
            <w:tcBorders>
              <w:top w:val="double" w:sz="6" w:space="0" w:color="auto"/>
              <w:left w:val="nil"/>
              <w:bottom w:val="single" w:sz="4" w:space="0" w:color="auto"/>
              <w:right w:val="double" w:sz="6" w:space="0" w:color="000000"/>
            </w:tcBorders>
            <w:shd w:val="clear" w:color="auto" w:fill="auto"/>
            <w:vAlign w:val="center"/>
            <w:hideMark/>
          </w:tcPr>
          <w:p w14:paraId="2849EBF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5C5B3E" w:rsidRPr="000A46ED" w14:paraId="432E2D7E" w14:textId="77777777" w:rsidTr="00394D0F">
        <w:trPr>
          <w:trHeight w:val="276"/>
        </w:trPr>
        <w:tc>
          <w:tcPr>
            <w:tcW w:w="2503" w:type="pct"/>
            <w:vMerge/>
            <w:tcBorders>
              <w:left w:val="single" w:sz="4" w:space="0" w:color="auto"/>
              <w:bottom w:val="single" w:sz="8" w:space="0" w:color="auto"/>
              <w:right w:val="nil"/>
            </w:tcBorders>
            <w:shd w:val="clear" w:color="auto" w:fill="auto"/>
            <w:vAlign w:val="center"/>
            <w:hideMark/>
          </w:tcPr>
          <w:p w14:paraId="5DD288C6"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255" w:type="pct"/>
            <w:tcBorders>
              <w:top w:val="nil"/>
              <w:left w:val="double" w:sz="6" w:space="0" w:color="auto"/>
              <w:bottom w:val="single" w:sz="4" w:space="0" w:color="auto"/>
              <w:right w:val="single" w:sz="4" w:space="0" w:color="auto"/>
            </w:tcBorders>
            <w:shd w:val="clear" w:color="auto" w:fill="auto"/>
            <w:vAlign w:val="center"/>
            <w:hideMark/>
          </w:tcPr>
          <w:p w14:paraId="70D5F748"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56" w:type="pct"/>
            <w:tcBorders>
              <w:top w:val="nil"/>
              <w:left w:val="nil"/>
              <w:bottom w:val="single" w:sz="4" w:space="0" w:color="auto"/>
              <w:right w:val="single" w:sz="12" w:space="0" w:color="auto"/>
            </w:tcBorders>
            <w:shd w:val="clear" w:color="auto" w:fill="auto"/>
            <w:vAlign w:val="center"/>
            <w:hideMark/>
          </w:tcPr>
          <w:p w14:paraId="5B7C7FD0"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49" w:type="pct"/>
            <w:tcBorders>
              <w:top w:val="nil"/>
              <w:left w:val="nil"/>
              <w:bottom w:val="single" w:sz="4" w:space="0" w:color="auto"/>
              <w:right w:val="single" w:sz="4" w:space="0" w:color="auto"/>
            </w:tcBorders>
            <w:shd w:val="clear" w:color="auto" w:fill="auto"/>
            <w:vAlign w:val="center"/>
            <w:hideMark/>
          </w:tcPr>
          <w:p w14:paraId="524035BD"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49" w:type="pct"/>
            <w:tcBorders>
              <w:top w:val="nil"/>
              <w:left w:val="nil"/>
              <w:bottom w:val="single" w:sz="4" w:space="0" w:color="auto"/>
              <w:right w:val="single" w:sz="12" w:space="0" w:color="auto"/>
            </w:tcBorders>
            <w:shd w:val="clear" w:color="auto" w:fill="auto"/>
            <w:vAlign w:val="center"/>
            <w:hideMark/>
          </w:tcPr>
          <w:p w14:paraId="045A7213"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1CD6F14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single" w:sz="12" w:space="0" w:color="auto"/>
            </w:tcBorders>
            <w:shd w:val="clear" w:color="auto" w:fill="auto"/>
            <w:vAlign w:val="center"/>
            <w:hideMark/>
          </w:tcPr>
          <w:p w14:paraId="7CF341B3"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1" w:type="pct"/>
            <w:tcBorders>
              <w:top w:val="nil"/>
              <w:left w:val="nil"/>
              <w:bottom w:val="single" w:sz="4" w:space="0" w:color="auto"/>
              <w:right w:val="single" w:sz="4" w:space="0" w:color="auto"/>
            </w:tcBorders>
            <w:shd w:val="clear" w:color="auto" w:fill="auto"/>
            <w:vAlign w:val="center"/>
            <w:hideMark/>
          </w:tcPr>
          <w:p w14:paraId="1B2C7B7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148985C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7ADE25AA"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6" w:type="pct"/>
            <w:tcBorders>
              <w:top w:val="nil"/>
              <w:left w:val="nil"/>
              <w:bottom w:val="single" w:sz="4" w:space="0" w:color="auto"/>
              <w:right w:val="double" w:sz="6" w:space="0" w:color="auto"/>
            </w:tcBorders>
            <w:shd w:val="clear" w:color="auto" w:fill="auto"/>
            <w:vAlign w:val="center"/>
            <w:hideMark/>
          </w:tcPr>
          <w:p w14:paraId="3757ED0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394D0F" w:rsidRPr="000A46ED" w14:paraId="44923AAC"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D941AD4" w14:textId="53A50CA6"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reading.</w:t>
            </w:r>
          </w:p>
        </w:tc>
        <w:tc>
          <w:tcPr>
            <w:tcW w:w="255" w:type="pct"/>
            <w:tcBorders>
              <w:top w:val="nil"/>
              <w:left w:val="double" w:sz="6" w:space="0" w:color="auto"/>
              <w:bottom w:val="single" w:sz="4" w:space="0" w:color="auto"/>
              <w:right w:val="nil"/>
            </w:tcBorders>
            <w:shd w:val="clear" w:color="000000" w:fill="F2DCDB"/>
            <w:vAlign w:val="center"/>
          </w:tcPr>
          <w:p w14:paraId="15D631FA" w14:textId="77777777" w:rsidR="00394D0F" w:rsidRDefault="00394D0F">
            <w:pPr>
              <w:jc w:val="right"/>
              <w:rPr>
                <w:color w:val="000000"/>
                <w:sz w:val="24"/>
                <w:szCs w:val="24"/>
              </w:rPr>
            </w:pPr>
            <w:r>
              <w:rPr>
                <w:color w:val="000000"/>
              </w:rPr>
              <w:t>283</w:t>
            </w:r>
          </w:p>
        </w:tc>
        <w:tc>
          <w:tcPr>
            <w:tcW w:w="256" w:type="pct"/>
            <w:tcBorders>
              <w:top w:val="nil"/>
              <w:left w:val="double" w:sz="6" w:space="0" w:color="auto"/>
              <w:bottom w:val="single" w:sz="4" w:space="0" w:color="auto"/>
              <w:right w:val="nil"/>
            </w:tcBorders>
            <w:shd w:val="clear" w:color="000000" w:fill="F2DCDB"/>
            <w:vAlign w:val="center"/>
          </w:tcPr>
          <w:p w14:paraId="5547FA11" w14:textId="77777777" w:rsidR="00394D0F" w:rsidRDefault="00394D0F">
            <w:pPr>
              <w:jc w:val="right"/>
              <w:rPr>
                <w:color w:val="000000"/>
                <w:sz w:val="24"/>
                <w:szCs w:val="24"/>
              </w:rPr>
            </w:pPr>
            <w:r>
              <w:rPr>
                <w:color w:val="000000"/>
              </w:rPr>
              <w:t>209</w:t>
            </w:r>
          </w:p>
        </w:tc>
        <w:tc>
          <w:tcPr>
            <w:tcW w:w="249" w:type="pct"/>
            <w:tcBorders>
              <w:top w:val="nil"/>
              <w:left w:val="double" w:sz="6" w:space="0" w:color="auto"/>
              <w:bottom w:val="single" w:sz="4" w:space="0" w:color="auto"/>
              <w:right w:val="nil"/>
            </w:tcBorders>
            <w:shd w:val="clear" w:color="000000" w:fill="F2DCDB"/>
            <w:vAlign w:val="center"/>
          </w:tcPr>
          <w:p w14:paraId="45514B7F" w14:textId="77777777" w:rsidR="00394D0F" w:rsidRDefault="00394D0F">
            <w:pPr>
              <w:jc w:val="right"/>
              <w:rPr>
                <w:color w:val="000000"/>
                <w:sz w:val="24"/>
                <w:szCs w:val="24"/>
              </w:rPr>
            </w:pPr>
            <w:r>
              <w:rPr>
                <w:color w:val="000000"/>
              </w:rPr>
              <w:t>356</w:t>
            </w:r>
          </w:p>
        </w:tc>
        <w:tc>
          <w:tcPr>
            <w:tcW w:w="249" w:type="pct"/>
            <w:tcBorders>
              <w:top w:val="nil"/>
              <w:left w:val="double" w:sz="6" w:space="0" w:color="auto"/>
              <w:bottom w:val="single" w:sz="4" w:space="0" w:color="auto"/>
              <w:right w:val="nil"/>
            </w:tcBorders>
            <w:shd w:val="clear" w:color="000000" w:fill="F2DCDB"/>
            <w:vAlign w:val="center"/>
          </w:tcPr>
          <w:p w14:paraId="5ACA2180" w14:textId="77777777" w:rsidR="00394D0F" w:rsidRDefault="00394D0F">
            <w:pPr>
              <w:jc w:val="right"/>
              <w:rPr>
                <w:color w:val="000000"/>
                <w:sz w:val="24"/>
                <w:szCs w:val="24"/>
              </w:rPr>
            </w:pPr>
            <w:r>
              <w:rPr>
                <w:color w:val="000000"/>
              </w:rPr>
              <w:t>362</w:t>
            </w:r>
          </w:p>
        </w:tc>
        <w:tc>
          <w:tcPr>
            <w:tcW w:w="222" w:type="pct"/>
            <w:tcBorders>
              <w:top w:val="nil"/>
              <w:left w:val="double" w:sz="6" w:space="0" w:color="auto"/>
              <w:bottom w:val="single" w:sz="4" w:space="0" w:color="auto"/>
              <w:right w:val="nil"/>
            </w:tcBorders>
            <w:shd w:val="clear" w:color="000000" w:fill="F2DCDB"/>
            <w:vAlign w:val="center"/>
          </w:tcPr>
          <w:p w14:paraId="17740797" w14:textId="77777777" w:rsidR="00394D0F" w:rsidRDefault="00394D0F">
            <w:pPr>
              <w:jc w:val="right"/>
              <w:rPr>
                <w:color w:val="000000"/>
                <w:sz w:val="24"/>
                <w:szCs w:val="24"/>
              </w:rPr>
            </w:pPr>
            <w:r>
              <w:rPr>
                <w:color w:val="000000"/>
              </w:rPr>
              <w:t>34</w:t>
            </w:r>
          </w:p>
        </w:tc>
        <w:tc>
          <w:tcPr>
            <w:tcW w:w="228" w:type="pct"/>
            <w:tcBorders>
              <w:top w:val="nil"/>
              <w:left w:val="double" w:sz="6" w:space="0" w:color="auto"/>
              <w:bottom w:val="single" w:sz="4" w:space="0" w:color="auto"/>
              <w:right w:val="nil"/>
            </w:tcBorders>
            <w:shd w:val="clear" w:color="000000" w:fill="F2DCDB"/>
            <w:vAlign w:val="center"/>
          </w:tcPr>
          <w:p w14:paraId="5953E865" w14:textId="77777777" w:rsidR="00394D0F" w:rsidRDefault="00394D0F">
            <w:pPr>
              <w:jc w:val="right"/>
              <w:rPr>
                <w:color w:val="000000"/>
                <w:sz w:val="24"/>
                <w:szCs w:val="24"/>
              </w:rPr>
            </w:pPr>
            <w:r>
              <w:rPr>
                <w:color w:val="000000"/>
              </w:rPr>
              <w:t>74</w:t>
            </w:r>
          </w:p>
        </w:tc>
        <w:tc>
          <w:tcPr>
            <w:tcW w:w="291" w:type="pct"/>
            <w:tcBorders>
              <w:top w:val="nil"/>
              <w:left w:val="double" w:sz="6" w:space="0" w:color="auto"/>
              <w:bottom w:val="single" w:sz="4" w:space="0" w:color="auto"/>
              <w:right w:val="nil"/>
            </w:tcBorders>
            <w:shd w:val="clear" w:color="000000" w:fill="F2DCDB"/>
            <w:vAlign w:val="center"/>
          </w:tcPr>
          <w:p w14:paraId="030761E8" w14:textId="77777777" w:rsidR="00394D0F" w:rsidRDefault="00394D0F">
            <w:pPr>
              <w:jc w:val="right"/>
              <w:rPr>
                <w:color w:val="000000"/>
                <w:sz w:val="24"/>
                <w:szCs w:val="24"/>
              </w:rPr>
            </w:pPr>
            <w:r>
              <w:rPr>
                <w:color w:val="000000"/>
              </w:rPr>
              <w:t>6</w:t>
            </w:r>
          </w:p>
        </w:tc>
        <w:tc>
          <w:tcPr>
            <w:tcW w:w="299" w:type="pct"/>
            <w:tcBorders>
              <w:top w:val="nil"/>
              <w:left w:val="double" w:sz="6" w:space="0" w:color="auto"/>
              <w:bottom w:val="single" w:sz="4" w:space="0" w:color="auto"/>
              <w:right w:val="nil"/>
            </w:tcBorders>
            <w:shd w:val="clear" w:color="000000" w:fill="F2DCDB"/>
            <w:vAlign w:val="center"/>
          </w:tcPr>
          <w:p w14:paraId="4D43B462" w14:textId="77777777" w:rsidR="00394D0F" w:rsidRDefault="00394D0F">
            <w:pPr>
              <w:jc w:val="right"/>
              <w:rPr>
                <w:color w:val="000000"/>
                <w:sz w:val="24"/>
                <w:szCs w:val="24"/>
              </w:rPr>
            </w:pPr>
            <w:r>
              <w:rPr>
                <w:color w:val="000000"/>
              </w:rPr>
              <w:t>18</w:t>
            </w:r>
          </w:p>
        </w:tc>
        <w:tc>
          <w:tcPr>
            <w:tcW w:w="222" w:type="pct"/>
            <w:tcBorders>
              <w:top w:val="nil"/>
              <w:left w:val="double" w:sz="6" w:space="0" w:color="auto"/>
              <w:bottom w:val="single" w:sz="4" w:space="0" w:color="auto"/>
              <w:right w:val="nil"/>
            </w:tcBorders>
            <w:shd w:val="clear" w:color="000000" w:fill="F2DCDB"/>
            <w:vAlign w:val="center"/>
          </w:tcPr>
          <w:p w14:paraId="396BE8CC" w14:textId="77777777" w:rsidR="00394D0F" w:rsidRDefault="00394D0F">
            <w:pPr>
              <w:jc w:val="right"/>
              <w:rPr>
                <w:color w:val="000000"/>
                <w:sz w:val="24"/>
                <w:szCs w:val="24"/>
              </w:rPr>
            </w:pPr>
            <w:r>
              <w:rPr>
                <w:color w:val="000000"/>
              </w:rPr>
              <w:t>23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BCEB8BE" w14:textId="77777777" w:rsidR="00394D0F" w:rsidRDefault="00394D0F">
            <w:pPr>
              <w:jc w:val="right"/>
              <w:rPr>
                <w:color w:val="000000"/>
                <w:sz w:val="24"/>
                <w:szCs w:val="24"/>
              </w:rPr>
            </w:pPr>
            <w:r>
              <w:rPr>
                <w:color w:val="000000"/>
              </w:rPr>
              <w:t>24</w:t>
            </w:r>
          </w:p>
        </w:tc>
      </w:tr>
      <w:tr w:rsidR="00394D0F" w:rsidRPr="000A46ED" w14:paraId="30D4A162"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8E1B6D2" w14:textId="7DE31CCF"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 It is important to learn to read and to understand what you are reading.</w:t>
            </w:r>
          </w:p>
        </w:tc>
        <w:tc>
          <w:tcPr>
            <w:tcW w:w="255" w:type="pct"/>
            <w:tcBorders>
              <w:top w:val="nil"/>
              <w:left w:val="double" w:sz="6" w:space="0" w:color="auto"/>
              <w:bottom w:val="single" w:sz="4" w:space="0" w:color="auto"/>
              <w:right w:val="nil"/>
            </w:tcBorders>
            <w:shd w:val="clear" w:color="000000" w:fill="F2DCDB"/>
            <w:vAlign w:val="center"/>
          </w:tcPr>
          <w:p w14:paraId="462F6411" w14:textId="77777777" w:rsidR="00394D0F" w:rsidRDefault="00394D0F">
            <w:pPr>
              <w:jc w:val="right"/>
              <w:rPr>
                <w:color w:val="000000"/>
                <w:sz w:val="24"/>
                <w:szCs w:val="24"/>
              </w:rPr>
            </w:pPr>
            <w:r>
              <w:rPr>
                <w:color w:val="000000"/>
              </w:rPr>
              <w:t>483</w:t>
            </w:r>
          </w:p>
        </w:tc>
        <w:tc>
          <w:tcPr>
            <w:tcW w:w="256" w:type="pct"/>
            <w:tcBorders>
              <w:top w:val="nil"/>
              <w:left w:val="double" w:sz="6" w:space="0" w:color="auto"/>
              <w:bottom w:val="single" w:sz="4" w:space="0" w:color="auto"/>
              <w:right w:val="nil"/>
            </w:tcBorders>
            <w:shd w:val="clear" w:color="000000" w:fill="F2DCDB"/>
            <w:vAlign w:val="center"/>
          </w:tcPr>
          <w:p w14:paraId="231EA87C" w14:textId="77777777" w:rsidR="00394D0F" w:rsidRDefault="00394D0F">
            <w:pPr>
              <w:jc w:val="right"/>
              <w:rPr>
                <w:color w:val="000000"/>
                <w:sz w:val="24"/>
                <w:szCs w:val="24"/>
              </w:rPr>
            </w:pPr>
            <w:r>
              <w:rPr>
                <w:color w:val="000000"/>
              </w:rPr>
              <w:t>401</w:t>
            </w:r>
          </w:p>
        </w:tc>
        <w:tc>
          <w:tcPr>
            <w:tcW w:w="249" w:type="pct"/>
            <w:tcBorders>
              <w:top w:val="nil"/>
              <w:left w:val="double" w:sz="6" w:space="0" w:color="auto"/>
              <w:bottom w:val="single" w:sz="4" w:space="0" w:color="auto"/>
              <w:right w:val="nil"/>
            </w:tcBorders>
            <w:shd w:val="clear" w:color="000000" w:fill="F2DCDB"/>
            <w:vAlign w:val="center"/>
          </w:tcPr>
          <w:p w14:paraId="6A325B63" w14:textId="77777777" w:rsidR="00394D0F" w:rsidRDefault="00394D0F">
            <w:pPr>
              <w:jc w:val="right"/>
              <w:rPr>
                <w:color w:val="000000"/>
                <w:sz w:val="24"/>
                <w:szCs w:val="24"/>
              </w:rPr>
            </w:pPr>
            <w:r>
              <w:rPr>
                <w:color w:val="000000"/>
              </w:rPr>
              <w:t>201</w:t>
            </w:r>
          </w:p>
        </w:tc>
        <w:tc>
          <w:tcPr>
            <w:tcW w:w="249" w:type="pct"/>
            <w:tcBorders>
              <w:top w:val="nil"/>
              <w:left w:val="double" w:sz="6" w:space="0" w:color="auto"/>
              <w:bottom w:val="single" w:sz="4" w:space="0" w:color="auto"/>
              <w:right w:val="nil"/>
            </w:tcBorders>
            <w:shd w:val="clear" w:color="000000" w:fill="F2DCDB"/>
            <w:vAlign w:val="center"/>
          </w:tcPr>
          <w:p w14:paraId="28E8C39A" w14:textId="77777777" w:rsidR="00394D0F" w:rsidRDefault="00394D0F">
            <w:pPr>
              <w:jc w:val="right"/>
              <w:rPr>
                <w:color w:val="000000"/>
                <w:sz w:val="24"/>
                <w:szCs w:val="24"/>
              </w:rPr>
            </w:pPr>
            <w:r>
              <w:rPr>
                <w:color w:val="000000"/>
              </w:rPr>
              <w:t>255</w:t>
            </w:r>
          </w:p>
        </w:tc>
        <w:tc>
          <w:tcPr>
            <w:tcW w:w="222" w:type="pct"/>
            <w:tcBorders>
              <w:top w:val="nil"/>
              <w:left w:val="double" w:sz="6" w:space="0" w:color="auto"/>
              <w:bottom w:val="single" w:sz="4" w:space="0" w:color="auto"/>
              <w:right w:val="nil"/>
            </w:tcBorders>
            <w:shd w:val="clear" w:color="000000" w:fill="F2DCDB"/>
            <w:vAlign w:val="center"/>
          </w:tcPr>
          <w:p w14:paraId="04A4AE3C" w14:textId="77777777" w:rsidR="00394D0F" w:rsidRDefault="00394D0F">
            <w:pPr>
              <w:jc w:val="right"/>
              <w:rPr>
                <w:color w:val="000000"/>
                <w:sz w:val="24"/>
                <w:szCs w:val="24"/>
              </w:rPr>
            </w:pPr>
            <w:r>
              <w:rPr>
                <w:color w:val="000000"/>
              </w:rPr>
              <w:t>6</w:t>
            </w:r>
          </w:p>
        </w:tc>
        <w:tc>
          <w:tcPr>
            <w:tcW w:w="228" w:type="pct"/>
            <w:tcBorders>
              <w:top w:val="nil"/>
              <w:left w:val="double" w:sz="6" w:space="0" w:color="auto"/>
              <w:bottom w:val="single" w:sz="4" w:space="0" w:color="auto"/>
              <w:right w:val="nil"/>
            </w:tcBorders>
            <w:shd w:val="clear" w:color="000000" w:fill="F2DCDB"/>
            <w:vAlign w:val="center"/>
          </w:tcPr>
          <w:p w14:paraId="3CBCEB9E" w14:textId="77777777" w:rsidR="00394D0F" w:rsidRDefault="00394D0F">
            <w:pPr>
              <w:jc w:val="right"/>
              <w:rPr>
                <w:color w:val="000000"/>
                <w:sz w:val="24"/>
                <w:szCs w:val="24"/>
              </w:rPr>
            </w:pPr>
            <w:r>
              <w:rPr>
                <w:color w:val="000000"/>
              </w:rPr>
              <w:t>15</w:t>
            </w:r>
          </w:p>
        </w:tc>
        <w:tc>
          <w:tcPr>
            <w:tcW w:w="291" w:type="pct"/>
            <w:tcBorders>
              <w:top w:val="nil"/>
              <w:left w:val="double" w:sz="6" w:space="0" w:color="auto"/>
              <w:bottom w:val="single" w:sz="4" w:space="0" w:color="auto"/>
              <w:right w:val="nil"/>
            </w:tcBorders>
            <w:shd w:val="clear" w:color="000000" w:fill="F2DCDB"/>
            <w:vAlign w:val="center"/>
          </w:tcPr>
          <w:p w14:paraId="36A7F29A" w14:textId="77777777" w:rsidR="00394D0F" w:rsidRDefault="00394D0F">
            <w:pPr>
              <w:jc w:val="right"/>
              <w:rPr>
                <w:color w:val="000000"/>
                <w:sz w:val="24"/>
                <w:szCs w:val="24"/>
              </w:rPr>
            </w:pPr>
            <w:r>
              <w:rPr>
                <w:color w:val="000000"/>
              </w:rPr>
              <w:t>2</w:t>
            </w:r>
          </w:p>
        </w:tc>
        <w:tc>
          <w:tcPr>
            <w:tcW w:w="299" w:type="pct"/>
            <w:tcBorders>
              <w:top w:val="nil"/>
              <w:left w:val="double" w:sz="6" w:space="0" w:color="auto"/>
              <w:bottom w:val="single" w:sz="4" w:space="0" w:color="auto"/>
              <w:right w:val="nil"/>
            </w:tcBorders>
            <w:shd w:val="clear" w:color="000000" w:fill="F2DCDB"/>
            <w:vAlign w:val="center"/>
          </w:tcPr>
          <w:p w14:paraId="6412CE7E" w14:textId="77777777" w:rsidR="00394D0F" w:rsidRDefault="00394D0F">
            <w:pPr>
              <w:jc w:val="right"/>
              <w:rPr>
                <w:color w:val="000000"/>
                <w:sz w:val="24"/>
                <w:szCs w:val="24"/>
              </w:rPr>
            </w:pPr>
            <w:r>
              <w:rPr>
                <w:color w:val="000000"/>
              </w:rPr>
              <w:t>5</w:t>
            </w:r>
          </w:p>
        </w:tc>
        <w:tc>
          <w:tcPr>
            <w:tcW w:w="222" w:type="pct"/>
            <w:tcBorders>
              <w:top w:val="nil"/>
              <w:left w:val="double" w:sz="6" w:space="0" w:color="auto"/>
              <w:bottom w:val="single" w:sz="4" w:space="0" w:color="auto"/>
              <w:right w:val="nil"/>
            </w:tcBorders>
            <w:shd w:val="clear" w:color="000000" w:fill="F2DCDB"/>
            <w:vAlign w:val="center"/>
          </w:tcPr>
          <w:p w14:paraId="40889BBA" w14:textId="77777777" w:rsidR="00394D0F" w:rsidRDefault="00394D0F">
            <w:pPr>
              <w:jc w:val="right"/>
              <w:rPr>
                <w:color w:val="000000"/>
                <w:sz w:val="24"/>
                <w:szCs w:val="24"/>
              </w:rPr>
            </w:pPr>
            <w:r>
              <w:rPr>
                <w:color w:val="000000"/>
              </w:rPr>
              <w:t>10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53CB143F" w14:textId="77777777" w:rsidR="00394D0F" w:rsidRDefault="00394D0F">
            <w:pPr>
              <w:jc w:val="right"/>
              <w:rPr>
                <w:color w:val="000000"/>
                <w:sz w:val="24"/>
                <w:szCs w:val="24"/>
              </w:rPr>
            </w:pPr>
            <w:r>
              <w:rPr>
                <w:color w:val="000000"/>
              </w:rPr>
              <w:t>10</w:t>
            </w:r>
          </w:p>
        </w:tc>
      </w:tr>
      <w:tr w:rsidR="00394D0F" w:rsidRPr="000A46ED" w14:paraId="50AD64F7"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840070A" w14:textId="0CD52F9B" w:rsidR="00394D0F" w:rsidRPr="000A46ED" w:rsidRDefault="00394D0F" w:rsidP="00273D45">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reading skills.</w:t>
            </w:r>
          </w:p>
        </w:tc>
        <w:tc>
          <w:tcPr>
            <w:tcW w:w="255" w:type="pct"/>
            <w:tcBorders>
              <w:top w:val="nil"/>
              <w:left w:val="double" w:sz="6" w:space="0" w:color="auto"/>
              <w:bottom w:val="single" w:sz="4" w:space="0" w:color="auto"/>
              <w:right w:val="nil"/>
            </w:tcBorders>
            <w:shd w:val="clear" w:color="000000" w:fill="F2DCDB"/>
            <w:vAlign w:val="center"/>
          </w:tcPr>
          <w:p w14:paraId="7B5AEDAF" w14:textId="77777777" w:rsidR="00394D0F" w:rsidRDefault="00394D0F">
            <w:pPr>
              <w:jc w:val="right"/>
              <w:rPr>
                <w:color w:val="000000"/>
                <w:sz w:val="24"/>
                <w:szCs w:val="24"/>
              </w:rPr>
            </w:pPr>
            <w:r>
              <w:rPr>
                <w:color w:val="000000"/>
              </w:rPr>
              <w:t>193</w:t>
            </w:r>
          </w:p>
        </w:tc>
        <w:tc>
          <w:tcPr>
            <w:tcW w:w="256" w:type="pct"/>
            <w:tcBorders>
              <w:top w:val="nil"/>
              <w:left w:val="double" w:sz="6" w:space="0" w:color="auto"/>
              <w:bottom w:val="single" w:sz="4" w:space="0" w:color="auto"/>
              <w:right w:val="nil"/>
            </w:tcBorders>
            <w:shd w:val="clear" w:color="000000" w:fill="F2DCDB"/>
            <w:vAlign w:val="center"/>
          </w:tcPr>
          <w:p w14:paraId="6A5D57B8" w14:textId="77777777" w:rsidR="00394D0F" w:rsidRDefault="00394D0F">
            <w:pPr>
              <w:jc w:val="right"/>
              <w:rPr>
                <w:color w:val="000000"/>
                <w:sz w:val="24"/>
                <w:szCs w:val="24"/>
              </w:rPr>
            </w:pPr>
            <w:r>
              <w:rPr>
                <w:color w:val="000000"/>
              </w:rPr>
              <w:t>165</w:t>
            </w:r>
          </w:p>
        </w:tc>
        <w:tc>
          <w:tcPr>
            <w:tcW w:w="249" w:type="pct"/>
            <w:tcBorders>
              <w:top w:val="nil"/>
              <w:left w:val="double" w:sz="6" w:space="0" w:color="auto"/>
              <w:bottom w:val="single" w:sz="4" w:space="0" w:color="auto"/>
              <w:right w:val="nil"/>
            </w:tcBorders>
            <w:shd w:val="clear" w:color="000000" w:fill="F2DCDB"/>
            <w:vAlign w:val="center"/>
          </w:tcPr>
          <w:p w14:paraId="19FB2582" w14:textId="77777777" w:rsidR="00394D0F" w:rsidRDefault="00394D0F">
            <w:pPr>
              <w:jc w:val="right"/>
              <w:rPr>
                <w:color w:val="000000"/>
                <w:sz w:val="24"/>
                <w:szCs w:val="24"/>
              </w:rPr>
            </w:pPr>
            <w:r>
              <w:rPr>
                <w:color w:val="000000"/>
              </w:rPr>
              <w:t>357</w:t>
            </w:r>
          </w:p>
        </w:tc>
        <w:tc>
          <w:tcPr>
            <w:tcW w:w="249" w:type="pct"/>
            <w:tcBorders>
              <w:top w:val="nil"/>
              <w:left w:val="double" w:sz="6" w:space="0" w:color="auto"/>
              <w:bottom w:val="single" w:sz="4" w:space="0" w:color="auto"/>
              <w:right w:val="nil"/>
            </w:tcBorders>
            <w:shd w:val="clear" w:color="000000" w:fill="F2DCDB"/>
            <w:vAlign w:val="center"/>
          </w:tcPr>
          <w:p w14:paraId="52DAA2C6" w14:textId="77777777" w:rsidR="00394D0F" w:rsidRDefault="00394D0F">
            <w:pPr>
              <w:jc w:val="right"/>
              <w:rPr>
                <w:color w:val="000000"/>
                <w:sz w:val="24"/>
                <w:szCs w:val="24"/>
              </w:rPr>
            </w:pPr>
            <w:r>
              <w:rPr>
                <w:color w:val="000000"/>
              </w:rPr>
              <w:t>360</w:t>
            </w:r>
          </w:p>
        </w:tc>
        <w:tc>
          <w:tcPr>
            <w:tcW w:w="222" w:type="pct"/>
            <w:tcBorders>
              <w:top w:val="nil"/>
              <w:left w:val="double" w:sz="6" w:space="0" w:color="auto"/>
              <w:bottom w:val="single" w:sz="4" w:space="0" w:color="auto"/>
              <w:right w:val="nil"/>
            </w:tcBorders>
            <w:shd w:val="clear" w:color="000000" w:fill="F2DCDB"/>
            <w:vAlign w:val="center"/>
          </w:tcPr>
          <w:p w14:paraId="28A368C3" w14:textId="77777777" w:rsidR="00394D0F" w:rsidRDefault="00394D0F">
            <w:pPr>
              <w:jc w:val="right"/>
              <w:rPr>
                <w:color w:val="000000"/>
                <w:sz w:val="24"/>
                <w:szCs w:val="24"/>
              </w:rPr>
            </w:pPr>
            <w:r>
              <w:rPr>
                <w:color w:val="000000"/>
              </w:rPr>
              <w:t>64</w:t>
            </w:r>
          </w:p>
        </w:tc>
        <w:tc>
          <w:tcPr>
            <w:tcW w:w="228" w:type="pct"/>
            <w:tcBorders>
              <w:top w:val="nil"/>
              <w:left w:val="double" w:sz="6" w:space="0" w:color="auto"/>
              <w:bottom w:val="single" w:sz="4" w:space="0" w:color="auto"/>
              <w:right w:val="nil"/>
            </w:tcBorders>
            <w:shd w:val="clear" w:color="000000" w:fill="F2DCDB"/>
            <w:vAlign w:val="center"/>
          </w:tcPr>
          <w:p w14:paraId="1FF6CAB9" w14:textId="77777777" w:rsidR="00394D0F" w:rsidRDefault="00394D0F">
            <w:pPr>
              <w:jc w:val="right"/>
              <w:rPr>
                <w:color w:val="000000"/>
                <w:sz w:val="24"/>
                <w:szCs w:val="24"/>
              </w:rPr>
            </w:pPr>
            <w:r>
              <w:rPr>
                <w:color w:val="000000"/>
              </w:rPr>
              <w:t>81</w:t>
            </w:r>
          </w:p>
        </w:tc>
        <w:tc>
          <w:tcPr>
            <w:tcW w:w="291" w:type="pct"/>
            <w:tcBorders>
              <w:top w:val="nil"/>
              <w:left w:val="double" w:sz="6" w:space="0" w:color="auto"/>
              <w:bottom w:val="single" w:sz="4" w:space="0" w:color="auto"/>
              <w:right w:val="nil"/>
            </w:tcBorders>
            <w:shd w:val="clear" w:color="000000" w:fill="F2DCDB"/>
            <w:vAlign w:val="center"/>
          </w:tcPr>
          <w:p w14:paraId="59CBD26E" w14:textId="77777777" w:rsidR="00394D0F" w:rsidRDefault="00394D0F">
            <w:pPr>
              <w:jc w:val="right"/>
              <w:rPr>
                <w:color w:val="000000"/>
                <w:sz w:val="24"/>
                <w:szCs w:val="24"/>
              </w:rPr>
            </w:pPr>
            <w:r>
              <w:rPr>
                <w:color w:val="000000"/>
              </w:rPr>
              <w:t>10</w:t>
            </w:r>
          </w:p>
        </w:tc>
        <w:tc>
          <w:tcPr>
            <w:tcW w:w="299" w:type="pct"/>
            <w:tcBorders>
              <w:top w:val="nil"/>
              <w:left w:val="double" w:sz="6" w:space="0" w:color="auto"/>
              <w:bottom w:val="single" w:sz="4" w:space="0" w:color="auto"/>
              <w:right w:val="nil"/>
            </w:tcBorders>
            <w:shd w:val="clear" w:color="000000" w:fill="F2DCDB"/>
            <w:vAlign w:val="center"/>
          </w:tcPr>
          <w:p w14:paraId="7B549AC7" w14:textId="77777777" w:rsidR="00394D0F" w:rsidRDefault="00394D0F">
            <w:pPr>
              <w:jc w:val="right"/>
              <w:rPr>
                <w:color w:val="000000"/>
                <w:sz w:val="24"/>
                <w:szCs w:val="24"/>
              </w:rPr>
            </w:pPr>
            <w:r>
              <w:rPr>
                <w:color w:val="000000"/>
              </w:rPr>
              <w:t>21</w:t>
            </w:r>
          </w:p>
        </w:tc>
        <w:tc>
          <w:tcPr>
            <w:tcW w:w="222" w:type="pct"/>
            <w:tcBorders>
              <w:top w:val="nil"/>
              <w:left w:val="double" w:sz="6" w:space="0" w:color="auto"/>
              <w:bottom w:val="single" w:sz="4" w:space="0" w:color="auto"/>
              <w:right w:val="nil"/>
            </w:tcBorders>
            <w:shd w:val="clear" w:color="000000" w:fill="F2DCDB"/>
            <w:vAlign w:val="center"/>
          </w:tcPr>
          <w:p w14:paraId="77C2B5CE" w14:textId="77777777" w:rsidR="00394D0F" w:rsidRDefault="00394D0F">
            <w:pPr>
              <w:jc w:val="right"/>
              <w:rPr>
                <w:color w:val="000000"/>
                <w:sz w:val="24"/>
                <w:szCs w:val="24"/>
              </w:rPr>
            </w:pPr>
            <w:r>
              <w:rPr>
                <w:color w:val="000000"/>
              </w:rPr>
              <w:t>75</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3C5A73C" w14:textId="77777777" w:rsidR="00394D0F" w:rsidRDefault="00394D0F">
            <w:pPr>
              <w:jc w:val="right"/>
              <w:rPr>
                <w:color w:val="000000"/>
                <w:sz w:val="24"/>
                <w:szCs w:val="24"/>
              </w:rPr>
            </w:pPr>
            <w:r>
              <w:rPr>
                <w:color w:val="000000"/>
              </w:rPr>
              <w:t>55</w:t>
            </w:r>
          </w:p>
        </w:tc>
      </w:tr>
      <w:tr w:rsidR="00394D0F" w:rsidRPr="000A46ED" w14:paraId="5798C399"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7072C1A" w14:textId="2DB459DF"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my learning as I get older.</w:t>
            </w:r>
          </w:p>
        </w:tc>
        <w:tc>
          <w:tcPr>
            <w:tcW w:w="255" w:type="pct"/>
            <w:tcBorders>
              <w:top w:val="nil"/>
              <w:left w:val="double" w:sz="6" w:space="0" w:color="auto"/>
              <w:bottom w:val="single" w:sz="4" w:space="0" w:color="auto"/>
              <w:right w:val="nil"/>
            </w:tcBorders>
            <w:shd w:val="clear" w:color="000000" w:fill="F2DCDB"/>
            <w:vAlign w:val="center"/>
          </w:tcPr>
          <w:p w14:paraId="5933A927" w14:textId="77777777" w:rsidR="00394D0F" w:rsidRDefault="00394D0F">
            <w:pPr>
              <w:jc w:val="right"/>
              <w:rPr>
                <w:color w:val="000000"/>
                <w:sz w:val="24"/>
                <w:szCs w:val="24"/>
              </w:rPr>
            </w:pPr>
            <w:r>
              <w:rPr>
                <w:color w:val="000000"/>
              </w:rPr>
              <w:t>334</w:t>
            </w:r>
          </w:p>
        </w:tc>
        <w:tc>
          <w:tcPr>
            <w:tcW w:w="256" w:type="pct"/>
            <w:tcBorders>
              <w:top w:val="nil"/>
              <w:left w:val="double" w:sz="6" w:space="0" w:color="auto"/>
              <w:bottom w:val="single" w:sz="4" w:space="0" w:color="auto"/>
              <w:right w:val="nil"/>
            </w:tcBorders>
            <w:shd w:val="clear" w:color="000000" w:fill="F2DCDB"/>
            <w:vAlign w:val="center"/>
          </w:tcPr>
          <w:p w14:paraId="2DED107D" w14:textId="77777777" w:rsidR="00394D0F" w:rsidRDefault="00394D0F">
            <w:pPr>
              <w:jc w:val="right"/>
              <w:rPr>
                <w:color w:val="000000"/>
                <w:sz w:val="24"/>
                <w:szCs w:val="24"/>
              </w:rPr>
            </w:pPr>
            <w:r>
              <w:rPr>
                <w:color w:val="000000"/>
              </w:rPr>
              <w:t>245</w:t>
            </w:r>
          </w:p>
        </w:tc>
        <w:tc>
          <w:tcPr>
            <w:tcW w:w="249" w:type="pct"/>
            <w:tcBorders>
              <w:top w:val="nil"/>
              <w:left w:val="double" w:sz="6" w:space="0" w:color="auto"/>
              <w:bottom w:val="single" w:sz="4" w:space="0" w:color="auto"/>
              <w:right w:val="nil"/>
            </w:tcBorders>
            <w:shd w:val="clear" w:color="000000" w:fill="F2DCDB"/>
            <w:vAlign w:val="center"/>
          </w:tcPr>
          <w:p w14:paraId="7A9E64A6" w14:textId="77777777" w:rsidR="00394D0F" w:rsidRDefault="00394D0F">
            <w:pPr>
              <w:jc w:val="right"/>
              <w:rPr>
                <w:color w:val="000000"/>
                <w:sz w:val="24"/>
                <w:szCs w:val="24"/>
              </w:rPr>
            </w:pPr>
            <w:r>
              <w:rPr>
                <w:color w:val="000000"/>
              </w:rPr>
              <w:t>297</w:t>
            </w:r>
          </w:p>
        </w:tc>
        <w:tc>
          <w:tcPr>
            <w:tcW w:w="249" w:type="pct"/>
            <w:tcBorders>
              <w:top w:val="nil"/>
              <w:left w:val="double" w:sz="6" w:space="0" w:color="auto"/>
              <w:bottom w:val="single" w:sz="4" w:space="0" w:color="auto"/>
              <w:right w:val="nil"/>
            </w:tcBorders>
            <w:shd w:val="clear" w:color="000000" w:fill="F2DCDB"/>
            <w:vAlign w:val="center"/>
          </w:tcPr>
          <w:p w14:paraId="29881AF5" w14:textId="77777777" w:rsidR="00394D0F" w:rsidRDefault="00394D0F">
            <w:pPr>
              <w:jc w:val="right"/>
              <w:rPr>
                <w:color w:val="000000"/>
                <w:sz w:val="24"/>
                <w:szCs w:val="24"/>
              </w:rPr>
            </w:pPr>
            <w:r>
              <w:rPr>
                <w:color w:val="000000"/>
              </w:rPr>
              <w:t>357</w:t>
            </w:r>
          </w:p>
        </w:tc>
        <w:tc>
          <w:tcPr>
            <w:tcW w:w="222" w:type="pct"/>
            <w:tcBorders>
              <w:top w:val="nil"/>
              <w:left w:val="double" w:sz="6" w:space="0" w:color="auto"/>
              <w:bottom w:val="single" w:sz="4" w:space="0" w:color="auto"/>
              <w:right w:val="nil"/>
            </w:tcBorders>
            <w:shd w:val="clear" w:color="000000" w:fill="F2DCDB"/>
            <w:vAlign w:val="center"/>
          </w:tcPr>
          <w:p w14:paraId="657EFD25" w14:textId="77777777" w:rsidR="00394D0F" w:rsidRDefault="00394D0F">
            <w:pPr>
              <w:jc w:val="right"/>
              <w:rPr>
                <w:color w:val="000000"/>
                <w:sz w:val="24"/>
                <w:szCs w:val="24"/>
              </w:rPr>
            </w:pPr>
            <w:r>
              <w:rPr>
                <w:color w:val="000000"/>
              </w:rPr>
              <w:t>20</w:t>
            </w:r>
          </w:p>
        </w:tc>
        <w:tc>
          <w:tcPr>
            <w:tcW w:w="228" w:type="pct"/>
            <w:tcBorders>
              <w:top w:val="nil"/>
              <w:left w:val="double" w:sz="6" w:space="0" w:color="auto"/>
              <w:bottom w:val="single" w:sz="4" w:space="0" w:color="auto"/>
              <w:right w:val="nil"/>
            </w:tcBorders>
            <w:shd w:val="clear" w:color="000000" w:fill="F2DCDB"/>
            <w:vAlign w:val="center"/>
          </w:tcPr>
          <w:p w14:paraId="53C273F8" w14:textId="77777777" w:rsidR="00394D0F" w:rsidRDefault="00394D0F">
            <w:pPr>
              <w:jc w:val="right"/>
              <w:rPr>
                <w:color w:val="000000"/>
                <w:sz w:val="24"/>
                <w:szCs w:val="24"/>
              </w:rPr>
            </w:pPr>
            <w:r>
              <w:rPr>
                <w:color w:val="000000"/>
              </w:rPr>
              <w:t>44</w:t>
            </w:r>
          </w:p>
        </w:tc>
        <w:tc>
          <w:tcPr>
            <w:tcW w:w="291" w:type="pct"/>
            <w:tcBorders>
              <w:top w:val="nil"/>
              <w:left w:val="double" w:sz="6" w:space="0" w:color="auto"/>
              <w:bottom w:val="single" w:sz="4" w:space="0" w:color="auto"/>
              <w:right w:val="nil"/>
            </w:tcBorders>
            <w:shd w:val="clear" w:color="000000" w:fill="F2DCDB"/>
            <w:vAlign w:val="center"/>
          </w:tcPr>
          <w:p w14:paraId="65E7D0C6" w14:textId="77777777" w:rsidR="00394D0F" w:rsidRDefault="00394D0F">
            <w:pPr>
              <w:jc w:val="right"/>
              <w:rPr>
                <w:color w:val="000000"/>
                <w:sz w:val="24"/>
                <w:szCs w:val="24"/>
              </w:rPr>
            </w:pPr>
            <w:r>
              <w:rPr>
                <w:color w:val="000000"/>
              </w:rPr>
              <w:t>5</w:t>
            </w:r>
          </w:p>
        </w:tc>
        <w:tc>
          <w:tcPr>
            <w:tcW w:w="299" w:type="pct"/>
            <w:tcBorders>
              <w:top w:val="nil"/>
              <w:left w:val="double" w:sz="6" w:space="0" w:color="auto"/>
              <w:bottom w:val="single" w:sz="4" w:space="0" w:color="auto"/>
              <w:right w:val="nil"/>
            </w:tcBorders>
            <w:shd w:val="clear" w:color="000000" w:fill="F2DCDB"/>
            <w:vAlign w:val="center"/>
          </w:tcPr>
          <w:p w14:paraId="09413A6A" w14:textId="77777777" w:rsidR="00394D0F" w:rsidRDefault="00394D0F">
            <w:pPr>
              <w:jc w:val="right"/>
              <w:rPr>
                <w:color w:val="000000"/>
                <w:sz w:val="24"/>
                <w:szCs w:val="24"/>
              </w:rPr>
            </w:pPr>
            <w:r>
              <w:rPr>
                <w:color w:val="000000"/>
              </w:rPr>
              <w:t>6</w:t>
            </w:r>
          </w:p>
        </w:tc>
        <w:tc>
          <w:tcPr>
            <w:tcW w:w="222" w:type="pct"/>
            <w:tcBorders>
              <w:top w:val="nil"/>
              <w:left w:val="double" w:sz="6" w:space="0" w:color="auto"/>
              <w:bottom w:val="single" w:sz="4" w:space="0" w:color="auto"/>
              <w:right w:val="nil"/>
            </w:tcBorders>
            <w:shd w:val="clear" w:color="000000" w:fill="F2DCDB"/>
            <w:vAlign w:val="center"/>
          </w:tcPr>
          <w:p w14:paraId="266A9900" w14:textId="77777777" w:rsidR="00394D0F" w:rsidRDefault="00394D0F">
            <w:pPr>
              <w:jc w:val="right"/>
              <w:rPr>
                <w:color w:val="000000"/>
                <w:sz w:val="24"/>
                <w:szCs w:val="24"/>
              </w:rPr>
            </w:pPr>
            <w:r>
              <w:rPr>
                <w:color w:val="000000"/>
              </w:rPr>
              <w:t>47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27C5A15" w14:textId="77777777" w:rsidR="00394D0F" w:rsidRDefault="00394D0F">
            <w:pPr>
              <w:jc w:val="right"/>
              <w:rPr>
                <w:color w:val="000000"/>
                <w:sz w:val="24"/>
                <w:szCs w:val="24"/>
              </w:rPr>
            </w:pPr>
            <w:r>
              <w:rPr>
                <w:color w:val="000000"/>
              </w:rPr>
              <w:t>35</w:t>
            </w:r>
          </w:p>
        </w:tc>
      </w:tr>
      <w:tr w:rsidR="00394D0F" w:rsidRPr="000A46ED" w14:paraId="52ED567C"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A94BAF9" w14:textId="7AE88D56"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 My teacher expects more of me in reading as I get older.</w:t>
            </w:r>
          </w:p>
        </w:tc>
        <w:tc>
          <w:tcPr>
            <w:tcW w:w="255" w:type="pct"/>
            <w:tcBorders>
              <w:top w:val="nil"/>
              <w:left w:val="double" w:sz="6" w:space="0" w:color="auto"/>
              <w:bottom w:val="single" w:sz="4" w:space="0" w:color="auto"/>
              <w:right w:val="nil"/>
            </w:tcBorders>
            <w:shd w:val="clear" w:color="000000" w:fill="F2DCDB"/>
            <w:vAlign w:val="center"/>
          </w:tcPr>
          <w:p w14:paraId="56D595A2" w14:textId="77777777" w:rsidR="00394D0F" w:rsidRDefault="00394D0F">
            <w:pPr>
              <w:jc w:val="right"/>
              <w:rPr>
                <w:color w:val="000000"/>
                <w:sz w:val="24"/>
                <w:szCs w:val="24"/>
              </w:rPr>
            </w:pPr>
            <w:r>
              <w:rPr>
                <w:color w:val="000000"/>
              </w:rPr>
              <w:t>332</w:t>
            </w:r>
          </w:p>
        </w:tc>
        <w:tc>
          <w:tcPr>
            <w:tcW w:w="256" w:type="pct"/>
            <w:tcBorders>
              <w:top w:val="nil"/>
              <w:left w:val="double" w:sz="6" w:space="0" w:color="auto"/>
              <w:bottom w:val="single" w:sz="4" w:space="0" w:color="auto"/>
              <w:right w:val="nil"/>
            </w:tcBorders>
            <w:shd w:val="clear" w:color="000000" w:fill="F2DCDB"/>
            <w:vAlign w:val="center"/>
          </w:tcPr>
          <w:p w14:paraId="5ADA4403" w14:textId="77777777" w:rsidR="00394D0F" w:rsidRDefault="00394D0F">
            <w:pPr>
              <w:jc w:val="right"/>
              <w:rPr>
                <w:color w:val="000000"/>
                <w:sz w:val="24"/>
                <w:szCs w:val="24"/>
              </w:rPr>
            </w:pPr>
            <w:r>
              <w:rPr>
                <w:color w:val="000000"/>
              </w:rPr>
              <w:t>292</w:t>
            </w:r>
          </w:p>
        </w:tc>
        <w:tc>
          <w:tcPr>
            <w:tcW w:w="249" w:type="pct"/>
            <w:tcBorders>
              <w:top w:val="nil"/>
              <w:left w:val="double" w:sz="6" w:space="0" w:color="auto"/>
              <w:bottom w:val="single" w:sz="4" w:space="0" w:color="auto"/>
              <w:right w:val="nil"/>
            </w:tcBorders>
            <w:shd w:val="clear" w:color="000000" w:fill="F2DCDB"/>
            <w:vAlign w:val="center"/>
          </w:tcPr>
          <w:p w14:paraId="027010F8" w14:textId="77777777" w:rsidR="00394D0F" w:rsidRDefault="00394D0F">
            <w:pPr>
              <w:jc w:val="right"/>
              <w:rPr>
                <w:color w:val="000000"/>
                <w:sz w:val="24"/>
                <w:szCs w:val="24"/>
              </w:rPr>
            </w:pPr>
            <w:r>
              <w:rPr>
                <w:color w:val="000000"/>
              </w:rPr>
              <w:t>272</w:t>
            </w:r>
          </w:p>
        </w:tc>
        <w:tc>
          <w:tcPr>
            <w:tcW w:w="249" w:type="pct"/>
            <w:tcBorders>
              <w:top w:val="nil"/>
              <w:left w:val="double" w:sz="6" w:space="0" w:color="auto"/>
              <w:bottom w:val="single" w:sz="4" w:space="0" w:color="auto"/>
              <w:right w:val="nil"/>
            </w:tcBorders>
            <w:shd w:val="clear" w:color="000000" w:fill="F2DCDB"/>
            <w:vAlign w:val="center"/>
          </w:tcPr>
          <w:p w14:paraId="2047A076" w14:textId="77777777" w:rsidR="00394D0F" w:rsidRDefault="00394D0F">
            <w:pPr>
              <w:jc w:val="right"/>
              <w:rPr>
                <w:color w:val="000000"/>
                <w:sz w:val="24"/>
                <w:szCs w:val="24"/>
              </w:rPr>
            </w:pPr>
            <w:r>
              <w:rPr>
                <w:color w:val="000000"/>
              </w:rPr>
              <w:t>296</w:t>
            </w:r>
          </w:p>
        </w:tc>
        <w:tc>
          <w:tcPr>
            <w:tcW w:w="222" w:type="pct"/>
            <w:tcBorders>
              <w:top w:val="nil"/>
              <w:left w:val="double" w:sz="6" w:space="0" w:color="auto"/>
              <w:bottom w:val="single" w:sz="4" w:space="0" w:color="auto"/>
              <w:right w:val="nil"/>
            </w:tcBorders>
            <w:shd w:val="clear" w:color="000000" w:fill="F2DCDB"/>
            <w:vAlign w:val="center"/>
          </w:tcPr>
          <w:p w14:paraId="76E38258" w14:textId="77777777" w:rsidR="00394D0F" w:rsidRDefault="00394D0F">
            <w:pPr>
              <w:jc w:val="right"/>
              <w:rPr>
                <w:color w:val="000000"/>
                <w:sz w:val="24"/>
                <w:szCs w:val="24"/>
              </w:rPr>
            </w:pPr>
            <w:r>
              <w:rPr>
                <w:color w:val="000000"/>
              </w:rPr>
              <w:t>24</w:t>
            </w:r>
          </w:p>
        </w:tc>
        <w:tc>
          <w:tcPr>
            <w:tcW w:w="228" w:type="pct"/>
            <w:tcBorders>
              <w:top w:val="nil"/>
              <w:left w:val="double" w:sz="6" w:space="0" w:color="auto"/>
              <w:bottom w:val="single" w:sz="4" w:space="0" w:color="auto"/>
              <w:right w:val="nil"/>
            </w:tcBorders>
            <w:shd w:val="clear" w:color="000000" w:fill="F2DCDB"/>
            <w:vAlign w:val="center"/>
          </w:tcPr>
          <w:p w14:paraId="110C52A6" w14:textId="77777777" w:rsidR="00394D0F" w:rsidRDefault="00394D0F">
            <w:pPr>
              <w:jc w:val="right"/>
              <w:rPr>
                <w:color w:val="000000"/>
                <w:sz w:val="24"/>
                <w:szCs w:val="24"/>
              </w:rPr>
            </w:pPr>
            <w:r>
              <w:rPr>
                <w:color w:val="000000"/>
              </w:rPr>
              <w:t>38</w:t>
            </w:r>
          </w:p>
        </w:tc>
        <w:tc>
          <w:tcPr>
            <w:tcW w:w="291" w:type="pct"/>
            <w:tcBorders>
              <w:top w:val="nil"/>
              <w:left w:val="double" w:sz="6" w:space="0" w:color="auto"/>
              <w:bottom w:val="single" w:sz="4" w:space="0" w:color="auto"/>
              <w:right w:val="nil"/>
            </w:tcBorders>
            <w:shd w:val="clear" w:color="000000" w:fill="F2DCDB"/>
            <w:vAlign w:val="center"/>
          </w:tcPr>
          <w:p w14:paraId="20CB5457" w14:textId="77777777" w:rsidR="00394D0F" w:rsidRDefault="00394D0F">
            <w:pPr>
              <w:jc w:val="right"/>
              <w:rPr>
                <w:color w:val="000000"/>
                <w:sz w:val="24"/>
                <w:szCs w:val="24"/>
              </w:rPr>
            </w:pPr>
            <w:r>
              <w:rPr>
                <w:color w:val="000000"/>
              </w:rPr>
              <w:t>3</w:t>
            </w:r>
          </w:p>
        </w:tc>
        <w:tc>
          <w:tcPr>
            <w:tcW w:w="299" w:type="pct"/>
            <w:tcBorders>
              <w:top w:val="nil"/>
              <w:left w:val="double" w:sz="6" w:space="0" w:color="auto"/>
              <w:bottom w:val="single" w:sz="4" w:space="0" w:color="auto"/>
              <w:right w:val="nil"/>
            </w:tcBorders>
            <w:shd w:val="clear" w:color="000000" w:fill="F2DCDB"/>
            <w:vAlign w:val="center"/>
          </w:tcPr>
          <w:p w14:paraId="336F63A0" w14:textId="77777777" w:rsidR="00394D0F" w:rsidRDefault="00394D0F">
            <w:pPr>
              <w:jc w:val="right"/>
              <w:rPr>
                <w:color w:val="000000"/>
                <w:sz w:val="24"/>
                <w:szCs w:val="24"/>
              </w:rPr>
            </w:pPr>
            <w:r>
              <w:rPr>
                <w:color w:val="000000"/>
              </w:rPr>
              <w:t>6</w:t>
            </w:r>
          </w:p>
        </w:tc>
        <w:tc>
          <w:tcPr>
            <w:tcW w:w="222" w:type="pct"/>
            <w:tcBorders>
              <w:top w:val="nil"/>
              <w:left w:val="double" w:sz="6" w:space="0" w:color="auto"/>
              <w:bottom w:val="single" w:sz="4" w:space="0" w:color="auto"/>
              <w:right w:val="nil"/>
            </w:tcBorders>
            <w:shd w:val="clear" w:color="000000" w:fill="F2DCDB"/>
            <w:vAlign w:val="center"/>
          </w:tcPr>
          <w:p w14:paraId="534DB8AE" w14:textId="77777777" w:rsidR="00394D0F" w:rsidRDefault="00394D0F">
            <w:pPr>
              <w:jc w:val="right"/>
              <w:rPr>
                <w:color w:val="000000"/>
                <w:sz w:val="24"/>
                <w:szCs w:val="24"/>
              </w:rPr>
            </w:pPr>
            <w:r>
              <w:rPr>
                <w:color w:val="000000"/>
              </w:rPr>
              <w:t>68</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7B2D6F5" w14:textId="77777777" w:rsidR="00394D0F" w:rsidRDefault="00394D0F">
            <w:pPr>
              <w:jc w:val="right"/>
              <w:rPr>
                <w:color w:val="000000"/>
                <w:sz w:val="24"/>
                <w:szCs w:val="24"/>
              </w:rPr>
            </w:pPr>
            <w:r>
              <w:rPr>
                <w:color w:val="000000"/>
              </w:rPr>
              <w:t>56</w:t>
            </w:r>
          </w:p>
        </w:tc>
      </w:tr>
      <w:tr w:rsidR="00394D0F" w:rsidRPr="000A46ED" w14:paraId="12A349BE"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61BB8F2" w14:textId="46830777"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 My teacher tells me what I am learning in reading and why.</w:t>
            </w:r>
          </w:p>
        </w:tc>
        <w:tc>
          <w:tcPr>
            <w:tcW w:w="255" w:type="pct"/>
            <w:tcBorders>
              <w:top w:val="nil"/>
              <w:left w:val="double" w:sz="6" w:space="0" w:color="auto"/>
              <w:bottom w:val="single" w:sz="4" w:space="0" w:color="auto"/>
              <w:right w:val="nil"/>
            </w:tcBorders>
            <w:shd w:val="clear" w:color="000000" w:fill="F2DCDB"/>
            <w:vAlign w:val="center"/>
          </w:tcPr>
          <w:p w14:paraId="20931D51" w14:textId="77777777" w:rsidR="00394D0F" w:rsidRDefault="00394D0F">
            <w:pPr>
              <w:jc w:val="right"/>
              <w:rPr>
                <w:color w:val="000000"/>
                <w:sz w:val="24"/>
                <w:szCs w:val="24"/>
              </w:rPr>
            </w:pPr>
            <w:r>
              <w:rPr>
                <w:color w:val="000000"/>
              </w:rPr>
              <w:t>239</w:t>
            </w:r>
          </w:p>
        </w:tc>
        <w:tc>
          <w:tcPr>
            <w:tcW w:w="256" w:type="pct"/>
            <w:tcBorders>
              <w:top w:val="nil"/>
              <w:left w:val="double" w:sz="6" w:space="0" w:color="auto"/>
              <w:bottom w:val="single" w:sz="4" w:space="0" w:color="auto"/>
              <w:right w:val="nil"/>
            </w:tcBorders>
            <w:shd w:val="clear" w:color="000000" w:fill="F2DCDB"/>
            <w:vAlign w:val="center"/>
          </w:tcPr>
          <w:p w14:paraId="46D87A93" w14:textId="77777777" w:rsidR="00394D0F" w:rsidRDefault="00394D0F">
            <w:pPr>
              <w:jc w:val="right"/>
              <w:rPr>
                <w:color w:val="000000"/>
                <w:sz w:val="24"/>
                <w:szCs w:val="24"/>
              </w:rPr>
            </w:pPr>
            <w:r>
              <w:rPr>
                <w:color w:val="000000"/>
              </w:rPr>
              <w:t>219</w:t>
            </w:r>
          </w:p>
        </w:tc>
        <w:tc>
          <w:tcPr>
            <w:tcW w:w="249" w:type="pct"/>
            <w:tcBorders>
              <w:top w:val="nil"/>
              <w:left w:val="double" w:sz="6" w:space="0" w:color="auto"/>
              <w:bottom w:val="single" w:sz="4" w:space="0" w:color="auto"/>
              <w:right w:val="nil"/>
            </w:tcBorders>
            <w:shd w:val="clear" w:color="000000" w:fill="F2DCDB"/>
            <w:vAlign w:val="center"/>
          </w:tcPr>
          <w:p w14:paraId="79E3448C" w14:textId="77777777" w:rsidR="00394D0F" w:rsidRDefault="00394D0F">
            <w:pPr>
              <w:jc w:val="right"/>
              <w:rPr>
                <w:color w:val="000000"/>
                <w:sz w:val="24"/>
                <w:szCs w:val="24"/>
              </w:rPr>
            </w:pPr>
            <w:r>
              <w:rPr>
                <w:color w:val="000000"/>
              </w:rPr>
              <w:t>359</w:t>
            </w:r>
          </w:p>
        </w:tc>
        <w:tc>
          <w:tcPr>
            <w:tcW w:w="249" w:type="pct"/>
            <w:tcBorders>
              <w:top w:val="nil"/>
              <w:left w:val="double" w:sz="6" w:space="0" w:color="auto"/>
              <w:bottom w:val="single" w:sz="4" w:space="0" w:color="auto"/>
              <w:right w:val="nil"/>
            </w:tcBorders>
            <w:shd w:val="clear" w:color="000000" w:fill="F2DCDB"/>
            <w:vAlign w:val="center"/>
          </w:tcPr>
          <w:p w14:paraId="1EC9A553" w14:textId="77777777" w:rsidR="00394D0F" w:rsidRDefault="00394D0F">
            <w:pPr>
              <w:jc w:val="right"/>
              <w:rPr>
                <w:color w:val="000000"/>
                <w:sz w:val="24"/>
                <w:szCs w:val="24"/>
              </w:rPr>
            </w:pPr>
            <w:r>
              <w:rPr>
                <w:color w:val="000000"/>
              </w:rPr>
              <w:t>355</w:t>
            </w:r>
          </w:p>
        </w:tc>
        <w:tc>
          <w:tcPr>
            <w:tcW w:w="222" w:type="pct"/>
            <w:tcBorders>
              <w:top w:val="nil"/>
              <w:left w:val="double" w:sz="6" w:space="0" w:color="auto"/>
              <w:bottom w:val="single" w:sz="4" w:space="0" w:color="auto"/>
              <w:right w:val="nil"/>
            </w:tcBorders>
            <w:shd w:val="clear" w:color="000000" w:fill="F2DCDB"/>
            <w:vAlign w:val="center"/>
          </w:tcPr>
          <w:p w14:paraId="38D81B5F" w14:textId="77777777" w:rsidR="00394D0F" w:rsidRDefault="00394D0F">
            <w:pPr>
              <w:jc w:val="right"/>
              <w:rPr>
                <w:color w:val="000000"/>
                <w:sz w:val="24"/>
                <w:szCs w:val="24"/>
              </w:rPr>
            </w:pPr>
            <w:r>
              <w:rPr>
                <w:color w:val="000000"/>
              </w:rPr>
              <w:t>32</w:t>
            </w:r>
          </w:p>
        </w:tc>
        <w:tc>
          <w:tcPr>
            <w:tcW w:w="228" w:type="pct"/>
            <w:tcBorders>
              <w:top w:val="nil"/>
              <w:left w:val="double" w:sz="6" w:space="0" w:color="auto"/>
              <w:bottom w:val="single" w:sz="4" w:space="0" w:color="auto"/>
              <w:right w:val="nil"/>
            </w:tcBorders>
            <w:shd w:val="clear" w:color="000000" w:fill="F2DCDB"/>
            <w:vAlign w:val="center"/>
          </w:tcPr>
          <w:p w14:paraId="559EEA85" w14:textId="77777777" w:rsidR="00394D0F" w:rsidRDefault="00394D0F">
            <w:pPr>
              <w:jc w:val="right"/>
              <w:rPr>
                <w:color w:val="000000"/>
                <w:sz w:val="24"/>
                <w:szCs w:val="24"/>
              </w:rPr>
            </w:pPr>
            <w:r>
              <w:rPr>
                <w:color w:val="000000"/>
              </w:rPr>
              <w:t>47</w:t>
            </w:r>
          </w:p>
        </w:tc>
        <w:tc>
          <w:tcPr>
            <w:tcW w:w="291" w:type="pct"/>
            <w:tcBorders>
              <w:top w:val="nil"/>
              <w:left w:val="double" w:sz="6" w:space="0" w:color="auto"/>
              <w:bottom w:val="single" w:sz="4" w:space="0" w:color="auto"/>
              <w:right w:val="nil"/>
            </w:tcBorders>
            <w:shd w:val="clear" w:color="000000" w:fill="F2DCDB"/>
            <w:vAlign w:val="center"/>
          </w:tcPr>
          <w:p w14:paraId="4C97D671" w14:textId="77777777" w:rsidR="00394D0F" w:rsidRDefault="00394D0F">
            <w:pPr>
              <w:jc w:val="right"/>
              <w:rPr>
                <w:color w:val="000000"/>
                <w:sz w:val="24"/>
                <w:szCs w:val="24"/>
              </w:rPr>
            </w:pPr>
            <w:r>
              <w:rPr>
                <w:color w:val="000000"/>
              </w:rPr>
              <w:t>6</w:t>
            </w:r>
          </w:p>
        </w:tc>
        <w:tc>
          <w:tcPr>
            <w:tcW w:w="299" w:type="pct"/>
            <w:tcBorders>
              <w:top w:val="nil"/>
              <w:left w:val="double" w:sz="6" w:space="0" w:color="auto"/>
              <w:bottom w:val="single" w:sz="4" w:space="0" w:color="auto"/>
              <w:right w:val="nil"/>
            </w:tcBorders>
            <w:shd w:val="clear" w:color="000000" w:fill="F2DCDB"/>
            <w:vAlign w:val="center"/>
          </w:tcPr>
          <w:p w14:paraId="780A9CFE" w14:textId="77777777" w:rsidR="00394D0F" w:rsidRDefault="00394D0F">
            <w:pPr>
              <w:jc w:val="right"/>
              <w:rPr>
                <w:color w:val="000000"/>
                <w:sz w:val="24"/>
                <w:szCs w:val="24"/>
              </w:rPr>
            </w:pPr>
            <w:r>
              <w:rPr>
                <w:color w:val="000000"/>
              </w:rPr>
              <w:t>11</w:t>
            </w:r>
          </w:p>
        </w:tc>
        <w:tc>
          <w:tcPr>
            <w:tcW w:w="222" w:type="pct"/>
            <w:tcBorders>
              <w:top w:val="nil"/>
              <w:left w:val="double" w:sz="6" w:space="0" w:color="auto"/>
              <w:bottom w:val="single" w:sz="4" w:space="0" w:color="auto"/>
              <w:right w:val="nil"/>
            </w:tcBorders>
            <w:shd w:val="clear" w:color="000000" w:fill="F2DCDB"/>
            <w:vAlign w:val="center"/>
          </w:tcPr>
          <w:p w14:paraId="4A35A459" w14:textId="77777777" w:rsidR="00394D0F" w:rsidRDefault="00394D0F">
            <w:pPr>
              <w:jc w:val="right"/>
              <w:rPr>
                <w:color w:val="000000"/>
                <w:sz w:val="24"/>
                <w:szCs w:val="24"/>
              </w:rPr>
            </w:pPr>
            <w:r>
              <w:rPr>
                <w:color w:val="000000"/>
              </w:rPr>
              <w:t>64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6EECFB7" w14:textId="77777777" w:rsidR="00394D0F" w:rsidRDefault="00394D0F">
            <w:pPr>
              <w:jc w:val="right"/>
              <w:rPr>
                <w:color w:val="000000"/>
                <w:sz w:val="24"/>
                <w:szCs w:val="24"/>
              </w:rPr>
            </w:pPr>
            <w:r>
              <w:rPr>
                <w:color w:val="000000"/>
              </w:rPr>
              <w:t>55</w:t>
            </w:r>
          </w:p>
        </w:tc>
      </w:tr>
      <w:tr w:rsidR="00394D0F" w:rsidRPr="000A46ED" w14:paraId="4E8E6730"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D50C296" w14:textId="2BC23760"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 The activities my teachers use in reading help me learn.</w:t>
            </w:r>
          </w:p>
        </w:tc>
        <w:tc>
          <w:tcPr>
            <w:tcW w:w="255" w:type="pct"/>
            <w:tcBorders>
              <w:top w:val="nil"/>
              <w:left w:val="double" w:sz="6" w:space="0" w:color="auto"/>
              <w:bottom w:val="single" w:sz="4" w:space="0" w:color="auto"/>
              <w:right w:val="nil"/>
            </w:tcBorders>
            <w:shd w:val="clear" w:color="000000" w:fill="F2DCDB"/>
            <w:vAlign w:val="center"/>
          </w:tcPr>
          <w:p w14:paraId="3E45AFB0" w14:textId="77777777" w:rsidR="00394D0F" w:rsidRDefault="00394D0F">
            <w:pPr>
              <w:jc w:val="right"/>
              <w:rPr>
                <w:color w:val="000000"/>
                <w:sz w:val="24"/>
                <w:szCs w:val="24"/>
              </w:rPr>
            </w:pPr>
            <w:r>
              <w:rPr>
                <w:color w:val="000000"/>
              </w:rPr>
              <w:t>340</w:t>
            </w:r>
          </w:p>
        </w:tc>
        <w:tc>
          <w:tcPr>
            <w:tcW w:w="256" w:type="pct"/>
            <w:tcBorders>
              <w:top w:val="nil"/>
              <w:left w:val="double" w:sz="6" w:space="0" w:color="auto"/>
              <w:bottom w:val="single" w:sz="4" w:space="0" w:color="auto"/>
              <w:right w:val="nil"/>
            </w:tcBorders>
            <w:shd w:val="clear" w:color="000000" w:fill="F2DCDB"/>
            <w:vAlign w:val="center"/>
          </w:tcPr>
          <w:p w14:paraId="1271B973" w14:textId="77777777" w:rsidR="00394D0F" w:rsidRDefault="00394D0F">
            <w:pPr>
              <w:jc w:val="right"/>
              <w:rPr>
                <w:color w:val="000000"/>
                <w:sz w:val="24"/>
                <w:szCs w:val="24"/>
              </w:rPr>
            </w:pPr>
            <w:r>
              <w:rPr>
                <w:color w:val="000000"/>
              </w:rPr>
              <w:t>298</w:t>
            </w:r>
          </w:p>
        </w:tc>
        <w:tc>
          <w:tcPr>
            <w:tcW w:w="249" w:type="pct"/>
            <w:tcBorders>
              <w:top w:val="nil"/>
              <w:left w:val="double" w:sz="6" w:space="0" w:color="auto"/>
              <w:bottom w:val="single" w:sz="4" w:space="0" w:color="auto"/>
              <w:right w:val="nil"/>
            </w:tcBorders>
            <w:shd w:val="clear" w:color="000000" w:fill="F2DCDB"/>
            <w:vAlign w:val="center"/>
          </w:tcPr>
          <w:p w14:paraId="2FE42155" w14:textId="77777777" w:rsidR="00394D0F" w:rsidRDefault="00394D0F">
            <w:pPr>
              <w:jc w:val="right"/>
              <w:rPr>
                <w:color w:val="000000"/>
                <w:sz w:val="24"/>
                <w:szCs w:val="24"/>
              </w:rPr>
            </w:pPr>
            <w:r>
              <w:rPr>
                <w:color w:val="000000"/>
              </w:rPr>
              <w:t>300</w:t>
            </w:r>
          </w:p>
        </w:tc>
        <w:tc>
          <w:tcPr>
            <w:tcW w:w="249" w:type="pct"/>
            <w:tcBorders>
              <w:top w:val="nil"/>
              <w:left w:val="double" w:sz="6" w:space="0" w:color="auto"/>
              <w:bottom w:val="single" w:sz="4" w:space="0" w:color="auto"/>
              <w:right w:val="nil"/>
            </w:tcBorders>
            <w:shd w:val="clear" w:color="000000" w:fill="F2DCDB"/>
            <w:vAlign w:val="center"/>
          </w:tcPr>
          <w:p w14:paraId="5DDF8854" w14:textId="77777777" w:rsidR="00394D0F" w:rsidRDefault="00394D0F">
            <w:pPr>
              <w:jc w:val="right"/>
              <w:rPr>
                <w:color w:val="000000"/>
                <w:sz w:val="24"/>
                <w:szCs w:val="24"/>
              </w:rPr>
            </w:pPr>
            <w:r>
              <w:rPr>
                <w:color w:val="000000"/>
              </w:rPr>
              <w:t>300</w:t>
            </w:r>
          </w:p>
        </w:tc>
        <w:tc>
          <w:tcPr>
            <w:tcW w:w="222" w:type="pct"/>
            <w:tcBorders>
              <w:top w:val="nil"/>
              <w:left w:val="double" w:sz="6" w:space="0" w:color="auto"/>
              <w:bottom w:val="single" w:sz="4" w:space="0" w:color="auto"/>
              <w:right w:val="nil"/>
            </w:tcBorders>
            <w:shd w:val="clear" w:color="000000" w:fill="F2DCDB"/>
            <w:vAlign w:val="center"/>
          </w:tcPr>
          <w:p w14:paraId="637DDF2C" w14:textId="77777777" w:rsidR="00394D0F" w:rsidRDefault="00394D0F">
            <w:pPr>
              <w:jc w:val="right"/>
              <w:rPr>
                <w:color w:val="000000"/>
                <w:sz w:val="24"/>
                <w:szCs w:val="24"/>
              </w:rPr>
            </w:pPr>
            <w:r>
              <w:rPr>
                <w:color w:val="000000"/>
              </w:rPr>
              <w:t>29</w:t>
            </w:r>
          </w:p>
        </w:tc>
        <w:tc>
          <w:tcPr>
            <w:tcW w:w="228" w:type="pct"/>
            <w:tcBorders>
              <w:top w:val="nil"/>
              <w:left w:val="double" w:sz="6" w:space="0" w:color="auto"/>
              <w:bottom w:val="single" w:sz="4" w:space="0" w:color="auto"/>
              <w:right w:val="nil"/>
            </w:tcBorders>
            <w:shd w:val="clear" w:color="000000" w:fill="F2DCDB"/>
            <w:vAlign w:val="center"/>
          </w:tcPr>
          <w:p w14:paraId="6EE780F6" w14:textId="77777777" w:rsidR="00394D0F" w:rsidRDefault="00394D0F">
            <w:pPr>
              <w:jc w:val="right"/>
              <w:rPr>
                <w:color w:val="000000"/>
                <w:sz w:val="24"/>
                <w:szCs w:val="24"/>
              </w:rPr>
            </w:pPr>
            <w:r>
              <w:rPr>
                <w:color w:val="000000"/>
              </w:rPr>
              <w:t>49</w:t>
            </w:r>
          </w:p>
        </w:tc>
        <w:tc>
          <w:tcPr>
            <w:tcW w:w="291" w:type="pct"/>
            <w:tcBorders>
              <w:top w:val="nil"/>
              <w:left w:val="double" w:sz="6" w:space="0" w:color="auto"/>
              <w:bottom w:val="single" w:sz="4" w:space="0" w:color="auto"/>
              <w:right w:val="nil"/>
            </w:tcBorders>
            <w:shd w:val="clear" w:color="000000" w:fill="F2DCDB"/>
            <w:vAlign w:val="center"/>
          </w:tcPr>
          <w:p w14:paraId="424B3F60" w14:textId="77777777" w:rsidR="00394D0F" w:rsidRDefault="00394D0F">
            <w:pPr>
              <w:jc w:val="right"/>
              <w:rPr>
                <w:color w:val="000000"/>
                <w:sz w:val="24"/>
                <w:szCs w:val="24"/>
              </w:rPr>
            </w:pPr>
            <w:r>
              <w:rPr>
                <w:color w:val="000000"/>
              </w:rPr>
              <w:t>3</w:t>
            </w:r>
          </w:p>
        </w:tc>
        <w:tc>
          <w:tcPr>
            <w:tcW w:w="299" w:type="pct"/>
            <w:tcBorders>
              <w:top w:val="nil"/>
              <w:left w:val="double" w:sz="6" w:space="0" w:color="auto"/>
              <w:bottom w:val="single" w:sz="4" w:space="0" w:color="auto"/>
              <w:right w:val="nil"/>
            </w:tcBorders>
            <w:shd w:val="clear" w:color="000000" w:fill="F2DCDB"/>
            <w:vAlign w:val="center"/>
          </w:tcPr>
          <w:p w14:paraId="5BCB0FD4" w14:textId="77777777" w:rsidR="00394D0F" w:rsidRDefault="00394D0F">
            <w:pPr>
              <w:jc w:val="right"/>
              <w:rPr>
                <w:color w:val="000000"/>
                <w:sz w:val="24"/>
                <w:szCs w:val="24"/>
              </w:rPr>
            </w:pPr>
            <w:r>
              <w:rPr>
                <w:color w:val="000000"/>
              </w:rPr>
              <w:t>14</w:t>
            </w:r>
          </w:p>
        </w:tc>
        <w:tc>
          <w:tcPr>
            <w:tcW w:w="222" w:type="pct"/>
            <w:tcBorders>
              <w:top w:val="nil"/>
              <w:left w:val="double" w:sz="6" w:space="0" w:color="auto"/>
              <w:bottom w:val="single" w:sz="4" w:space="0" w:color="auto"/>
              <w:right w:val="nil"/>
            </w:tcBorders>
            <w:shd w:val="clear" w:color="000000" w:fill="F2DCDB"/>
            <w:vAlign w:val="center"/>
          </w:tcPr>
          <w:p w14:paraId="182B1C92" w14:textId="77777777" w:rsidR="00394D0F" w:rsidRDefault="00394D0F">
            <w:pPr>
              <w:jc w:val="right"/>
              <w:rPr>
                <w:color w:val="000000"/>
                <w:sz w:val="24"/>
                <w:szCs w:val="24"/>
              </w:rPr>
            </w:pPr>
            <w:r>
              <w:rPr>
                <w:color w:val="000000"/>
              </w:rPr>
              <w:t>29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8F3DDBD" w14:textId="77777777" w:rsidR="00394D0F" w:rsidRDefault="00394D0F">
            <w:pPr>
              <w:jc w:val="right"/>
              <w:rPr>
                <w:color w:val="000000"/>
                <w:sz w:val="24"/>
                <w:szCs w:val="24"/>
              </w:rPr>
            </w:pPr>
            <w:r>
              <w:rPr>
                <w:color w:val="000000"/>
              </w:rPr>
              <w:t>26</w:t>
            </w:r>
          </w:p>
        </w:tc>
      </w:tr>
      <w:tr w:rsidR="00394D0F" w:rsidRPr="000A46ED" w14:paraId="47AD7E18"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81979DF" w14:textId="54D31ADE"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what I read.</w:t>
            </w:r>
          </w:p>
        </w:tc>
        <w:tc>
          <w:tcPr>
            <w:tcW w:w="255" w:type="pct"/>
            <w:tcBorders>
              <w:top w:val="nil"/>
              <w:left w:val="double" w:sz="6" w:space="0" w:color="auto"/>
              <w:bottom w:val="single" w:sz="4" w:space="0" w:color="auto"/>
              <w:right w:val="nil"/>
            </w:tcBorders>
            <w:shd w:val="clear" w:color="000000" w:fill="F2DCDB"/>
            <w:vAlign w:val="center"/>
          </w:tcPr>
          <w:p w14:paraId="14654D43" w14:textId="77777777" w:rsidR="00394D0F" w:rsidRDefault="00394D0F">
            <w:pPr>
              <w:jc w:val="right"/>
              <w:rPr>
                <w:color w:val="000000"/>
                <w:sz w:val="24"/>
                <w:szCs w:val="24"/>
              </w:rPr>
            </w:pPr>
            <w:r>
              <w:rPr>
                <w:color w:val="000000"/>
              </w:rPr>
              <w:t>300</w:t>
            </w:r>
          </w:p>
        </w:tc>
        <w:tc>
          <w:tcPr>
            <w:tcW w:w="256" w:type="pct"/>
            <w:tcBorders>
              <w:top w:val="nil"/>
              <w:left w:val="double" w:sz="6" w:space="0" w:color="auto"/>
              <w:bottom w:val="single" w:sz="4" w:space="0" w:color="auto"/>
              <w:right w:val="nil"/>
            </w:tcBorders>
            <w:shd w:val="clear" w:color="000000" w:fill="F2DCDB"/>
            <w:vAlign w:val="center"/>
          </w:tcPr>
          <w:p w14:paraId="0D51B060" w14:textId="77777777" w:rsidR="00394D0F" w:rsidRDefault="00394D0F">
            <w:pPr>
              <w:jc w:val="right"/>
              <w:rPr>
                <w:color w:val="000000"/>
                <w:sz w:val="24"/>
                <w:szCs w:val="24"/>
              </w:rPr>
            </w:pPr>
            <w:r>
              <w:rPr>
                <w:color w:val="000000"/>
              </w:rPr>
              <w:t>255</w:t>
            </w:r>
          </w:p>
        </w:tc>
        <w:tc>
          <w:tcPr>
            <w:tcW w:w="249" w:type="pct"/>
            <w:tcBorders>
              <w:top w:val="nil"/>
              <w:left w:val="double" w:sz="6" w:space="0" w:color="auto"/>
              <w:bottom w:val="single" w:sz="4" w:space="0" w:color="auto"/>
              <w:right w:val="nil"/>
            </w:tcBorders>
            <w:shd w:val="clear" w:color="000000" w:fill="F2DCDB"/>
            <w:vAlign w:val="center"/>
          </w:tcPr>
          <w:p w14:paraId="11E80CB9" w14:textId="77777777" w:rsidR="00394D0F" w:rsidRDefault="00394D0F">
            <w:pPr>
              <w:jc w:val="right"/>
              <w:rPr>
                <w:color w:val="000000"/>
                <w:sz w:val="24"/>
                <w:szCs w:val="24"/>
              </w:rPr>
            </w:pPr>
            <w:r>
              <w:rPr>
                <w:color w:val="000000"/>
              </w:rPr>
              <w:t>305</w:t>
            </w:r>
          </w:p>
        </w:tc>
        <w:tc>
          <w:tcPr>
            <w:tcW w:w="249" w:type="pct"/>
            <w:tcBorders>
              <w:top w:val="nil"/>
              <w:left w:val="double" w:sz="6" w:space="0" w:color="auto"/>
              <w:bottom w:val="single" w:sz="4" w:space="0" w:color="auto"/>
              <w:right w:val="nil"/>
            </w:tcBorders>
            <w:shd w:val="clear" w:color="000000" w:fill="F2DCDB"/>
            <w:vAlign w:val="center"/>
          </w:tcPr>
          <w:p w14:paraId="0E3CD161" w14:textId="77777777" w:rsidR="00394D0F" w:rsidRDefault="00394D0F">
            <w:pPr>
              <w:jc w:val="right"/>
              <w:rPr>
                <w:color w:val="000000"/>
                <w:sz w:val="24"/>
                <w:szCs w:val="24"/>
              </w:rPr>
            </w:pPr>
            <w:r>
              <w:rPr>
                <w:color w:val="000000"/>
              </w:rPr>
              <w:t>311</w:t>
            </w:r>
          </w:p>
        </w:tc>
        <w:tc>
          <w:tcPr>
            <w:tcW w:w="222" w:type="pct"/>
            <w:tcBorders>
              <w:top w:val="nil"/>
              <w:left w:val="double" w:sz="6" w:space="0" w:color="auto"/>
              <w:bottom w:val="single" w:sz="4" w:space="0" w:color="auto"/>
              <w:right w:val="nil"/>
            </w:tcBorders>
            <w:shd w:val="clear" w:color="000000" w:fill="F2DCDB"/>
            <w:vAlign w:val="center"/>
          </w:tcPr>
          <w:p w14:paraId="4E39243E" w14:textId="77777777" w:rsidR="00394D0F" w:rsidRDefault="00394D0F">
            <w:pPr>
              <w:jc w:val="right"/>
              <w:rPr>
                <w:color w:val="000000"/>
                <w:sz w:val="24"/>
                <w:szCs w:val="24"/>
              </w:rPr>
            </w:pPr>
            <w:r>
              <w:rPr>
                <w:color w:val="000000"/>
              </w:rPr>
              <w:t>48</w:t>
            </w:r>
          </w:p>
        </w:tc>
        <w:tc>
          <w:tcPr>
            <w:tcW w:w="228" w:type="pct"/>
            <w:tcBorders>
              <w:top w:val="nil"/>
              <w:left w:val="double" w:sz="6" w:space="0" w:color="auto"/>
              <w:bottom w:val="single" w:sz="4" w:space="0" w:color="auto"/>
              <w:right w:val="nil"/>
            </w:tcBorders>
            <w:shd w:val="clear" w:color="000000" w:fill="F2DCDB"/>
            <w:vAlign w:val="center"/>
          </w:tcPr>
          <w:p w14:paraId="01304C99" w14:textId="77777777" w:rsidR="00394D0F" w:rsidRDefault="00394D0F">
            <w:pPr>
              <w:jc w:val="right"/>
              <w:rPr>
                <w:color w:val="000000"/>
                <w:sz w:val="24"/>
                <w:szCs w:val="24"/>
              </w:rPr>
            </w:pPr>
            <w:r>
              <w:rPr>
                <w:color w:val="000000"/>
              </w:rPr>
              <w:t>62</w:t>
            </w:r>
          </w:p>
        </w:tc>
        <w:tc>
          <w:tcPr>
            <w:tcW w:w="291" w:type="pct"/>
            <w:tcBorders>
              <w:top w:val="nil"/>
              <w:left w:val="double" w:sz="6" w:space="0" w:color="auto"/>
              <w:bottom w:val="single" w:sz="4" w:space="0" w:color="auto"/>
              <w:right w:val="nil"/>
            </w:tcBorders>
            <w:shd w:val="clear" w:color="000000" w:fill="F2DCDB"/>
            <w:vAlign w:val="center"/>
          </w:tcPr>
          <w:p w14:paraId="34F7368A" w14:textId="77777777" w:rsidR="00394D0F" w:rsidRDefault="00394D0F">
            <w:pPr>
              <w:jc w:val="right"/>
              <w:rPr>
                <w:color w:val="000000"/>
                <w:sz w:val="24"/>
                <w:szCs w:val="24"/>
              </w:rPr>
            </w:pPr>
            <w:r>
              <w:rPr>
                <w:color w:val="000000"/>
              </w:rPr>
              <w:t>10</w:t>
            </w:r>
          </w:p>
        </w:tc>
        <w:tc>
          <w:tcPr>
            <w:tcW w:w="299" w:type="pct"/>
            <w:tcBorders>
              <w:top w:val="nil"/>
              <w:left w:val="double" w:sz="6" w:space="0" w:color="auto"/>
              <w:bottom w:val="single" w:sz="4" w:space="0" w:color="auto"/>
              <w:right w:val="nil"/>
            </w:tcBorders>
            <w:shd w:val="clear" w:color="000000" w:fill="F2DCDB"/>
            <w:vAlign w:val="center"/>
          </w:tcPr>
          <w:p w14:paraId="0AF42561" w14:textId="77777777" w:rsidR="00394D0F" w:rsidRDefault="00394D0F">
            <w:pPr>
              <w:jc w:val="right"/>
              <w:rPr>
                <w:color w:val="000000"/>
                <w:sz w:val="24"/>
                <w:szCs w:val="24"/>
              </w:rPr>
            </w:pPr>
            <w:r>
              <w:rPr>
                <w:color w:val="000000"/>
              </w:rPr>
              <w:t>16</w:t>
            </w:r>
          </w:p>
        </w:tc>
        <w:tc>
          <w:tcPr>
            <w:tcW w:w="222" w:type="pct"/>
            <w:tcBorders>
              <w:top w:val="nil"/>
              <w:left w:val="double" w:sz="6" w:space="0" w:color="auto"/>
              <w:bottom w:val="single" w:sz="4" w:space="0" w:color="auto"/>
              <w:right w:val="nil"/>
            </w:tcBorders>
            <w:shd w:val="clear" w:color="000000" w:fill="F2DCDB"/>
            <w:vAlign w:val="center"/>
          </w:tcPr>
          <w:p w14:paraId="534A9FAA" w14:textId="77777777" w:rsidR="00394D0F" w:rsidRDefault="00394D0F">
            <w:pPr>
              <w:jc w:val="right"/>
              <w:rPr>
                <w:color w:val="000000"/>
                <w:sz w:val="24"/>
                <w:szCs w:val="24"/>
              </w:rPr>
            </w:pPr>
            <w:r>
              <w:rPr>
                <w:color w:val="000000"/>
              </w:rPr>
              <w:t>37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0DC1F66" w14:textId="77777777" w:rsidR="00394D0F" w:rsidRDefault="00394D0F">
            <w:pPr>
              <w:jc w:val="right"/>
              <w:rPr>
                <w:color w:val="000000"/>
                <w:sz w:val="24"/>
                <w:szCs w:val="24"/>
              </w:rPr>
            </w:pPr>
            <w:r>
              <w:rPr>
                <w:color w:val="000000"/>
              </w:rPr>
              <w:t>42</w:t>
            </w:r>
          </w:p>
        </w:tc>
      </w:tr>
      <w:tr w:rsidR="00394D0F" w:rsidRPr="000A46ED" w14:paraId="7C48640C"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5CB4A3D" w14:textId="41BA8AF1"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reading skills in all subjects.</w:t>
            </w:r>
          </w:p>
        </w:tc>
        <w:tc>
          <w:tcPr>
            <w:tcW w:w="255" w:type="pct"/>
            <w:tcBorders>
              <w:top w:val="nil"/>
              <w:left w:val="double" w:sz="6" w:space="0" w:color="auto"/>
              <w:bottom w:val="single" w:sz="4" w:space="0" w:color="auto"/>
              <w:right w:val="nil"/>
            </w:tcBorders>
            <w:shd w:val="clear" w:color="000000" w:fill="F2DCDB"/>
            <w:vAlign w:val="center"/>
          </w:tcPr>
          <w:p w14:paraId="42EBF91A" w14:textId="77777777" w:rsidR="00394D0F" w:rsidRDefault="00394D0F">
            <w:pPr>
              <w:jc w:val="right"/>
              <w:rPr>
                <w:color w:val="000000"/>
                <w:sz w:val="24"/>
                <w:szCs w:val="24"/>
              </w:rPr>
            </w:pPr>
            <w:r>
              <w:rPr>
                <w:color w:val="000000"/>
              </w:rPr>
              <w:t>313</w:t>
            </w:r>
          </w:p>
        </w:tc>
        <w:tc>
          <w:tcPr>
            <w:tcW w:w="256" w:type="pct"/>
            <w:tcBorders>
              <w:top w:val="nil"/>
              <w:left w:val="double" w:sz="6" w:space="0" w:color="auto"/>
              <w:bottom w:val="single" w:sz="4" w:space="0" w:color="auto"/>
              <w:right w:val="nil"/>
            </w:tcBorders>
            <w:shd w:val="clear" w:color="000000" w:fill="F2DCDB"/>
            <w:vAlign w:val="center"/>
          </w:tcPr>
          <w:p w14:paraId="71C02658" w14:textId="77777777" w:rsidR="00394D0F" w:rsidRDefault="00394D0F">
            <w:pPr>
              <w:jc w:val="right"/>
              <w:rPr>
                <w:color w:val="000000"/>
                <w:sz w:val="24"/>
                <w:szCs w:val="24"/>
              </w:rPr>
            </w:pPr>
            <w:r>
              <w:rPr>
                <w:color w:val="000000"/>
              </w:rPr>
              <w:t>251</w:t>
            </w:r>
          </w:p>
        </w:tc>
        <w:tc>
          <w:tcPr>
            <w:tcW w:w="249" w:type="pct"/>
            <w:tcBorders>
              <w:top w:val="nil"/>
              <w:left w:val="double" w:sz="6" w:space="0" w:color="auto"/>
              <w:bottom w:val="single" w:sz="4" w:space="0" w:color="auto"/>
              <w:right w:val="nil"/>
            </w:tcBorders>
            <w:shd w:val="clear" w:color="000000" w:fill="F2DCDB"/>
            <w:vAlign w:val="center"/>
          </w:tcPr>
          <w:p w14:paraId="738BFE3E" w14:textId="77777777" w:rsidR="00394D0F" w:rsidRDefault="00394D0F">
            <w:pPr>
              <w:jc w:val="right"/>
              <w:rPr>
                <w:color w:val="000000"/>
                <w:sz w:val="24"/>
                <w:szCs w:val="24"/>
              </w:rPr>
            </w:pPr>
            <w:r>
              <w:rPr>
                <w:color w:val="000000"/>
              </w:rPr>
              <w:t>298</w:t>
            </w:r>
          </w:p>
        </w:tc>
        <w:tc>
          <w:tcPr>
            <w:tcW w:w="249" w:type="pct"/>
            <w:tcBorders>
              <w:top w:val="nil"/>
              <w:left w:val="double" w:sz="6" w:space="0" w:color="auto"/>
              <w:bottom w:val="single" w:sz="4" w:space="0" w:color="auto"/>
              <w:right w:val="nil"/>
            </w:tcBorders>
            <w:shd w:val="clear" w:color="000000" w:fill="F2DCDB"/>
            <w:vAlign w:val="center"/>
          </w:tcPr>
          <w:p w14:paraId="5CA58F87" w14:textId="77777777" w:rsidR="00394D0F" w:rsidRDefault="00394D0F">
            <w:pPr>
              <w:jc w:val="right"/>
              <w:rPr>
                <w:color w:val="000000"/>
                <w:sz w:val="24"/>
                <w:szCs w:val="24"/>
              </w:rPr>
            </w:pPr>
            <w:r>
              <w:rPr>
                <w:color w:val="000000"/>
              </w:rPr>
              <w:t>289</w:t>
            </w:r>
          </w:p>
        </w:tc>
        <w:tc>
          <w:tcPr>
            <w:tcW w:w="222" w:type="pct"/>
            <w:tcBorders>
              <w:top w:val="nil"/>
              <w:left w:val="double" w:sz="6" w:space="0" w:color="auto"/>
              <w:bottom w:val="single" w:sz="4" w:space="0" w:color="auto"/>
              <w:right w:val="nil"/>
            </w:tcBorders>
            <w:shd w:val="clear" w:color="000000" w:fill="F2DCDB"/>
            <w:vAlign w:val="center"/>
          </w:tcPr>
          <w:p w14:paraId="56800363" w14:textId="77777777" w:rsidR="00394D0F" w:rsidRDefault="00394D0F">
            <w:pPr>
              <w:jc w:val="right"/>
              <w:rPr>
                <w:color w:val="000000"/>
                <w:sz w:val="24"/>
                <w:szCs w:val="24"/>
              </w:rPr>
            </w:pPr>
            <w:r>
              <w:rPr>
                <w:color w:val="000000"/>
              </w:rPr>
              <w:t>52</w:t>
            </w:r>
          </w:p>
        </w:tc>
        <w:tc>
          <w:tcPr>
            <w:tcW w:w="228" w:type="pct"/>
            <w:tcBorders>
              <w:top w:val="nil"/>
              <w:left w:val="double" w:sz="6" w:space="0" w:color="auto"/>
              <w:bottom w:val="single" w:sz="4" w:space="0" w:color="auto"/>
              <w:right w:val="nil"/>
            </w:tcBorders>
            <w:shd w:val="clear" w:color="000000" w:fill="F2DCDB"/>
            <w:vAlign w:val="center"/>
          </w:tcPr>
          <w:p w14:paraId="080EC289" w14:textId="77777777" w:rsidR="00394D0F" w:rsidRDefault="00394D0F">
            <w:pPr>
              <w:jc w:val="right"/>
              <w:rPr>
                <w:color w:val="000000"/>
                <w:sz w:val="24"/>
                <w:szCs w:val="24"/>
              </w:rPr>
            </w:pPr>
            <w:r>
              <w:rPr>
                <w:color w:val="000000"/>
              </w:rPr>
              <w:t>106</w:t>
            </w:r>
          </w:p>
        </w:tc>
        <w:tc>
          <w:tcPr>
            <w:tcW w:w="291" w:type="pct"/>
            <w:tcBorders>
              <w:top w:val="nil"/>
              <w:left w:val="double" w:sz="6" w:space="0" w:color="auto"/>
              <w:bottom w:val="single" w:sz="4" w:space="0" w:color="auto"/>
              <w:right w:val="nil"/>
            </w:tcBorders>
            <w:shd w:val="clear" w:color="000000" w:fill="F2DCDB"/>
            <w:vAlign w:val="center"/>
          </w:tcPr>
          <w:p w14:paraId="3949C5E1" w14:textId="77777777" w:rsidR="00394D0F" w:rsidRDefault="00394D0F">
            <w:pPr>
              <w:jc w:val="right"/>
              <w:rPr>
                <w:color w:val="000000"/>
                <w:sz w:val="24"/>
                <w:szCs w:val="24"/>
              </w:rPr>
            </w:pPr>
            <w:r>
              <w:rPr>
                <w:color w:val="000000"/>
              </w:rPr>
              <w:t>4</w:t>
            </w:r>
          </w:p>
        </w:tc>
        <w:tc>
          <w:tcPr>
            <w:tcW w:w="299" w:type="pct"/>
            <w:tcBorders>
              <w:top w:val="nil"/>
              <w:left w:val="double" w:sz="6" w:space="0" w:color="auto"/>
              <w:bottom w:val="single" w:sz="4" w:space="0" w:color="auto"/>
              <w:right w:val="nil"/>
            </w:tcBorders>
            <w:shd w:val="clear" w:color="000000" w:fill="F2DCDB"/>
            <w:vAlign w:val="center"/>
          </w:tcPr>
          <w:p w14:paraId="5E3926D9" w14:textId="77777777" w:rsidR="00394D0F" w:rsidRDefault="00394D0F">
            <w:pPr>
              <w:jc w:val="right"/>
              <w:rPr>
                <w:color w:val="000000"/>
                <w:sz w:val="24"/>
                <w:szCs w:val="24"/>
              </w:rPr>
            </w:pPr>
            <w:r>
              <w:rPr>
                <w:color w:val="000000"/>
              </w:rPr>
              <w:t>11</w:t>
            </w:r>
          </w:p>
        </w:tc>
        <w:tc>
          <w:tcPr>
            <w:tcW w:w="222" w:type="pct"/>
            <w:tcBorders>
              <w:top w:val="nil"/>
              <w:left w:val="double" w:sz="6" w:space="0" w:color="auto"/>
              <w:bottom w:val="single" w:sz="4" w:space="0" w:color="auto"/>
              <w:right w:val="nil"/>
            </w:tcBorders>
            <w:shd w:val="clear" w:color="000000" w:fill="F2DCDB"/>
            <w:vAlign w:val="center"/>
          </w:tcPr>
          <w:p w14:paraId="51943211" w14:textId="77777777" w:rsidR="00394D0F" w:rsidRDefault="00394D0F">
            <w:pPr>
              <w:jc w:val="right"/>
              <w:rPr>
                <w:color w:val="000000"/>
                <w:sz w:val="24"/>
                <w:szCs w:val="24"/>
              </w:rPr>
            </w:pPr>
            <w:r>
              <w:rPr>
                <w:color w:val="000000"/>
              </w:rPr>
              <w:t>34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D518AD8" w14:textId="77777777" w:rsidR="00394D0F" w:rsidRDefault="00394D0F">
            <w:pPr>
              <w:jc w:val="right"/>
              <w:rPr>
                <w:color w:val="000000"/>
                <w:sz w:val="24"/>
                <w:szCs w:val="24"/>
              </w:rPr>
            </w:pPr>
            <w:r>
              <w:rPr>
                <w:color w:val="000000"/>
              </w:rPr>
              <w:t>30</w:t>
            </w:r>
          </w:p>
        </w:tc>
      </w:tr>
      <w:tr w:rsidR="00394D0F" w:rsidRPr="000A46ED" w14:paraId="0C574CF3"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0330990"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reading challenges me and makes me think.</w:t>
            </w:r>
          </w:p>
        </w:tc>
        <w:tc>
          <w:tcPr>
            <w:tcW w:w="255" w:type="pct"/>
            <w:tcBorders>
              <w:top w:val="nil"/>
              <w:left w:val="double" w:sz="6" w:space="0" w:color="auto"/>
              <w:bottom w:val="single" w:sz="4" w:space="0" w:color="auto"/>
              <w:right w:val="nil"/>
            </w:tcBorders>
            <w:shd w:val="clear" w:color="000000" w:fill="F2DCDB"/>
            <w:vAlign w:val="center"/>
          </w:tcPr>
          <w:p w14:paraId="41028DB0" w14:textId="77777777" w:rsidR="00394D0F" w:rsidRDefault="00394D0F">
            <w:pPr>
              <w:jc w:val="right"/>
              <w:rPr>
                <w:color w:val="000000"/>
                <w:sz w:val="24"/>
                <w:szCs w:val="24"/>
              </w:rPr>
            </w:pPr>
            <w:r>
              <w:rPr>
                <w:color w:val="000000"/>
              </w:rPr>
              <w:t>290</w:t>
            </w:r>
          </w:p>
        </w:tc>
        <w:tc>
          <w:tcPr>
            <w:tcW w:w="256" w:type="pct"/>
            <w:tcBorders>
              <w:top w:val="nil"/>
              <w:left w:val="double" w:sz="6" w:space="0" w:color="auto"/>
              <w:bottom w:val="single" w:sz="4" w:space="0" w:color="auto"/>
              <w:right w:val="nil"/>
            </w:tcBorders>
            <w:shd w:val="clear" w:color="000000" w:fill="F2DCDB"/>
            <w:vAlign w:val="center"/>
          </w:tcPr>
          <w:p w14:paraId="1A027182" w14:textId="77777777" w:rsidR="00394D0F" w:rsidRDefault="00394D0F">
            <w:pPr>
              <w:jc w:val="right"/>
              <w:rPr>
                <w:color w:val="000000"/>
                <w:sz w:val="24"/>
                <w:szCs w:val="24"/>
              </w:rPr>
            </w:pPr>
            <w:r>
              <w:rPr>
                <w:color w:val="000000"/>
              </w:rPr>
              <w:t>231</w:t>
            </w:r>
          </w:p>
        </w:tc>
        <w:tc>
          <w:tcPr>
            <w:tcW w:w="249" w:type="pct"/>
            <w:tcBorders>
              <w:top w:val="nil"/>
              <w:left w:val="double" w:sz="6" w:space="0" w:color="auto"/>
              <w:bottom w:val="single" w:sz="4" w:space="0" w:color="auto"/>
              <w:right w:val="nil"/>
            </w:tcBorders>
            <w:shd w:val="clear" w:color="000000" w:fill="F2DCDB"/>
            <w:vAlign w:val="center"/>
          </w:tcPr>
          <w:p w14:paraId="6AC93E8C" w14:textId="77777777" w:rsidR="00394D0F" w:rsidRDefault="00394D0F">
            <w:pPr>
              <w:jc w:val="right"/>
              <w:rPr>
                <w:color w:val="000000"/>
                <w:sz w:val="24"/>
                <w:szCs w:val="24"/>
              </w:rPr>
            </w:pPr>
            <w:r>
              <w:rPr>
                <w:color w:val="000000"/>
              </w:rPr>
              <w:t>314</w:t>
            </w:r>
          </w:p>
        </w:tc>
        <w:tc>
          <w:tcPr>
            <w:tcW w:w="249" w:type="pct"/>
            <w:tcBorders>
              <w:top w:val="nil"/>
              <w:left w:val="double" w:sz="6" w:space="0" w:color="auto"/>
              <w:bottom w:val="single" w:sz="4" w:space="0" w:color="auto"/>
              <w:right w:val="nil"/>
            </w:tcBorders>
            <w:shd w:val="clear" w:color="000000" w:fill="F2DCDB"/>
            <w:vAlign w:val="center"/>
          </w:tcPr>
          <w:p w14:paraId="45717526" w14:textId="77777777" w:rsidR="00394D0F" w:rsidRDefault="00394D0F">
            <w:pPr>
              <w:jc w:val="right"/>
              <w:rPr>
                <w:color w:val="000000"/>
                <w:sz w:val="24"/>
                <w:szCs w:val="24"/>
              </w:rPr>
            </w:pPr>
            <w:r>
              <w:rPr>
                <w:color w:val="000000"/>
              </w:rPr>
              <w:t>368</w:t>
            </w:r>
          </w:p>
        </w:tc>
        <w:tc>
          <w:tcPr>
            <w:tcW w:w="222" w:type="pct"/>
            <w:tcBorders>
              <w:top w:val="nil"/>
              <w:left w:val="double" w:sz="6" w:space="0" w:color="auto"/>
              <w:bottom w:val="single" w:sz="4" w:space="0" w:color="auto"/>
              <w:right w:val="nil"/>
            </w:tcBorders>
            <w:shd w:val="clear" w:color="000000" w:fill="F2DCDB"/>
            <w:vAlign w:val="center"/>
          </w:tcPr>
          <w:p w14:paraId="2CA8090C" w14:textId="77777777" w:rsidR="00394D0F" w:rsidRDefault="00394D0F">
            <w:pPr>
              <w:jc w:val="right"/>
              <w:rPr>
                <w:color w:val="000000"/>
                <w:sz w:val="24"/>
                <w:szCs w:val="24"/>
              </w:rPr>
            </w:pPr>
            <w:r>
              <w:rPr>
                <w:color w:val="000000"/>
              </w:rPr>
              <w:t>50</w:t>
            </w:r>
          </w:p>
        </w:tc>
        <w:tc>
          <w:tcPr>
            <w:tcW w:w="228" w:type="pct"/>
            <w:tcBorders>
              <w:top w:val="nil"/>
              <w:left w:val="double" w:sz="6" w:space="0" w:color="auto"/>
              <w:bottom w:val="single" w:sz="4" w:space="0" w:color="auto"/>
              <w:right w:val="nil"/>
            </w:tcBorders>
            <w:shd w:val="clear" w:color="000000" w:fill="F2DCDB"/>
            <w:vAlign w:val="center"/>
          </w:tcPr>
          <w:p w14:paraId="456FEDD2" w14:textId="77777777" w:rsidR="00394D0F" w:rsidRDefault="00394D0F">
            <w:pPr>
              <w:jc w:val="right"/>
              <w:rPr>
                <w:color w:val="000000"/>
                <w:sz w:val="24"/>
                <w:szCs w:val="24"/>
              </w:rPr>
            </w:pPr>
            <w:r>
              <w:rPr>
                <w:color w:val="000000"/>
              </w:rPr>
              <w:t>42</w:t>
            </w:r>
          </w:p>
        </w:tc>
        <w:tc>
          <w:tcPr>
            <w:tcW w:w="291" w:type="pct"/>
            <w:tcBorders>
              <w:top w:val="nil"/>
              <w:left w:val="double" w:sz="6" w:space="0" w:color="auto"/>
              <w:bottom w:val="single" w:sz="4" w:space="0" w:color="auto"/>
              <w:right w:val="nil"/>
            </w:tcBorders>
            <w:shd w:val="clear" w:color="000000" w:fill="F2DCDB"/>
            <w:vAlign w:val="center"/>
          </w:tcPr>
          <w:p w14:paraId="720370AC" w14:textId="77777777" w:rsidR="00394D0F" w:rsidRDefault="00394D0F">
            <w:pPr>
              <w:jc w:val="right"/>
              <w:rPr>
                <w:color w:val="000000"/>
                <w:sz w:val="24"/>
                <w:szCs w:val="24"/>
              </w:rPr>
            </w:pPr>
            <w:r>
              <w:rPr>
                <w:color w:val="000000"/>
              </w:rPr>
              <w:t>12</w:t>
            </w:r>
          </w:p>
        </w:tc>
        <w:tc>
          <w:tcPr>
            <w:tcW w:w="299" w:type="pct"/>
            <w:tcBorders>
              <w:top w:val="nil"/>
              <w:left w:val="double" w:sz="6" w:space="0" w:color="auto"/>
              <w:bottom w:val="single" w:sz="4" w:space="0" w:color="auto"/>
              <w:right w:val="nil"/>
            </w:tcBorders>
            <w:shd w:val="clear" w:color="000000" w:fill="F2DCDB"/>
            <w:vAlign w:val="center"/>
          </w:tcPr>
          <w:p w14:paraId="09065918" w14:textId="77777777" w:rsidR="00394D0F" w:rsidRDefault="00394D0F">
            <w:pPr>
              <w:jc w:val="right"/>
              <w:rPr>
                <w:color w:val="000000"/>
                <w:sz w:val="24"/>
                <w:szCs w:val="24"/>
              </w:rPr>
            </w:pPr>
            <w:r>
              <w:rPr>
                <w:color w:val="000000"/>
              </w:rPr>
              <w:t>16</w:t>
            </w:r>
          </w:p>
        </w:tc>
        <w:tc>
          <w:tcPr>
            <w:tcW w:w="222" w:type="pct"/>
            <w:tcBorders>
              <w:top w:val="nil"/>
              <w:left w:val="double" w:sz="6" w:space="0" w:color="auto"/>
              <w:bottom w:val="single" w:sz="4" w:space="0" w:color="auto"/>
              <w:right w:val="nil"/>
            </w:tcBorders>
            <w:shd w:val="clear" w:color="000000" w:fill="F2DCDB"/>
            <w:vAlign w:val="center"/>
          </w:tcPr>
          <w:p w14:paraId="5394A2B1" w14:textId="77777777" w:rsidR="00394D0F" w:rsidRDefault="00394D0F">
            <w:pPr>
              <w:jc w:val="right"/>
              <w:rPr>
                <w:color w:val="000000"/>
                <w:sz w:val="24"/>
                <w:szCs w:val="24"/>
              </w:rPr>
            </w:pPr>
            <w:r>
              <w:rPr>
                <w:color w:val="000000"/>
              </w:rPr>
              <w:t>33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8324A41" w14:textId="77777777" w:rsidR="00394D0F" w:rsidRDefault="00394D0F">
            <w:pPr>
              <w:jc w:val="right"/>
              <w:rPr>
                <w:color w:val="000000"/>
                <w:sz w:val="24"/>
                <w:szCs w:val="24"/>
              </w:rPr>
            </w:pPr>
            <w:r>
              <w:rPr>
                <w:color w:val="000000"/>
              </w:rPr>
              <w:t>27</w:t>
            </w:r>
          </w:p>
        </w:tc>
      </w:tr>
      <w:tr w:rsidR="00394D0F" w:rsidRPr="000A46ED" w14:paraId="6F7206FF"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C2FB5A3"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reading.</w:t>
            </w:r>
          </w:p>
        </w:tc>
        <w:tc>
          <w:tcPr>
            <w:tcW w:w="255" w:type="pct"/>
            <w:tcBorders>
              <w:top w:val="nil"/>
              <w:left w:val="double" w:sz="6" w:space="0" w:color="auto"/>
              <w:bottom w:val="single" w:sz="4" w:space="0" w:color="auto"/>
              <w:right w:val="nil"/>
            </w:tcBorders>
            <w:shd w:val="clear" w:color="000000" w:fill="F2DCDB"/>
            <w:vAlign w:val="center"/>
          </w:tcPr>
          <w:p w14:paraId="1D57D9E7" w14:textId="77777777" w:rsidR="00394D0F" w:rsidRDefault="00394D0F">
            <w:pPr>
              <w:jc w:val="right"/>
              <w:rPr>
                <w:color w:val="000000"/>
                <w:sz w:val="24"/>
                <w:szCs w:val="24"/>
              </w:rPr>
            </w:pPr>
            <w:r>
              <w:rPr>
                <w:color w:val="000000"/>
              </w:rPr>
              <w:t>252</w:t>
            </w:r>
          </w:p>
        </w:tc>
        <w:tc>
          <w:tcPr>
            <w:tcW w:w="256" w:type="pct"/>
            <w:tcBorders>
              <w:top w:val="nil"/>
              <w:left w:val="double" w:sz="6" w:space="0" w:color="auto"/>
              <w:bottom w:val="single" w:sz="4" w:space="0" w:color="auto"/>
              <w:right w:val="nil"/>
            </w:tcBorders>
            <w:shd w:val="clear" w:color="000000" w:fill="F2DCDB"/>
            <w:vAlign w:val="center"/>
          </w:tcPr>
          <w:p w14:paraId="4E4F226C" w14:textId="77777777" w:rsidR="00394D0F" w:rsidRDefault="00394D0F">
            <w:pPr>
              <w:jc w:val="right"/>
              <w:rPr>
                <w:color w:val="000000"/>
                <w:sz w:val="24"/>
                <w:szCs w:val="24"/>
              </w:rPr>
            </w:pPr>
            <w:r>
              <w:rPr>
                <w:color w:val="000000"/>
              </w:rPr>
              <w:t>233</w:t>
            </w:r>
          </w:p>
        </w:tc>
        <w:tc>
          <w:tcPr>
            <w:tcW w:w="249" w:type="pct"/>
            <w:tcBorders>
              <w:top w:val="nil"/>
              <w:left w:val="double" w:sz="6" w:space="0" w:color="auto"/>
              <w:bottom w:val="single" w:sz="4" w:space="0" w:color="auto"/>
              <w:right w:val="nil"/>
            </w:tcBorders>
            <w:shd w:val="clear" w:color="000000" w:fill="F2DCDB"/>
            <w:vAlign w:val="center"/>
          </w:tcPr>
          <w:p w14:paraId="4CE86938" w14:textId="77777777" w:rsidR="00394D0F" w:rsidRDefault="00394D0F">
            <w:pPr>
              <w:jc w:val="right"/>
              <w:rPr>
                <w:color w:val="000000"/>
                <w:sz w:val="24"/>
                <w:szCs w:val="24"/>
              </w:rPr>
            </w:pPr>
            <w:r>
              <w:rPr>
                <w:color w:val="000000"/>
              </w:rPr>
              <w:t>339</w:t>
            </w:r>
          </w:p>
        </w:tc>
        <w:tc>
          <w:tcPr>
            <w:tcW w:w="249" w:type="pct"/>
            <w:tcBorders>
              <w:top w:val="nil"/>
              <w:left w:val="double" w:sz="6" w:space="0" w:color="auto"/>
              <w:bottom w:val="single" w:sz="4" w:space="0" w:color="auto"/>
              <w:right w:val="nil"/>
            </w:tcBorders>
            <w:shd w:val="clear" w:color="000000" w:fill="F2DCDB"/>
            <w:vAlign w:val="center"/>
          </w:tcPr>
          <w:p w14:paraId="0B1956F9" w14:textId="77777777" w:rsidR="00394D0F" w:rsidRDefault="00394D0F">
            <w:pPr>
              <w:jc w:val="right"/>
              <w:rPr>
                <w:color w:val="000000"/>
                <w:sz w:val="24"/>
                <w:szCs w:val="24"/>
              </w:rPr>
            </w:pPr>
            <w:r>
              <w:rPr>
                <w:color w:val="000000"/>
              </w:rPr>
              <w:t>333</w:t>
            </w:r>
          </w:p>
        </w:tc>
        <w:tc>
          <w:tcPr>
            <w:tcW w:w="222" w:type="pct"/>
            <w:tcBorders>
              <w:top w:val="nil"/>
              <w:left w:val="double" w:sz="6" w:space="0" w:color="auto"/>
              <w:bottom w:val="single" w:sz="4" w:space="0" w:color="auto"/>
              <w:right w:val="nil"/>
            </w:tcBorders>
            <w:shd w:val="clear" w:color="000000" w:fill="F2DCDB"/>
            <w:vAlign w:val="center"/>
          </w:tcPr>
          <w:p w14:paraId="662A48D3" w14:textId="77777777" w:rsidR="00394D0F" w:rsidRDefault="00394D0F">
            <w:pPr>
              <w:jc w:val="right"/>
              <w:rPr>
                <w:color w:val="000000"/>
                <w:sz w:val="24"/>
                <w:szCs w:val="24"/>
              </w:rPr>
            </w:pPr>
            <w:r>
              <w:rPr>
                <w:color w:val="000000"/>
              </w:rPr>
              <w:t>53</w:t>
            </w:r>
          </w:p>
        </w:tc>
        <w:tc>
          <w:tcPr>
            <w:tcW w:w="228" w:type="pct"/>
            <w:tcBorders>
              <w:top w:val="nil"/>
              <w:left w:val="double" w:sz="6" w:space="0" w:color="auto"/>
              <w:bottom w:val="single" w:sz="4" w:space="0" w:color="auto"/>
              <w:right w:val="nil"/>
            </w:tcBorders>
            <w:shd w:val="clear" w:color="000000" w:fill="F2DCDB"/>
            <w:vAlign w:val="center"/>
          </w:tcPr>
          <w:p w14:paraId="7F38B398" w14:textId="77777777" w:rsidR="00394D0F" w:rsidRDefault="00394D0F">
            <w:pPr>
              <w:jc w:val="right"/>
              <w:rPr>
                <w:color w:val="000000"/>
                <w:sz w:val="24"/>
                <w:szCs w:val="24"/>
              </w:rPr>
            </w:pPr>
            <w:r>
              <w:rPr>
                <w:color w:val="000000"/>
              </w:rPr>
              <w:t>65</w:t>
            </w:r>
          </w:p>
        </w:tc>
        <w:tc>
          <w:tcPr>
            <w:tcW w:w="291" w:type="pct"/>
            <w:tcBorders>
              <w:top w:val="nil"/>
              <w:left w:val="double" w:sz="6" w:space="0" w:color="auto"/>
              <w:bottom w:val="single" w:sz="4" w:space="0" w:color="auto"/>
              <w:right w:val="nil"/>
            </w:tcBorders>
            <w:shd w:val="clear" w:color="000000" w:fill="F2DCDB"/>
            <w:vAlign w:val="center"/>
          </w:tcPr>
          <w:p w14:paraId="3D4ED278" w14:textId="77777777" w:rsidR="00394D0F" w:rsidRDefault="00394D0F">
            <w:pPr>
              <w:jc w:val="right"/>
              <w:rPr>
                <w:color w:val="000000"/>
                <w:sz w:val="24"/>
                <w:szCs w:val="24"/>
              </w:rPr>
            </w:pPr>
            <w:r>
              <w:rPr>
                <w:color w:val="000000"/>
              </w:rPr>
              <w:t>10</w:t>
            </w:r>
          </w:p>
        </w:tc>
        <w:tc>
          <w:tcPr>
            <w:tcW w:w="299" w:type="pct"/>
            <w:tcBorders>
              <w:top w:val="nil"/>
              <w:left w:val="double" w:sz="6" w:space="0" w:color="auto"/>
              <w:bottom w:val="single" w:sz="4" w:space="0" w:color="auto"/>
              <w:right w:val="nil"/>
            </w:tcBorders>
            <w:shd w:val="clear" w:color="000000" w:fill="F2DCDB"/>
            <w:vAlign w:val="center"/>
          </w:tcPr>
          <w:p w14:paraId="13ED1000" w14:textId="77777777" w:rsidR="00394D0F" w:rsidRDefault="00394D0F">
            <w:pPr>
              <w:jc w:val="right"/>
              <w:rPr>
                <w:color w:val="000000"/>
                <w:sz w:val="24"/>
                <w:szCs w:val="24"/>
              </w:rPr>
            </w:pPr>
            <w:r>
              <w:rPr>
                <w:color w:val="000000"/>
              </w:rPr>
              <w:t>21</w:t>
            </w:r>
          </w:p>
        </w:tc>
        <w:tc>
          <w:tcPr>
            <w:tcW w:w="222" w:type="pct"/>
            <w:tcBorders>
              <w:top w:val="nil"/>
              <w:left w:val="double" w:sz="6" w:space="0" w:color="auto"/>
              <w:bottom w:val="single" w:sz="4" w:space="0" w:color="auto"/>
              <w:right w:val="nil"/>
            </w:tcBorders>
            <w:shd w:val="clear" w:color="000000" w:fill="F2DCDB"/>
            <w:vAlign w:val="center"/>
          </w:tcPr>
          <w:p w14:paraId="088B91A4" w14:textId="77777777" w:rsidR="00394D0F" w:rsidRDefault="00394D0F">
            <w:pPr>
              <w:jc w:val="right"/>
              <w:rPr>
                <w:color w:val="000000"/>
                <w:sz w:val="24"/>
                <w:szCs w:val="24"/>
              </w:rPr>
            </w:pPr>
            <w:r>
              <w:rPr>
                <w:color w:val="000000"/>
              </w:rPr>
              <w:t>44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D5EF88C" w14:textId="77777777" w:rsidR="00394D0F" w:rsidRDefault="00394D0F">
            <w:pPr>
              <w:jc w:val="right"/>
              <w:rPr>
                <w:color w:val="000000"/>
                <w:sz w:val="24"/>
                <w:szCs w:val="24"/>
              </w:rPr>
            </w:pPr>
            <w:r>
              <w:rPr>
                <w:color w:val="000000"/>
              </w:rPr>
              <w:t>33</w:t>
            </w:r>
          </w:p>
        </w:tc>
      </w:tr>
      <w:tr w:rsidR="00394D0F" w:rsidRPr="000A46ED" w14:paraId="768F72B1"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4835376"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reading skills.</w:t>
            </w:r>
          </w:p>
        </w:tc>
        <w:tc>
          <w:tcPr>
            <w:tcW w:w="255" w:type="pct"/>
            <w:tcBorders>
              <w:top w:val="nil"/>
              <w:left w:val="double" w:sz="6" w:space="0" w:color="auto"/>
              <w:bottom w:val="single" w:sz="4" w:space="0" w:color="auto"/>
              <w:right w:val="nil"/>
            </w:tcBorders>
            <w:shd w:val="clear" w:color="000000" w:fill="F2DCDB"/>
            <w:vAlign w:val="center"/>
          </w:tcPr>
          <w:p w14:paraId="3D257BDB" w14:textId="77777777" w:rsidR="00394D0F" w:rsidRDefault="00394D0F">
            <w:pPr>
              <w:jc w:val="right"/>
              <w:rPr>
                <w:color w:val="000000"/>
                <w:sz w:val="24"/>
                <w:szCs w:val="24"/>
              </w:rPr>
            </w:pPr>
            <w:r>
              <w:rPr>
                <w:color w:val="000000"/>
              </w:rPr>
              <w:t>295</w:t>
            </w:r>
          </w:p>
        </w:tc>
        <w:tc>
          <w:tcPr>
            <w:tcW w:w="256" w:type="pct"/>
            <w:tcBorders>
              <w:top w:val="nil"/>
              <w:left w:val="double" w:sz="6" w:space="0" w:color="auto"/>
              <w:bottom w:val="single" w:sz="4" w:space="0" w:color="auto"/>
              <w:right w:val="nil"/>
            </w:tcBorders>
            <w:shd w:val="clear" w:color="000000" w:fill="F2DCDB"/>
            <w:vAlign w:val="center"/>
          </w:tcPr>
          <w:p w14:paraId="620D5DEB" w14:textId="77777777" w:rsidR="00394D0F" w:rsidRDefault="00394D0F">
            <w:pPr>
              <w:jc w:val="right"/>
              <w:rPr>
                <w:color w:val="000000"/>
                <w:sz w:val="24"/>
                <w:szCs w:val="24"/>
              </w:rPr>
            </w:pPr>
            <w:r>
              <w:rPr>
                <w:color w:val="000000"/>
              </w:rPr>
              <w:t>289</w:t>
            </w:r>
          </w:p>
        </w:tc>
        <w:tc>
          <w:tcPr>
            <w:tcW w:w="249" w:type="pct"/>
            <w:tcBorders>
              <w:top w:val="nil"/>
              <w:left w:val="double" w:sz="6" w:space="0" w:color="auto"/>
              <w:bottom w:val="single" w:sz="4" w:space="0" w:color="auto"/>
              <w:right w:val="nil"/>
            </w:tcBorders>
            <w:shd w:val="clear" w:color="000000" w:fill="F2DCDB"/>
            <w:vAlign w:val="center"/>
          </w:tcPr>
          <w:p w14:paraId="35D8E6A6" w14:textId="77777777" w:rsidR="00394D0F" w:rsidRDefault="00394D0F">
            <w:pPr>
              <w:jc w:val="right"/>
              <w:rPr>
                <w:color w:val="000000"/>
                <w:sz w:val="24"/>
                <w:szCs w:val="24"/>
              </w:rPr>
            </w:pPr>
            <w:r>
              <w:rPr>
                <w:color w:val="000000"/>
              </w:rPr>
              <w:t>275</w:t>
            </w:r>
          </w:p>
        </w:tc>
        <w:tc>
          <w:tcPr>
            <w:tcW w:w="249" w:type="pct"/>
            <w:tcBorders>
              <w:top w:val="nil"/>
              <w:left w:val="double" w:sz="6" w:space="0" w:color="auto"/>
              <w:bottom w:val="single" w:sz="4" w:space="0" w:color="auto"/>
              <w:right w:val="nil"/>
            </w:tcBorders>
            <w:shd w:val="clear" w:color="000000" w:fill="F2DCDB"/>
            <w:vAlign w:val="center"/>
          </w:tcPr>
          <w:p w14:paraId="5D1545D2" w14:textId="77777777" w:rsidR="00394D0F" w:rsidRDefault="00394D0F">
            <w:pPr>
              <w:jc w:val="right"/>
              <w:rPr>
                <w:color w:val="000000"/>
                <w:sz w:val="24"/>
                <w:szCs w:val="24"/>
              </w:rPr>
            </w:pPr>
            <w:r>
              <w:rPr>
                <w:color w:val="000000"/>
              </w:rPr>
              <w:t>283</w:t>
            </w:r>
          </w:p>
        </w:tc>
        <w:tc>
          <w:tcPr>
            <w:tcW w:w="222" w:type="pct"/>
            <w:tcBorders>
              <w:top w:val="nil"/>
              <w:left w:val="double" w:sz="6" w:space="0" w:color="auto"/>
              <w:bottom w:val="single" w:sz="4" w:space="0" w:color="auto"/>
              <w:right w:val="nil"/>
            </w:tcBorders>
            <w:shd w:val="clear" w:color="000000" w:fill="F2DCDB"/>
            <w:vAlign w:val="center"/>
          </w:tcPr>
          <w:p w14:paraId="14246920" w14:textId="77777777" w:rsidR="00394D0F" w:rsidRDefault="00394D0F">
            <w:pPr>
              <w:jc w:val="right"/>
              <w:rPr>
                <w:color w:val="000000"/>
                <w:sz w:val="24"/>
                <w:szCs w:val="24"/>
              </w:rPr>
            </w:pPr>
            <w:r>
              <w:rPr>
                <w:color w:val="000000"/>
              </w:rPr>
              <w:t>72</w:t>
            </w:r>
          </w:p>
        </w:tc>
        <w:tc>
          <w:tcPr>
            <w:tcW w:w="228" w:type="pct"/>
            <w:tcBorders>
              <w:top w:val="nil"/>
              <w:left w:val="double" w:sz="6" w:space="0" w:color="auto"/>
              <w:bottom w:val="single" w:sz="4" w:space="0" w:color="auto"/>
              <w:right w:val="nil"/>
            </w:tcBorders>
            <w:shd w:val="clear" w:color="000000" w:fill="F2DCDB"/>
            <w:vAlign w:val="center"/>
          </w:tcPr>
          <w:p w14:paraId="53E1B050" w14:textId="77777777" w:rsidR="00394D0F" w:rsidRDefault="00394D0F">
            <w:pPr>
              <w:jc w:val="right"/>
              <w:rPr>
                <w:color w:val="000000"/>
                <w:sz w:val="24"/>
                <w:szCs w:val="24"/>
              </w:rPr>
            </w:pPr>
            <w:r>
              <w:rPr>
                <w:color w:val="000000"/>
              </w:rPr>
              <w:t>56</w:t>
            </w:r>
          </w:p>
        </w:tc>
        <w:tc>
          <w:tcPr>
            <w:tcW w:w="291" w:type="pct"/>
            <w:tcBorders>
              <w:top w:val="nil"/>
              <w:left w:val="double" w:sz="6" w:space="0" w:color="auto"/>
              <w:bottom w:val="single" w:sz="4" w:space="0" w:color="auto"/>
              <w:right w:val="nil"/>
            </w:tcBorders>
            <w:shd w:val="clear" w:color="000000" w:fill="F2DCDB"/>
            <w:vAlign w:val="center"/>
          </w:tcPr>
          <w:p w14:paraId="1435D60A" w14:textId="77777777" w:rsidR="00394D0F" w:rsidRDefault="00394D0F">
            <w:pPr>
              <w:jc w:val="right"/>
              <w:rPr>
                <w:color w:val="000000"/>
                <w:sz w:val="24"/>
                <w:szCs w:val="24"/>
              </w:rPr>
            </w:pPr>
            <w:r>
              <w:rPr>
                <w:color w:val="000000"/>
              </w:rPr>
              <w:t>7</w:t>
            </w:r>
          </w:p>
        </w:tc>
        <w:tc>
          <w:tcPr>
            <w:tcW w:w="299" w:type="pct"/>
            <w:tcBorders>
              <w:top w:val="nil"/>
              <w:left w:val="double" w:sz="6" w:space="0" w:color="auto"/>
              <w:bottom w:val="single" w:sz="4" w:space="0" w:color="auto"/>
              <w:right w:val="nil"/>
            </w:tcBorders>
            <w:shd w:val="clear" w:color="000000" w:fill="F2DCDB"/>
            <w:vAlign w:val="center"/>
          </w:tcPr>
          <w:p w14:paraId="70610377" w14:textId="77777777" w:rsidR="00394D0F" w:rsidRDefault="00394D0F">
            <w:pPr>
              <w:jc w:val="right"/>
              <w:rPr>
                <w:color w:val="000000"/>
                <w:sz w:val="24"/>
                <w:szCs w:val="24"/>
              </w:rPr>
            </w:pPr>
            <w:r>
              <w:rPr>
                <w:color w:val="000000"/>
              </w:rPr>
              <w:t>21</w:t>
            </w:r>
          </w:p>
        </w:tc>
        <w:tc>
          <w:tcPr>
            <w:tcW w:w="222" w:type="pct"/>
            <w:tcBorders>
              <w:top w:val="nil"/>
              <w:left w:val="double" w:sz="6" w:space="0" w:color="auto"/>
              <w:bottom w:val="single" w:sz="4" w:space="0" w:color="auto"/>
              <w:right w:val="nil"/>
            </w:tcBorders>
            <w:shd w:val="clear" w:color="000000" w:fill="F2DCDB"/>
            <w:vAlign w:val="center"/>
          </w:tcPr>
          <w:p w14:paraId="54CED128" w14:textId="77777777" w:rsidR="00394D0F" w:rsidRDefault="00394D0F">
            <w:pPr>
              <w:jc w:val="right"/>
              <w:rPr>
                <w:color w:val="000000"/>
                <w:sz w:val="24"/>
                <w:szCs w:val="24"/>
              </w:rPr>
            </w:pPr>
            <w:r>
              <w:rPr>
                <w:color w:val="000000"/>
              </w:rPr>
              <w:t>51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D3ADF26" w14:textId="77777777" w:rsidR="00394D0F" w:rsidRDefault="00394D0F">
            <w:pPr>
              <w:jc w:val="right"/>
              <w:rPr>
                <w:color w:val="000000"/>
                <w:sz w:val="24"/>
                <w:szCs w:val="24"/>
              </w:rPr>
            </w:pPr>
            <w:r>
              <w:rPr>
                <w:color w:val="000000"/>
              </w:rPr>
              <w:t>35</w:t>
            </w:r>
          </w:p>
        </w:tc>
      </w:tr>
    </w:tbl>
    <w:p w14:paraId="782FF1D9" w14:textId="77777777" w:rsidR="005C5B3E" w:rsidRDefault="005C5B3E" w:rsidP="004910A6">
      <w:pPr>
        <w:rPr>
          <w:rFonts w:cs="Arial"/>
          <w:sz w:val="24"/>
          <w:szCs w:val="24"/>
        </w:rPr>
        <w:sectPr w:rsidR="005C5B3E" w:rsidSect="005C5B3E">
          <w:pgSz w:w="16838" w:h="11906" w:orient="landscape"/>
          <w:pgMar w:top="1418" w:right="1134" w:bottom="851" w:left="1134" w:header="709" w:footer="709" w:gutter="0"/>
          <w:cols w:space="708"/>
          <w:docGrid w:linePitch="360"/>
        </w:sectPr>
      </w:pPr>
    </w:p>
    <w:tbl>
      <w:tblPr>
        <w:tblW w:w="5000" w:type="pct"/>
        <w:tblLook w:val="04A0" w:firstRow="1" w:lastRow="0" w:firstColumn="1" w:lastColumn="0" w:noHBand="0" w:noVBand="1"/>
        <w:tblCaption w:val="Table - Numeracy Year 6"/>
        <w:tblDescription w:val="Data relating to Numeracy Year 6"/>
      </w:tblPr>
      <w:tblGrid>
        <w:gridCol w:w="7403"/>
        <w:gridCol w:w="755"/>
        <w:gridCol w:w="757"/>
        <w:gridCol w:w="736"/>
        <w:gridCol w:w="736"/>
        <w:gridCol w:w="656"/>
        <w:gridCol w:w="674"/>
        <w:gridCol w:w="861"/>
        <w:gridCol w:w="884"/>
        <w:gridCol w:w="656"/>
        <w:gridCol w:w="668"/>
      </w:tblGrid>
      <w:tr w:rsidR="005C5B3E" w:rsidRPr="000A46ED" w14:paraId="5ABD6DC0" w14:textId="77777777" w:rsidTr="0001238E">
        <w:trPr>
          <w:trHeight w:val="567"/>
        </w:trPr>
        <w:tc>
          <w:tcPr>
            <w:tcW w:w="2503" w:type="pct"/>
            <w:vMerge w:val="restart"/>
            <w:tcBorders>
              <w:top w:val="single" w:sz="4" w:space="0" w:color="auto"/>
              <w:left w:val="single" w:sz="4" w:space="0" w:color="auto"/>
              <w:bottom w:val="nil"/>
              <w:right w:val="nil"/>
            </w:tcBorders>
            <w:shd w:val="clear" w:color="auto" w:fill="auto"/>
            <w:noWrap/>
            <w:vAlign w:val="center"/>
            <w:hideMark/>
          </w:tcPr>
          <w:p w14:paraId="625E1448" w14:textId="77777777" w:rsidR="005C5B3E" w:rsidRPr="008826A5" w:rsidRDefault="005C5B3E" w:rsidP="0001238E">
            <w:pPr>
              <w:spacing w:after="0" w:line="240" w:lineRule="auto"/>
              <w:jc w:val="center"/>
              <w:rPr>
                <w:rFonts w:eastAsia="Times New Roman" w:cs="Times New Roman"/>
                <w:b/>
                <w:bCs/>
                <w:color w:val="244061" w:themeColor="accent1" w:themeShade="80"/>
                <w:sz w:val="36"/>
                <w:szCs w:val="36"/>
                <w:lang w:eastAsia="en-AU"/>
              </w:rPr>
            </w:pPr>
            <w:r>
              <w:rPr>
                <w:rFonts w:eastAsia="Times New Roman" w:cs="Times New Roman"/>
                <w:b/>
                <w:bCs/>
                <w:color w:val="244061" w:themeColor="accent1" w:themeShade="80"/>
                <w:sz w:val="36"/>
                <w:szCs w:val="36"/>
                <w:lang w:eastAsia="en-AU"/>
              </w:rPr>
              <w:t>Numeracy</w:t>
            </w:r>
          </w:p>
          <w:p w14:paraId="4E3CF123" w14:textId="77777777" w:rsidR="005C5B3E" w:rsidRPr="000A46ED" w:rsidRDefault="005C5B3E" w:rsidP="0001238E">
            <w:pPr>
              <w:spacing w:after="0" w:line="240" w:lineRule="auto"/>
              <w:jc w:val="center"/>
              <w:rPr>
                <w:rFonts w:eastAsia="Times New Roman" w:cs="Times New Roman"/>
                <w:b/>
                <w:bCs/>
                <w:color w:val="FF0000"/>
                <w:sz w:val="36"/>
                <w:szCs w:val="36"/>
                <w:lang w:eastAsia="en-AU"/>
              </w:rPr>
            </w:pPr>
          </w:p>
        </w:tc>
        <w:tc>
          <w:tcPr>
            <w:tcW w:w="2497"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12FBA389" w14:textId="77777777" w:rsidR="005C5B3E" w:rsidRPr="000A46ED" w:rsidRDefault="005C5B3E" w:rsidP="0001238E">
            <w:pPr>
              <w:spacing w:after="0" w:line="240" w:lineRule="auto"/>
              <w:jc w:val="center"/>
              <w:rPr>
                <w:rFonts w:eastAsia="Times New Roman" w:cs="Times New Roman"/>
                <w:color w:val="000000"/>
                <w:sz w:val="52"/>
                <w:szCs w:val="52"/>
                <w:lang w:eastAsia="en-AU"/>
              </w:rPr>
            </w:pPr>
            <w:r>
              <w:rPr>
                <w:rFonts w:eastAsia="Times New Roman" w:cs="Times New Roman"/>
                <w:color w:val="000000"/>
                <w:sz w:val="52"/>
                <w:szCs w:val="52"/>
                <w:lang w:eastAsia="en-AU"/>
              </w:rPr>
              <w:t>Year 6</w:t>
            </w:r>
          </w:p>
        </w:tc>
      </w:tr>
      <w:tr w:rsidR="005C5B3E" w:rsidRPr="000A46ED" w14:paraId="4ED5E014" w14:textId="77777777" w:rsidTr="00394D0F">
        <w:trPr>
          <w:trHeight w:val="276"/>
        </w:trPr>
        <w:tc>
          <w:tcPr>
            <w:tcW w:w="2503" w:type="pct"/>
            <w:vMerge/>
            <w:tcBorders>
              <w:left w:val="single" w:sz="4" w:space="0" w:color="auto"/>
              <w:right w:val="nil"/>
            </w:tcBorders>
            <w:shd w:val="clear" w:color="auto" w:fill="auto"/>
            <w:vAlign w:val="center"/>
            <w:hideMark/>
          </w:tcPr>
          <w:p w14:paraId="30283452"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511"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116BF1E7"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498" w:type="pct"/>
            <w:gridSpan w:val="2"/>
            <w:tcBorders>
              <w:top w:val="double" w:sz="6" w:space="0" w:color="auto"/>
              <w:left w:val="nil"/>
              <w:bottom w:val="single" w:sz="4" w:space="0" w:color="auto"/>
              <w:right w:val="single" w:sz="12" w:space="0" w:color="000000"/>
            </w:tcBorders>
            <w:shd w:val="clear" w:color="auto" w:fill="auto"/>
            <w:vAlign w:val="center"/>
            <w:hideMark/>
          </w:tcPr>
          <w:p w14:paraId="752BE2A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450" w:type="pct"/>
            <w:gridSpan w:val="2"/>
            <w:tcBorders>
              <w:top w:val="double" w:sz="6" w:space="0" w:color="auto"/>
              <w:left w:val="nil"/>
              <w:bottom w:val="single" w:sz="4" w:space="0" w:color="auto"/>
              <w:right w:val="single" w:sz="12" w:space="0" w:color="000000"/>
            </w:tcBorders>
            <w:shd w:val="clear" w:color="auto" w:fill="auto"/>
            <w:vAlign w:val="center"/>
            <w:hideMark/>
          </w:tcPr>
          <w:p w14:paraId="2FA372FE"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590" w:type="pct"/>
            <w:gridSpan w:val="2"/>
            <w:tcBorders>
              <w:top w:val="double" w:sz="6" w:space="0" w:color="auto"/>
              <w:left w:val="nil"/>
              <w:bottom w:val="single" w:sz="4" w:space="0" w:color="auto"/>
              <w:right w:val="single" w:sz="12" w:space="0" w:color="000000"/>
            </w:tcBorders>
            <w:shd w:val="clear" w:color="auto" w:fill="auto"/>
            <w:vAlign w:val="center"/>
            <w:hideMark/>
          </w:tcPr>
          <w:p w14:paraId="2C7F4F0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448" w:type="pct"/>
            <w:gridSpan w:val="2"/>
            <w:tcBorders>
              <w:top w:val="double" w:sz="6" w:space="0" w:color="auto"/>
              <w:left w:val="nil"/>
              <w:bottom w:val="single" w:sz="4" w:space="0" w:color="auto"/>
              <w:right w:val="double" w:sz="6" w:space="0" w:color="000000"/>
            </w:tcBorders>
            <w:shd w:val="clear" w:color="auto" w:fill="auto"/>
            <w:vAlign w:val="center"/>
            <w:hideMark/>
          </w:tcPr>
          <w:p w14:paraId="2B073701"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5C5B3E" w:rsidRPr="000A46ED" w14:paraId="01D0D833" w14:textId="77777777" w:rsidTr="00394D0F">
        <w:trPr>
          <w:trHeight w:val="276"/>
        </w:trPr>
        <w:tc>
          <w:tcPr>
            <w:tcW w:w="2503" w:type="pct"/>
            <w:vMerge/>
            <w:tcBorders>
              <w:left w:val="single" w:sz="4" w:space="0" w:color="auto"/>
              <w:bottom w:val="single" w:sz="8" w:space="0" w:color="auto"/>
              <w:right w:val="nil"/>
            </w:tcBorders>
            <w:shd w:val="clear" w:color="auto" w:fill="auto"/>
            <w:vAlign w:val="center"/>
            <w:hideMark/>
          </w:tcPr>
          <w:p w14:paraId="7E023A60"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255" w:type="pct"/>
            <w:tcBorders>
              <w:top w:val="nil"/>
              <w:left w:val="double" w:sz="6" w:space="0" w:color="auto"/>
              <w:bottom w:val="single" w:sz="4" w:space="0" w:color="auto"/>
              <w:right w:val="single" w:sz="4" w:space="0" w:color="auto"/>
            </w:tcBorders>
            <w:shd w:val="clear" w:color="auto" w:fill="auto"/>
            <w:vAlign w:val="center"/>
            <w:hideMark/>
          </w:tcPr>
          <w:p w14:paraId="36867048"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56" w:type="pct"/>
            <w:tcBorders>
              <w:top w:val="nil"/>
              <w:left w:val="nil"/>
              <w:bottom w:val="single" w:sz="4" w:space="0" w:color="auto"/>
              <w:right w:val="single" w:sz="12" w:space="0" w:color="auto"/>
            </w:tcBorders>
            <w:shd w:val="clear" w:color="auto" w:fill="auto"/>
            <w:vAlign w:val="center"/>
            <w:hideMark/>
          </w:tcPr>
          <w:p w14:paraId="5E8E5A4A"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49" w:type="pct"/>
            <w:tcBorders>
              <w:top w:val="nil"/>
              <w:left w:val="nil"/>
              <w:bottom w:val="single" w:sz="4" w:space="0" w:color="auto"/>
              <w:right w:val="single" w:sz="4" w:space="0" w:color="auto"/>
            </w:tcBorders>
            <w:shd w:val="clear" w:color="auto" w:fill="auto"/>
            <w:vAlign w:val="center"/>
            <w:hideMark/>
          </w:tcPr>
          <w:p w14:paraId="162AA473"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49" w:type="pct"/>
            <w:tcBorders>
              <w:top w:val="nil"/>
              <w:left w:val="nil"/>
              <w:bottom w:val="single" w:sz="4" w:space="0" w:color="auto"/>
              <w:right w:val="single" w:sz="12" w:space="0" w:color="auto"/>
            </w:tcBorders>
            <w:shd w:val="clear" w:color="auto" w:fill="auto"/>
            <w:vAlign w:val="center"/>
            <w:hideMark/>
          </w:tcPr>
          <w:p w14:paraId="7CF381E7"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24CB689D"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single" w:sz="12" w:space="0" w:color="auto"/>
            </w:tcBorders>
            <w:shd w:val="clear" w:color="auto" w:fill="auto"/>
            <w:vAlign w:val="center"/>
            <w:hideMark/>
          </w:tcPr>
          <w:p w14:paraId="2A7925E1"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1" w:type="pct"/>
            <w:tcBorders>
              <w:top w:val="nil"/>
              <w:left w:val="nil"/>
              <w:bottom w:val="single" w:sz="4" w:space="0" w:color="auto"/>
              <w:right w:val="single" w:sz="4" w:space="0" w:color="auto"/>
            </w:tcBorders>
            <w:shd w:val="clear" w:color="auto" w:fill="auto"/>
            <w:vAlign w:val="center"/>
            <w:hideMark/>
          </w:tcPr>
          <w:p w14:paraId="04AEF03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4642791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7F2D7FDC"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6" w:type="pct"/>
            <w:tcBorders>
              <w:top w:val="nil"/>
              <w:left w:val="nil"/>
              <w:bottom w:val="single" w:sz="4" w:space="0" w:color="auto"/>
              <w:right w:val="double" w:sz="6" w:space="0" w:color="auto"/>
            </w:tcBorders>
            <w:shd w:val="clear" w:color="auto" w:fill="auto"/>
            <w:vAlign w:val="center"/>
            <w:hideMark/>
          </w:tcPr>
          <w:p w14:paraId="0F8F26D1"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C755B1" w:rsidRPr="000A46ED" w14:paraId="6E39E263"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402DFD0" w14:textId="2C7126A7"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doing Maths.</w:t>
            </w:r>
          </w:p>
        </w:tc>
        <w:tc>
          <w:tcPr>
            <w:tcW w:w="255" w:type="pct"/>
            <w:tcBorders>
              <w:top w:val="nil"/>
              <w:left w:val="double" w:sz="6" w:space="0" w:color="auto"/>
              <w:bottom w:val="single" w:sz="4" w:space="0" w:color="auto"/>
              <w:right w:val="nil"/>
            </w:tcBorders>
            <w:shd w:val="clear" w:color="000000" w:fill="F2DCDB"/>
            <w:vAlign w:val="center"/>
          </w:tcPr>
          <w:p w14:paraId="3D510CC0" w14:textId="77777777" w:rsidR="00C755B1" w:rsidRDefault="00C755B1" w:rsidP="00C755B1">
            <w:pPr>
              <w:jc w:val="right"/>
              <w:rPr>
                <w:color w:val="000000"/>
                <w:sz w:val="24"/>
                <w:szCs w:val="24"/>
              </w:rPr>
            </w:pPr>
            <w:r>
              <w:rPr>
                <w:color w:val="000000"/>
              </w:rPr>
              <w:t>72</w:t>
            </w:r>
          </w:p>
        </w:tc>
        <w:tc>
          <w:tcPr>
            <w:tcW w:w="256" w:type="pct"/>
            <w:tcBorders>
              <w:top w:val="nil"/>
              <w:left w:val="double" w:sz="6" w:space="0" w:color="auto"/>
              <w:bottom w:val="single" w:sz="4" w:space="0" w:color="auto"/>
              <w:right w:val="nil"/>
            </w:tcBorders>
            <w:shd w:val="clear" w:color="000000" w:fill="F2DCDB"/>
            <w:vAlign w:val="center"/>
          </w:tcPr>
          <w:p w14:paraId="6962F897" w14:textId="77777777" w:rsidR="00C755B1" w:rsidRDefault="00C755B1" w:rsidP="00C755B1">
            <w:pPr>
              <w:jc w:val="right"/>
              <w:rPr>
                <w:color w:val="000000"/>
                <w:sz w:val="24"/>
                <w:szCs w:val="24"/>
              </w:rPr>
            </w:pPr>
            <w:r>
              <w:rPr>
                <w:color w:val="000000"/>
              </w:rPr>
              <w:t>85</w:t>
            </w:r>
          </w:p>
        </w:tc>
        <w:tc>
          <w:tcPr>
            <w:tcW w:w="249" w:type="pct"/>
            <w:tcBorders>
              <w:top w:val="nil"/>
              <w:left w:val="double" w:sz="6" w:space="0" w:color="auto"/>
              <w:bottom w:val="single" w:sz="4" w:space="0" w:color="auto"/>
              <w:right w:val="nil"/>
            </w:tcBorders>
            <w:shd w:val="clear" w:color="000000" w:fill="F2DCDB"/>
            <w:vAlign w:val="center"/>
          </w:tcPr>
          <w:p w14:paraId="14E7A6B4" w14:textId="77777777" w:rsidR="00C755B1" w:rsidRDefault="00C755B1" w:rsidP="00C755B1">
            <w:pPr>
              <w:jc w:val="right"/>
              <w:rPr>
                <w:color w:val="000000"/>
                <w:sz w:val="24"/>
                <w:szCs w:val="24"/>
              </w:rPr>
            </w:pPr>
            <w:r>
              <w:rPr>
                <w:color w:val="000000"/>
              </w:rPr>
              <w:t>140</w:t>
            </w:r>
          </w:p>
        </w:tc>
        <w:tc>
          <w:tcPr>
            <w:tcW w:w="249" w:type="pct"/>
            <w:tcBorders>
              <w:top w:val="nil"/>
              <w:left w:val="double" w:sz="6" w:space="0" w:color="auto"/>
              <w:bottom w:val="single" w:sz="4" w:space="0" w:color="auto"/>
              <w:right w:val="nil"/>
            </w:tcBorders>
            <w:shd w:val="clear" w:color="000000" w:fill="F2DCDB"/>
            <w:vAlign w:val="center"/>
          </w:tcPr>
          <w:p w14:paraId="15F305CF" w14:textId="77777777" w:rsidR="00C755B1" w:rsidRDefault="00C755B1" w:rsidP="00C755B1">
            <w:pPr>
              <w:jc w:val="right"/>
              <w:rPr>
                <w:color w:val="000000"/>
                <w:sz w:val="24"/>
                <w:szCs w:val="24"/>
              </w:rPr>
            </w:pPr>
            <w:r>
              <w:rPr>
                <w:color w:val="000000"/>
              </w:rPr>
              <w:t>100</w:t>
            </w:r>
          </w:p>
        </w:tc>
        <w:tc>
          <w:tcPr>
            <w:tcW w:w="222" w:type="pct"/>
            <w:tcBorders>
              <w:top w:val="nil"/>
              <w:left w:val="double" w:sz="6" w:space="0" w:color="auto"/>
              <w:bottom w:val="single" w:sz="4" w:space="0" w:color="auto"/>
              <w:right w:val="nil"/>
            </w:tcBorders>
            <w:shd w:val="clear" w:color="000000" w:fill="F2DCDB"/>
            <w:vAlign w:val="center"/>
          </w:tcPr>
          <w:p w14:paraId="27329571" w14:textId="77777777" w:rsidR="00C755B1" w:rsidRDefault="00C755B1" w:rsidP="00C755B1">
            <w:pPr>
              <w:jc w:val="right"/>
              <w:rPr>
                <w:color w:val="000000"/>
                <w:sz w:val="24"/>
                <w:szCs w:val="24"/>
              </w:rPr>
            </w:pPr>
            <w:r>
              <w:rPr>
                <w:color w:val="000000"/>
              </w:rPr>
              <w:t>43</w:t>
            </w:r>
          </w:p>
        </w:tc>
        <w:tc>
          <w:tcPr>
            <w:tcW w:w="228" w:type="pct"/>
            <w:tcBorders>
              <w:top w:val="nil"/>
              <w:left w:val="double" w:sz="6" w:space="0" w:color="auto"/>
              <w:bottom w:val="single" w:sz="4" w:space="0" w:color="auto"/>
              <w:right w:val="nil"/>
            </w:tcBorders>
            <w:shd w:val="clear" w:color="000000" w:fill="F2DCDB"/>
            <w:vAlign w:val="center"/>
          </w:tcPr>
          <w:p w14:paraId="5A9BCF37" w14:textId="77777777" w:rsidR="00C755B1" w:rsidRDefault="00C755B1" w:rsidP="00C755B1">
            <w:pPr>
              <w:jc w:val="right"/>
              <w:rPr>
                <w:color w:val="000000"/>
                <w:sz w:val="24"/>
                <w:szCs w:val="24"/>
              </w:rPr>
            </w:pPr>
            <w:r>
              <w:rPr>
                <w:color w:val="000000"/>
              </w:rPr>
              <w:t>16</w:t>
            </w:r>
          </w:p>
        </w:tc>
        <w:tc>
          <w:tcPr>
            <w:tcW w:w="291" w:type="pct"/>
            <w:tcBorders>
              <w:top w:val="nil"/>
              <w:left w:val="double" w:sz="6" w:space="0" w:color="auto"/>
              <w:bottom w:val="single" w:sz="4" w:space="0" w:color="auto"/>
              <w:right w:val="nil"/>
            </w:tcBorders>
            <w:shd w:val="clear" w:color="000000" w:fill="F2DCDB"/>
            <w:vAlign w:val="center"/>
          </w:tcPr>
          <w:p w14:paraId="26694F8B" w14:textId="77777777" w:rsidR="00C755B1" w:rsidRDefault="00C755B1" w:rsidP="00C755B1">
            <w:pPr>
              <w:jc w:val="right"/>
              <w:rPr>
                <w:color w:val="000000"/>
                <w:sz w:val="24"/>
                <w:szCs w:val="24"/>
              </w:rPr>
            </w:pPr>
            <w:r>
              <w:rPr>
                <w:color w:val="000000"/>
              </w:rPr>
              <w:t>14</w:t>
            </w:r>
          </w:p>
        </w:tc>
        <w:tc>
          <w:tcPr>
            <w:tcW w:w="299" w:type="pct"/>
            <w:tcBorders>
              <w:top w:val="nil"/>
              <w:left w:val="double" w:sz="6" w:space="0" w:color="auto"/>
              <w:bottom w:val="single" w:sz="4" w:space="0" w:color="auto"/>
              <w:right w:val="nil"/>
            </w:tcBorders>
            <w:shd w:val="clear" w:color="000000" w:fill="F2DCDB"/>
            <w:vAlign w:val="center"/>
          </w:tcPr>
          <w:p w14:paraId="311D43D1" w14:textId="77777777" w:rsidR="00C755B1" w:rsidRDefault="00C755B1" w:rsidP="00C755B1">
            <w:pPr>
              <w:jc w:val="right"/>
              <w:rPr>
                <w:color w:val="000000"/>
                <w:sz w:val="24"/>
                <w:szCs w:val="24"/>
              </w:rPr>
            </w:pPr>
            <w:r>
              <w:rPr>
                <w:color w:val="000000"/>
              </w:rPr>
              <w:t>12</w:t>
            </w:r>
          </w:p>
        </w:tc>
        <w:tc>
          <w:tcPr>
            <w:tcW w:w="222" w:type="pct"/>
            <w:tcBorders>
              <w:top w:val="nil"/>
              <w:left w:val="double" w:sz="6" w:space="0" w:color="auto"/>
              <w:bottom w:val="single" w:sz="4" w:space="0" w:color="auto"/>
              <w:right w:val="nil"/>
            </w:tcBorders>
            <w:shd w:val="clear" w:color="000000" w:fill="F2DCDB"/>
            <w:vAlign w:val="center"/>
          </w:tcPr>
          <w:p w14:paraId="4ABF64DE" w14:textId="77777777" w:rsidR="00C755B1" w:rsidRDefault="00C755B1" w:rsidP="00C755B1">
            <w:pPr>
              <w:jc w:val="right"/>
              <w:rPr>
                <w:color w:val="000000"/>
                <w:sz w:val="24"/>
                <w:szCs w:val="24"/>
              </w:rPr>
            </w:pPr>
            <w:r>
              <w:rPr>
                <w:color w:val="000000"/>
              </w:rPr>
              <w:t>6</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B8D7E7A" w14:textId="77777777" w:rsidR="00C755B1" w:rsidRDefault="00C755B1" w:rsidP="00C755B1">
            <w:pPr>
              <w:jc w:val="right"/>
              <w:rPr>
                <w:color w:val="000000"/>
                <w:sz w:val="24"/>
                <w:szCs w:val="24"/>
              </w:rPr>
            </w:pPr>
            <w:r>
              <w:rPr>
                <w:color w:val="000000"/>
              </w:rPr>
              <w:t>9</w:t>
            </w:r>
          </w:p>
        </w:tc>
      </w:tr>
      <w:tr w:rsidR="00C755B1" w:rsidRPr="000A46ED" w14:paraId="5747ECB4"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DAEE886" w14:textId="0BE4AC1D"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 It is important to learn Maths.</w:t>
            </w:r>
          </w:p>
        </w:tc>
        <w:tc>
          <w:tcPr>
            <w:tcW w:w="255" w:type="pct"/>
            <w:tcBorders>
              <w:top w:val="nil"/>
              <w:left w:val="double" w:sz="6" w:space="0" w:color="auto"/>
              <w:bottom w:val="single" w:sz="4" w:space="0" w:color="auto"/>
              <w:right w:val="nil"/>
            </w:tcBorders>
            <w:shd w:val="clear" w:color="000000" w:fill="F2DCDB"/>
            <w:vAlign w:val="center"/>
          </w:tcPr>
          <w:p w14:paraId="7A1B408E" w14:textId="77777777" w:rsidR="00C755B1" w:rsidRDefault="00C755B1" w:rsidP="00C755B1">
            <w:pPr>
              <w:jc w:val="right"/>
              <w:rPr>
                <w:color w:val="000000"/>
                <w:sz w:val="24"/>
                <w:szCs w:val="24"/>
              </w:rPr>
            </w:pPr>
            <w:r>
              <w:rPr>
                <w:color w:val="000000"/>
              </w:rPr>
              <w:t>185</w:t>
            </w:r>
          </w:p>
        </w:tc>
        <w:tc>
          <w:tcPr>
            <w:tcW w:w="256" w:type="pct"/>
            <w:tcBorders>
              <w:top w:val="nil"/>
              <w:left w:val="double" w:sz="6" w:space="0" w:color="auto"/>
              <w:bottom w:val="single" w:sz="4" w:space="0" w:color="auto"/>
              <w:right w:val="nil"/>
            </w:tcBorders>
            <w:shd w:val="clear" w:color="000000" w:fill="F2DCDB"/>
            <w:vAlign w:val="center"/>
          </w:tcPr>
          <w:p w14:paraId="02888CAA" w14:textId="77777777" w:rsidR="00C755B1" w:rsidRDefault="00C755B1" w:rsidP="00C755B1">
            <w:pPr>
              <w:jc w:val="right"/>
              <w:rPr>
                <w:color w:val="000000"/>
                <w:sz w:val="24"/>
                <w:szCs w:val="24"/>
              </w:rPr>
            </w:pPr>
            <w:r>
              <w:rPr>
                <w:color w:val="000000"/>
              </w:rPr>
              <w:t>146</w:t>
            </w:r>
          </w:p>
        </w:tc>
        <w:tc>
          <w:tcPr>
            <w:tcW w:w="249" w:type="pct"/>
            <w:tcBorders>
              <w:top w:val="nil"/>
              <w:left w:val="double" w:sz="6" w:space="0" w:color="auto"/>
              <w:bottom w:val="single" w:sz="4" w:space="0" w:color="auto"/>
              <w:right w:val="nil"/>
            </w:tcBorders>
            <w:shd w:val="clear" w:color="000000" w:fill="F2DCDB"/>
            <w:vAlign w:val="center"/>
          </w:tcPr>
          <w:p w14:paraId="4B88F9A6" w14:textId="77777777" w:rsidR="00C755B1" w:rsidRDefault="00C755B1" w:rsidP="00C755B1">
            <w:pPr>
              <w:jc w:val="right"/>
              <w:rPr>
                <w:color w:val="000000"/>
                <w:sz w:val="24"/>
                <w:szCs w:val="24"/>
              </w:rPr>
            </w:pPr>
            <w:r>
              <w:rPr>
                <w:color w:val="000000"/>
              </w:rPr>
              <w:t>86</w:t>
            </w:r>
          </w:p>
        </w:tc>
        <w:tc>
          <w:tcPr>
            <w:tcW w:w="249" w:type="pct"/>
            <w:tcBorders>
              <w:top w:val="nil"/>
              <w:left w:val="double" w:sz="6" w:space="0" w:color="auto"/>
              <w:bottom w:val="single" w:sz="4" w:space="0" w:color="auto"/>
              <w:right w:val="nil"/>
            </w:tcBorders>
            <w:shd w:val="clear" w:color="000000" w:fill="F2DCDB"/>
            <w:vAlign w:val="center"/>
          </w:tcPr>
          <w:p w14:paraId="60DE2F5F" w14:textId="77777777" w:rsidR="00C755B1" w:rsidRDefault="00C755B1" w:rsidP="00C755B1">
            <w:pPr>
              <w:jc w:val="right"/>
              <w:rPr>
                <w:color w:val="000000"/>
                <w:sz w:val="24"/>
                <w:szCs w:val="24"/>
              </w:rPr>
            </w:pPr>
            <w:r>
              <w:rPr>
                <w:color w:val="000000"/>
              </w:rPr>
              <w:t>67</w:t>
            </w:r>
          </w:p>
        </w:tc>
        <w:tc>
          <w:tcPr>
            <w:tcW w:w="222" w:type="pct"/>
            <w:tcBorders>
              <w:top w:val="nil"/>
              <w:left w:val="double" w:sz="6" w:space="0" w:color="auto"/>
              <w:bottom w:val="single" w:sz="4" w:space="0" w:color="auto"/>
              <w:right w:val="nil"/>
            </w:tcBorders>
            <w:shd w:val="clear" w:color="000000" w:fill="F2DCDB"/>
            <w:vAlign w:val="center"/>
          </w:tcPr>
          <w:p w14:paraId="46CC26BA" w14:textId="77777777" w:rsidR="00C755B1" w:rsidRDefault="00C755B1" w:rsidP="00C755B1">
            <w:pPr>
              <w:jc w:val="right"/>
              <w:rPr>
                <w:color w:val="000000"/>
                <w:sz w:val="24"/>
                <w:szCs w:val="24"/>
              </w:rPr>
            </w:pPr>
            <w:r>
              <w:rPr>
                <w:color w:val="000000"/>
              </w:rPr>
              <w:t>1</w:t>
            </w:r>
          </w:p>
        </w:tc>
        <w:tc>
          <w:tcPr>
            <w:tcW w:w="228" w:type="pct"/>
            <w:tcBorders>
              <w:top w:val="nil"/>
              <w:left w:val="double" w:sz="6" w:space="0" w:color="auto"/>
              <w:bottom w:val="single" w:sz="4" w:space="0" w:color="auto"/>
              <w:right w:val="nil"/>
            </w:tcBorders>
            <w:shd w:val="clear" w:color="000000" w:fill="F2DCDB"/>
            <w:vAlign w:val="center"/>
          </w:tcPr>
          <w:p w14:paraId="20F697E5" w14:textId="77777777" w:rsidR="00C755B1" w:rsidRDefault="00C755B1" w:rsidP="00C755B1">
            <w:pPr>
              <w:jc w:val="right"/>
              <w:rPr>
                <w:color w:val="000000"/>
                <w:sz w:val="24"/>
                <w:szCs w:val="24"/>
              </w:rPr>
            </w:pPr>
            <w:r>
              <w:rPr>
                <w:color w:val="000000"/>
              </w:rPr>
              <w:t>4</w:t>
            </w:r>
          </w:p>
        </w:tc>
        <w:tc>
          <w:tcPr>
            <w:tcW w:w="291" w:type="pct"/>
            <w:tcBorders>
              <w:top w:val="nil"/>
              <w:left w:val="double" w:sz="6" w:space="0" w:color="auto"/>
              <w:bottom w:val="single" w:sz="4" w:space="0" w:color="auto"/>
              <w:right w:val="nil"/>
            </w:tcBorders>
            <w:shd w:val="clear" w:color="000000" w:fill="F2DCDB"/>
            <w:vAlign w:val="center"/>
          </w:tcPr>
          <w:p w14:paraId="2F2DFC5E" w14:textId="77777777" w:rsidR="00C755B1" w:rsidRDefault="00C755B1" w:rsidP="00C755B1">
            <w:pPr>
              <w:jc w:val="right"/>
              <w:rPr>
                <w:color w:val="000000"/>
                <w:sz w:val="24"/>
                <w:szCs w:val="24"/>
              </w:rPr>
            </w:pPr>
            <w:r>
              <w:rPr>
                <w:color w:val="000000"/>
              </w:rPr>
              <w:t>2</w:t>
            </w:r>
          </w:p>
        </w:tc>
        <w:tc>
          <w:tcPr>
            <w:tcW w:w="299" w:type="pct"/>
            <w:tcBorders>
              <w:top w:val="nil"/>
              <w:left w:val="double" w:sz="6" w:space="0" w:color="auto"/>
              <w:bottom w:val="single" w:sz="4" w:space="0" w:color="auto"/>
              <w:right w:val="nil"/>
            </w:tcBorders>
            <w:shd w:val="clear" w:color="000000" w:fill="F2DCDB"/>
            <w:vAlign w:val="center"/>
          </w:tcPr>
          <w:p w14:paraId="12376344" w14:textId="77777777" w:rsidR="00C755B1" w:rsidRDefault="00C755B1" w:rsidP="00C755B1">
            <w:pPr>
              <w:jc w:val="right"/>
              <w:rPr>
                <w:color w:val="000000"/>
                <w:sz w:val="24"/>
                <w:szCs w:val="24"/>
              </w:rPr>
            </w:pPr>
            <w:r>
              <w:rPr>
                <w:color w:val="000000"/>
              </w:rPr>
              <w:t>4</w:t>
            </w:r>
          </w:p>
        </w:tc>
        <w:tc>
          <w:tcPr>
            <w:tcW w:w="222" w:type="pct"/>
            <w:tcBorders>
              <w:top w:val="nil"/>
              <w:left w:val="double" w:sz="6" w:space="0" w:color="auto"/>
              <w:bottom w:val="single" w:sz="4" w:space="0" w:color="auto"/>
              <w:right w:val="nil"/>
            </w:tcBorders>
            <w:shd w:val="clear" w:color="000000" w:fill="F2DCDB"/>
            <w:vAlign w:val="center"/>
          </w:tcPr>
          <w:p w14:paraId="71E7D542" w14:textId="77777777" w:rsidR="00C755B1" w:rsidRDefault="00C755B1" w:rsidP="00C755B1">
            <w:pPr>
              <w:jc w:val="right"/>
              <w:rPr>
                <w:color w:val="000000"/>
                <w:sz w:val="24"/>
                <w:szCs w:val="24"/>
              </w:rPr>
            </w:pPr>
            <w:r>
              <w:rPr>
                <w:color w:val="000000"/>
              </w:rPr>
              <w:t>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5ED2F99" w14:textId="77777777" w:rsidR="00C755B1" w:rsidRDefault="00C755B1" w:rsidP="00C755B1">
            <w:pPr>
              <w:jc w:val="right"/>
              <w:rPr>
                <w:color w:val="000000"/>
                <w:sz w:val="24"/>
                <w:szCs w:val="24"/>
              </w:rPr>
            </w:pPr>
            <w:r>
              <w:rPr>
                <w:color w:val="000000"/>
              </w:rPr>
              <w:t>2</w:t>
            </w:r>
          </w:p>
        </w:tc>
      </w:tr>
      <w:tr w:rsidR="00C755B1" w:rsidRPr="000A46ED" w14:paraId="44EA142C"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D509359" w14:textId="5EAB8709"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Maths skills.</w:t>
            </w:r>
          </w:p>
        </w:tc>
        <w:tc>
          <w:tcPr>
            <w:tcW w:w="255" w:type="pct"/>
            <w:tcBorders>
              <w:top w:val="nil"/>
              <w:left w:val="double" w:sz="6" w:space="0" w:color="auto"/>
              <w:bottom w:val="single" w:sz="4" w:space="0" w:color="auto"/>
              <w:right w:val="nil"/>
            </w:tcBorders>
            <w:shd w:val="clear" w:color="000000" w:fill="F2DCDB"/>
            <w:vAlign w:val="center"/>
          </w:tcPr>
          <w:p w14:paraId="1731B4FF" w14:textId="77777777" w:rsidR="00C755B1" w:rsidRDefault="00C755B1" w:rsidP="00C755B1">
            <w:pPr>
              <w:jc w:val="right"/>
              <w:rPr>
                <w:color w:val="000000"/>
                <w:sz w:val="24"/>
                <w:szCs w:val="24"/>
              </w:rPr>
            </w:pPr>
            <w:r>
              <w:rPr>
                <w:color w:val="000000"/>
              </w:rPr>
              <w:t>33</w:t>
            </w:r>
          </w:p>
        </w:tc>
        <w:tc>
          <w:tcPr>
            <w:tcW w:w="256" w:type="pct"/>
            <w:tcBorders>
              <w:top w:val="nil"/>
              <w:left w:val="double" w:sz="6" w:space="0" w:color="auto"/>
              <w:bottom w:val="single" w:sz="4" w:space="0" w:color="auto"/>
              <w:right w:val="nil"/>
            </w:tcBorders>
            <w:shd w:val="clear" w:color="000000" w:fill="F2DCDB"/>
            <w:vAlign w:val="center"/>
          </w:tcPr>
          <w:p w14:paraId="68F95142" w14:textId="77777777" w:rsidR="00C755B1" w:rsidRDefault="00C755B1" w:rsidP="00C755B1">
            <w:pPr>
              <w:jc w:val="right"/>
              <w:rPr>
                <w:color w:val="000000"/>
                <w:sz w:val="24"/>
                <w:szCs w:val="24"/>
              </w:rPr>
            </w:pPr>
            <w:r>
              <w:rPr>
                <w:color w:val="000000"/>
              </w:rPr>
              <w:t>57</w:t>
            </w:r>
          </w:p>
        </w:tc>
        <w:tc>
          <w:tcPr>
            <w:tcW w:w="249" w:type="pct"/>
            <w:tcBorders>
              <w:top w:val="nil"/>
              <w:left w:val="double" w:sz="6" w:space="0" w:color="auto"/>
              <w:bottom w:val="single" w:sz="4" w:space="0" w:color="auto"/>
              <w:right w:val="nil"/>
            </w:tcBorders>
            <w:shd w:val="clear" w:color="000000" w:fill="F2DCDB"/>
            <w:vAlign w:val="center"/>
          </w:tcPr>
          <w:p w14:paraId="3FAF3AC7" w14:textId="77777777" w:rsidR="00C755B1" w:rsidRDefault="00C755B1" w:rsidP="00C755B1">
            <w:pPr>
              <w:jc w:val="right"/>
              <w:rPr>
                <w:color w:val="000000"/>
                <w:sz w:val="24"/>
                <w:szCs w:val="24"/>
              </w:rPr>
            </w:pPr>
            <w:r>
              <w:rPr>
                <w:color w:val="000000"/>
              </w:rPr>
              <w:t>153</w:t>
            </w:r>
          </w:p>
        </w:tc>
        <w:tc>
          <w:tcPr>
            <w:tcW w:w="249" w:type="pct"/>
            <w:tcBorders>
              <w:top w:val="nil"/>
              <w:left w:val="double" w:sz="6" w:space="0" w:color="auto"/>
              <w:bottom w:val="single" w:sz="4" w:space="0" w:color="auto"/>
              <w:right w:val="nil"/>
            </w:tcBorders>
            <w:shd w:val="clear" w:color="000000" w:fill="F2DCDB"/>
            <w:vAlign w:val="center"/>
          </w:tcPr>
          <w:p w14:paraId="406EAA0D" w14:textId="77777777" w:rsidR="00C755B1" w:rsidRDefault="00C755B1" w:rsidP="00C755B1">
            <w:pPr>
              <w:jc w:val="right"/>
              <w:rPr>
                <w:color w:val="000000"/>
                <w:sz w:val="24"/>
                <w:szCs w:val="24"/>
              </w:rPr>
            </w:pPr>
            <w:r>
              <w:rPr>
                <w:color w:val="000000"/>
              </w:rPr>
              <w:t>104</w:t>
            </w:r>
          </w:p>
        </w:tc>
        <w:tc>
          <w:tcPr>
            <w:tcW w:w="222" w:type="pct"/>
            <w:tcBorders>
              <w:top w:val="nil"/>
              <w:left w:val="double" w:sz="6" w:space="0" w:color="auto"/>
              <w:bottom w:val="single" w:sz="4" w:space="0" w:color="auto"/>
              <w:right w:val="nil"/>
            </w:tcBorders>
            <w:shd w:val="clear" w:color="000000" w:fill="F2DCDB"/>
            <w:vAlign w:val="center"/>
          </w:tcPr>
          <w:p w14:paraId="707E92AE" w14:textId="77777777" w:rsidR="00C755B1" w:rsidRDefault="00C755B1" w:rsidP="00C755B1">
            <w:pPr>
              <w:jc w:val="right"/>
              <w:rPr>
                <w:color w:val="000000"/>
                <w:sz w:val="24"/>
                <w:szCs w:val="24"/>
              </w:rPr>
            </w:pPr>
            <w:r>
              <w:rPr>
                <w:color w:val="000000"/>
              </w:rPr>
              <w:t>34</w:t>
            </w:r>
          </w:p>
        </w:tc>
        <w:tc>
          <w:tcPr>
            <w:tcW w:w="228" w:type="pct"/>
            <w:tcBorders>
              <w:top w:val="nil"/>
              <w:left w:val="double" w:sz="6" w:space="0" w:color="auto"/>
              <w:bottom w:val="single" w:sz="4" w:space="0" w:color="auto"/>
              <w:right w:val="nil"/>
            </w:tcBorders>
            <w:shd w:val="clear" w:color="000000" w:fill="F2DCDB"/>
            <w:vAlign w:val="center"/>
          </w:tcPr>
          <w:p w14:paraId="42CE14DF" w14:textId="77777777" w:rsidR="00C755B1" w:rsidRDefault="00C755B1" w:rsidP="00C755B1">
            <w:pPr>
              <w:jc w:val="right"/>
              <w:rPr>
                <w:color w:val="000000"/>
                <w:sz w:val="24"/>
                <w:szCs w:val="24"/>
              </w:rPr>
            </w:pPr>
            <w:r>
              <w:rPr>
                <w:color w:val="000000"/>
              </w:rPr>
              <w:t>25</w:t>
            </w:r>
          </w:p>
        </w:tc>
        <w:tc>
          <w:tcPr>
            <w:tcW w:w="291" w:type="pct"/>
            <w:tcBorders>
              <w:top w:val="nil"/>
              <w:left w:val="double" w:sz="6" w:space="0" w:color="auto"/>
              <w:bottom w:val="single" w:sz="4" w:space="0" w:color="auto"/>
              <w:right w:val="nil"/>
            </w:tcBorders>
            <w:shd w:val="clear" w:color="000000" w:fill="F2DCDB"/>
            <w:vAlign w:val="center"/>
          </w:tcPr>
          <w:p w14:paraId="77038BFF" w14:textId="77777777" w:rsidR="00C755B1" w:rsidRDefault="00C755B1" w:rsidP="00C755B1">
            <w:pPr>
              <w:jc w:val="right"/>
              <w:rPr>
                <w:color w:val="000000"/>
                <w:sz w:val="24"/>
                <w:szCs w:val="24"/>
              </w:rPr>
            </w:pPr>
            <w:r>
              <w:rPr>
                <w:color w:val="000000"/>
              </w:rPr>
              <w:t>12</w:t>
            </w:r>
          </w:p>
        </w:tc>
        <w:tc>
          <w:tcPr>
            <w:tcW w:w="299" w:type="pct"/>
            <w:tcBorders>
              <w:top w:val="nil"/>
              <w:left w:val="double" w:sz="6" w:space="0" w:color="auto"/>
              <w:bottom w:val="single" w:sz="4" w:space="0" w:color="auto"/>
              <w:right w:val="nil"/>
            </w:tcBorders>
            <w:shd w:val="clear" w:color="000000" w:fill="F2DCDB"/>
            <w:vAlign w:val="center"/>
          </w:tcPr>
          <w:p w14:paraId="5E1E9F6F" w14:textId="77777777" w:rsidR="00C755B1" w:rsidRDefault="00C755B1" w:rsidP="00C755B1">
            <w:pPr>
              <w:jc w:val="right"/>
              <w:rPr>
                <w:color w:val="000000"/>
                <w:sz w:val="24"/>
                <w:szCs w:val="24"/>
              </w:rPr>
            </w:pPr>
            <w:r>
              <w:rPr>
                <w:color w:val="000000"/>
              </w:rPr>
              <w:t>5</w:t>
            </w:r>
          </w:p>
        </w:tc>
        <w:tc>
          <w:tcPr>
            <w:tcW w:w="222" w:type="pct"/>
            <w:tcBorders>
              <w:top w:val="nil"/>
              <w:left w:val="double" w:sz="6" w:space="0" w:color="auto"/>
              <w:bottom w:val="single" w:sz="4" w:space="0" w:color="auto"/>
              <w:right w:val="nil"/>
            </w:tcBorders>
            <w:shd w:val="clear" w:color="000000" w:fill="F2DCDB"/>
            <w:vAlign w:val="center"/>
          </w:tcPr>
          <w:p w14:paraId="57D75172" w14:textId="77777777" w:rsidR="00C755B1" w:rsidRDefault="00C755B1" w:rsidP="00C755B1">
            <w:pPr>
              <w:jc w:val="right"/>
              <w:rPr>
                <w:color w:val="000000"/>
                <w:sz w:val="24"/>
                <w:szCs w:val="24"/>
              </w:rPr>
            </w:pPr>
            <w:r>
              <w:rPr>
                <w:color w:val="000000"/>
              </w:rPr>
              <w:t>39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A5C605F" w14:textId="77777777" w:rsidR="00C755B1" w:rsidRDefault="00C755B1" w:rsidP="00C755B1">
            <w:pPr>
              <w:jc w:val="right"/>
              <w:rPr>
                <w:color w:val="000000"/>
                <w:sz w:val="24"/>
                <w:szCs w:val="24"/>
              </w:rPr>
            </w:pPr>
            <w:r>
              <w:rPr>
                <w:color w:val="000000"/>
              </w:rPr>
              <w:t>30</w:t>
            </w:r>
          </w:p>
        </w:tc>
      </w:tr>
      <w:tr w:rsidR="00C755B1" w:rsidRPr="000A46ED" w14:paraId="5148CB51"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314B8F8" w14:textId="75684E71"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learning as I get older.</w:t>
            </w:r>
          </w:p>
        </w:tc>
        <w:tc>
          <w:tcPr>
            <w:tcW w:w="255" w:type="pct"/>
            <w:tcBorders>
              <w:top w:val="nil"/>
              <w:left w:val="double" w:sz="6" w:space="0" w:color="auto"/>
              <w:bottom w:val="single" w:sz="4" w:space="0" w:color="auto"/>
              <w:right w:val="nil"/>
            </w:tcBorders>
            <w:shd w:val="clear" w:color="000000" w:fill="F2DCDB"/>
            <w:vAlign w:val="center"/>
          </w:tcPr>
          <w:p w14:paraId="2D08EBE5" w14:textId="77777777" w:rsidR="00C755B1" w:rsidRDefault="00C755B1" w:rsidP="00C755B1">
            <w:pPr>
              <w:jc w:val="right"/>
              <w:rPr>
                <w:color w:val="000000"/>
                <w:sz w:val="24"/>
                <w:szCs w:val="24"/>
              </w:rPr>
            </w:pPr>
            <w:r>
              <w:rPr>
                <w:color w:val="000000"/>
              </w:rPr>
              <w:t>104</w:t>
            </w:r>
          </w:p>
        </w:tc>
        <w:tc>
          <w:tcPr>
            <w:tcW w:w="256" w:type="pct"/>
            <w:tcBorders>
              <w:top w:val="nil"/>
              <w:left w:val="double" w:sz="6" w:space="0" w:color="auto"/>
              <w:bottom w:val="single" w:sz="4" w:space="0" w:color="auto"/>
              <w:right w:val="nil"/>
            </w:tcBorders>
            <w:shd w:val="clear" w:color="000000" w:fill="F2DCDB"/>
            <w:vAlign w:val="center"/>
          </w:tcPr>
          <w:p w14:paraId="4A4E75F3" w14:textId="77777777" w:rsidR="00C755B1" w:rsidRDefault="00C755B1" w:rsidP="00C755B1">
            <w:pPr>
              <w:jc w:val="right"/>
              <w:rPr>
                <w:color w:val="000000"/>
                <w:sz w:val="24"/>
                <w:szCs w:val="24"/>
              </w:rPr>
            </w:pPr>
            <w:r>
              <w:rPr>
                <w:color w:val="000000"/>
              </w:rPr>
              <w:t>95</w:t>
            </w:r>
          </w:p>
        </w:tc>
        <w:tc>
          <w:tcPr>
            <w:tcW w:w="249" w:type="pct"/>
            <w:tcBorders>
              <w:top w:val="nil"/>
              <w:left w:val="double" w:sz="6" w:space="0" w:color="auto"/>
              <w:bottom w:val="single" w:sz="4" w:space="0" w:color="auto"/>
              <w:right w:val="nil"/>
            </w:tcBorders>
            <w:shd w:val="clear" w:color="000000" w:fill="F2DCDB"/>
            <w:vAlign w:val="center"/>
          </w:tcPr>
          <w:p w14:paraId="3F0FC93D" w14:textId="77777777" w:rsidR="00C755B1" w:rsidRDefault="00C755B1" w:rsidP="00C755B1">
            <w:pPr>
              <w:jc w:val="right"/>
              <w:rPr>
                <w:color w:val="000000"/>
                <w:sz w:val="24"/>
                <w:szCs w:val="24"/>
              </w:rPr>
            </w:pPr>
            <w:r>
              <w:rPr>
                <w:color w:val="000000"/>
              </w:rPr>
              <w:t>134</w:t>
            </w:r>
          </w:p>
        </w:tc>
        <w:tc>
          <w:tcPr>
            <w:tcW w:w="249" w:type="pct"/>
            <w:tcBorders>
              <w:top w:val="nil"/>
              <w:left w:val="double" w:sz="6" w:space="0" w:color="auto"/>
              <w:bottom w:val="single" w:sz="4" w:space="0" w:color="auto"/>
              <w:right w:val="nil"/>
            </w:tcBorders>
            <w:shd w:val="clear" w:color="000000" w:fill="F2DCDB"/>
            <w:vAlign w:val="center"/>
          </w:tcPr>
          <w:p w14:paraId="5BA7FA75" w14:textId="77777777" w:rsidR="00C755B1" w:rsidRDefault="00C755B1" w:rsidP="00C755B1">
            <w:pPr>
              <w:jc w:val="right"/>
              <w:rPr>
                <w:color w:val="000000"/>
                <w:sz w:val="24"/>
                <w:szCs w:val="24"/>
              </w:rPr>
            </w:pPr>
            <w:r>
              <w:rPr>
                <w:color w:val="000000"/>
              </w:rPr>
              <w:t>95</w:t>
            </w:r>
          </w:p>
        </w:tc>
        <w:tc>
          <w:tcPr>
            <w:tcW w:w="222" w:type="pct"/>
            <w:tcBorders>
              <w:top w:val="nil"/>
              <w:left w:val="double" w:sz="6" w:space="0" w:color="auto"/>
              <w:bottom w:val="single" w:sz="4" w:space="0" w:color="auto"/>
              <w:right w:val="nil"/>
            </w:tcBorders>
            <w:shd w:val="clear" w:color="000000" w:fill="F2DCDB"/>
            <w:vAlign w:val="center"/>
          </w:tcPr>
          <w:p w14:paraId="5640376A" w14:textId="77777777" w:rsidR="00C755B1" w:rsidRDefault="00C755B1" w:rsidP="00C755B1">
            <w:pPr>
              <w:jc w:val="right"/>
              <w:rPr>
                <w:color w:val="000000"/>
                <w:sz w:val="24"/>
                <w:szCs w:val="24"/>
              </w:rPr>
            </w:pPr>
            <w:r>
              <w:rPr>
                <w:color w:val="000000"/>
              </w:rPr>
              <w:t>14</w:t>
            </w:r>
          </w:p>
        </w:tc>
        <w:tc>
          <w:tcPr>
            <w:tcW w:w="228" w:type="pct"/>
            <w:tcBorders>
              <w:top w:val="nil"/>
              <w:left w:val="double" w:sz="6" w:space="0" w:color="auto"/>
              <w:bottom w:val="single" w:sz="4" w:space="0" w:color="auto"/>
              <w:right w:val="nil"/>
            </w:tcBorders>
            <w:shd w:val="clear" w:color="000000" w:fill="F2DCDB"/>
            <w:vAlign w:val="center"/>
          </w:tcPr>
          <w:p w14:paraId="789AC056" w14:textId="77777777" w:rsidR="00C755B1" w:rsidRDefault="00C755B1" w:rsidP="00C755B1">
            <w:pPr>
              <w:jc w:val="right"/>
              <w:rPr>
                <w:color w:val="000000"/>
                <w:sz w:val="24"/>
                <w:szCs w:val="24"/>
              </w:rPr>
            </w:pPr>
            <w:r>
              <w:rPr>
                <w:color w:val="000000"/>
              </w:rPr>
              <w:t>12</w:t>
            </w:r>
          </w:p>
        </w:tc>
        <w:tc>
          <w:tcPr>
            <w:tcW w:w="291" w:type="pct"/>
            <w:tcBorders>
              <w:top w:val="nil"/>
              <w:left w:val="double" w:sz="6" w:space="0" w:color="auto"/>
              <w:bottom w:val="single" w:sz="4" w:space="0" w:color="auto"/>
              <w:right w:val="nil"/>
            </w:tcBorders>
            <w:shd w:val="clear" w:color="000000" w:fill="F2DCDB"/>
            <w:vAlign w:val="center"/>
          </w:tcPr>
          <w:p w14:paraId="63D1937C" w14:textId="77777777" w:rsidR="00C755B1" w:rsidRDefault="00C755B1" w:rsidP="00C755B1">
            <w:pPr>
              <w:jc w:val="right"/>
              <w:rPr>
                <w:color w:val="000000"/>
                <w:sz w:val="24"/>
                <w:szCs w:val="24"/>
              </w:rPr>
            </w:pPr>
            <w:r>
              <w:rPr>
                <w:color w:val="000000"/>
              </w:rPr>
              <w:t>3</w:t>
            </w:r>
          </w:p>
        </w:tc>
        <w:tc>
          <w:tcPr>
            <w:tcW w:w="299" w:type="pct"/>
            <w:tcBorders>
              <w:top w:val="nil"/>
              <w:left w:val="double" w:sz="6" w:space="0" w:color="auto"/>
              <w:bottom w:val="single" w:sz="4" w:space="0" w:color="auto"/>
              <w:right w:val="nil"/>
            </w:tcBorders>
            <w:shd w:val="clear" w:color="000000" w:fill="F2DCDB"/>
            <w:vAlign w:val="center"/>
          </w:tcPr>
          <w:p w14:paraId="7A13D9C7" w14:textId="77777777" w:rsidR="00C755B1" w:rsidRDefault="00C755B1" w:rsidP="00C755B1">
            <w:pPr>
              <w:jc w:val="right"/>
              <w:rPr>
                <w:color w:val="000000"/>
                <w:sz w:val="24"/>
                <w:szCs w:val="24"/>
              </w:rPr>
            </w:pPr>
            <w:r>
              <w:rPr>
                <w:color w:val="000000"/>
              </w:rPr>
              <w:t>4</w:t>
            </w:r>
          </w:p>
        </w:tc>
        <w:tc>
          <w:tcPr>
            <w:tcW w:w="222" w:type="pct"/>
            <w:tcBorders>
              <w:top w:val="nil"/>
              <w:left w:val="double" w:sz="6" w:space="0" w:color="auto"/>
              <w:bottom w:val="single" w:sz="4" w:space="0" w:color="auto"/>
              <w:right w:val="nil"/>
            </w:tcBorders>
            <w:shd w:val="clear" w:color="000000" w:fill="F2DCDB"/>
            <w:vAlign w:val="center"/>
          </w:tcPr>
          <w:p w14:paraId="6696B069" w14:textId="77777777" w:rsidR="00C755B1" w:rsidRDefault="00C755B1" w:rsidP="00C755B1">
            <w:pPr>
              <w:jc w:val="right"/>
              <w:rPr>
                <w:color w:val="000000"/>
                <w:sz w:val="24"/>
                <w:szCs w:val="24"/>
              </w:rPr>
            </w:pPr>
            <w:r>
              <w:rPr>
                <w:color w:val="000000"/>
              </w:rPr>
              <w:t>18</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DFA9592" w14:textId="77777777" w:rsidR="00C755B1" w:rsidRDefault="00C755B1" w:rsidP="00C755B1">
            <w:pPr>
              <w:jc w:val="right"/>
              <w:rPr>
                <w:color w:val="000000"/>
                <w:sz w:val="24"/>
                <w:szCs w:val="24"/>
              </w:rPr>
            </w:pPr>
            <w:r>
              <w:rPr>
                <w:color w:val="000000"/>
              </w:rPr>
              <w:t>16</w:t>
            </w:r>
          </w:p>
        </w:tc>
      </w:tr>
      <w:tr w:rsidR="00C755B1" w:rsidRPr="000A46ED" w14:paraId="038C27E2"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0ACD4FD" w14:textId="3D962DA7"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 My teacher expects more of me in Maths as I get older.</w:t>
            </w:r>
          </w:p>
        </w:tc>
        <w:tc>
          <w:tcPr>
            <w:tcW w:w="255" w:type="pct"/>
            <w:tcBorders>
              <w:top w:val="nil"/>
              <w:left w:val="double" w:sz="6" w:space="0" w:color="auto"/>
              <w:bottom w:val="single" w:sz="4" w:space="0" w:color="auto"/>
              <w:right w:val="nil"/>
            </w:tcBorders>
            <w:shd w:val="clear" w:color="000000" w:fill="F2DCDB"/>
            <w:vAlign w:val="center"/>
          </w:tcPr>
          <w:p w14:paraId="3173E3B3" w14:textId="77777777" w:rsidR="00C755B1" w:rsidRDefault="00C755B1" w:rsidP="00C755B1">
            <w:pPr>
              <w:jc w:val="right"/>
              <w:rPr>
                <w:color w:val="000000"/>
                <w:sz w:val="24"/>
                <w:szCs w:val="24"/>
              </w:rPr>
            </w:pPr>
            <w:r>
              <w:rPr>
                <w:color w:val="000000"/>
              </w:rPr>
              <w:t>113</w:t>
            </w:r>
          </w:p>
        </w:tc>
        <w:tc>
          <w:tcPr>
            <w:tcW w:w="256" w:type="pct"/>
            <w:tcBorders>
              <w:top w:val="nil"/>
              <w:left w:val="double" w:sz="6" w:space="0" w:color="auto"/>
              <w:bottom w:val="single" w:sz="4" w:space="0" w:color="auto"/>
              <w:right w:val="nil"/>
            </w:tcBorders>
            <w:shd w:val="clear" w:color="000000" w:fill="F2DCDB"/>
            <w:vAlign w:val="center"/>
          </w:tcPr>
          <w:p w14:paraId="45F3122F" w14:textId="77777777" w:rsidR="00C755B1" w:rsidRDefault="00C755B1" w:rsidP="00C755B1">
            <w:pPr>
              <w:jc w:val="right"/>
              <w:rPr>
                <w:color w:val="000000"/>
                <w:sz w:val="24"/>
                <w:szCs w:val="24"/>
              </w:rPr>
            </w:pPr>
            <w:r>
              <w:rPr>
                <w:color w:val="000000"/>
              </w:rPr>
              <w:t>105</w:t>
            </w:r>
          </w:p>
        </w:tc>
        <w:tc>
          <w:tcPr>
            <w:tcW w:w="249" w:type="pct"/>
            <w:tcBorders>
              <w:top w:val="nil"/>
              <w:left w:val="double" w:sz="6" w:space="0" w:color="auto"/>
              <w:bottom w:val="single" w:sz="4" w:space="0" w:color="auto"/>
              <w:right w:val="nil"/>
            </w:tcBorders>
            <w:shd w:val="clear" w:color="000000" w:fill="F2DCDB"/>
            <w:vAlign w:val="center"/>
          </w:tcPr>
          <w:p w14:paraId="190D6BD8" w14:textId="77777777" w:rsidR="00C755B1" w:rsidRDefault="00C755B1" w:rsidP="00C755B1">
            <w:pPr>
              <w:jc w:val="right"/>
              <w:rPr>
                <w:color w:val="000000"/>
                <w:sz w:val="24"/>
                <w:szCs w:val="24"/>
              </w:rPr>
            </w:pPr>
            <w:r>
              <w:rPr>
                <w:color w:val="000000"/>
              </w:rPr>
              <w:t>121</w:t>
            </w:r>
          </w:p>
        </w:tc>
        <w:tc>
          <w:tcPr>
            <w:tcW w:w="249" w:type="pct"/>
            <w:tcBorders>
              <w:top w:val="nil"/>
              <w:left w:val="double" w:sz="6" w:space="0" w:color="auto"/>
              <w:bottom w:val="single" w:sz="4" w:space="0" w:color="auto"/>
              <w:right w:val="nil"/>
            </w:tcBorders>
            <w:shd w:val="clear" w:color="000000" w:fill="F2DCDB"/>
            <w:vAlign w:val="center"/>
          </w:tcPr>
          <w:p w14:paraId="32EEFDFC" w14:textId="77777777" w:rsidR="00C755B1" w:rsidRDefault="00C755B1" w:rsidP="00C755B1">
            <w:pPr>
              <w:jc w:val="right"/>
              <w:rPr>
                <w:color w:val="000000"/>
                <w:sz w:val="24"/>
                <w:szCs w:val="24"/>
              </w:rPr>
            </w:pPr>
            <w:r>
              <w:rPr>
                <w:color w:val="000000"/>
              </w:rPr>
              <w:t>94</w:t>
            </w:r>
          </w:p>
        </w:tc>
        <w:tc>
          <w:tcPr>
            <w:tcW w:w="222" w:type="pct"/>
            <w:tcBorders>
              <w:top w:val="nil"/>
              <w:left w:val="double" w:sz="6" w:space="0" w:color="auto"/>
              <w:bottom w:val="single" w:sz="4" w:space="0" w:color="auto"/>
              <w:right w:val="nil"/>
            </w:tcBorders>
            <w:shd w:val="clear" w:color="000000" w:fill="F2DCDB"/>
            <w:vAlign w:val="center"/>
          </w:tcPr>
          <w:p w14:paraId="15926F16" w14:textId="77777777" w:rsidR="00C755B1" w:rsidRDefault="00C755B1" w:rsidP="00C755B1">
            <w:pPr>
              <w:jc w:val="right"/>
              <w:rPr>
                <w:color w:val="000000"/>
                <w:sz w:val="24"/>
                <w:szCs w:val="24"/>
              </w:rPr>
            </w:pPr>
            <w:r>
              <w:rPr>
                <w:color w:val="000000"/>
              </w:rPr>
              <w:t>8</w:t>
            </w:r>
          </w:p>
        </w:tc>
        <w:tc>
          <w:tcPr>
            <w:tcW w:w="228" w:type="pct"/>
            <w:tcBorders>
              <w:top w:val="nil"/>
              <w:left w:val="double" w:sz="6" w:space="0" w:color="auto"/>
              <w:bottom w:val="single" w:sz="4" w:space="0" w:color="auto"/>
              <w:right w:val="nil"/>
            </w:tcBorders>
            <w:shd w:val="clear" w:color="000000" w:fill="F2DCDB"/>
            <w:vAlign w:val="center"/>
          </w:tcPr>
          <w:p w14:paraId="2DBC5DDC" w14:textId="77777777" w:rsidR="00C755B1" w:rsidRDefault="00C755B1" w:rsidP="00C755B1">
            <w:pPr>
              <w:jc w:val="right"/>
              <w:rPr>
                <w:color w:val="000000"/>
                <w:sz w:val="24"/>
                <w:szCs w:val="24"/>
              </w:rPr>
            </w:pPr>
            <w:r>
              <w:rPr>
                <w:color w:val="000000"/>
              </w:rPr>
              <w:t>11</w:t>
            </w:r>
          </w:p>
        </w:tc>
        <w:tc>
          <w:tcPr>
            <w:tcW w:w="291" w:type="pct"/>
            <w:tcBorders>
              <w:top w:val="nil"/>
              <w:left w:val="double" w:sz="6" w:space="0" w:color="auto"/>
              <w:bottom w:val="single" w:sz="4" w:space="0" w:color="auto"/>
              <w:right w:val="nil"/>
            </w:tcBorders>
            <w:shd w:val="clear" w:color="000000" w:fill="F2DCDB"/>
            <w:vAlign w:val="center"/>
          </w:tcPr>
          <w:p w14:paraId="2E69839C" w14:textId="77777777" w:rsidR="00C755B1" w:rsidRDefault="00C755B1" w:rsidP="00C755B1">
            <w:pPr>
              <w:jc w:val="right"/>
              <w:rPr>
                <w:color w:val="000000"/>
                <w:sz w:val="24"/>
                <w:szCs w:val="24"/>
              </w:rPr>
            </w:pPr>
            <w:r>
              <w:rPr>
                <w:color w:val="000000"/>
              </w:rPr>
              <w:t>1</w:t>
            </w:r>
          </w:p>
        </w:tc>
        <w:tc>
          <w:tcPr>
            <w:tcW w:w="299" w:type="pct"/>
            <w:tcBorders>
              <w:top w:val="nil"/>
              <w:left w:val="double" w:sz="6" w:space="0" w:color="auto"/>
              <w:bottom w:val="single" w:sz="4" w:space="0" w:color="auto"/>
              <w:right w:val="nil"/>
            </w:tcBorders>
            <w:shd w:val="clear" w:color="000000" w:fill="F2DCDB"/>
            <w:vAlign w:val="center"/>
          </w:tcPr>
          <w:p w14:paraId="20EAC47A" w14:textId="77777777" w:rsidR="00C755B1" w:rsidRDefault="00C755B1" w:rsidP="00C755B1">
            <w:pPr>
              <w:jc w:val="right"/>
              <w:rPr>
                <w:color w:val="000000"/>
                <w:sz w:val="24"/>
                <w:szCs w:val="24"/>
              </w:rPr>
            </w:pPr>
            <w:r>
              <w:rPr>
                <w:color w:val="000000"/>
              </w:rPr>
              <w:t>3</w:t>
            </w:r>
          </w:p>
        </w:tc>
        <w:tc>
          <w:tcPr>
            <w:tcW w:w="222" w:type="pct"/>
            <w:tcBorders>
              <w:top w:val="nil"/>
              <w:left w:val="double" w:sz="6" w:space="0" w:color="auto"/>
              <w:bottom w:val="single" w:sz="4" w:space="0" w:color="auto"/>
              <w:right w:val="nil"/>
            </w:tcBorders>
            <w:shd w:val="clear" w:color="000000" w:fill="F2DCDB"/>
            <w:vAlign w:val="center"/>
          </w:tcPr>
          <w:p w14:paraId="698036C3" w14:textId="77777777" w:rsidR="00C755B1" w:rsidRDefault="00C755B1" w:rsidP="00C755B1">
            <w:pPr>
              <w:jc w:val="right"/>
              <w:rPr>
                <w:color w:val="000000"/>
                <w:sz w:val="24"/>
                <w:szCs w:val="24"/>
              </w:rPr>
            </w:pPr>
            <w:r>
              <w:rPr>
                <w:color w:val="000000"/>
              </w:rPr>
              <w:t>30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6C1CAC0" w14:textId="77777777" w:rsidR="00C755B1" w:rsidRDefault="00C755B1" w:rsidP="00C755B1">
            <w:pPr>
              <w:jc w:val="right"/>
              <w:rPr>
                <w:color w:val="000000"/>
                <w:sz w:val="24"/>
                <w:szCs w:val="24"/>
              </w:rPr>
            </w:pPr>
            <w:r>
              <w:rPr>
                <w:color w:val="000000"/>
              </w:rPr>
              <w:t>13</w:t>
            </w:r>
          </w:p>
        </w:tc>
      </w:tr>
      <w:tr w:rsidR="00C755B1" w:rsidRPr="000A46ED" w14:paraId="1D10CF1A"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2E2AD98" w14:textId="45622906"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 My teacher tells me what I am learning in Maths and why.</w:t>
            </w:r>
          </w:p>
        </w:tc>
        <w:tc>
          <w:tcPr>
            <w:tcW w:w="255" w:type="pct"/>
            <w:tcBorders>
              <w:top w:val="nil"/>
              <w:left w:val="double" w:sz="6" w:space="0" w:color="auto"/>
              <w:bottom w:val="single" w:sz="4" w:space="0" w:color="auto"/>
              <w:right w:val="nil"/>
            </w:tcBorders>
            <w:shd w:val="clear" w:color="000000" w:fill="F2DCDB"/>
            <w:vAlign w:val="center"/>
          </w:tcPr>
          <w:p w14:paraId="3D2A654E" w14:textId="77777777" w:rsidR="00C755B1" w:rsidRDefault="00C755B1" w:rsidP="00C755B1">
            <w:pPr>
              <w:jc w:val="right"/>
              <w:rPr>
                <w:color w:val="000000"/>
                <w:sz w:val="24"/>
                <w:szCs w:val="24"/>
              </w:rPr>
            </w:pPr>
            <w:r>
              <w:rPr>
                <w:color w:val="000000"/>
              </w:rPr>
              <w:t>114</w:t>
            </w:r>
          </w:p>
        </w:tc>
        <w:tc>
          <w:tcPr>
            <w:tcW w:w="256" w:type="pct"/>
            <w:tcBorders>
              <w:top w:val="nil"/>
              <w:left w:val="double" w:sz="6" w:space="0" w:color="auto"/>
              <w:bottom w:val="single" w:sz="4" w:space="0" w:color="auto"/>
              <w:right w:val="nil"/>
            </w:tcBorders>
            <w:shd w:val="clear" w:color="000000" w:fill="F2DCDB"/>
            <w:vAlign w:val="center"/>
          </w:tcPr>
          <w:p w14:paraId="1E7D26F2" w14:textId="77777777" w:rsidR="00C755B1" w:rsidRDefault="00C755B1" w:rsidP="00C755B1">
            <w:pPr>
              <w:jc w:val="right"/>
              <w:rPr>
                <w:color w:val="000000"/>
                <w:sz w:val="24"/>
                <w:szCs w:val="24"/>
              </w:rPr>
            </w:pPr>
            <w:r>
              <w:rPr>
                <w:color w:val="000000"/>
              </w:rPr>
              <w:t>96</w:t>
            </w:r>
          </w:p>
        </w:tc>
        <w:tc>
          <w:tcPr>
            <w:tcW w:w="249" w:type="pct"/>
            <w:tcBorders>
              <w:top w:val="nil"/>
              <w:left w:val="double" w:sz="6" w:space="0" w:color="auto"/>
              <w:bottom w:val="single" w:sz="4" w:space="0" w:color="auto"/>
              <w:right w:val="nil"/>
            </w:tcBorders>
            <w:shd w:val="clear" w:color="000000" w:fill="F2DCDB"/>
            <w:vAlign w:val="center"/>
          </w:tcPr>
          <w:p w14:paraId="424BE1F0" w14:textId="77777777" w:rsidR="00C755B1" w:rsidRDefault="00C755B1" w:rsidP="00C755B1">
            <w:pPr>
              <w:jc w:val="right"/>
              <w:rPr>
                <w:color w:val="000000"/>
                <w:sz w:val="24"/>
                <w:szCs w:val="24"/>
              </w:rPr>
            </w:pPr>
            <w:r>
              <w:rPr>
                <w:color w:val="000000"/>
              </w:rPr>
              <w:t>126</w:t>
            </w:r>
          </w:p>
        </w:tc>
        <w:tc>
          <w:tcPr>
            <w:tcW w:w="249" w:type="pct"/>
            <w:tcBorders>
              <w:top w:val="nil"/>
              <w:left w:val="double" w:sz="6" w:space="0" w:color="auto"/>
              <w:bottom w:val="single" w:sz="4" w:space="0" w:color="auto"/>
              <w:right w:val="nil"/>
            </w:tcBorders>
            <w:shd w:val="clear" w:color="000000" w:fill="F2DCDB"/>
            <w:vAlign w:val="center"/>
          </w:tcPr>
          <w:p w14:paraId="74278DB9" w14:textId="77777777" w:rsidR="00C755B1" w:rsidRDefault="00C755B1" w:rsidP="00C755B1">
            <w:pPr>
              <w:jc w:val="right"/>
              <w:rPr>
                <w:color w:val="000000"/>
                <w:sz w:val="24"/>
                <w:szCs w:val="24"/>
              </w:rPr>
            </w:pPr>
            <w:r>
              <w:rPr>
                <w:color w:val="000000"/>
              </w:rPr>
              <w:t>99</w:t>
            </w:r>
          </w:p>
        </w:tc>
        <w:tc>
          <w:tcPr>
            <w:tcW w:w="222" w:type="pct"/>
            <w:tcBorders>
              <w:top w:val="nil"/>
              <w:left w:val="double" w:sz="6" w:space="0" w:color="auto"/>
              <w:bottom w:val="single" w:sz="4" w:space="0" w:color="auto"/>
              <w:right w:val="nil"/>
            </w:tcBorders>
            <w:shd w:val="clear" w:color="000000" w:fill="F2DCDB"/>
            <w:vAlign w:val="center"/>
          </w:tcPr>
          <w:p w14:paraId="2C74F4BC" w14:textId="77777777" w:rsidR="00C755B1" w:rsidRDefault="00C755B1" w:rsidP="00C755B1">
            <w:pPr>
              <w:jc w:val="right"/>
              <w:rPr>
                <w:color w:val="000000"/>
                <w:sz w:val="24"/>
                <w:szCs w:val="24"/>
              </w:rPr>
            </w:pPr>
            <w:r>
              <w:rPr>
                <w:color w:val="000000"/>
              </w:rPr>
              <w:t>10</w:t>
            </w:r>
          </w:p>
        </w:tc>
        <w:tc>
          <w:tcPr>
            <w:tcW w:w="228" w:type="pct"/>
            <w:tcBorders>
              <w:top w:val="nil"/>
              <w:left w:val="double" w:sz="6" w:space="0" w:color="auto"/>
              <w:bottom w:val="single" w:sz="4" w:space="0" w:color="auto"/>
              <w:right w:val="nil"/>
            </w:tcBorders>
            <w:shd w:val="clear" w:color="000000" w:fill="F2DCDB"/>
            <w:vAlign w:val="center"/>
          </w:tcPr>
          <w:p w14:paraId="1DDD93F6" w14:textId="77777777" w:rsidR="00C755B1" w:rsidRDefault="00C755B1" w:rsidP="00C755B1">
            <w:pPr>
              <w:jc w:val="right"/>
              <w:rPr>
                <w:color w:val="000000"/>
                <w:sz w:val="24"/>
                <w:szCs w:val="24"/>
              </w:rPr>
            </w:pPr>
            <w:r>
              <w:rPr>
                <w:color w:val="000000"/>
              </w:rPr>
              <w:t>15</w:t>
            </w:r>
          </w:p>
        </w:tc>
        <w:tc>
          <w:tcPr>
            <w:tcW w:w="291" w:type="pct"/>
            <w:tcBorders>
              <w:top w:val="nil"/>
              <w:left w:val="double" w:sz="6" w:space="0" w:color="auto"/>
              <w:bottom w:val="single" w:sz="4" w:space="0" w:color="auto"/>
              <w:right w:val="nil"/>
            </w:tcBorders>
            <w:shd w:val="clear" w:color="000000" w:fill="F2DCDB"/>
            <w:vAlign w:val="center"/>
          </w:tcPr>
          <w:p w14:paraId="5881F8AA" w14:textId="77777777" w:rsidR="00C755B1" w:rsidRDefault="00C755B1" w:rsidP="00C755B1">
            <w:pPr>
              <w:jc w:val="right"/>
              <w:rPr>
                <w:color w:val="000000"/>
                <w:sz w:val="24"/>
                <w:szCs w:val="24"/>
              </w:rPr>
            </w:pPr>
            <w:r>
              <w:rPr>
                <w:color w:val="000000"/>
              </w:rPr>
              <w:t>6</w:t>
            </w:r>
          </w:p>
        </w:tc>
        <w:tc>
          <w:tcPr>
            <w:tcW w:w="299" w:type="pct"/>
            <w:tcBorders>
              <w:top w:val="nil"/>
              <w:left w:val="double" w:sz="6" w:space="0" w:color="auto"/>
              <w:bottom w:val="single" w:sz="4" w:space="0" w:color="auto"/>
              <w:right w:val="nil"/>
            </w:tcBorders>
            <w:shd w:val="clear" w:color="000000" w:fill="F2DCDB"/>
            <w:vAlign w:val="center"/>
          </w:tcPr>
          <w:p w14:paraId="0D2D89B9" w14:textId="77777777" w:rsidR="00C755B1" w:rsidRDefault="00C755B1" w:rsidP="00C755B1">
            <w:pPr>
              <w:jc w:val="right"/>
              <w:rPr>
                <w:color w:val="000000"/>
                <w:sz w:val="24"/>
                <w:szCs w:val="24"/>
              </w:rPr>
            </w:pPr>
            <w:r>
              <w:rPr>
                <w:color w:val="000000"/>
              </w:rPr>
              <w:t>3</w:t>
            </w:r>
          </w:p>
        </w:tc>
        <w:tc>
          <w:tcPr>
            <w:tcW w:w="222" w:type="pct"/>
            <w:tcBorders>
              <w:top w:val="nil"/>
              <w:left w:val="double" w:sz="6" w:space="0" w:color="auto"/>
              <w:bottom w:val="single" w:sz="4" w:space="0" w:color="auto"/>
              <w:right w:val="nil"/>
            </w:tcBorders>
            <w:shd w:val="clear" w:color="000000" w:fill="F2DCDB"/>
            <w:vAlign w:val="center"/>
          </w:tcPr>
          <w:p w14:paraId="27092A44" w14:textId="77777777" w:rsidR="00C755B1" w:rsidRDefault="00C755B1" w:rsidP="00C755B1">
            <w:pPr>
              <w:jc w:val="right"/>
              <w:rPr>
                <w:color w:val="000000"/>
                <w:sz w:val="24"/>
                <w:szCs w:val="24"/>
              </w:rPr>
            </w:pPr>
            <w:r>
              <w:rPr>
                <w:color w:val="000000"/>
              </w:rPr>
              <w:t>14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5A7450D" w14:textId="77777777" w:rsidR="00C755B1" w:rsidRDefault="00C755B1" w:rsidP="00C755B1">
            <w:pPr>
              <w:jc w:val="right"/>
              <w:rPr>
                <w:color w:val="000000"/>
                <w:sz w:val="24"/>
                <w:szCs w:val="24"/>
              </w:rPr>
            </w:pPr>
            <w:r>
              <w:rPr>
                <w:color w:val="000000"/>
              </w:rPr>
              <w:t>11</w:t>
            </w:r>
          </w:p>
        </w:tc>
      </w:tr>
      <w:tr w:rsidR="00C755B1" w:rsidRPr="000A46ED" w14:paraId="2DFEB6F7"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8E5E7F2" w14:textId="61CC9E59"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 The activities my teachers use in Maths help me learn.</w:t>
            </w:r>
          </w:p>
        </w:tc>
        <w:tc>
          <w:tcPr>
            <w:tcW w:w="255" w:type="pct"/>
            <w:tcBorders>
              <w:top w:val="nil"/>
              <w:left w:val="double" w:sz="6" w:space="0" w:color="auto"/>
              <w:bottom w:val="single" w:sz="4" w:space="0" w:color="auto"/>
              <w:right w:val="nil"/>
            </w:tcBorders>
            <w:shd w:val="clear" w:color="000000" w:fill="F2DCDB"/>
            <w:vAlign w:val="center"/>
          </w:tcPr>
          <w:p w14:paraId="16FFFE0B" w14:textId="77777777" w:rsidR="00C755B1" w:rsidRDefault="00C755B1" w:rsidP="00C755B1">
            <w:pPr>
              <w:jc w:val="right"/>
              <w:rPr>
                <w:color w:val="000000"/>
                <w:sz w:val="24"/>
                <w:szCs w:val="24"/>
              </w:rPr>
            </w:pPr>
            <w:r>
              <w:rPr>
                <w:color w:val="000000"/>
              </w:rPr>
              <w:t>127</w:t>
            </w:r>
          </w:p>
        </w:tc>
        <w:tc>
          <w:tcPr>
            <w:tcW w:w="256" w:type="pct"/>
            <w:tcBorders>
              <w:top w:val="nil"/>
              <w:left w:val="double" w:sz="6" w:space="0" w:color="auto"/>
              <w:bottom w:val="single" w:sz="4" w:space="0" w:color="auto"/>
              <w:right w:val="nil"/>
            </w:tcBorders>
            <w:shd w:val="clear" w:color="000000" w:fill="F2DCDB"/>
            <w:vAlign w:val="center"/>
          </w:tcPr>
          <w:p w14:paraId="75C19847" w14:textId="77777777" w:rsidR="00C755B1" w:rsidRDefault="00C755B1" w:rsidP="00C755B1">
            <w:pPr>
              <w:jc w:val="right"/>
              <w:rPr>
                <w:color w:val="000000"/>
                <w:sz w:val="24"/>
                <w:szCs w:val="24"/>
              </w:rPr>
            </w:pPr>
            <w:r>
              <w:rPr>
                <w:color w:val="000000"/>
              </w:rPr>
              <w:t>104</w:t>
            </w:r>
          </w:p>
        </w:tc>
        <w:tc>
          <w:tcPr>
            <w:tcW w:w="249" w:type="pct"/>
            <w:tcBorders>
              <w:top w:val="nil"/>
              <w:left w:val="double" w:sz="6" w:space="0" w:color="auto"/>
              <w:bottom w:val="single" w:sz="4" w:space="0" w:color="auto"/>
              <w:right w:val="nil"/>
            </w:tcBorders>
            <w:shd w:val="clear" w:color="000000" w:fill="F2DCDB"/>
            <w:vAlign w:val="center"/>
          </w:tcPr>
          <w:p w14:paraId="1EFBC30C" w14:textId="77777777" w:rsidR="00C755B1" w:rsidRDefault="00C755B1" w:rsidP="00C755B1">
            <w:pPr>
              <w:jc w:val="right"/>
              <w:rPr>
                <w:color w:val="000000"/>
                <w:sz w:val="24"/>
                <w:szCs w:val="24"/>
              </w:rPr>
            </w:pPr>
            <w:r>
              <w:rPr>
                <w:color w:val="000000"/>
              </w:rPr>
              <w:t>105</w:t>
            </w:r>
          </w:p>
        </w:tc>
        <w:tc>
          <w:tcPr>
            <w:tcW w:w="249" w:type="pct"/>
            <w:tcBorders>
              <w:top w:val="nil"/>
              <w:left w:val="double" w:sz="6" w:space="0" w:color="auto"/>
              <w:bottom w:val="single" w:sz="4" w:space="0" w:color="auto"/>
              <w:right w:val="nil"/>
            </w:tcBorders>
            <w:shd w:val="clear" w:color="000000" w:fill="F2DCDB"/>
            <w:vAlign w:val="center"/>
          </w:tcPr>
          <w:p w14:paraId="3B766286" w14:textId="77777777" w:rsidR="00C755B1" w:rsidRDefault="00C755B1" w:rsidP="00C755B1">
            <w:pPr>
              <w:jc w:val="right"/>
              <w:rPr>
                <w:color w:val="000000"/>
                <w:sz w:val="24"/>
                <w:szCs w:val="24"/>
              </w:rPr>
            </w:pPr>
            <w:r>
              <w:rPr>
                <w:color w:val="000000"/>
              </w:rPr>
              <w:t>104</w:t>
            </w:r>
          </w:p>
        </w:tc>
        <w:tc>
          <w:tcPr>
            <w:tcW w:w="222" w:type="pct"/>
            <w:tcBorders>
              <w:top w:val="nil"/>
              <w:left w:val="double" w:sz="6" w:space="0" w:color="auto"/>
              <w:bottom w:val="single" w:sz="4" w:space="0" w:color="auto"/>
              <w:right w:val="nil"/>
            </w:tcBorders>
            <w:shd w:val="clear" w:color="000000" w:fill="F2DCDB"/>
            <w:vAlign w:val="center"/>
          </w:tcPr>
          <w:p w14:paraId="47AE8D3D" w14:textId="77777777" w:rsidR="00C755B1" w:rsidRDefault="00C755B1" w:rsidP="00C755B1">
            <w:pPr>
              <w:jc w:val="right"/>
              <w:rPr>
                <w:color w:val="000000"/>
                <w:sz w:val="24"/>
                <w:szCs w:val="24"/>
              </w:rPr>
            </w:pPr>
            <w:r>
              <w:rPr>
                <w:color w:val="000000"/>
              </w:rPr>
              <w:t>17</w:t>
            </w:r>
          </w:p>
        </w:tc>
        <w:tc>
          <w:tcPr>
            <w:tcW w:w="228" w:type="pct"/>
            <w:tcBorders>
              <w:top w:val="nil"/>
              <w:left w:val="double" w:sz="6" w:space="0" w:color="auto"/>
              <w:bottom w:val="single" w:sz="4" w:space="0" w:color="auto"/>
              <w:right w:val="nil"/>
            </w:tcBorders>
            <w:shd w:val="clear" w:color="000000" w:fill="F2DCDB"/>
            <w:vAlign w:val="center"/>
          </w:tcPr>
          <w:p w14:paraId="0E6D3FD8" w14:textId="77777777" w:rsidR="00C755B1" w:rsidRDefault="00C755B1" w:rsidP="00C755B1">
            <w:pPr>
              <w:jc w:val="right"/>
              <w:rPr>
                <w:color w:val="000000"/>
                <w:sz w:val="24"/>
                <w:szCs w:val="24"/>
              </w:rPr>
            </w:pPr>
            <w:r>
              <w:rPr>
                <w:color w:val="000000"/>
              </w:rPr>
              <w:t>12</w:t>
            </w:r>
          </w:p>
        </w:tc>
        <w:tc>
          <w:tcPr>
            <w:tcW w:w="291" w:type="pct"/>
            <w:tcBorders>
              <w:top w:val="nil"/>
              <w:left w:val="double" w:sz="6" w:space="0" w:color="auto"/>
              <w:bottom w:val="single" w:sz="4" w:space="0" w:color="auto"/>
              <w:right w:val="nil"/>
            </w:tcBorders>
            <w:shd w:val="clear" w:color="000000" w:fill="F2DCDB"/>
            <w:vAlign w:val="center"/>
          </w:tcPr>
          <w:p w14:paraId="1036FD6A" w14:textId="77777777" w:rsidR="00C755B1" w:rsidRDefault="00C755B1" w:rsidP="00C755B1">
            <w:pPr>
              <w:jc w:val="right"/>
              <w:rPr>
                <w:color w:val="000000"/>
                <w:sz w:val="24"/>
                <w:szCs w:val="24"/>
              </w:rPr>
            </w:pPr>
            <w:r>
              <w:rPr>
                <w:color w:val="000000"/>
              </w:rPr>
              <w:t>3</w:t>
            </w:r>
          </w:p>
        </w:tc>
        <w:tc>
          <w:tcPr>
            <w:tcW w:w="299" w:type="pct"/>
            <w:tcBorders>
              <w:top w:val="nil"/>
              <w:left w:val="double" w:sz="6" w:space="0" w:color="auto"/>
              <w:bottom w:val="single" w:sz="4" w:space="0" w:color="auto"/>
              <w:right w:val="nil"/>
            </w:tcBorders>
            <w:shd w:val="clear" w:color="000000" w:fill="F2DCDB"/>
            <w:vAlign w:val="center"/>
          </w:tcPr>
          <w:p w14:paraId="28A48AF9" w14:textId="77777777" w:rsidR="00C755B1" w:rsidRDefault="00C755B1" w:rsidP="00C755B1">
            <w:pPr>
              <w:jc w:val="right"/>
              <w:rPr>
                <w:color w:val="000000"/>
                <w:sz w:val="24"/>
                <w:szCs w:val="24"/>
              </w:rPr>
            </w:pPr>
            <w:r>
              <w:rPr>
                <w:color w:val="000000"/>
              </w:rPr>
              <w:t>5</w:t>
            </w:r>
          </w:p>
        </w:tc>
        <w:tc>
          <w:tcPr>
            <w:tcW w:w="222" w:type="pct"/>
            <w:tcBorders>
              <w:top w:val="nil"/>
              <w:left w:val="double" w:sz="6" w:space="0" w:color="auto"/>
              <w:bottom w:val="single" w:sz="4" w:space="0" w:color="auto"/>
              <w:right w:val="nil"/>
            </w:tcBorders>
            <w:shd w:val="clear" w:color="000000" w:fill="F2DCDB"/>
            <w:vAlign w:val="center"/>
          </w:tcPr>
          <w:p w14:paraId="4B744687" w14:textId="77777777" w:rsidR="00C755B1" w:rsidRDefault="00C755B1" w:rsidP="00C755B1">
            <w:pPr>
              <w:jc w:val="right"/>
              <w:rPr>
                <w:color w:val="000000"/>
                <w:sz w:val="24"/>
                <w:szCs w:val="24"/>
              </w:rPr>
            </w:pPr>
            <w:r>
              <w:rPr>
                <w:color w:val="000000"/>
              </w:rPr>
              <w:t>12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6C27B3D" w14:textId="77777777" w:rsidR="00C755B1" w:rsidRDefault="00C755B1" w:rsidP="00C755B1">
            <w:pPr>
              <w:jc w:val="right"/>
              <w:rPr>
                <w:color w:val="000000"/>
                <w:sz w:val="24"/>
                <w:szCs w:val="24"/>
              </w:rPr>
            </w:pPr>
            <w:r>
              <w:rPr>
                <w:color w:val="000000"/>
              </w:rPr>
              <w:t>8</w:t>
            </w:r>
          </w:p>
        </w:tc>
      </w:tr>
      <w:tr w:rsidR="00C755B1" w:rsidRPr="000A46ED" w14:paraId="4E91D833"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FBDF979" w14:textId="01E3AE01"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Maths.</w:t>
            </w:r>
          </w:p>
        </w:tc>
        <w:tc>
          <w:tcPr>
            <w:tcW w:w="255" w:type="pct"/>
            <w:tcBorders>
              <w:top w:val="nil"/>
              <w:left w:val="double" w:sz="6" w:space="0" w:color="auto"/>
              <w:bottom w:val="single" w:sz="4" w:space="0" w:color="auto"/>
              <w:right w:val="nil"/>
            </w:tcBorders>
            <w:shd w:val="clear" w:color="000000" w:fill="F2DCDB"/>
            <w:vAlign w:val="center"/>
          </w:tcPr>
          <w:p w14:paraId="56186555" w14:textId="77777777" w:rsidR="00C755B1" w:rsidRDefault="00C755B1" w:rsidP="00C755B1">
            <w:pPr>
              <w:jc w:val="right"/>
              <w:rPr>
                <w:color w:val="000000"/>
                <w:sz w:val="24"/>
                <w:szCs w:val="24"/>
              </w:rPr>
            </w:pPr>
            <w:r>
              <w:rPr>
                <w:color w:val="000000"/>
              </w:rPr>
              <w:t>123</w:t>
            </w:r>
          </w:p>
        </w:tc>
        <w:tc>
          <w:tcPr>
            <w:tcW w:w="256" w:type="pct"/>
            <w:tcBorders>
              <w:top w:val="nil"/>
              <w:left w:val="double" w:sz="6" w:space="0" w:color="auto"/>
              <w:bottom w:val="single" w:sz="4" w:space="0" w:color="auto"/>
              <w:right w:val="nil"/>
            </w:tcBorders>
            <w:shd w:val="clear" w:color="000000" w:fill="F2DCDB"/>
            <w:vAlign w:val="center"/>
          </w:tcPr>
          <w:p w14:paraId="00F44792" w14:textId="77777777" w:rsidR="00C755B1" w:rsidRDefault="00C755B1" w:rsidP="00C755B1">
            <w:pPr>
              <w:jc w:val="right"/>
              <w:rPr>
                <w:color w:val="000000"/>
                <w:sz w:val="24"/>
                <w:szCs w:val="24"/>
              </w:rPr>
            </w:pPr>
            <w:r>
              <w:rPr>
                <w:color w:val="000000"/>
              </w:rPr>
              <w:t>113</w:t>
            </w:r>
          </w:p>
        </w:tc>
        <w:tc>
          <w:tcPr>
            <w:tcW w:w="249" w:type="pct"/>
            <w:tcBorders>
              <w:top w:val="nil"/>
              <w:left w:val="double" w:sz="6" w:space="0" w:color="auto"/>
              <w:bottom w:val="single" w:sz="4" w:space="0" w:color="auto"/>
              <w:right w:val="nil"/>
            </w:tcBorders>
            <w:shd w:val="clear" w:color="000000" w:fill="F2DCDB"/>
            <w:vAlign w:val="center"/>
          </w:tcPr>
          <w:p w14:paraId="366A6FC6" w14:textId="77777777" w:rsidR="00C755B1" w:rsidRDefault="00C755B1" w:rsidP="00C755B1">
            <w:pPr>
              <w:jc w:val="right"/>
              <w:rPr>
                <w:color w:val="000000"/>
                <w:sz w:val="24"/>
                <w:szCs w:val="24"/>
              </w:rPr>
            </w:pPr>
            <w:r>
              <w:rPr>
                <w:color w:val="000000"/>
              </w:rPr>
              <w:t>121</w:t>
            </w:r>
          </w:p>
        </w:tc>
        <w:tc>
          <w:tcPr>
            <w:tcW w:w="249" w:type="pct"/>
            <w:tcBorders>
              <w:top w:val="nil"/>
              <w:left w:val="double" w:sz="6" w:space="0" w:color="auto"/>
              <w:bottom w:val="single" w:sz="4" w:space="0" w:color="auto"/>
              <w:right w:val="nil"/>
            </w:tcBorders>
            <w:shd w:val="clear" w:color="000000" w:fill="F2DCDB"/>
            <w:vAlign w:val="center"/>
          </w:tcPr>
          <w:p w14:paraId="2C4EE090" w14:textId="77777777" w:rsidR="00C755B1" w:rsidRDefault="00C755B1" w:rsidP="00C755B1">
            <w:pPr>
              <w:jc w:val="right"/>
              <w:rPr>
                <w:color w:val="000000"/>
                <w:sz w:val="24"/>
                <w:szCs w:val="24"/>
              </w:rPr>
            </w:pPr>
            <w:r>
              <w:rPr>
                <w:color w:val="000000"/>
              </w:rPr>
              <w:t>93</w:t>
            </w:r>
          </w:p>
        </w:tc>
        <w:tc>
          <w:tcPr>
            <w:tcW w:w="222" w:type="pct"/>
            <w:tcBorders>
              <w:top w:val="nil"/>
              <w:left w:val="double" w:sz="6" w:space="0" w:color="auto"/>
              <w:bottom w:val="single" w:sz="4" w:space="0" w:color="auto"/>
              <w:right w:val="nil"/>
            </w:tcBorders>
            <w:shd w:val="clear" w:color="000000" w:fill="F2DCDB"/>
            <w:vAlign w:val="center"/>
          </w:tcPr>
          <w:p w14:paraId="6909CD40" w14:textId="77777777" w:rsidR="00C755B1" w:rsidRDefault="00C755B1" w:rsidP="00C755B1">
            <w:pPr>
              <w:jc w:val="right"/>
              <w:rPr>
                <w:color w:val="000000"/>
                <w:sz w:val="24"/>
                <w:szCs w:val="24"/>
              </w:rPr>
            </w:pPr>
            <w:r>
              <w:rPr>
                <w:color w:val="000000"/>
              </w:rPr>
              <w:t>18</w:t>
            </w:r>
          </w:p>
        </w:tc>
        <w:tc>
          <w:tcPr>
            <w:tcW w:w="228" w:type="pct"/>
            <w:tcBorders>
              <w:top w:val="nil"/>
              <w:left w:val="double" w:sz="6" w:space="0" w:color="auto"/>
              <w:bottom w:val="single" w:sz="4" w:space="0" w:color="auto"/>
              <w:right w:val="nil"/>
            </w:tcBorders>
            <w:shd w:val="clear" w:color="000000" w:fill="F2DCDB"/>
            <w:vAlign w:val="center"/>
          </w:tcPr>
          <w:p w14:paraId="38140164" w14:textId="77777777" w:rsidR="00C755B1" w:rsidRDefault="00C755B1" w:rsidP="00C755B1">
            <w:pPr>
              <w:jc w:val="right"/>
              <w:rPr>
                <w:color w:val="000000"/>
                <w:sz w:val="24"/>
                <w:szCs w:val="24"/>
              </w:rPr>
            </w:pPr>
            <w:r>
              <w:rPr>
                <w:color w:val="000000"/>
              </w:rPr>
              <w:t>7</w:t>
            </w:r>
          </w:p>
        </w:tc>
        <w:tc>
          <w:tcPr>
            <w:tcW w:w="291" w:type="pct"/>
            <w:tcBorders>
              <w:top w:val="nil"/>
              <w:left w:val="double" w:sz="6" w:space="0" w:color="auto"/>
              <w:bottom w:val="single" w:sz="4" w:space="0" w:color="auto"/>
              <w:right w:val="nil"/>
            </w:tcBorders>
            <w:shd w:val="clear" w:color="000000" w:fill="F2DCDB"/>
            <w:vAlign w:val="center"/>
          </w:tcPr>
          <w:p w14:paraId="72863DCE" w14:textId="77777777" w:rsidR="00C755B1" w:rsidRDefault="00C755B1" w:rsidP="00C755B1">
            <w:pPr>
              <w:jc w:val="right"/>
              <w:rPr>
                <w:color w:val="000000"/>
                <w:sz w:val="24"/>
                <w:szCs w:val="24"/>
              </w:rPr>
            </w:pPr>
            <w:r>
              <w:rPr>
                <w:color w:val="000000"/>
              </w:rPr>
              <w:t>2</w:t>
            </w:r>
          </w:p>
        </w:tc>
        <w:tc>
          <w:tcPr>
            <w:tcW w:w="299" w:type="pct"/>
            <w:tcBorders>
              <w:top w:val="nil"/>
              <w:left w:val="double" w:sz="6" w:space="0" w:color="auto"/>
              <w:bottom w:val="single" w:sz="4" w:space="0" w:color="auto"/>
              <w:right w:val="nil"/>
            </w:tcBorders>
            <w:shd w:val="clear" w:color="000000" w:fill="F2DCDB"/>
            <w:vAlign w:val="center"/>
          </w:tcPr>
          <w:p w14:paraId="22FDF7EE" w14:textId="77777777" w:rsidR="00C755B1" w:rsidRDefault="00C755B1" w:rsidP="00C755B1">
            <w:pPr>
              <w:jc w:val="right"/>
              <w:rPr>
                <w:color w:val="000000"/>
                <w:sz w:val="24"/>
                <w:szCs w:val="24"/>
              </w:rPr>
            </w:pPr>
            <w:r>
              <w:rPr>
                <w:color w:val="000000"/>
              </w:rPr>
              <w:t>3</w:t>
            </w:r>
          </w:p>
        </w:tc>
        <w:tc>
          <w:tcPr>
            <w:tcW w:w="222" w:type="pct"/>
            <w:tcBorders>
              <w:top w:val="nil"/>
              <w:left w:val="double" w:sz="6" w:space="0" w:color="auto"/>
              <w:bottom w:val="single" w:sz="4" w:space="0" w:color="auto"/>
              <w:right w:val="nil"/>
            </w:tcBorders>
            <w:shd w:val="clear" w:color="000000" w:fill="F2DCDB"/>
            <w:vAlign w:val="center"/>
          </w:tcPr>
          <w:p w14:paraId="041D351D" w14:textId="77777777" w:rsidR="00C755B1" w:rsidRDefault="00C755B1" w:rsidP="00C755B1">
            <w:pPr>
              <w:jc w:val="right"/>
              <w:rPr>
                <w:color w:val="000000"/>
                <w:sz w:val="24"/>
                <w:szCs w:val="24"/>
              </w:rPr>
            </w:pPr>
            <w:r>
              <w:rPr>
                <w:color w:val="000000"/>
              </w:rPr>
              <w:t>10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F8B503B" w14:textId="77777777" w:rsidR="00C755B1" w:rsidRDefault="00C755B1" w:rsidP="00C755B1">
            <w:pPr>
              <w:jc w:val="right"/>
              <w:rPr>
                <w:color w:val="000000"/>
                <w:sz w:val="24"/>
                <w:szCs w:val="24"/>
              </w:rPr>
            </w:pPr>
            <w:r>
              <w:rPr>
                <w:color w:val="000000"/>
              </w:rPr>
              <w:t>11</w:t>
            </w:r>
          </w:p>
        </w:tc>
      </w:tr>
      <w:tr w:rsidR="00C755B1" w:rsidRPr="000A46ED" w14:paraId="0DCA6339"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C20049A" w14:textId="1696FE89"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Maths skills in other subjects.</w:t>
            </w:r>
          </w:p>
        </w:tc>
        <w:tc>
          <w:tcPr>
            <w:tcW w:w="255" w:type="pct"/>
            <w:tcBorders>
              <w:top w:val="nil"/>
              <w:left w:val="double" w:sz="6" w:space="0" w:color="auto"/>
              <w:bottom w:val="single" w:sz="4" w:space="0" w:color="auto"/>
              <w:right w:val="nil"/>
            </w:tcBorders>
            <w:shd w:val="clear" w:color="000000" w:fill="F2DCDB"/>
            <w:vAlign w:val="center"/>
          </w:tcPr>
          <w:p w14:paraId="035D6D41" w14:textId="77777777" w:rsidR="00C755B1" w:rsidRDefault="00C755B1" w:rsidP="00C755B1">
            <w:pPr>
              <w:jc w:val="right"/>
              <w:rPr>
                <w:color w:val="000000"/>
                <w:sz w:val="24"/>
                <w:szCs w:val="24"/>
              </w:rPr>
            </w:pPr>
            <w:r>
              <w:rPr>
                <w:color w:val="000000"/>
              </w:rPr>
              <w:t>77</w:t>
            </w:r>
          </w:p>
        </w:tc>
        <w:tc>
          <w:tcPr>
            <w:tcW w:w="256" w:type="pct"/>
            <w:tcBorders>
              <w:top w:val="nil"/>
              <w:left w:val="double" w:sz="6" w:space="0" w:color="auto"/>
              <w:bottom w:val="single" w:sz="4" w:space="0" w:color="auto"/>
              <w:right w:val="nil"/>
            </w:tcBorders>
            <w:shd w:val="clear" w:color="000000" w:fill="F2DCDB"/>
            <w:vAlign w:val="center"/>
          </w:tcPr>
          <w:p w14:paraId="3234F9E8" w14:textId="77777777" w:rsidR="00C755B1" w:rsidRDefault="00C755B1" w:rsidP="00C755B1">
            <w:pPr>
              <w:jc w:val="right"/>
              <w:rPr>
                <w:color w:val="000000"/>
                <w:sz w:val="24"/>
                <w:szCs w:val="24"/>
              </w:rPr>
            </w:pPr>
            <w:r>
              <w:rPr>
                <w:color w:val="000000"/>
              </w:rPr>
              <w:t>89</w:t>
            </w:r>
          </w:p>
        </w:tc>
        <w:tc>
          <w:tcPr>
            <w:tcW w:w="249" w:type="pct"/>
            <w:tcBorders>
              <w:top w:val="nil"/>
              <w:left w:val="double" w:sz="6" w:space="0" w:color="auto"/>
              <w:bottom w:val="single" w:sz="4" w:space="0" w:color="auto"/>
              <w:right w:val="nil"/>
            </w:tcBorders>
            <w:shd w:val="clear" w:color="000000" w:fill="F2DCDB"/>
            <w:vAlign w:val="center"/>
          </w:tcPr>
          <w:p w14:paraId="356401F6" w14:textId="77777777" w:rsidR="00C755B1" w:rsidRDefault="00C755B1" w:rsidP="00C755B1">
            <w:pPr>
              <w:jc w:val="right"/>
              <w:rPr>
                <w:color w:val="000000"/>
                <w:sz w:val="24"/>
                <w:szCs w:val="24"/>
              </w:rPr>
            </w:pPr>
            <w:r>
              <w:rPr>
                <w:color w:val="000000"/>
              </w:rPr>
              <w:t>146</w:t>
            </w:r>
          </w:p>
        </w:tc>
        <w:tc>
          <w:tcPr>
            <w:tcW w:w="249" w:type="pct"/>
            <w:tcBorders>
              <w:top w:val="nil"/>
              <w:left w:val="double" w:sz="6" w:space="0" w:color="auto"/>
              <w:bottom w:val="single" w:sz="4" w:space="0" w:color="auto"/>
              <w:right w:val="nil"/>
            </w:tcBorders>
            <w:shd w:val="clear" w:color="000000" w:fill="F2DCDB"/>
            <w:vAlign w:val="center"/>
          </w:tcPr>
          <w:p w14:paraId="58AC1B8C" w14:textId="77777777" w:rsidR="00C755B1" w:rsidRDefault="00C755B1" w:rsidP="00C755B1">
            <w:pPr>
              <w:jc w:val="right"/>
              <w:rPr>
                <w:color w:val="000000"/>
                <w:sz w:val="24"/>
                <w:szCs w:val="24"/>
              </w:rPr>
            </w:pPr>
            <w:r>
              <w:rPr>
                <w:color w:val="000000"/>
              </w:rPr>
              <w:t>96</w:t>
            </w:r>
          </w:p>
        </w:tc>
        <w:tc>
          <w:tcPr>
            <w:tcW w:w="222" w:type="pct"/>
            <w:tcBorders>
              <w:top w:val="nil"/>
              <w:left w:val="double" w:sz="6" w:space="0" w:color="auto"/>
              <w:bottom w:val="single" w:sz="4" w:space="0" w:color="auto"/>
              <w:right w:val="nil"/>
            </w:tcBorders>
            <w:shd w:val="clear" w:color="000000" w:fill="F2DCDB"/>
            <w:vAlign w:val="center"/>
          </w:tcPr>
          <w:p w14:paraId="5DA9BA40" w14:textId="77777777" w:rsidR="00C755B1" w:rsidRDefault="00C755B1" w:rsidP="00C755B1">
            <w:pPr>
              <w:jc w:val="right"/>
              <w:rPr>
                <w:color w:val="000000"/>
                <w:sz w:val="24"/>
                <w:szCs w:val="24"/>
              </w:rPr>
            </w:pPr>
            <w:r>
              <w:rPr>
                <w:color w:val="000000"/>
              </w:rPr>
              <w:t>26</w:t>
            </w:r>
          </w:p>
        </w:tc>
        <w:tc>
          <w:tcPr>
            <w:tcW w:w="228" w:type="pct"/>
            <w:tcBorders>
              <w:top w:val="nil"/>
              <w:left w:val="double" w:sz="6" w:space="0" w:color="auto"/>
              <w:bottom w:val="single" w:sz="4" w:space="0" w:color="auto"/>
              <w:right w:val="nil"/>
            </w:tcBorders>
            <w:shd w:val="clear" w:color="000000" w:fill="F2DCDB"/>
            <w:vAlign w:val="center"/>
          </w:tcPr>
          <w:p w14:paraId="535B14C5" w14:textId="77777777" w:rsidR="00C755B1" w:rsidRDefault="00C755B1" w:rsidP="00C755B1">
            <w:pPr>
              <w:jc w:val="right"/>
              <w:rPr>
                <w:color w:val="000000"/>
                <w:sz w:val="24"/>
                <w:szCs w:val="24"/>
              </w:rPr>
            </w:pPr>
            <w:r>
              <w:rPr>
                <w:color w:val="000000"/>
              </w:rPr>
              <w:t>22</w:t>
            </w:r>
          </w:p>
        </w:tc>
        <w:tc>
          <w:tcPr>
            <w:tcW w:w="291" w:type="pct"/>
            <w:tcBorders>
              <w:top w:val="nil"/>
              <w:left w:val="double" w:sz="6" w:space="0" w:color="auto"/>
              <w:bottom w:val="single" w:sz="4" w:space="0" w:color="auto"/>
              <w:right w:val="nil"/>
            </w:tcBorders>
            <w:shd w:val="clear" w:color="000000" w:fill="F2DCDB"/>
            <w:vAlign w:val="center"/>
          </w:tcPr>
          <w:p w14:paraId="6838BC81" w14:textId="77777777" w:rsidR="00C755B1" w:rsidRDefault="00C755B1" w:rsidP="00C755B1">
            <w:pPr>
              <w:jc w:val="right"/>
              <w:rPr>
                <w:color w:val="000000"/>
                <w:sz w:val="24"/>
                <w:szCs w:val="24"/>
              </w:rPr>
            </w:pPr>
            <w:r>
              <w:rPr>
                <w:color w:val="000000"/>
              </w:rPr>
              <w:t>5</w:t>
            </w:r>
          </w:p>
        </w:tc>
        <w:tc>
          <w:tcPr>
            <w:tcW w:w="299" w:type="pct"/>
            <w:tcBorders>
              <w:top w:val="nil"/>
              <w:left w:val="double" w:sz="6" w:space="0" w:color="auto"/>
              <w:bottom w:val="single" w:sz="4" w:space="0" w:color="auto"/>
              <w:right w:val="nil"/>
            </w:tcBorders>
            <w:shd w:val="clear" w:color="000000" w:fill="F2DCDB"/>
            <w:vAlign w:val="center"/>
          </w:tcPr>
          <w:p w14:paraId="63A49321" w14:textId="77777777" w:rsidR="00C755B1" w:rsidRDefault="00C755B1" w:rsidP="00C755B1">
            <w:pPr>
              <w:jc w:val="right"/>
              <w:rPr>
                <w:color w:val="000000"/>
                <w:sz w:val="24"/>
                <w:szCs w:val="24"/>
              </w:rPr>
            </w:pPr>
            <w:r>
              <w:rPr>
                <w:color w:val="000000"/>
              </w:rPr>
              <w:t>8</w:t>
            </w:r>
          </w:p>
        </w:tc>
        <w:tc>
          <w:tcPr>
            <w:tcW w:w="222" w:type="pct"/>
            <w:tcBorders>
              <w:top w:val="nil"/>
              <w:left w:val="double" w:sz="6" w:space="0" w:color="auto"/>
              <w:bottom w:val="single" w:sz="4" w:space="0" w:color="auto"/>
              <w:right w:val="nil"/>
            </w:tcBorders>
            <w:shd w:val="clear" w:color="000000" w:fill="F2DCDB"/>
            <w:vAlign w:val="center"/>
          </w:tcPr>
          <w:p w14:paraId="3BAD32E7" w14:textId="77777777" w:rsidR="00C755B1" w:rsidRDefault="00C755B1" w:rsidP="00C755B1">
            <w:pPr>
              <w:jc w:val="right"/>
              <w:rPr>
                <w:color w:val="000000"/>
                <w:sz w:val="24"/>
                <w:szCs w:val="24"/>
              </w:rPr>
            </w:pPr>
            <w:r>
              <w:rPr>
                <w:color w:val="000000"/>
              </w:rPr>
              <w:t>19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E86A08E" w14:textId="77777777" w:rsidR="00C755B1" w:rsidRDefault="00C755B1" w:rsidP="00C755B1">
            <w:pPr>
              <w:jc w:val="right"/>
              <w:rPr>
                <w:color w:val="000000"/>
                <w:sz w:val="24"/>
                <w:szCs w:val="24"/>
              </w:rPr>
            </w:pPr>
            <w:r>
              <w:rPr>
                <w:color w:val="000000"/>
              </w:rPr>
              <w:t>11</w:t>
            </w:r>
          </w:p>
        </w:tc>
      </w:tr>
      <w:tr w:rsidR="00C755B1" w:rsidRPr="000A46ED" w14:paraId="3ED90D30"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84D2A18"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Maths challenges me and makes me think.</w:t>
            </w:r>
          </w:p>
        </w:tc>
        <w:tc>
          <w:tcPr>
            <w:tcW w:w="255" w:type="pct"/>
            <w:tcBorders>
              <w:top w:val="nil"/>
              <w:left w:val="double" w:sz="6" w:space="0" w:color="auto"/>
              <w:bottom w:val="single" w:sz="4" w:space="0" w:color="auto"/>
              <w:right w:val="nil"/>
            </w:tcBorders>
            <w:shd w:val="clear" w:color="000000" w:fill="F2DCDB"/>
            <w:vAlign w:val="center"/>
          </w:tcPr>
          <w:p w14:paraId="3354B0E3" w14:textId="77777777" w:rsidR="00C755B1" w:rsidRDefault="00C755B1" w:rsidP="00C755B1">
            <w:pPr>
              <w:jc w:val="right"/>
              <w:rPr>
                <w:color w:val="000000"/>
                <w:sz w:val="24"/>
                <w:szCs w:val="24"/>
              </w:rPr>
            </w:pPr>
            <w:r>
              <w:rPr>
                <w:color w:val="000000"/>
              </w:rPr>
              <w:t>120</w:t>
            </w:r>
          </w:p>
        </w:tc>
        <w:tc>
          <w:tcPr>
            <w:tcW w:w="256" w:type="pct"/>
            <w:tcBorders>
              <w:top w:val="nil"/>
              <w:left w:val="double" w:sz="6" w:space="0" w:color="auto"/>
              <w:bottom w:val="single" w:sz="4" w:space="0" w:color="auto"/>
              <w:right w:val="nil"/>
            </w:tcBorders>
            <w:shd w:val="clear" w:color="000000" w:fill="F2DCDB"/>
            <w:vAlign w:val="center"/>
          </w:tcPr>
          <w:p w14:paraId="5312C9F5" w14:textId="77777777" w:rsidR="00C755B1" w:rsidRDefault="00C755B1" w:rsidP="00C755B1">
            <w:pPr>
              <w:jc w:val="right"/>
              <w:rPr>
                <w:color w:val="000000"/>
                <w:sz w:val="24"/>
                <w:szCs w:val="24"/>
              </w:rPr>
            </w:pPr>
            <w:r>
              <w:rPr>
                <w:color w:val="000000"/>
              </w:rPr>
              <w:t>98</w:t>
            </w:r>
          </w:p>
        </w:tc>
        <w:tc>
          <w:tcPr>
            <w:tcW w:w="249" w:type="pct"/>
            <w:tcBorders>
              <w:top w:val="nil"/>
              <w:left w:val="double" w:sz="6" w:space="0" w:color="auto"/>
              <w:bottom w:val="single" w:sz="4" w:space="0" w:color="auto"/>
              <w:right w:val="nil"/>
            </w:tcBorders>
            <w:shd w:val="clear" w:color="000000" w:fill="F2DCDB"/>
            <w:vAlign w:val="center"/>
          </w:tcPr>
          <w:p w14:paraId="12DA9F83" w14:textId="77777777" w:rsidR="00C755B1" w:rsidRDefault="00C755B1" w:rsidP="00C755B1">
            <w:pPr>
              <w:jc w:val="right"/>
              <w:rPr>
                <w:color w:val="000000"/>
                <w:sz w:val="24"/>
                <w:szCs w:val="24"/>
              </w:rPr>
            </w:pPr>
            <w:r>
              <w:rPr>
                <w:color w:val="000000"/>
              </w:rPr>
              <w:t>132</w:t>
            </w:r>
          </w:p>
        </w:tc>
        <w:tc>
          <w:tcPr>
            <w:tcW w:w="249" w:type="pct"/>
            <w:tcBorders>
              <w:top w:val="nil"/>
              <w:left w:val="double" w:sz="6" w:space="0" w:color="auto"/>
              <w:bottom w:val="single" w:sz="4" w:space="0" w:color="auto"/>
              <w:right w:val="nil"/>
            </w:tcBorders>
            <w:shd w:val="clear" w:color="000000" w:fill="F2DCDB"/>
            <w:vAlign w:val="center"/>
          </w:tcPr>
          <w:p w14:paraId="68262075" w14:textId="77777777" w:rsidR="00C755B1" w:rsidRDefault="00C755B1" w:rsidP="00C755B1">
            <w:pPr>
              <w:jc w:val="right"/>
              <w:rPr>
                <w:color w:val="000000"/>
                <w:sz w:val="24"/>
                <w:szCs w:val="24"/>
              </w:rPr>
            </w:pPr>
            <w:r>
              <w:rPr>
                <w:color w:val="000000"/>
              </w:rPr>
              <w:t>107</w:t>
            </w:r>
          </w:p>
        </w:tc>
        <w:tc>
          <w:tcPr>
            <w:tcW w:w="222" w:type="pct"/>
            <w:tcBorders>
              <w:top w:val="nil"/>
              <w:left w:val="double" w:sz="6" w:space="0" w:color="auto"/>
              <w:bottom w:val="single" w:sz="4" w:space="0" w:color="auto"/>
              <w:right w:val="nil"/>
            </w:tcBorders>
            <w:shd w:val="clear" w:color="000000" w:fill="F2DCDB"/>
            <w:vAlign w:val="center"/>
          </w:tcPr>
          <w:p w14:paraId="19B8075E" w14:textId="77777777" w:rsidR="00C755B1" w:rsidRDefault="00C755B1" w:rsidP="00C755B1">
            <w:pPr>
              <w:jc w:val="right"/>
              <w:rPr>
                <w:color w:val="000000"/>
                <w:sz w:val="24"/>
                <w:szCs w:val="24"/>
              </w:rPr>
            </w:pPr>
            <w:r>
              <w:rPr>
                <w:color w:val="000000"/>
              </w:rPr>
              <w:t>10</w:t>
            </w:r>
          </w:p>
        </w:tc>
        <w:tc>
          <w:tcPr>
            <w:tcW w:w="228" w:type="pct"/>
            <w:tcBorders>
              <w:top w:val="nil"/>
              <w:left w:val="double" w:sz="6" w:space="0" w:color="auto"/>
              <w:bottom w:val="single" w:sz="4" w:space="0" w:color="auto"/>
              <w:right w:val="nil"/>
            </w:tcBorders>
            <w:shd w:val="clear" w:color="000000" w:fill="F2DCDB"/>
            <w:vAlign w:val="center"/>
          </w:tcPr>
          <w:p w14:paraId="43FF52FA" w14:textId="77777777" w:rsidR="00C755B1" w:rsidRDefault="00C755B1" w:rsidP="00C755B1">
            <w:pPr>
              <w:jc w:val="right"/>
              <w:rPr>
                <w:color w:val="000000"/>
                <w:sz w:val="24"/>
                <w:szCs w:val="24"/>
              </w:rPr>
            </w:pPr>
            <w:r>
              <w:rPr>
                <w:color w:val="000000"/>
              </w:rPr>
              <w:t>12</w:t>
            </w:r>
          </w:p>
        </w:tc>
        <w:tc>
          <w:tcPr>
            <w:tcW w:w="291" w:type="pct"/>
            <w:tcBorders>
              <w:top w:val="nil"/>
              <w:left w:val="double" w:sz="6" w:space="0" w:color="auto"/>
              <w:bottom w:val="single" w:sz="4" w:space="0" w:color="auto"/>
              <w:right w:val="nil"/>
            </w:tcBorders>
            <w:shd w:val="clear" w:color="000000" w:fill="F2DCDB"/>
            <w:vAlign w:val="center"/>
          </w:tcPr>
          <w:p w14:paraId="351F12A5" w14:textId="77777777" w:rsidR="00C755B1" w:rsidRDefault="00C755B1" w:rsidP="00C755B1">
            <w:pPr>
              <w:jc w:val="right"/>
              <w:rPr>
                <w:color w:val="000000"/>
                <w:sz w:val="24"/>
                <w:szCs w:val="24"/>
              </w:rPr>
            </w:pPr>
            <w:r>
              <w:rPr>
                <w:color w:val="000000"/>
              </w:rPr>
              <w:t>2</w:t>
            </w:r>
          </w:p>
        </w:tc>
        <w:tc>
          <w:tcPr>
            <w:tcW w:w="299" w:type="pct"/>
            <w:tcBorders>
              <w:top w:val="nil"/>
              <w:left w:val="double" w:sz="6" w:space="0" w:color="auto"/>
              <w:bottom w:val="single" w:sz="4" w:space="0" w:color="auto"/>
              <w:right w:val="nil"/>
            </w:tcBorders>
            <w:shd w:val="clear" w:color="000000" w:fill="F2DCDB"/>
            <w:vAlign w:val="center"/>
          </w:tcPr>
          <w:p w14:paraId="041B04E9" w14:textId="77777777" w:rsidR="00C755B1" w:rsidRDefault="00C755B1" w:rsidP="00C755B1">
            <w:pPr>
              <w:jc w:val="right"/>
              <w:rPr>
                <w:color w:val="000000"/>
                <w:sz w:val="24"/>
                <w:szCs w:val="24"/>
              </w:rPr>
            </w:pPr>
            <w:r>
              <w:rPr>
                <w:color w:val="000000"/>
              </w:rPr>
              <w:t>4</w:t>
            </w:r>
          </w:p>
        </w:tc>
        <w:tc>
          <w:tcPr>
            <w:tcW w:w="222" w:type="pct"/>
            <w:tcBorders>
              <w:top w:val="nil"/>
              <w:left w:val="double" w:sz="6" w:space="0" w:color="auto"/>
              <w:bottom w:val="single" w:sz="4" w:space="0" w:color="auto"/>
              <w:right w:val="nil"/>
            </w:tcBorders>
            <w:shd w:val="clear" w:color="000000" w:fill="F2DCDB"/>
            <w:vAlign w:val="center"/>
          </w:tcPr>
          <w:p w14:paraId="1B97FE44" w14:textId="77777777" w:rsidR="00C755B1" w:rsidRDefault="00C755B1" w:rsidP="00C755B1">
            <w:pPr>
              <w:jc w:val="right"/>
              <w:rPr>
                <w:color w:val="000000"/>
                <w:sz w:val="24"/>
                <w:szCs w:val="24"/>
              </w:rPr>
            </w:pPr>
            <w:r>
              <w:rPr>
                <w:color w:val="000000"/>
              </w:rPr>
              <w:t>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1024335" w14:textId="77777777" w:rsidR="00C755B1" w:rsidRDefault="00C755B1" w:rsidP="00C755B1">
            <w:pPr>
              <w:jc w:val="right"/>
              <w:rPr>
                <w:color w:val="000000"/>
                <w:sz w:val="24"/>
                <w:szCs w:val="24"/>
              </w:rPr>
            </w:pPr>
            <w:r>
              <w:rPr>
                <w:color w:val="000000"/>
              </w:rPr>
              <w:t>4</w:t>
            </w:r>
          </w:p>
        </w:tc>
      </w:tr>
      <w:tr w:rsidR="00C755B1" w:rsidRPr="000A46ED" w14:paraId="7001A7BF"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7DBC879"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Maths.</w:t>
            </w:r>
          </w:p>
        </w:tc>
        <w:tc>
          <w:tcPr>
            <w:tcW w:w="255" w:type="pct"/>
            <w:tcBorders>
              <w:top w:val="nil"/>
              <w:left w:val="double" w:sz="6" w:space="0" w:color="auto"/>
              <w:bottom w:val="single" w:sz="4" w:space="0" w:color="auto"/>
              <w:right w:val="nil"/>
            </w:tcBorders>
            <w:shd w:val="clear" w:color="000000" w:fill="F2DCDB"/>
            <w:vAlign w:val="center"/>
          </w:tcPr>
          <w:p w14:paraId="35A6A239" w14:textId="77777777" w:rsidR="00C755B1" w:rsidRDefault="00C755B1" w:rsidP="00C755B1">
            <w:pPr>
              <w:jc w:val="right"/>
              <w:rPr>
                <w:color w:val="000000"/>
                <w:sz w:val="24"/>
                <w:szCs w:val="24"/>
              </w:rPr>
            </w:pPr>
            <w:r>
              <w:rPr>
                <w:color w:val="000000"/>
              </w:rPr>
              <w:t>111</w:t>
            </w:r>
          </w:p>
        </w:tc>
        <w:tc>
          <w:tcPr>
            <w:tcW w:w="256" w:type="pct"/>
            <w:tcBorders>
              <w:top w:val="nil"/>
              <w:left w:val="double" w:sz="6" w:space="0" w:color="auto"/>
              <w:bottom w:val="single" w:sz="4" w:space="0" w:color="auto"/>
              <w:right w:val="nil"/>
            </w:tcBorders>
            <w:shd w:val="clear" w:color="000000" w:fill="F2DCDB"/>
            <w:vAlign w:val="center"/>
          </w:tcPr>
          <w:p w14:paraId="54AA3D7F" w14:textId="77777777" w:rsidR="00C755B1" w:rsidRDefault="00C755B1" w:rsidP="00C755B1">
            <w:pPr>
              <w:jc w:val="right"/>
              <w:rPr>
                <w:color w:val="000000"/>
                <w:sz w:val="24"/>
                <w:szCs w:val="24"/>
              </w:rPr>
            </w:pPr>
            <w:r>
              <w:rPr>
                <w:color w:val="000000"/>
              </w:rPr>
              <w:t>86</w:t>
            </w:r>
          </w:p>
        </w:tc>
        <w:tc>
          <w:tcPr>
            <w:tcW w:w="249" w:type="pct"/>
            <w:tcBorders>
              <w:top w:val="nil"/>
              <w:left w:val="double" w:sz="6" w:space="0" w:color="auto"/>
              <w:bottom w:val="single" w:sz="4" w:space="0" w:color="auto"/>
              <w:right w:val="nil"/>
            </w:tcBorders>
            <w:shd w:val="clear" w:color="000000" w:fill="F2DCDB"/>
            <w:vAlign w:val="center"/>
          </w:tcPr>
          <w:p w14:paraId="22061458" w14:textId="77777777" w:rsidR="00C755B1" w:rsidRDefault="00C755B1" w:rsidP="00C755B1">
            <w:pPr>
              <w:jc w:val="right"/>
              <w:rPr>
                <w:color w:val="000000"/>
                <w:sz w:val="24"/>
                <w:szCs w:val="24"/>
              </w:rPr>
            </w:pPr>
            <w:r>
              <w:rPr>
                <w:color w:val="000000"/>
              </w:rPr>
              <w:t>121</w:t>
            </w:r>
          </w:p>
        </w:tc>
        <w:tc>
          <w:tcPr>
            <w:tcW w:w="249" w:type="pct"/>
            <w:tcBorders>
              <w:top w:val="nil"/>
              <w:left w:val="double" w:sz="6" w:space="0" w:color="auto"/>
              <w:bottom w:val="single" w:sz="4" w:space="0" w:color="auto"/>
              <w:right w:val="nil"/>
            </w:tcBorders>
            <w:shd w:val="clear" w:color="000000" w:fill="F2DCDB"/>
            <w:vAlign w:val="center"/>
          </w:tcPr>
          <w:p w14:paraId="5E473A53" w14:textId="77777777" w:rsidR="00C755B1" w:rsidRDefault="00C755B1" w:rsidP="00C755B1">
            <w:pPr>
              <w:jc w:val="right"/>
              <w:rPr>
                <w:color w:val="000000"/>
                <w:sz w:val="24"/>
                <w:szCs w:val="24"/>
              </w:rPr>
            </w:pPr>
            <w:r>
              <w:rPr>
                <w:color w:val="000000"/>
              </w:rPr>
              <w:t>112</w:t>
            </w:r>
          </w:p>
        </w:tc>
        <w:tc>
          <w:tcPr>
            <w:tcW w:w="222" w:type="pct"/>
            <w:tcBorders>
              <w:top w:val="nil"/>
              <w:left w:val="double" w:sz="6" w:space="0" w:color="auto"/>
              <w:bottom w:val="single" w:sz="4" w:space="0" w:color="auto"/>
              <w:right w:val="nil"/>
            </w:tcBorders>
            <w:shd w:val="clear" w:color="000000" w:fill="F2DCDB"/>
            <w:vAlign w:val="center"/>
          </w:tcPr>
          <w:p w14:paraId="6D95717E" w14:textId="77777777" w:rsidR="00C755B1" w:rsidRDefault="00C755B1" w:rsidP="00C755B1">
            <w:pPr>
              <w:jc w:val="right"/>
              <w:rPr>
                <w:color w:val="000000"/>
                <w:sz w:val="24"/>
                <w:szCs w:val="24"/>
              </w:rPr>
            </w:pPr>
            <w:r>
              <w:rPr>
                <w:color w:val="000000"/>
              </w:rPr>
              <w:t>28</w:t>
            </w:r>
          </w:p>
        </w:tc>
        <w:tc>
          <w:tcPr>
            <w:tcW w:w="228" w:type="pct"/>
            <w:tcBorders>
              <w:top w:val="nil"/>
              <w:left w:val="double" w:sz="6" w:space="0" w:color="auto"/>
              <w:bottom w:val="single" w:sz="4" w:space="0" w:color="auto"/>
              <w:right w:val="nil"/>
            </w:tcBorders>
            <w:shd w:val="clear" w:color="000000" w:fill="F2DCDB"/>
            <w:vAlign w:val="center"/>
          </w:tcPr>
          <w:p w14:paraId="192FEBD5" w14:textId="77777777" w:rsidR="00C755B1" w:rsidRDefault="00C755B1" w:rsidP="00C755B1">
            <w:pPr>
              <w:jc w:val="right"/>
              <w:rPr>
                <w:color w:val="000000"/>
                <w:sz w:val="24"/>
                <w:szCs w:val="24"/>
              </w:rPr>
            </w:pPr>
            <w:r>
              <w:rPr>
                <w:color w:val="000000"/>
              </w:rPr>
              <w:t>17</w:t>
            </w:r>
          </w:p>
        </w:tc>
        <w:tc>
          <w:tcPr>
            <w:tcW w:w="291" w:type="pct"/>
            <w:tcBorders>
              <w:top w:val="nil"/>
              <w:left w:val="double" w:sz="6" w:space="0" w:color="auto"/>
              <w:bottom w:val="single" w:sz="4" w:space="0" w:color="auto"/>
              <w:right w:val="nil"/>
            </w:tcBorders>
            <w:shd w:val="clear" w:color="000000" w:fill="F2DCDB"/>
            <w:vAlign w:val="center"/>
          </w:tcPr>
          <w:p w14:paraId="5E7703FF" w14:textId="77777777" w:rsidR="00C755B1" w:rsidRDefault="00C755B1" w:rsidP="00C755B1">
            <w:pPr>
              <w:jc w:val="right"/>
              <w:rPr>
                <w:color w:val="000000"/>
                <w:sz w:val="24"/>
                <w:szCs w:val="24"/>
              </w:rPr>
            </w:pPr>
            <w:r>
              <w:rPr>
                <w:color w:val="000000"/>
              </w:rPr>
              <w:t>4</w:t>
            </w:r>
          </w:p>
        </w:tc>
        <w:tc>
          <w:tcPr>
            <w:tcW w:w="299" w:type="pct"/>
            <w:tcBorders>
              <w:top w:val="nil"/>
              <w:left w:val="double" w:sz="6" w:space="0" w:color="auto"/>
              <w:bottom w:val="single" w:sz="4" w:space="0" w:color="auto"/>
              <w:right w:val="nil"/>
            </w:tcBorders>
            <w:shd w:val="clear" w:color="000000" w:fill="F2DCDB"/>
            <w:vAlign w:val="center"/>
          </w:tcPr>
          <w:p w14:paraId="16E141A1" w14:textId="77777777" w:rsidR="00C755B1" w:rsidRDefault="00C755B1" w:rsidP="00C755B1">
            <w:pPr>
              <w:jc w:val="right"/>
              <w:rPr>
                <w:color w:val="000000"/>
                <w:sz w:val="24"/>
                <w:szCs w:val="24"/>
              </w:rPr>
            </w:pPr>
            <w:r>
              <w:rPr>
                <w:color w:val="000000"/>
              </w:rPr>
              <w:t>6</w:t>
            </w:r>
          </w:p>
        </w:tc>
        <w:tc>
          <w:tcPr>
            <w:tcW w:w="222" w:type="pct"/>
            <w:tcBorders>
              <w:top w:val="nil"/>
              <w:left w:val="double" w:sz="6" w:space="0" w:color="auto"/>
              <w:bottom w:val="single" w:sz="4" w:space="0" w:color="auto"/>
              <w:right w:val="nil"/>
            </w:tcBorders>
            <w:shd w:val="clear" w:color="000000" w:fill="F2DCDB"/>
            <w:vAlign w:val="center"/>
          </w:tcPr>
          <w:p w14:paraId="5A9F77DB" w14:textId="77777777" w:rsidR="00C755B1" w:rsidRDefault="00C755B1" w:rsidP="00C755B1">
            <w:pPr>
              <w:jc w:val="right"/>
              <w:rPr>
                <w:color w:val="000000"/>
                <w:sz w:val="24"/>
                <w:szCs w:val="24"/>
              </w:rPr>
            </w:pPr>
            <w:r>
              <w:rPr>
                <w:color w:val="000000"/>
              </w:rPr>
              <w:t>20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2C5F981" w14:textId="77777777" w:rsidR="00C755B1" w:rsidRDefault="00C755B1" w:rsidP="00C755B1">
            <w:pPr>
              <w:jc w:val="right"/>
              <w:rPr>
                <w:color w:val="000000"/>
                <w:sz w:val="24"/>
                <w:szCs w:val="24"/>
              </w:rPr>
            </w:pPr>
            <w:r>
              <w:rPr>
                <w:color w:val="000000"/>
              </w:rPr>
              <w:t>10</w:t>
            </w:r>
          </w:p>
        </w:tc>
      </w:tr>
      <w:tr w:rsidR="00C755B1" w:rsidRPr="000A46ED" w14:paraId="13BC96F6"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A8D3B15"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Maths skills.</w:t>
            </w:r>
          </w:p>
        </w:tc>
        <w:tc>
          <w:tcPr>
            <w:tcW w:w="255" w:type="pct"/>
            <w:tcBorders>
              <w:top w:val="nil"/>
              <w:left w:val="double" w:sz="6" w:space="0" w:color="auto"/>
              <w:bottom w:val="single" w:sz="4" w:space="0" w:color="auto"/>
              <w:right w:val="nil"/>
            </w:tcBorders>
            <w:shd w:val="clear" w:color="000000" w:fill="F2DCDB"/>
            <w:vAlign w:val="center"/>
          </w:tcPr>
          <w:p w14:paraId="67204F4C" w14:textId="77777777" w:rsidR="00C755B1" w:rsidRDefault="00C755B1" w:rsidP="00C755B1">
            <w:pPr>
              <w:jc w:val="right"/>
              <w:rPr>
                <w:color w:val="000000"/>
                <w:sz w:val="24"/>
                <w:szCs w:val="24"/>
              </w:rPr>
            </w:pPr>
            <w:r>
              <w:rPr>
                <w:color w:val="000000"/>
              </w:rPr>
              <w:t>119</w:t>
            </w:r>
          </w:p>
        </w:tc>
        <w:tc>
          <w:tcPr>
            <w:tcW w:w="256" w:type="pct"/>
            <w:tcBorders>
              <w:top w:val="nil"/>
              <w:left w:val="double" w:sz="6" w:space="0" w:color="auto"/>
              <w:bottom w:val="single" w:sz="4" w:space="0" w:color="auto"/>
              <w:right w:val="nil"/>
            </w:tcBorders>
            <w:shd w:val="clear" w:color="000000" w:fill="F2DCDB"/>
            <w:vAlign w:val="center"/>
          </w:tcPr>
          <w:p w14:paraId="5D8EF910" w14:textId="77777777" w:rsidR="00C755B1" w:rsidRDefault="00C755B1" w:rsidP="00C755B1">
            <w:pPr>
              <w:jc w:val="right"/>
              <w:rPr>
                <w:color w:val="000000"/>
                <w:sz w:val="24"/>
                <w:szCs w:val="24"/>
              </w:rPr>
            </w:pPr>
            <w:r>
              <w:rPr>
                <w:color w:val="000000"/>
              </w:rPr>
              <w:t>89</w:t>
            </w:r>
          </w:p>
        </w:tc>
        <w:tc>
          <w:tcPr>
            <w:tcW w:w="249" w:type="pct"/>
            <w:tcBorders>
              <w:top w:val="nil"/>
              <w:left w:val="double" w:sz="6" w:space="0" w:color="auto"/>
              <w:bottom w:val="single" w:sz="4" w:space="0" w:color="auto"/>
              <w:right w:val="nil"/>
            </w:tcBorders>
            <w:shd w:val="clear" w:color="000000" w:fill="F2DCDB"/>
            <w:vAlign w:val="center"/>
          </w:tcPr>
          <w:p w14:paraId="50F5CE93" w14:textId="77777777" w:rsidR="00C755B1" w:rsidRDefault="00C755B1" w:rsidP="00C755B1">
            <w:pPr>
              <w:jc w:val="right"/>
              <w:rPr>
                <w:color w:val="000000"/>
                <w:sz w:val="24"/>
                <w:szCs w:val="24"/>
              </w:rPr>
            </w:pPr>
            <w:r>
              <w:rPr>
                <w:color w:val="000000"/>
              </w:rPr>
              <w:t>123</w:t>
            </w:r>
          </w:p>
        </w:tc>
        <w:tc>
          <w:tcPr>
            <w:tcW w:w="249" w:type="pct"/>
            <w:tcBorders>
              <w:top w:val="nil"/>
              <w:left w:val="double" w:sz="6" w:space="0" w:color="auto"/>
              <w:bottom w:val="single" w:sz="4" w:space="0" w:color="auto"/>
              <w:right w:val="nil"/>
            </w:tcBorders>
            <w:shd w:val="clear" w:color="000000" w:fill="F2DCDB"/>
            <w:vAlign w:val="center"/>
          </w:tcPr>
          <w:p w14:paraId="0102CF99" w14:textId="77777777" w:rsidR="00C755B1" w:rsidRDefault="00C755B1" w:rsidP="00C755B1">
            <w:pPr>
              <w:jc w:val="right"/>
              <w:rPr>
                <w:color w:val="000000"/>
                <w:sz w:val="24"/>
                <w:szCs w:val="24"/>
              </w:rPr>
            </w:pPr>
            <w:r>
              <w:rPr>
                <w:color w:val="000000"/>
              </w:rPr>
              <w:t>103</w:t>
            </w:r>
          </w:p>
        </w:tc>
        <w:tc>
          <w:tcPr>
            <w:tcW w:w="222" w:type="pct"/>
            <w:tcBorders>
              <w:top w:val="nil"/>
              <w:left w:val="double" w:sz="6" w:space="0" w:color="auto"/>
              <w:bottom w:val="single" w:sz="4" w:space="0" w:color="auto"/>
              <w:right w:val="nil"/>
            </w:tcBorders>
            <w:shd w:val="clear" w:color="000000" w:fill="F2DCDB"/>
            <w:vAlign w:val="center"/>
          </w:tcPr>
          <w:p w14:paraId="63E2CD2A" w14:textId="77777777" w:rsidR="00C755B1" w:rsidRDefault="00C755B1" w:rsidP="00C755B1">
            <w:pPr>
              <w:jc w:val="right"/>
              <w:rPr>
                <w:color w:val="000000"/>
                <w:sz w:val="24"/>
                <w:szCs w:val="24"/>
              </w:rPr>
            </w:pPr>
            <w:r>
              <w:rPr>
                <w:color w:val="000000"/>
              </w:rPr>
              <w:t>20</w:t>
            </w:r>
          </w:p>
        </w:tc>
        <w:tc>
          <w:tcPr>
            <w:tcW w:w="228" w:type="pct"/>
            <w:tcBorders>
              <w:top w:val="nil"/>
              <w:left w:val="double" w:sz="6" w:space="0" w:color="auto"/>
              <w:bottom w:val="single" w:sz="4" w:space="0" w:color="auto"/>
              <w:right w:val="nil"/>
            </w:tcBorders>
            <w:shd w:val="clear" w:color="000000" w:fill="F2DCDB"/>
            <w:vAlign w:val="center"/>
          </w:tcPr>
          <w:p w14:paraId="0EE5A106" w14:textId="77777777" w:rsidR="00C755B1" w:rsidRDefault="00C755B1" w:rsidP="00C755B1">
            <w:pPr>
              <w:jc w:val="right"/>
              <w:rPr>
                <w:color w:val="000000"/>
                <w:sz w:val="24"/>
                <w:szCs w:val="24"/>
              </w:rPr>
            </w:pPr>
            <w:r>
              <w:rPr>
                <w:color w:val="000000"/>
              </w:rPr>
              <w:t>14</w:t>
            </w:r>
          </w:p>
        </w:tc>
        <w:tc>
          <w:tcPr>
            <w:tcW w:w="291" w:type="pct"/>
            <w:tcBorders>
              <w:top w:val="nil"/>
              <w:left w:val="double" w:sz="6" w:space="0" w:color="auto"/>
              <w:bottom w:val="single" w:sz="4" w:space="0" w:color="auto"/>
              <w:right w:val="nil"/>
            </w:tcBorders>
            <w:shd w:val="clear" w:color="000000" w:fill="F2DCDB"/>
            <w:vAlign w:val="center"/>
          </w:tcPr>
          <w:p w14:paraId="1A5F1D2D" w14:textId="77777777" w:rsidR="00C755B1" w:rsidRDefault="00C755B1" w:rsidP="00C755B1">
            <w:pPr>
              <w:jc w:val="right"/>
              <w:rPr>
                <w:color w:val="000000"/>
                <w:sz w:val="24"/>
                <w:szCs w:val="24"/>
              </w:rPr>
            </w:pPr>
            <w:r>
              <w:rPr>
                <w:color w:val="000000"/>
              </w:rPr>
              <w:t>8</w:t>
            </w:r>
          </w:p>
        </w:tc>
        <w:tc>
          <w:tcPr>
            <w:tcW w:w="299" w:type="pct"/>
            <w:tcBorders>
              <w:top w:val="nil"/>
              <w:left w:val="double" w:sz="6" w:space="0" w:color="auto"/>
              <w:bottom w:val="single" w:sz="4" w:space="0" w:color="auto"/>
              <w:right w:val="nil"/>
            </w:tcBorders>
            <w:shd w:val="clear" w:color="000000" w:fill="F2DCDB"/>
            <w:vAlign w:val="center"/>
          </w:tcPr>
          <w:p w14:paraId="4DEF1174" w14:textId="77777777" w:rsidR="00C755B1" w:rsidRDefault="00C755B1" w:rsidP="00C755B1">
            <w:pPr>
              <w:jc w:val="right"/>
              <w:rPr>
                <w:color w:val="000000"/>
                <w:sz w:val="24"/>
                <w:szCs w:val="24"/>
              </w:rPr>
            </w:pPr>
            <w:r>
              <w:rPr>
                <w:color w:val="000000"/>
              </w:rPr>
              <w:t>12</w:t>
            </w:r>
          </w:p>
        </w:tc>
        <w:tc>
          <w:tcPr>
            <w:tcW w:w="222" w:type="pct"/>
            <w:tcBorders>
              <w:top w:val="nil"/>
              <w:left w:val="double" w:sz="6" w:space="0" w:color="auto"/>
              <w:bottom w:val="single" w:sz="4" w:space="0" w:color="auto"/>
              <w:right w:val="nil"/>
            </w:tcBorders>
            <w:shd w:val="clear" w:color="000000" w:fill="F2DCDB"/>
            <w:vAlign w:val="center"/>
          </w:tcPr>
          <w:p w14:paraId="677D5B44" w14:textId="77777777" w:rsidR="00C755B1" w:rsidRDefault="00C755B1" w:rsidP="00C755B1">
            <w:pPr>
              <w:jc w:val="right"/>
              <w:rPr>
                <w:color w:val="000000"/>
                <w:sz w:val="24"/>
                <w:szCs w:val="24"/>
              </w:rPr>
            </w:pPr>
            <w:r>
              <w:rPr>
                <w:color w:val="000000"/>
              </w:rPr>
              <w:t>11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F232E85" w14:textId="77777777" w:rsidR="00C755B1" w:rsidRDefault="00C755B1" w:rsidP="00C755B1">
            <w:pPr>
              <w:jc w:val="right"/>
              <w:rPr>
                <w:color w:val="000000"/>
                <w:sz w:val="24"/>
                <w:szCs w:val="24"/>
              </w:rPr>
            </w:pPr>
            <w:r>
              <w:rPr>
                <w:color w:val="000000"/>
              </w:rPr>
              <w:t>14</w:t>
            </w:r>
          </w:p>
        </w:tc>
      </w:tr>
    </w:tbl>
    <w:p w14:paraId="44F80B65" w14:textId="77777777" w:rsidR="005C5B3E" w:rsidRDefault="005C5B3E" w:rsidP="004910A6">
      <w:pPr>
        <w:rPr>
          <w:rFonts w:cs="Arial"/>
          <w:sz w:val="24"/>
          <w:szCs w:val="24"/>
        </w:rPr>
        <w:sectPr w:rsidR="005C5B3E" w:rsidSect="005C5B3E">
          <w:pgSz w:w="16838" w:h="11906" w:orient="landscape"/>
          <w:pgMar w:top="1418" w:right="1134" w:bottom="851" w:left="1134" w:header="709" w:footer="709" w:gutter="0"/>
          <w:cols w:space="708"/>
          <w:docGrid w:linePitch="360"/>
        </w:sectPr>
      </w:pPr>
    </w:p>
    <w:tbl>
      <w:tblPr>
        <w:tblW w:w="5000" w:type="pct"/>
        <w:tblLook w:val="04A0" w:firstRow="1" w:lastRow="0" w:firstColumn="1" w:lastColumn="0" w:noHBand="0" w:noVBand="1"/>
        <w:tblCaption w:val="Table - Literacy Year 6"/>
        <w:tblDescription w:val="Data relating to Literacy Year 6"/>
      </w:tblPr>
      <w:tblGrid>
        <w:gridCol w:w="7403"/>
        <w:gridCol w:w="755"/>
        <w:gridCol w:w="757"/>
        <w:gridCol w:w="736"/>
        <w:gridCol w:w="736"/>
        <w:gridCol w:w="656"/>
        <w:gridCol w:w="674"/>
        <w:gridCol w:w="861"/>
        <w:gridCol w:w="884"/>
        <w:gridCol w:w="656"/>
        <w:gridCol w:w="668"/>
      </w:tblGrid>
      <w:tr w:rsidR="005C5B3E" w:rsidRPr="000A46ED" w14:paraId="12ED81F1" w14:textId="77777777" w:rsidTr="0001238E">
        <w:trPr>
          <w:trHeight w:val="567"/>
        </w:trPr>
        <w:tc>
          <w:tcPr>
            <w:tcW w:w="2503" w:type="pct"/>
            <w:vMerge w:val="restart"/>
            <w:tcBorders>
              <w:top w:val="single" w:sz="4" w:space="0" w:color="auto"/>
              <w:left w:val="single" w:sz="4" w:space="0" w:color="auto"/>
              <w:bottom w:val="nil"/>
              <w:right w:val="nil"/>
            </w:tcBorders>
            <w:shd w:val="clear" w:color="auto" w:fill="auto"/>
            <w:noWrap/>
            <w:vAlign w:val="center"/>
            <w:hideMark/>
          </w:tcPr>
          <w:p w14:paraId="7ADA0C16" w14:textId="77777777" w:rsidR="005C5B3E" w:rsidRPr="008826A5" w:rsidRDefault="009F25F9" w:rsidP="0001238E">
            <w:pPr>
              <w:spacing w:after="0" w:line="240" w:lineRule="auto"/>
              <w:jc w:val="center"/>
              <w:rPr>
                <w:rFonts w:eastAsia="Times New Roman" w:cs="Times New Roman"/>
                <w:b/>
                <w:bCs/>
                <w:color w:val="244061" w:themeColor="accent1" w:themeShade="80"/>
                <w:sz w:val="36"/>
                <w:szCs w:val="36"/>
                <w:lang w:eastAsia="en-AU"/>
              </w:rPr>
            </w:pPr>
            <w:r>
              <w:rPr>
                <w:rFonts w:eastAsia="Times New Roman" w:cs="Times New Roman"/>
                <w:b/>
                <w:bCs/>
                <w:color w:val="244061" w:themeColor="accent1" w:themeShade="80"/>
                <w:sz w:val="36"/>
                <w:szCs w:val="36"/>
                <w:lang w:eastAsia="en-AU"/>
              </w:rPr>
              <w:t>Literacy</w:t>
            </w:r>
          </w:p>
          <w:p w14:paraId="1A0EA580" w14:textId="77777777" w:rsidR="005C5B3E" w:rsidRPr="000A46ED" w:rsidRDefault="005C5B3E" w:rsidP="0001238E">
            <w:pPr>
              <w:spacing w:after="0" w:line="240" w:lineRule="auto"/>
              <w:jc w:val="center"/>
              <w:rPr>
                <w:rFonts w:eastAsia="Times New Roman" w:cs="Times New Roman"/>
                <w:b/>
                <w:bCs/>
                <w:color w:val="FF0000"/>
                <w:sz w:val="36"/>
                <w:szCs w:val="36"/>
                <w:lang w:eastAsia="en-AU"/>
              </w:rPr>
            </w:pPr>
          </w:p>
        </w:tc>
        <w:tc>
          <w:tcPr>
            <w:tcW w:w="2497"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3EEFDC91" w14:textId="77777777" w:rsidR="005C5B3E" w:rsidRPr="000A46ED" w:rsidRDefault="005C5B3E" w:rsidP="0001238E">
            <w:pPr>
              <w:spacing w:after="0" w:line="240" w:lineRule="auto"/>
              <w:jc w:val="center"/>
              <w:rPr>
                <w:rFonts w:eastAsia="Times New Roman" w:cs="Times New Roman"/>
                <w:color w:val="000000"/>
                <w:sz w:val="52"/>
                <w:szCs w:val="52"/>
                <w:lang w:eastAsia="en-AU"/>
              </w:rPr>
            </w:pPr>
            <w:r>
              <w:rPr>
                <w:rFonts w:eastAsia="Times New Roman" w:cs="Times New Roman"/>
                <w:color w:val="000000"/>
                <w:sz w:val="52"/>
                <w:szCs w:val="52"/>
                <w:lang w:eastAsia="en-AU"/>
              </w:rPr>
              <w:t>Year 6</w:t>
            </w:r>
          </w:p>
        </w:tc>
      </w:tr>
      <w:tr w:rsidR="005C5B3E" w:rsidRPr="000A46ED" w14:paraId="2A3E49C6" w14:textId="77777777" w:rsidTr="00394D0F">
        <w:trPr>
          <w:trHeight w:val="276"/>
        </w:trPr>
        <w:tc>
          <w:tcPr>
            <w:tcW w:w="2503" w:type="pct"/>
            <w:vMerge/>
            <w:tcBorders>
              <w:left w:val="single" w:sz="4" w:space="0" w:color="auto"/>
              <w:right w:val="nil"/>
            </w:tcBorders>
            <w:shd w:val="clear" w:color="auto" w:fill="auto"/>
            <w:vAlign w:val="center"/>
            <w:hideMark/>
          </w:tcPr>
          <w:p w14:paraId="3C9EB72B"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511"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2FE5C470"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498" w:type="pct"/>
            <w:gridSpan w:val="2"/>
            <w:tcBorders>
              <w:top w:val="double" w:sz="6" w:space="0" w:color="auto"/>
              <w:left w:val="nil"/>
              <w:bottom w:val="single" w:sz="4" w:space="0" w:color="auto"/>
              <w:right w:val="single" w:sz="12" w:space="0" w:color="000000"/>
            </w:tcBorders>
            <w:shd w:val="clear" w:color="auto" w:fill="auto"/>
            <w:vAlign w:val="center"/>
            <w:hideMark/>
          </w:tcPr>
          <w:p w14:paraId="1CADD20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450" w:type="pct"/>
            <w:gridSpan w:val="2"/>
            <w:tcBorders>
              <w:top w:val="double" w:sz="6" w:space="0" w:color="auto"/>
              <w:left w:val="nil"/>
              <w:bottom w:val="single" w:sz="4" w:space="0" w:color="auto"/>
              <w:right w:val="single" w:sz="12" w:space="0" w:color="000000"/>
            </w:tcBorders>
            <w:shd w:val="clear" w:color="auto" w:fill="auto"/>
            <w:vAlign w:val="center"/>
            <w:hideMark/>
          </w:tcPr>
          <w:p w14:paraId="535F527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590" w:type="pct"/>
            <w:gridSpan w:val="2"/>
            <w:tcBorders>
              <w:top w:val="double" w:sz="6" w:space="0" w:color="auto"/>
              <w:left w:val="nil"/>
              <w:bottom w:val="single" w:sz="4" w:space="0" w:color="auto"/>
              <w:right w:val="single" w:sz="12" w:space="0" w:color="000000"/>
            </w:tcBorders>
            <w:shd w:val="clear" w:color="auto" w:fill="auto"/>
            <w:vAlign w:val="center"/>
            <w:hideMark/>
          </w:tcPr>
          <w:p w14:paraId="0AEBD66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448" w:type="pct"/>
            <w:gridSpan w:val="2"/>
            <w:tcBorders>
              <w:top w:val="double" w:sz="6" w:space="0" w:color="auto"/>
              <w:left w:val="nil"/>
              <w:bottom w:val="single" w:sz="4" w:space="0" w:color="auto"/>
              <w:right w:val="double" w:sz="6" w:space="0" w:color="000000"/>
            </w:tcBorders>
            <w:shd w:val="clear" w:color="auto" w:fill="auto"/>
            <w:vAlign w:val="center"/>
            <w:hideMark/>
          </w:tcPr>
          <w:p w14:paraId="148E1813"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5C5B3E" w:rsidRPr="000A46ED" w14:paraId="272385EF" w14:textId="77777777" w:rsidTr="00394D0F">
        <w:trPr>
          <w:trHeight w:val="276"/>
        </w:trPr>
        <w:tc>
          <w:tcPr>
            <w:tcW w:w="2503" w:type="pct"/>
            <w:vMerge/>
            <w:tcBorders>
              <w:left w:val="single" w:sz="4" w:space="0" w:color="auto"/>
              <w:bottom w:val="single" w:sz="8" w:space="0" w:color="auto"/>
              <w:right w:val="nil"/>
            </w:tcBorders>
            <w:shd w:val="clear" w:color="auto" w:fill="auto"/>
            <w:vAlign w:val="center"/>
            <w:hideMark/>
          </w:tcPr>
          <w:p w14:paraId="32A1059A"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255" w:type="pct"/>
            <w:tcBorders>
              <w:top w:val="nil"/>
              <w:left w:val="double" w:sz="6" w:space="0" w:color="auto"/>
              <w:bottom w:val="single" w:sz="4" w:space="0" w:color="auto"/>
              <w:right w:val="single" w:sz="4" w:space="0" w:color="auto"/>
            </w:tcBorders>
            <w:shd w:val="clear" w:color="auto" w:fill="auto"/>
            <w:vAlign w:val="center"/>
            <w:hideMark/>
          </w:tcPr>
          <w:p w14:paraId="6660A22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56" w:type="pct"/>
            <w:tcBorders>
              <w:top w:val="nil"/>
              <w:left w:val="nil"/>
              <w:bottom w:val="single" w:sz="4" w:space="0" w:color="auto"/>
              <w:right w:val="single" w:sz="12" w:space="0" w:color="auto"/>
            </w:tcBorders>
            <w:shd w:val="clear" w:color="auto" w:fill="auto"/>
            <w:vAlign w:val="center"/>
            <w:hideMark/>
          </w:tcPr>
          <w:p w14:paraId="2439E81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49" w:type="pct"/>
            <w:tcBorders>
              <w:top w:val="nil"/>
              <w:left w:val="nil"/>
              <w:bottom w:val="single" w:sz="4" w:space="0" w:color="auto"/>
              <w:right w:val="single" w:sz="4" w:space="0" w:color="auto"/>
            </w:tcBorders>
            <w:shd w:val="clear" w:color="auto" w:fill="auto"/>
            <w:vAlign w:val="center"/>
            <w:hideMark/>
          </w:tcPr>
          <w:p w14:paraId="5C89BB7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49" w:type="pct"/>
            <w:tcBorders>
              <w:top w:val="nil"/>
              <w:left w:val="nil"/>
              <w:bottom w:val="single" w:sz="4" w:space="0" w:color="auto"/>
              <w:right w:val="single" w:sz="12" w:space="0" w:color="auto"/>
            </w:tcBorders>
            <w:shd w:val="clear" w:color="auto" w:fill="auto"/>
            <w:vAlign w:val="center"/>
            <w:hideMark/>
          </w:tcPr>
          <w:p w14:paraId="2AE95012"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53B190D7"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single" w:sz="12" w:space="0" w:color="auto"/>
            </w:tcBorders>
            <w:shd w:val="clear" w:color="auto" w:fill="auto"/>
            <w:vAlign w:val="center"/>
            <w:hideMark/>
          </w:tcPr>
          <w:p w14:paraId="5E0E5AD3"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1" w:type="pct"/>
            <w:tcBorders>
              <w:top w:val="nil"/>
              <w:left w:val="nil"/>
              <w:bottom w:val="single" w:sz="4" w:space="0" w:color="auto"/>
              <w:right w:val="single" w:sz="4" w:space="0" w:color="auto"/>
            </w:tcBorders>
            <w:shd w:val="clear" w:color="auto" w:fill="auto"/>
            <w:vAlign w:val="center"/>
            <w:hideMark/>
          </w:tcPr>
          <w:p w14:paraId="67BF3ED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2EDBD24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421E7210"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6" w:type="pct"/>
            <w:tcBorders>
              <w:top w:val="nil"/>
              <w:left w:val="nil"/>
              <w:bottom w:val="single" w:sz="4" w:space="0" w:color="auto"/>
              <w:right w:val="double" w:sz="6" w:space="0" w:color="auto"/>
            </w:tcBorders>
            <w:shd w:val="clear" w:color="auto" w:fill="auto"/>
            <w:vAlign w:val="center"/>
            <w:hideMark/>
          </w:tcPr>
          <w:p w14:paraId="250AB737"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394D0F" w:rsidRPr="000A46ED" w14:paraId="4AE5F980"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8D5EA35" w14:textId="39AF7AA8"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reading.</w:t>
            </w:r>
          </w:p>
        </w:tc>
        <w:tc>
          <w:tcPr>
            <w:tcW w:w="255" w:type="pct"/>
            <w:tcBorders>
              <w:top w:val="nil"/>
              <w:left w:val="double" w:sz="6" w:space="0" w:color="auto"/>
              <w:bottom w:val="single" w:sz="4" w:space="0" w:color="auto"/>
              <w:right w:val="nil"/>
            </w:tcBorders>
            <w:shd w:val="clear" w:color="000000" w:fill="F2DCDB"/>
            <w:vAlign w:val="center"/>
          </w:tcPr>
          <w:p w14:paraId="6186B890" w14:textId="77777777" w:rsidR="00394D0F" w:rsidRDefault="00394D0F">
            <w:pPr>
              <w:jc w:val="right"/>
              <w:rPr>
                <w:color w:val="000000"/>
                <w:sz w:val="24"/>
                <w:szCs w:val="24"/>
              </w:rPr>
            </w:pPr>
            <w:r>
              <w:rPr>
                <w:color w:val="000000"/>
              </w:rPr>
              <w:t>227</w:t>
            </w:r>
          </w:p>
        </w:tc>
        <w:tc>
          <w:tcPr>
            <w:tcW w:w="256" w:type="pct"/>
            <w:tcBorders>
              <w:top w:val="nil"/>
              <w:left w:val="double" w:sz="6" w:space="0" w:color="auto"/>
              <w:bottom w:val="single" w:sz="4" w:space="0" w:color="auto"/>
              <w:right w:val="nil"/>
            </w:tcBorders>
            <w:shd w:val="clear" w:color="000000" w:fill="F2DCDB"/>
            <w:vAlign w:val="center"/>
          </w:tcPr>
          <w:p w14:paraId="086346D4" w14:textId="77777777" w:rsidR="00394D0F" w:rsidRDefault="00394D0F">
            <w:pPr>
              <w:jc w:val="right"/>
              <w:rPr>
                <w:color w:val="000000"/>
                <w:sz w:val="24"/>
                <w:szCs w:val="24"/>
              </w:rPr>
            </w:pPr>
            <w:r>
              <w:rPr>
                <w:color w:val="000000"/>
              </w:rPr>
              <w:t>162</w:t>
            </w:r>
          </w:p>
        </w:tc>
        <w:tc>
          <w:tcPr>
            <w:tcW w:w="249" w:type="pct"/>
            <w:tcBorders>
              <w:top w:val="nil"/>
              <w:left w:val="double" w:sz="6" w:space="0" w:color="auto"/>
              <w:bottom w:val="single" w:sz="4" w:space="0" w:color="auto"/>
              <w:right w:val="nil"/>
            </w:tcBorders>
            <w:shd w:val="clear" w:color="000000" w:fill="F2DCDB"/>
            <w:vAlign w:val="center"/>
          </w:tcPr>
          <w:p w14:paraId="63A0F6AD" w14:textId="77777777" w:rsidR="00394D0F" w:rsidRDefault="00394D0F">
            <w:pPr>
              <w:jc w:val="right"/>
              <w:rPr>
                <w:color w:val="000000"/>
                <w:sz w:val="24"/>
                <w:szCs w:val="24"/>
              </w:rPr>
            </w:pPr>
            <w:r>
              <w:rPr>
                <w:color w:val="000000"/>
              </w:rPr>
              <w:t>326</w:t>
            </w:r>
          </w:p>
        </w:tc>
        <w:tc>
          <w:tcPr>
            <w:tcW w:w="249" w:type="pct"/>
            <w:tcBorders>
              <w:top w:val="nil"/>
              <w:left w:val="double" w:sz="6" w:space="0" w:color="auto"/>
              <w:bottom w:val="single" w:sz="4" w:space="0" w:color="auto"/>
              <w:right w:val="nil"/>
            </w:tcBorders>
            <w:shd w:val="clear" w:color="000000" w:fill="F2DCDB"/>
            <w:vAlign w:val="center"/>
          </w:tcPr>
          <w:p w14:paraId="31242583" w14:textId="77777777" w:rsidR="00394D0F" w:rsidRDefault="00394D0F">
            <w:pPr>
              <w:jc w:val="right"/>
              <w:rPr>
                <w:color w:val="000000"/>
                <w:sz w:val="24"/>
                <w:szCs w:val="24"/>
              </w:rPr>
            </w:pPr>
            <w:r>
              <w:rPr>
                <w:color w:val="000000"/>
              </w:rPr>
              <w:t>320</w:t>
            </w:r>
          </w:p>
        </w:tc>
        <w:tc>
          <w:tcPr>
            <w:tcW w:w="222" w:type="pct"/>
            <w:tcBorders>
              <w:top w:val="nil"/>
              <w:left w:val="double" w:sz="6" w:space="0" w:color="auto"/>
              <w:bottom w:val="single" w:sz="4" w:space="0" w:color="auto"/>
              <w:right w:val="nil"/>
            </w:tcBorders>
            <w:shd w:val="clear" w:color="000000" w:fill="F2DCDB"/>
            <w:vAlign w:val="center"/>
          </w:tcPr>
          <w:p w14:paraId="52BFE430" w14:textId="77777777" w:rsidR="00394D0F" w:rsidRDefault="00394D0F">
            <w:pPr>
              <w:jc w:val="right"/>
              <w:rPr>
                <w:color w:val="000000"/>
                <w:sz w:val="24"/>
                <w:szCs w:val="24"/>
              </w:rPr>
            </w:pPr>
            <w:r>
              <w:rPr>
                <w:color w:val="000000"/>
              </w:rPr>
              <w:t>54</w:t>
            </w:r>
          </w:p>
        </w:tc>
        <w:tc>
          <w:tcPr>
            <w:tcW w:w="228" w:type="pct"/>
            <w:tcBorders>
              <w:top w:val="nil"/>
              <w:left w:val="double" w:sz="6" w:space="0" w:color="auto"/>
              <w:bottom w:val="single" w:sz="4" w:space="0" w:color="auto"/>
              <w:right w:val="nil"/>
            </w:tcBorders>
            <w:shd w:val="clear" w:color="000000" w:fill="F2DCDB"/>
            <w:vAlign w:val="center"/>
          </w:tcPr>
          <w:p w14:paraId="26A1D7DC" w14:textId="77777777" w:rsidR="00394D0F" w:rsidRDefault="00394D0F">
            <w:pPr>
              <w:jc w:val="right"/>
              <w:rPr>
                <w:color w:val="000000"/>
                <w:sz w:val="24"/>
                <w:szCs w:val="24"/>
              </w:rPr>
            </w:pPr>
            <w:r>
              <w:rPr>
                <w:color w:val="000000"/>
              </w:rPr>
              <w:t>82</w:t>
            </w:r>
          </w:p>
        </w:tc>
        <w:tc>
          <w:tcPr>
            <w:tcW w:w="291" w:type="pct"/>
            <w:tcBorders>
              <w:top w:val="nil"/>
              <w:left w:val="double" w:sz="6" w:space="0" w:color="auto"/>
              <w:bottom w:val="single" w:sz="4" w:space="0" w:color="auto"/>
              <w:right w:val="nil"/>
            </w:tcBorders>
            <w:shd w:val="clear" w:color="000000" w:fill="F2DCDB"/>
            <w:vAlign w:val="center"/>
          </w:tcPr>
          <w:p w14:paraId="29E2E545" w14:textId="77777777" w:rsidR="00394D0F" w:rsidRDefault="00394D0F">
            <w:pPr>
              <w:jc w:val="right"/>
              <w:rPr>
                <w:color w:val="000000"/>
                <w:sz w:val="24"/>
                <w:szCs w:val="24"/>
              </w:rPr>
            </w:pPr>
            <w:r>
              <w:rPr>
                <w:color w:val="000000"/>
              </w:rPr>
              <w:t>17</w:t>
            </w:r>
          </w:p>
        </w:tc>
        <w:tc>
          <w:tcPr>
            <w:tcW w:w="299" w:type="pct"/>
            <w:tcBorders>
              <w:top w:val="nil"/>
              <w:left w:val="double" w:sz="6" w:space="0" w:color="auto"/>
              <w:bottom w:val="single" w:sz="4" w:space="0" w:color="auto"/>
              <w:right w:val="nil"/>
            </w:tcBorders>
            <w:shd w:val="clear" w:color="000000" w:fill="F2DCDB"/>
            <w:vAlign w:val="center"/>
          </w:tcPr>
          <w:p w14:paraId="00825373" w14:textId="77777777" w:rsidR="00394D0F" w:rsidRDefault="00394D0F">
            <w:pPr>
              <w:jc w:val="right"/>
              <w:rPr>
                <w:color w:val="000000"/>
                <w:sz w:val="24"/>
                <w:szCs w:val="24"/>
              </w:rPr>
            </w:pPr>
            <w:r>
              <w:rPr>
                <w:color w:val="000000"/>
              </w:rPr>
              <w:t>27</w:t>
            </w:r>
          </w:p>
        </w:tc>
        <w:tc>
          <w:tcPr>
            <w:tcW w:w="222" w:type="pct"/>
            <w:tcBorders>
              <w:top w:val="nil"/>
              <w:left w:val="double" w:sz="6" w:space="0" w:color="auto"/>
              <w:bottom w:val="single" w:sz="4" w:space="0" w:color="auto"/>
              <w:right w:val="nil"/>
            </w:tcBorders>
            <w:shd w:val="clear" w:color="000000" w:fill="F2DCDB"/>
            <w:vAlign w:val="center"/>
          </w:tcPr>
          <w:p w14:paraId="22C80BEA" w14:textId="77777777" w:rsidR="00394D0F" w:rsidRDefault="00394D0F">
            <w:pPr>
              <w:jc w:val="right"/>
              <w:rPr>
                <w:color w:val="000000"/>
                <w:sz w:val="24"/>
                <w:szCs w:val="24"/>
              </w:rPr>
            </w:pPr>
            <w:r>
              <w:rPr>
                <w:color w:val="000000"/>
              </w:rPr>
              <w:t>28</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F7DDF21" w14:textId="77777777" w:rsidR="00394D0F" w:rsidRDefault="00394D0F">
            <w:pPr>
              <w:jc w:val="right"/>
              <w:rPr>
                <w:color w:val="000000"/>
                <w:sz w:val="24"/>
                <w:szCs w:val="24"/>
              </w:rPr>
            </w:pPr>
            <w:r>
              <w:rPr>
                <w:color w:val="000000"/>
              </w:rPr>
              <w:t>22</w:t>
            </w:r>
          </w:p>
        </w:tc>
      </w:tr>
      <w:tr w:rsidR="00394D0F" w:rsidRPr="000A46ED" w14:paraId="61301F76"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3A17325" w14:textId="1C0141F2"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 It is important to learn to read and to understand what you are reading.</w:t>
            </w:r>
          </w:p>
        </w:tc>
        <w:tc>
          <w:tcPr>
            <w:tcW w:w="255" w:type="pct"/>
            <w:tcBorders>
              <w:top w:val="nil"/>
              <w:left w:val="double" w:sz="6" w:space="0" w:color="auto"/>
              <w:bottom w:val="single" w:sz="4" w:space="0" w:color="auto"/>
              <w:right w:val="nil"/>
            </w:tcBorders>
            <w:shd w:val="clear" w:color="000000" w:fill="F2DCDB"/>
            <w:vAlign w:val="center"/>
          </w:tcPr>
          <w:p w14:paraId="13CB55DE" w14:textId="77777777" w:rsidR="00394D0F" w:rsidRDefault="00394D0F">
            <w:pPr>
              <w:jc w:val="right"/>
              <w:rPr>
                <w:color w:val="000000"/>
                <w:sz w:val="24"/>
                <w:szCs w:val="24"/>
              </w:rPr>
            </w:pPr>
            <w:r>
              <w:rPr>
                <w:color w:val="000000"/>
              </w:rPr>
              <w:t>423</w:t>
            </w:r>
          </w:p>
        </w:tc>
        <w:tc>
          <w:tcPr>
            <w:tcW w:w="256" w:type="pct"/>
            <w:tcBorders>
              <w:top w:val="nil"/>
              <w:left w:val="double" w:sz="6" w:space="0" w:color="auto"/>
              <w:bottom w:val="single" w:sz="4" w:space="0" w:color="auto"/>
              <w:right w:val="nil"/>
            </w:tcBorders>
            <w:shd w:val="clear" w:color="000000" w:fill="F2DCDB"/>
            <w:vAlign w:val="center"/>
          </w:tcPr>
          <w:p w14:paraId="7AA9F033" w14:textId="77777777" w:rsidR="00394D0F" w:rsidRDefault="00394D0F">
            <w:pPr>
              <w:jc w:val="right"/>
              <w:rPr>
                <w:color w:val="000000"/>
                <w:sz w:val="24"/>
                <w:szCs w:val="24"/>
              </w:rPr>
            </w:pPr>
            <w:r>
              <w:rPr>
                <w:color w:val="000000"/>
              </w:rPr>
              <w:t>356</w:t>
            </w:r>
          </w:p>
        </w:tc>
        <w:tc>
          <w:tcPr>
            <w:tcW w:w="249" w:type="pct"/>
            <w:tcBorders>
              <w:top w:val="nil"/>
              <w:left w:val="double" w:sz="6" w:space="0" w:color="auto"/>
              <w:bottom w:val="single" w:sz="4" w:space="0" w:color="auto"/>
              <w:right w:val="nil"/>
            </w:tcBorders>
            <w:shd w:val="clear" w:color="000000" w:fill="F2DCDB"/>
            <w:vAlign w:val="center"/>
          </w:tcPr>
          <w:p w14:paraId="6470CA76" w14:textId="77777777" w:rsidR="00394D0F" w:rsidRDefault="00394D0F">
            <w:pPr>
              <w:jc w:val="right"/>
              <w:rPr>
                <w:color w:val="000000"/>
                <w:sz w:val="24"/>
                <w:szCs w:val="24"/>
              </w:rPr>
            </w:pPr>
            <w:r>
              <w:rPr>
                <w:color w:val="000000"/>
              </w:rPr>
              <w:t>213</w:t>
            </w:r>
          </w:p>
        </w:tc>
        <w:tc>
          <w:tcPr>
            <w:tcW w:w="249" w:type="pct"/>
            <w:tcBorders>
              <w:top w:val="nil"/>
              <w:left w:val="double" w:sz="6" w:space="0" w:color="auto"/>
              <w:bottom w:val="single" w:sz="4" w:space="0" w:color="auto"/>
              <w:right w:val="nil"/>
            </w:tcBorders>
            <w:shd w:val="clear" w:color="000000" w:fill="F2DCDB"/>
            <w:vAlign w:val="center"/>
          </w:tcPr>
          <w:p w14:paraId="56140D79" w14:textId="77777777" w:rsidR="00394D0F" w:rsidRDefault="00394D0F">
            <w:pPr>
              <w:jc w:val="right"/>
              <w:rPr>
                <w:color w:val="000000"/>
                <w:sz w:val="24"/>
                <w:szCs w:val="24"/>
              </w:rPr>
            </w:pPr>
            <w:r>
              <w:rPr>
                <w:color w:val="000000"/>
              </w:rPr>
              <w:t>235</w:t>
            </w:r>
          </w:p>
        </w:tc>
        <w:tc>
          <w:tcPr>
            <w:tcW w:w="222" w:type="pct"/>
            <w:tcBorders>
              <w:top w:val="nil"/>
              <w:left w:val="double" w:sz="6" w:space="0" w:color="auto"/>
              <w:bottom w:val="single" w:sz="4" w:space="0" w:color="auto"/>
              <w:right w:val="nil"/>
            </w:tcBorders>
            <w:shd w:val="clear" w:color="000000" w:fill="F2DCDB"/>
            <w:vAlign w:val="center"/>
          </w:tcPr>
          <w:p w14:paraId="5A55B76B" w14:textId="77777777" w:rsidR="00394D0F" w:rsidRDefault="00394D0F">
            <w:pPr>
              <w:jc w:val="right"/>
              <w:rPr>
                <w:color w:val="000000"/>
                <w:sz w:val="24"/>
                <w:szCs w:val="24"/>
              </w:rPr>
            </w:pPr>
            <w:r>
              <w:rPr>
                <w:color w:val="000000"/>
              </w:rPr>
              <w:t>7</w:t>
            </w:r>
          </w:p>
        </w:tc>
        <w:tc>
          <w:tcPr>
            <w:tcW w:w="228" w:type="pct"/>
            <w:tcBorders>
              <w:top w:val="nil"/>
              <w:left w:val="double" w:sz="6" w:space="0" w:color="auto"/>
              <w:bottom w:val="single" w:sz="4" w:space="0" w:color="auto"/>
              <w:right w:val="nil"/>
            </w:tcBorders>
            <w:shd w:val="clear" w:color="000000" w:fill="F2DCDB"/>
            <w:vAlign w:val="center"/>
          </w:tcPr>
          <w:p w14:paraId="256A6342" w14:textId="77777777" w:rsidR="00394D0F" w:rsidRDefault="00394D0F">
            <w:pPr>
              <w:jc w:val="right"/>
              <w:rPr>
                <w:color w:val="000000"/>
                <w:sz w:val="24"/>
                <w:szCs w:val="24"/>
              </w:rPr>
            </w:pPr>
            <w:r>
              <w:rPr>
                <w:color w:val="000000"/>
              </w:rPr>
              <w:t>7</w:t>
            </w:r>
          </w:p>
        </w:tc>
        <w:tc>
          <w:tcPr>
            <w:tcW w:w="291" w:type="pct"/>
            <w:tcBorders>
              <w:top w:val="nil"/>
              <w:left w:val="double" w:sz="6" w:space="0" w:color="auto"/>
              <w:bottom w:val="single" w:sz="4" w:space="0" w:color="auto"/>
              <w:right w:val="nil"/>
            </w:tcBorders>
            <w:shd w:val="clear" w:color="000000" w:fill="F2DCDB"/>
            <w:vAlign w:val="center"/>
          </w:tcPr>
          <w:p w14:paraId="7D6E9737" w14:textId="77777777" w:rsidR="00394D0F" w:rsidRDefault="00394D0F">
            <w:pPr>
              <w:jc w:val="right"/>
              <w:rPr>
                <w:color w:val="000000"/>
                <w:sz w:val="24"/>
                <w:szCs w:val="24"/>
              </w:rPr>
            </w:pPr>
            <w:r>
              <w:rPr>
                <w:color w:val="000000"/>
              </w:rPr>
              <w:t>1</w:t>
            </w:r>
          </w:p>
        </w:tc>
        <w:tc>
          <w:tcPr>
            <w:tcW w:w="299" w:type="pct"/>
            <w:tcBorders>
              <w:top w:val="nil"/>
              <w:left w:val="double" w:sz="6" w:space="0" w:color="auto"/>
              <w:bottom w:val="single" w:sz="4" w:space="0" w:color="auto"/>
              <w:right w:val="nil"/>
            </w:tcBorders>
            <w:shd w:val="clear" w:color="000000" w:fill="F2DCDB"/>
            <w:vAlign w:val="center"/>
          </w:tcPr>
          <w:p w14:paraId="16AC1AAF" w14:textId="77777777" w:rsidR="00394D0F" w:rsidRDefault="00394D0F">
            <w:pPr>
              <w:jc w:val="right"/>
              <w:rPr>
                <w:color w:val="000000"/>
                <w:sz w:val="24"/>
                <w:szCs w:val="24"/>
              </w:rPr>
            </w:pPr>
            <w:r>
              <w:rPr>
                <w:color w:val="000000"/>
              </w:rPr>
              <w:t>3</w:t>
            </w:r>
          </w:p>
        </w:tc>
        <w:tc>
          <w:tcPr>
            <w:tcW w:w="222" w:type="pct"/>
            <w:tcBorders>
              <w:top w:val="nil"/>
              <w:left w:val="double" w:sz="6" w:space="0" w:color="auto"/>
              <w:bottom w:val="single" w:sz="4" w:space="0" w:color="auto"/>
              <w:right w:val="nil"/>
            </w:tcBorders>
            <w:shd w:val="clear" w:color="000000" w:fill="F2DCDB"/>
            <w:vAlign w:val="center"/>
          </w:tcPr>
          <w:p w14:paraId="63886F3C" w14:textId="77777777" w:rsidR="00394D0F" w:rsidRDefault="00394D0F">
            <w:pPr>
              <w:jc w:val="right"/>
              <w:rPr>
                <w:color w:val="000000"/>
                <w:sz w:val="24"/>
                <w:szCs w:val="24"/>
              </w:rPr>
            </w:pPr>
            <w:r>
              <w:rPr>
                <w:color w:val="000000"/>
              </w:rPr>
              <w:t>11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4202B77" w14:textId="77777777" w:rsidR="00394D0F" w:rsidRDefault="00394D0F">
            <w:pPr>
              <w:jc w:val="right"/>
              <w:rPr>
                <w:color w:val="000000"/>
                <w:sz w:val="24"/>
                <w:szCs w:val="24"/>
              </w:rPr>
            </w:pPr>
            <w:r>
              <w:rPr>
                <w:color w:val="000000"/>
              </w:rPr>
              <w:t>10</w:t>
            </w:r>
          </w:p>
        </w:tc>
      </w:tr>
      <w:tr w:rsidR="00394D0F" w:rsidRPr="000A46ED" w14:paraId="48EE72EB"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E33EAA8" w14:textId="774B9C41"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reading skills.</w:t>
            </w:r>
          </w:p>
        </w:tc>
        <w:tc>
          <w:tcPr>
            <w:tcW w:w="255" w:type="pct"/>
            <w:tcBorders>
              <w:top w:val="nil"/>
              <w:left w:val="double" w:sz="6" w:space="0" w:color="auto"/>
              <w:bottom w:val="single" w:sz="4" w:space="0" w:color="auto"/>
              <w:right w:val="nil"/>
            </w:tcBorders>
            <w:shd w:val="clear" w:color="000000" w:fill="F2DCDB"/>
            <w:vAlign w:val="center"/>
          </w:tcPr>
          <w:p w14:paraId="78BDDB03" w14:textId="77777777" w:rsidR="00394D0F" w:rsidRDefault="00394D0F">
            <w:pPr>
              <w:jc w:val="right"/>
              <w:rPr>
                <w:color w:val="000000"/>
                <w:sz w:val="24"/>
                <w:szCs w:val="24"/>
              </w:rPr>
            </w:pPr>
            <w:r>
              <w:rPr>
                <w:color w:val="000000"/>
              </w:rPr>
              <w:t>161</w:t>
            </w:r>
          </w:p>
        </w:tc>
        <w:tc>
          <w:tcPr>
            <w:tcW w:w="256" w:type="pct"/>
            <w:tcBorders>
              <w:top w:val="nil"/>
              <w:left w:val="double" w:sz="6" w:space="0" w:color="auto"/>
              <w:bottom w:val="single" w:sz="4" w:space="0" w:color="auto"/>
              <w:right w:val="nil"/>
            </w:tcBorders>
            <w:shd w:val="clear" w:color="000000" w:fill="F2DCDB"/>
            <w:vAlign w:val="center"/>
          </w:tcPr>
          <w:p w14:paraId="2687F3D5" w14:textId="77777777" w:rsidR="00394D0F" w:rsidRDefault="00394D0F">
            <w:pPr>
              <w:jc w:val="right"/>
              <w:rPr>
                <w:color w:val="000000"/>
                <w:sz w:val="24"/>
                <w:szCs w:val="24"/>
              </w:rPr>
            </w:pPr>
            <w:r>
              <w:rPr>
                <w:color w:val="000000"/>
              </w:rPr>
              <w:t>154</w:t>
            </w:r>
          </w:p>
        </w:tc>
        <w:tc>
          <w:tcPr>
            <w:tcW w:w="249" w:type="pct"/>
            <w:tcBorders>
              <w:top w:val="nil"/>
              <w:left w:val="double" w:sz="6" w:space="0" w:color="auto"/>
              <w:bottom w:val="single" w:sz="4" w:space="0" w:color="auto"/>
              <w:right w:val="nil"/>
            </w:tcBorders>
            <w:shd w:val="clear" w:color="000000" w:fill="F2DCDB"/>
            <w:vAlign w:val="center"/>
          </w:tcPr>
          <w:p w14:paraId="48A20207" w14:textId="77777777" w:rsidR="00394D0F" w:rsidRDefault="00394D0F">
            <w:pPr>
              <w:jc w:val="right"/>
              <w:rPr>
                <w:color w:val="000000"/>
                <w:sz w:val="24"/>
                <w:szCs w:val="24"/>
              </w:rPr>
            </w:pPr>
            <w:r>
              <w:rPr>
                <w:color w:val="000000"/>
              </w:rPr>
              <w:t>360</w:t>
            </w:r>
          </w:p>
        </w:tc>
        <w:tc>
          <w:tcPr>
            <w:tcW w:w="249" w:type="pct"/>
            <w:tcBorders>
              <w:top w:val="nil"/>
              <w:left w:val="double" w:sz="6" w:space="0" w:color="auto"/>
              <w:bottom w:val="single" w:sz="4" w:space="0" w:color="auto"/>
              <w:right w:val="nil"/>
            </w:tcBorders>
            <w:shd w:val="clear" w:color="000000" w:fill="F2DCDB"/>
            <w:vAlign w:val="center"/>
          </w:tcPr>
          <w:p w14:paraId="0A34A39C" w14:textId="77777777" w:rsidR="00394D0F" w:rsidRDefault="00394D0F">
            <w:pPr>
              <w:jc w:val="right"/>
              <w:rPr>
                <w:color w:val="000000"/>
                <w:sz w:val="24"/>
                <w:szCs w:val="24"/>
              </w:rPr>
            </w:pPr>
            <w:r>
              <w:rPr>
                <w:color w:val="000000"/>
              </w:rPr>
              <w:t>331</w:t>
            </w:r>
          </w:p>
        </w:tc>
        <w:tc>
          <w:tcPr>
            <w:tcW w:w="222" w:type="pct"/>
            <w:tcBorders>
              <w:top w:val="nil"/>
              <w:left w:val="double" w:sz="6" w:space="0" w:color="auto"/>
              <w:bottom w:val="single" w:sz="4" w:space="0" w:color="auto"/>
              <w:right w:val="nil"/>
            </w:tcBorders>
            <w:shd w:val="clear" w:color="000000" w:fill="F2DCDB"/>
            <w:vAlign w:val="center"/>
          </w:tcPr>
          <w:p w14:paraId="20753BB7" w14:textId="77777777" w:rsidR="00394D0F" w:rsidRDefault="00394D0F">
            <w:pPr>
              <w:jc w:val="right"/>
              <w:rPr>
                <w:color w:val="000000"/>
                <w:sz w:val="24"/>
                <w:szCs w:val="24"/>
              </w:rPr>
            </w:pPr>
            <w:r>
              <w:rPr>
                <w:color w:val="000000"/>
              </w:rPr>
              <w:t>52</w:t>
            </w:r>
          </w:p>
        </w:tc>
        <w:tc>
          <w:tcPr>
            <w:tcW w:w="228" w:type="pct"/>
            <w:tcBorders>
              <w:top w:val="nil"/>
              <w:left w:val="double" w:sz="6" w:space="0" w:color="auto"/>
              <w:bottom w:val="single" w:sz="4" w:space="0" w:color="auto"/>
              <w:right w:val="nil"/>
            </w:tcBorders>
            <w:shd w:val="clear" w:color="000000" w:fill="F2DCDB"/>
            <w:vAlign w:val="center"/>
          </w:tcPr>
          <w:p w14:paraId="4C809D1E" w14:textId="77777777" w:rsidR="00394D0F" w:rsidRDefault="00394D0F">
            <w:pPr>
              <w:jc w:val="right"/>
              <w:rPr>
                <w:color w:val="000000"/>
                <w:sz w:val="24"/>
                <w:szCs w:val="24"/>
              </w:rPr>
            </w:pPr>
            <w:r>
              <w:rPr>
                <w:color w:val="000000"/>
              </w:rPr>
              <w:t>68</w:t>
            </w:r>
          </w:p>
        </w:tc>
        <w:tc>
          <w:tcPr>
            <w:tcW w:w="291" w:type="pct"/>
            <w:tcBorders>
              <w:top w:val="nil"/>
              <w:left w:val="double" w:sz="6" w:space="0" w:color="auto"/>
              <w:bottom w:val="single" w:sz="4" w:space="0" w:color="auto"/>
              <w:right w:val="nil"/>
            </w:tcBorders>
            <w:shd w:val="clear" w:color="000000" w:fill="F2DCDB"/>
            <w:vAlign w:val="center"/>
          </w:tcPr>
          <w:p w14:paraId="7D18663B" w14:textId="77777777" w:rsidR="00394D0F" w:rsidRDefault="00394D0F">
            <w:pPr>
              <w:jc w:val="right"/>
              <w:rPr>
                <w:color w:val="000000"/>
                <w:sz w:val="24"/>
                <w:szCs w:val="24"/>
              </w:rPr>
            </w:pPr>
            <w:r>
              <w:rPr>
                <w:color w:val="000000"/>
              </w:rPr>
              <w:t>14</w:t>
            </w:r>
          </w:p>
        </w:tc>
        <w:tc>
          <w:tcPr>
            <w:tcW w:w="299" w:type="pct"/>
            <w:tcBorders>
              <w:top w:val="nil"/>
              <w:left w:val="double" w:sz="6" w:space="0" w:color="auto"/>
              <w:bottom w:val="single" w:sz="4" w:space="0" w:color="auto"/>
              <w:right w:val="nil"/>
            </w:tcBorders>
            <w:shd w:val="clear" w:color="000000" w:fill="F2DCDB"/>
            <w:vAlign w:val="center"/>
          </w:tcPr>
          <w:p w14:paraId="2C16D993" w14:textId="77777777" w:rsidR="00394D0F" w:rsidRDefault="00394D0F">
            <w:pPr>
              <w:jc w:val="right"/>
              <w:rPr>
                <w:color w:val="000000"/>
                <w:sz w:val="24"/>
                <w:szCs w:val="24"/>
              </w:rPr>
            </w:pPr>
            <w:r>
              <w:rPr>
                <w:color w:val="000000"/>
              </w:rPr>
              <w:t>18</w:t>
            </w:r>
          </w:p>
        </w:tc>
        <w:tc>
          <w:tcPr>
            <w:tcW w:w="222" w:type="pct"/>
            <w:tcBorders>
              <w:top w:val="nil"/>
              <w:left w:val="double" w:sz="6" w:space="0" w:color="auto"/>
              <w:bottom w:val="single" w:sz="4" w:space="0" w:color="auto"/>
              <w:right w:val="nil"/>
            </w:tcBorders>
            <w:shd w:val="clear" w:color="000000" w:fill="F2DCDB"/>
            <w:vAlign w:val="center"/>
          </w:tcPr>
          <w:p w14:paraId="03A5A4DD" w14:textId="77777777" w:rsidR="00394D0F" w:rsidRDefault="00394D0F">
            <w:pPr>
              <w:jc w:val="right"/>
              <w:rPr>
                <w:color w:val="000000"/>
                <w:sz w:val="24"/>
                <w:szCs w:val="24"/>
              </w:rPr>
            </w:pPr>
            <w:r>
              <w:rPr>
                <w:color w:val="000000"/>
              </w:rPr>
              <w:t>66</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4B25834" w14:textId="77777777" w:rsidR="00394D0F" w:rsidRDefault="00394D0F">
            <w:pPr>
              <w:jc w:val="right"/>
              <w:rPr>
                <w:color w:val="000000"/>
                <w:sz w:val="24"/>
                <w:szCs w:val="24"/>
              </w:rPr>
            </w:pPr>
            <w:r>
              <w:rPr>
                <w:color w:val="000000"/>
              </w:rPr>
              <w:t>40</w:t>
            </w:r>
          </w:p>
        </w:tc>
      </w:tr>
      <w:tr w:rsidR="00394D0F" w:rsidRPr="000A46ED" w14:paraId="5366805C"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EBB8BC4" w14:textId="2AB6646C"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my learning as I get older.</w:t>
            </w:r>
          </w:p>
        </w:tc>
        <w:tc>
          <w:tcPr>
            <w:tcW w:w="255" w:type="pct"/>
            <w:tcBorders>
              <w:top w:val="nil"/>
              <w:left w:val="double" w:sz="6" w:space="0" w:color="auto"/>
              <w:bottom w:val="single" w:sz="4" w:space="0" w:color="auto"/>
              <w:right w:val="nil"/>
            </w:tcBorders>
            <w:shd w:val="clear" w:color="000000" w:fill="F2DCDB"/>
            <w:vAlign w:val="center"/>
          </w:tcPr>
          <w:p w14:paraId="7BEDDBB4" w14:textId="77777777" w:rsidR="00394D0F" w:rsidRDefault="00394D0F">
            <w:pPr>
              <w:jc w:val="right"/>
              <w:rPr>
                <w:color w:val="000000"/>
                <w:sz w:val="24"/>
                <w:szCs w:val="24"/>
              </w:rPr>
            </w:pPr>
            <w:r>
              <w:rPr>
                <w:color w:val="000000"/>
              </w:rPr>
              <w:t>282</w:t>
            </w:r>
          </w:p>
        </w:tc>
        <w:tc>
          <w:tcPr>
            <w:tcW w:w="256" w:type="pct"/>
            <w:tcBorders>
              <w:top w:val="nil"/>
              <w:left w:val="double" w:sz="6" w:space="0" w:color="auto"/>
              <w:bottom w:val="single" w:sz="4" w:space="0" w:color="auto"/>
              <w:right w:val="nil"/>
            </w:tcBorders>
            <w:shd w:val="clear" w:color="000000" w:fill="F2DCDB"/>
            <w:vAlign w:val="center"/>
          </w:tcPr>
          <w:p w14:paraId="6F12922E" w14:textId="77777777" w:rsidR="00394D0F" w:rsidRDefault="00394D0F">
            <w:pPr>
              <w:jc w:val="right"/>
              <w:rPr>
                <w:color w:val="000000"/>
                <w:sz w:val="24"/>
                <w:szCs w:val="24"/>
              </w:rPr>
            </w:pPr>
            <w:r>
              <w:rPr>
                <w:color w:val="000000"/>
              </w:rPr>
              <w:t>217</w:t>
            </w:r>
          </w:p>
        </w:tc>
        <w:tc>
          <w:tcPr>
            <w:tcW w:w="249" w:type="pct"/>
            <w:tcBorders>
              <w:top w:val="nil"/>
              <w:left w:val="double" w:sz="6" w:space="0" w:color="auto"/>
              <w:bottom w:val="single" w:sz="4" w:space="0" w:color="auto"/>
              <w:right w:val="nil"/>
            </w:tcBorders>
            <w:shd w:val="clear" w:color="000000" w:fill="F2DCDB"/>
            <w:vAlign w:val="center"/>
          </w:tcPr>
          <w:p w14:paraId="367EF06A" w14:textId="77777777" w:rsidR="00394D0F" w:rsidRDefault="00394D0F">
            <w:pPr>
              <w:jc w:val="right"/>
              <w:rPr>
                <w:color w:val="000000"/>
                <w:sz w:val="24"/>
                <w:szCs w:val="24"/>
              </w:rPr>
            </w:pPr>
            <w:r>
              <w:rPr>
                <w:color w:val="000000"/>
              </w:rPr>
              <w:t>298</w:t>
            </w:r>
          </w:p>
        </w:tc>
        <w:tc>
          <w:tcPr>
            <w:tcW w:w="249" w:type="pct"/>
            <w:tcBorders>
              <w:top w:val="nil"/>
              <w:left w:val="double" w:sz="6" w:space="0" w:color="auto"/>
              <w:bottom w:val="single" w:sz="4" w:space="0" w:color="auto"/>
              <w:right w:val="nil"/>
            </w:tcBorders>
            <w:shd w:val="clear" w:color="000000" w:fill="F2DCDB"/>
            <w:vAlign w:val="center"/>
          </w:tcPr>
          <w:p w14:paraId="3ED9D62B" w14:textId="77777777" w:rsidR="00394D0F" w:rsidRDefault="00394D0F">
            <w:pPr>
              <w:jc w:val="right"/>
              <w:rPr>
                <w:color w:val="000000"/>
                <w:sz w:val="24"/>
                <w:szCs w:val="24"/>
              </w:rPr>
            </w:pPr>
            <w:r>
              <w:rPr>
                <w:color w:val="000000"/>
              </w:rPr>
              <w:t>313</w:t>
            </w:r>
          </w:p>
        </w:tc>
        <w:tc>
          <w:tcPr>
            <w:tcW w:w="222" w:type="pct"/>
            <w:tcBorders>
              <w:top w:val="nil"/>
              <w:left w:val="double" w:sz="6" w:space="0" w:color="auto"/>
              <w:bottom w:val="single" w:sz="4" w:space="0" w:color="auto"/>
              <w:right w:val="nil"/>
            </w:tcBorders>
            <w:shd w:val="clear" w:color="000000" w:fill="F2DCDB"/>
            <w:vAlign w:val="center"/>
          </w:tcPr>
          <w:p w14:paraId="45FA0A49" w14:textId="77777777" w:rsidR="00394D0F" w:rsidRDefault="00394D0F">
            <w:pPr>
              <w:jc w:val="right"/>
              <w:rPr>
                <w:color w:val="000000"/>
                <w:sz w:val="24"/>
                <w:szCs w:val="24"/>
              </w:rPr>
            </w:pPr>
            <w:r>
              <w:rPr>
                <w:color w:val="000000"/>
              </w:rPr>
              <w:t>27</w:t>
            </w:r>
          </w:p>
        </w:tc>
        <w:tc>
          <w:tcPr>
            <w:tcW w:w="228" w:type="pct"/>
            <w:tcBorders>
              <w:top w:val="nil"/>
              <w:left w:val="double" w:sz="6" w:space="0" w:color="auto"/>
              <w:bottom w:val="single" w:sz="4" w:space="0" w:color="auto"/>
              <w:right w:val="nil"/>
            </w:tcBorders>
            <w:shd w:val="clear" w:color="000000" w:fill="F2DCDB"/>
            <w:vAlign w:val="center"/>
          </w:tcPr>
          <w:p w14:paraId="2469641E" w14:textId="77777777" w:rsidR="00394D0F" w:rsidRDefault="00394D0F">
            <w:pPr>
              <w:jc w:val="right"/>
              <w:rPr>
                <w:color w:val="000000"/>
                <w:sz w:val="24"/>
                <w:szCs w:val="24"/>
              </w:rPr>
            </w:pPr>
            <w:r>
              <w:rPr>
                <w:color w:val="000000"/>
              </w:rPr>
              <w:t>33</w:t>
            </w:r>
          </w:p>
        </w:tc>
        <w:tc>
          <w:tcPr>
            <w:tcW w:w="291" w:type="pct"/>
            <w:tcBorders>
              <w:top w:val="nil"/>
              <w:left w:val="double" w:sz="6" w:space="0" w:color="auto"/>
              <w:bottom w:val="single" w:sz="4" w:space="0" w:color="auto"/>
              <w:right w:val="nil"/>
            </w:tcBorders>
            <w:shd w:val="clear" w:color="000000" w:fill="F2DCDB"/>
            <w:vAlign w:val="center"/>
          </w:tcPr>
          <w:p w14:paraId="7A32A551" w14:textId="77777777" w:rsidR="00394D0F" w:rsidRDefault="00394D0F">
            <w:pPr>
              <w:jc w:val="right"/>
              <w:rPr>
                <w:color w:val="000000"/>
                <w:sz w:val="24"/>
                <w:szCs w:val="24"/>
              </w:rPr>
            </w:pPr>
            <w:r>
              <w:rPr>
                <w:color w:val="000000"/>
              </w:rPr>
              <w:t>8</w:t>
            </w:r>
          </w:p>
        </w:tc>
        <w:tc>
          <w:tcPr>
            <w:tcW w:w="299" w:type="pct"/>
            <w:tcBorders>
              <w:top w:val="nil"/>
              <w:left w:val="double" w:sz="6" w:space="0" w:color="auto"/>
              <w:bottom w:val="single" w:sz="4" w:space="0" w:color="auto"/>
              <w:right w:val="nil"/>
            </w:tcBorders>
            <w:shd w:val="clear" w:color="000000" w:fill="F2DCDB"/>
            <w:vAlign w:val="center"/>
          </w:tcPr>
          <w:p w14:paraId="03FD0D24" w14:textId="77777777" w:rsidR="00394D0F" w:rsidRDefault="00394D0F">
            <w:pPr>
              <w:jc w:val="right"/>
              <w:rPr>
                <w:color w:val="000000"/>
                <w:sz w:val="24"/>
                <w:szCs w:val="24"/>
              </w:rPr>
            </w:pPr>
            <w:r>
              <w:rPr>
                <w:color w:val="000000"/>
              </w:rPr>
              <w:t>6</w:t>
            </w:r>
          </w:p>
        </w:tc>
        <w:tc>
          <w:tcPr>
            <w:tcW w:w="222" w:type="pct"/>
            <w:tcBorders>
              <w:top w:val="nil"/>
              <w:left w:val="double" w:sz="6" w:space="0" w:color="auto"/>
              <w:bottom w:val="single" w:sz="4" w:space="0" w:color="auto"/>
              <w:right w:val="nil"/>
            </w:tcBorders>
            <w:shd w:val="clear" w:color="000000" w:fill="F2DCDB"/>
            <w:vAlign w:val="center"/>
          </w:tcPr>
          <w:p w14:paraId="1DEDC32C" w14:textId="77777777" w:rsidR="00394D0F" w:rsidRDefault="00394D0F">
            <w:pPr>
              <w:jc w:val="right"/>
              <w:rPr>
                <w:color w:val="000000"/>
                <w:sz w:val="24"/>
                <w:szCs w:val="24"/>
              </w:rPr>
            </w:pPr>
            <w:r>
              <w:rPr>
                <w:color w:val="000000"/>
              </w:rPr>
              <w:t>35</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5651F17" w14:textId="77777777" w:rsidR="00394D0F" w:rsidRDefault="00394D0F">
            <w:pPr>
              <w:jc w:val="right"/>
              <w:rPr>
                <w:color w:val="000000"/>
                <w:sz w:val="24"/>
                <w:szCs w:val="24"/>
              </w:rPr>
            </w:pPr>
            <w:r>
              <w:rPr>
                <w:color w:val="000000"/>
              </w:rPr>
              <w:t>46</w:t>
            </w:r>
          </w:p>
        </w:tc>
      </w:tr>
      <w:tr w:rsidR="00394D0F" w:rsidRPr="000A46ED" w14:paraId="63B65011"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E571C72" w14:textId="323751FC"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 My teacher expects more of me in reading as I get older.</w:t>
            </w:r>
          </w:p>
        </w:tc>
        <w:tc>
          <w:tcPr>
            <w:tcW w:w="255" w:type="pct"/>
            <w:tcBorders>
              <w:top w:val="nil"/>
              <w:left w:val="double" w:sz="6" w:space="0" w:color="auto"/>
              <w:bottom w:val="single" w:sz="4" w:space="0" w:color="auto"/>
              <w:right w:val="nil"/>
            </w:tcBorders>
            <w:shd w:val="clear" w:color="000000" w:fill="F2DCDB"/>
            <w:vAlign w:val="center"/>
          </w:tcPr>
          <w:p w14:paraId="0EEAFEC9" w14:textId="77777777" w:rsidR="00394D0F" w:rsidRDefault="00394D0F">
            <w:pPr>
              <w:jc w:val="right"/>
              <w:rPr>
                <w:color w:val="000000"/>
                <w:sz w:val="24"/>
                <w:szCs w:val="24"/>
              </w:rPr>
            </w:pPr>
            <w:r>
              <w:rPr>
                <w:color w:val="000000"/>
              </w:rPr>
              <w:t>272</w:t>
            </w:r>
          </w:p>
        </w:tc>
        <w:tc>
          <w:tcPr>
            <w:tcW w:w="256" w:type="pct"/>
            <w:tcBorders>
              <w:top w:val="nil"/>
              <w:left w:val="double" w:sz="6" w:space="0" w:color="auto"/>
              <w:bottom w:val="single" w:sz="4" w:space="0" w:color="auto"/>
              <w:right w:val="nil"/>
            </w:tcBorders>
            <w:shd w:val="clear" w:color="000000" w:fill="F2DCDB"/>
            <w:vAlign w:val="center"/>
          </w:tcPr>
          <w:p w14:paraId="683D0F6D" w14:textId="77777777" w:rsidR="00394D0F" w:rsidRDefault="00394D0F">
            <w:pPr>
              <w:jc w:val="right"/>
              <w:rPr>
                <w:color w:val="000000"/>
                <w:sz w:val="24"/>
                <w:szCs w:val="24"/>
              </w:rPr>
            </w:pPr>
            <w:r>
              <w:rPr>
                <w:color w:val="000000"/>
              </w:rPr>
              <w:t>246</w:t>
            </w:r>
          </w:p>
        </w:tc>
        <w:tc>
          <w:tcPr>
            <w:tcW w:w="249" w:type="pct"/>
            <w:tcBorders>
              <w:top w:val="nil"/>
              <w:left w:val="double" w:sz="6" w:space="0" w:color="auto"/>
              <w:bottom w:val="single" w:sz="4" w:space="0" w:color="auto"/>
              <w:right w:val="nil"/>
            </w:tcBorders>
            <w:shd w:val="clear" w:color="000000" w:fill="F2DCDB"/>
            <w:vAlign w:val="center"/>
          </w:tcPr>
          <w:p w14:paraId="0985C176" w14:textId="77777777" w:rsidR="00394D0F" w:rsidRDefault="00394D0F">
            <w:pPr>
              <w:jc w:val="right"/>
              <w:rPr>
                <w:color w:val="000000"/>
                <w:sz w:val="24"/>
                <w:szCs w:val="24"/>
              </w:rPr>
            </w:pPr>
            <w:r>
              <w:rPr>
                <w:color w:val="000000"/>
              </w:rPr>
              <w:t>265</w:t>
            </w:r>
          </w:p>
        </w:tc>
        <w:tc>
          <w:tcPr>
            <w:tcW w:w="249" w:type="pct"/>
            <w:tcBorders>
              <w:top w:val="nil"/>
              <w:left w:val="double" w:sz="6" w:space="0" w:color="auto"/>
              <w:bottom w:val="single" w:sz="4" w:space="0" w:color="auto"/>
              <w:right w:val="nil"/>
            </w:tcBorders>
            <w:shd w:val="clear" w:color="000000" w:fill="F2DCDB"/>
            <w:vAlign w:val="center"/>
          </w:tcPr>
          <w:p w14:paraId="6B5B7ED1" w14:textId="77777777" w:rsidR="00394D0F" w:rsidRDefault="00394D0F">
            <w:pPr>
              <w:jc w:val="right"/>
              <w:rPr>
                <w:color w:val="000000"/>
                <w:sz w:val="24"/>
                <w:szCs w:val="24"/>
              </w:rPr>
            </w:pPr>
            <w:r>
              <w:rPr>
                <w:color w:val="000000"/>
              </w:rPr>
              <w:t>279</w:t>
            </w:r>
          </w:p>
        </w:tc>
        <w:tc>
          <w:tcPr>
            <w:tcW w:w="222" w:type="pct"/>
            <w:tcBorders>
              <w:top w:val="nil"/>
              <w:left w:val="double" w:sz="6" w:space="0" w:color="auto"/>
              <w:bottom w:val="single" w:sz="4" w:space="0" w:color="auto"/>
              <w:right w:val="nil"/>
            </w:tcBorders>
            <w:shd w:val="clear" w:color="000000" w:fill="F2DCDB"/>
            <w:vAlign w:val="center"/>
          </w:tcPr>
          <w:p w14:paraId="301D058C" w14:textId="77777777" w:rsidR="00394D0F" w:rsidRDefault="00394D0F">
            <w:pPr>
              <w:jc w:val="right"/>
              <w:rPr>
                <w:color w:val="000000"/>
                <w:sz w:val="24"/>
                <w:szCs w:val="24"/>
              </w:rPr>
            </w:pPr>
            <w:r>
              <w:rPr>
                <w:color w:val="000000"/>
              </w:rPr>
              <w:t>28</w:t>
            </w:r>
          </w:p>
        </w:tc>
        <w:tc>
          <w:tcPr>
            <w:tcW w:w="228" w:type="pct"/>
            <w:tcBorders>
              <w:top w:val="nil"/>
              <w:left w:val="double" w:sz="6" w:space="0" w:color="auto"/>
              <w:bottom w:val="single" w:sz="4" w:space="0" w:color="auto"/>
              <w:right w:val="nil"/>
            </w:tcBorders>
            <w:shd w:val="clear" w:color="000000" w:fill="F2DCDB"/>
            <w:vAlign w:val="center"/>
          </w:tcPr>
          <w:p w14:paraId="646A9BCE" w14:textId="77777777" w:rsidR="00394D0F" w:rsidRDefault="00394D0F">
            <w:pPr>
              <w:jc w:val="right"/>
              <w:rPr>
                <w:color w:val="000000"/>
                <w:sz w:val="24"/>
                <w:szCs w:val="24"/>
              </w:rPr>
            </w:pPr>
            <w:r>
              <w:rPr>
                <w:color w:val="000000"/>
              </w:rPr>
              <w:t>27</w:t>
            </w:r>
          </w:p>
        </w:tc>
        <w:tc>
          <w:tcPr>
            <w:tcW w:w="291" w:type="pct"/>
            <w:tcBorders>
              <w:top w:val="nil"/>
              <w:left w:val="double" w:sz="6" w:space="0" w:color="auto"/>
              <w:bottom w:val="single" w:sz="4" w:space="0" w:color="auto"/>
              <w:right w:val="nil"/>
            </w:tcBorders>
            <w:shd w:val="clear" w:color="000000" w:fill="F2DCDB"/>
            <w:vAlign w:val="center"/>
          </w:tcPr>
          <w:p w14:paraId="68E826C5" w14:textId="77777777" w:rsidR="00394D0F" w:rsidRDefault="00394D0F">
            <w:pPr>
              <w:jc w:val="right"/>
              <w:rPr>
                <w:color w:val="000000"/>
                <w:sz w:val="24"/>
                <w:szCs w:val="24"/>
              </w:rPr>
            </w:pPr>
            <w:r>
              <w:rPr>
                <w:color w:val="000000"/>
              </w:rPr>
              <w:t>7</w:t>
            </w:r>
          </w:p>
        </w:tc>
        <w:tc>
          <w:tcPr>
            <w:tcW w:w="299" w:type="pct"/>
            <w:tcBorders>
              <w:top w:val="nil"/>
              <w:left w:val="double" w:sz="6" w:space="0" w:color="auto"/>
              <w:bottom w:val="single" w:sz="4" w:space="0" w:color="auto"/>
              <w:right w:val="nil"/>
            </w:tcBorders>
            <w:shd w:val="clear" w:color="000000" w:fill="F2DCDB"/>
            <w:vAlign w:val="center"/>
          </w:tcPr>
          <w:p w14:paraId="2D2433DA" w14:textId="77777777" w:rsidR="00394D0F" w:rsidRDefault="00394D0F">
            <w:pPr>
              <w:jc w:val="right"/>
              <w:rPr>
                <w:color w:val="000000"/>
                <w:sz w:val="24"/>
                <w:szCs w:val="24"/>
              </w:rPr>
            </w:pPr>
            <w:r>
              <w:rPr>
                <w:color w:val="000000"/>
              </w:rPr>
              <w:t>11</w:t>
            </w:r>
          </w:p>
        </w:tc>
        <w:tc>
          <w:tcPr>
            <w:tcW w:w="222" w:type="pct"/>
            <w:tcBorders>
              <w:top w:val="nil"/>
              <w:left w:val="double" w:sz="6" w:space="0" w:color="auto"/>
              <w:bottom w:val="single" w:sz="4" w:space="0" w:color="auto"/>
              <w:right w:val="nil"/>
            </w:tcBorders>
            <w:shd w:val="clear" w:color="000000" w:fill="F2DCDB"/>
            <w:vAlign w:val="center"/>
          </w:tcPr>
          <w:p w14:paraId="60E5F554" w14:textId="77777777" w:rsidR="00394D0F" w:rsidRDefault="00394D0F">
            <w:pPr>
              <w:jc w:val="right"/>
              <w:rPr>
                <w:color w:val="000000"/>
                <w:sz w:val="24"/>
                <w:szCs w:val="24"/>
              </w:rPr>
            </w:pPr>
            <w:r>
              <w:rPr>
                <w:color w:val="000000"/>
              </w:rPr>
              <w:t>77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1018E20" w14:textId="77777777" w:rsidR="00394D0F" w:rsidRDefault="00394D0F">
            <w:pPr>
              <w:jc w:val="right"/>
              <w:rPr>
                <w:color w:val="000000"/>
                <w:sz w:val="24"/>
                <w:szCs w:val="24"/>
              </w:rPr>
            </w:pPr>
            <w:r>
              <w:rPr>
                <w:color w:val="000000"/>
              </w:rPr>
              <w:t>50</w:t>
            </w:r>
          </w:p>
        </w:tc>
      </w:tr>
      <w:tr w:rsidR="00394D0F" w:rsidRPr="000A46ED" w14:paraId="1018FFAD"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42A927C" w14:textId="0F5106B8"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 My teacher tells me what I am learning in reading and why.</w:t>
            </w:r>
          </w:p>
        </w:tc>
        <w:tc>
          <w:tcPr>
            <w:tcW w:w="255" w:type="pct"/>
            <w:tcBorders>
              <w:top w:val="nil"/>
              <w:left w:val="double" w:sz="6" w:space="0" w:color="auto"/>
              <w:bottom w:val="single" w:sz="4" w:space="0" w:color="auto"/>
              <w:right w:val="nil"/>
            </w:tcBorders>
            <w:shd w:val="clear" w:color="000000" w:fill="F2DCDB"/>
            <w:vAlign w:val="center"/>
          </w:tcPr>
          <w:p w14:paraId="504297FB" w14:textId="77777777" w:rsidR="00394D0F" w:rsidRDefault="00394D0F">
            <w:pPr>
              <w:jc w:val="right"/>
              <w:rPr>
                <w:color w:val="000000"/>
                <w:sz w:val="24"/>
                <w:szCs w:val="24"/>
              </w:rPr>
            </w:pPr>
            <w:r>
              <w:rPr>
                <w:color w:val="000000"/>
              </w:rPr>
              <w:t>222</w:t>
            </w:r>
          </w:p>
        </w:tc>
        <w:tc>
          <w:tcPr>
            <w:tcW w:w="256" w:type="pct"/>
            <w:tcBorders>
              <w:top w:val="nil"/>
              <w:left w:val="double" w:sz="6" w:space="0" w:color="auto"/>
              <w:bottom w:val="single" w:sz="4" w:space="0" w:color="auto"/>
              <w:right w:val="nil"/>
            </w:tcBorders>
            <w:shd w:val="clear" w:color="000000" w:fill="F2DCDB"/>
            <w:vAlign w:val="center"/>
          </w:tcPr>
          <w:p w14:paraId="25CD5878" w14:textId="77777777" w:rsidR="00394D0F" w:rsidRDefault="00394D0F">
            <w:pPr>
              <w:jc w:val="right"/>
              <w:rPr>
                <w:color w:val="000000"/>
                <w:sz w:val="24"/>
                <w:szCs w:val="24"/>
              </w:rPr>
            </w:pPr>
            <w:r>
              <w:rPr>
                <w:color w:val="000000"/>
              </w:rPr>
              <w:t>195</w:t>
            </w:r>
          </w:p>
        </w:tc>
        <w:tc>
          <w:tcPr>
            <w:tcW w:w="249" w:type="pct"/>
            <w:tcBorders>
              <w:top w:val="nil"/>
              <w:left w:val="double" w:sz="6" w:space="0" w:color="auto"/>
              <w:bottom w:val="single" w:sz="4" w:space="0" w:color="auto"/>
              <w:right w:val="nil"/>
            </w:tcBorders>
            <w:shd w:val="clear" w:color="000000" w:fill="F2DCDB"/>
            <w:vAlign w:val="center"/>
          </w:tcPr>
          <w:p w14:paraId="51C7B6BB" w14:textId="77777777" w:rsidR="00394D0F" w:rsidRDefault="00394D0F">
            <w:pPr>
              <w:jc w:val="right"/>
              <w:rPr>
                <w:color w:val="000000"/>
                <w:sz w:val="24"/>
                <w:szCs w:val="24"/>
              </w:rPr>
            </w:pPr>
            <w:r>
              <w:rPr>
                <w:color w:val="000000"/>
              </w:rPr>
              <w:t>312</w:t>
            </w:r>
          </w:p>
        </w:tc>
        <w:tc>
          <w:tcPr>
            <w:tcW w:w="249" w:type="pct"/>
            <w:tcBorders>
              <w:top w:val="nil"/>
              <w:left w:val="double" w:sz="6" w:space="0" w:color="auto"/>
              <w:bottom w:val="single" w:sz="4" w:space="0" w:color="auto"/>
              <w:right w:val="nil"/>
            </w:tcBorders>
            <w:shd w:val="clear" w:color="000000" w:fill="F2DCDB"/>
            <w:vAlign w:val="center"/>
          </w:tcPr>
          <w:p w14:paraId="75B9F42E" w14:textId="77777777" w:rsidR="00394D0F" w:rsidRDefault="00394D0F">
            <w:pPr>
              <w:jc w:val="right"/>
              <w:rPr>
                <w:color w:val="000000"/>
                <w:sz w:val="24"/>
                <w:szCs w:val="24"/>
              </w:rPr>
            </w:pPr>
            <w:r>
              <w:rPr>
                <w:color w:val="000000"/>
              </w:rPr>
              <w:t>296</w:t>
            </w:r>
          </w:p>
        </w:tc>
        <w:tc>
          <w:tcPr>
            <w:tcW w:w="222" w:type="pct"/>
            <w:tcBorders>
              <w:top w:val="nil"/>
              <w:left w:val="double" w:sz="6" w:space="0" w:color="auto"/>
              <w:bottom w:val="single" w:sz="4" w:space="0" w:color="auto"/>
              <w:right w:val="nil"/>
            </w:tcBorders>
            <w:shd w:val="clear" w:color="000000" w:fill="F2DCDB"/>
            <w:vAlign w:val="center"/>
          </w:tcPr>
          <w:p w14:paraId="79D97727" w14:textId="77777777" w:rsidR="00394D0F" w:rsidRDefault="00394D0F">
            <w:pPr>
              <w:jc w:val="right"/>
              <w:rPr>
                <w:color w:val="000000"/>
                <w:sz w:val="24"/>
                <w:szCs w:val="24"/>
              </w:rPr>
            </w:pPr>
            <w:r>
              <w:rPr>
                <w:color w:val="000000"/>
              </w:rPr>
              <w:t>67</w:t>
            </w:r>
          </w:p>
        </w:tc>
        <w:tc>
          <w:tcPr>
            <w:tcW w:w="228" w:type="pct"/>
            <w:tcBorders>
              <w:top w:val="nil"/>
              <w:left w:val="double" w:sz="6" w:space="0" w:color="auto"/>
              <w:bottom w:val="single" w:sz="4" w:space="0" w:color="auto"/>
              <w:right w:val="nil"/>
            </w:tcBorders>
            <w:shd w:val="clear" w:color="000000" w:fill="F2DCDB"/>
            <w:vAlign w:val="center"/>
          </w:tcPr>
          <w:p w14:paraId="26BD097B" w14:textId="77777777" w:rsidR="00394D0F" w:rsidRDefault="00394D0F">
            <w:pPr>
              <w:jc w:val="right"/>
              <w:rPr>
                <w:color w:val="000000"/>
                <w:sz w:val="24"/>
                <w:szCs w:val="24"/>
              </w:rPr>
            </w:pPr>
            <w:r>
              <w:rPr>
                <w:color w:val="000000"/>
              </w:rPr>
              <w:t>56</w:t>
            </w:r>
          </w:p>
        </w:tc>
        <w:tc>
          <w:tcPr>
            <w:tcW w:w="291" w:type="pct"/>
            <w:tcBorders>
              <w:top w:val="nil"/>
              <w:left w:val="double" w:sz="6" w:space="0" w:color="auto"/>
              <w:bottom w:val="single" w:sz="4" w:space="0" w:color="auto"/>
              <w:right w:val="nil"/>
            </w:tcBorders>
            <w:shd w:val="clear" w:color="000000" w:fill="F2DCDB"/>
            <w:vAlign w:val="center"/>
          </w:tcPr>
          <w:p w14:paraId="3D218654" w14:textId="77777777" w:rsidR="00394D0F" w:rsidRDefault="00394D0F">
            <w:pPr>
              <w:jc w:val="right"/>
              <w:rPr>
                <w:color w:val="000000"/>
                <w:sz w:val="24"/>
                <w:szCs w:val="24"/>
              </w:rPr>
            </w:pPr>
            <w:r>
              <w:rPr>
                <w:color w:val="000000"/>
              </w:rPr>
              <w:t>5</w:t>
            </w:r>
          </w:p>
        </w:tc>
        <w:tc>
          <w:tcPr>
            <w:tcW w:w="299" w:type="pct"/>
            <w:tcBorders>
              <w:top w:val="nil"/>
              <w:left w:val="double" w:sz="6" w:space="0" w:color="auto"/>
              <w:bottom w:val="single" w:sz="4" w:space="0" w:color="auto"/>
              <w:right w:val="nil"/>
            </w:tcBorders>
            <w:shd w:val="clear" w:color="000000" w:fill="F2DCDB"/>
            <w:vAlign w:val="center"/>
          </w:tcPr>
          <w:p w14:paraId="4A2B2BC4" w14:textId="77777777" w:rsidR="00394D0F" w:rsidRDefault="00394D0F">
            <w:pPr>
              <w:jc w:val="right"/>
              <w:rPr>
                <w:color w:val="000000"/>
                <w:sz w:val="24"/>
                <w:szCs w:val="24"/>
              </w:rPr>
            </w:pPr>
            <w:r>
              <w:rPr>
                <w:color w:val="000000"/>
              </w:rPr>
              <w:t>10</w:t>
            </w:r>
          </w:p>
        </w:tc>
        <w:tc>
          <w:tcPr>
            <w:tcW w:w="222" w:type="pct"/>
            <w:tcBorders>
              <w:top w:val="nil"/>
              <w:left w:val="double" w:sz="6" w:space="0" w:color="auto"/>
              <w:bottom w:val="single" w:sz="4" w:space="0" w:color="auto"/>
              <w:right w:val="nil"/>
            </w:tcBorders>
            <w:shd w:val="clear" w:color="000000" w:fill="F2DCDB"/>
            <w:vAlign w:val="center"/>
          </w:tcPr>
          <w:p w14:paraId="753AE394" w14:textId="77777777" w:rsidR="00394D0F" w:rsidRDefault="00394D0F">
            <w:pPr>
              <w:jc w:val="right"/>
              <w:rPr>
                <w:color w:val="000000"/>
                <w:sz w:val="24"/>
                <w:szCs w:val="24"/>
              </w:rPr>
            </w:pPr>
            <w:r>
              <w:rPr>
                <w:color w:val="000000"/>
              </w:rPr>
              <w:t>45</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F399BC0" w14:textId="77777777" w:rsidR="00394D0F" w:rsidRDefault="00394D0F">
            <w:pPr>
              <w:jc w:val="right"/>
              <w:rPr>
                <w:color w:val="000000"/>
                <w:sz w:val="24"/>
                <w:szCs w:val="24"/>
              </w:rPr>
            </w:pPr>
            <w:r>
              <w:rPr>
                <w:color w:val="000000"/>
              </w:rPr>
              <w:t>56</w:t>
            </w:r>
          </w:p>
        </w:tc>
      </w:tr>
      <w:tr w:rsidR="00394D0F" w:rsidRPr="000A46ED" w14:paraId="6B25507F"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A154B1E" w14:textId="327B6FFA"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 The activities my teachers use in reading help me learn.</w:t>
            </w:r>
          </w:p>
        </w:tc>
        <w:tc>
          <w:tcPr>
            <w:tcW w:w="255" w:type="pct"/>
            <w:tcBorders>
              <w:top w:val="nil"/>
              <w:left w:val="double" w:sz="6" w:space="0" w:color="auto"/>
              <w:bottom w:val="single" w:sz="4" w:space="0" w:color="auto"/>
              <w:right w:val="nil"/>
            </w:tcBorders>
            <w:shd w:val="clear" w:color="000000" w:fill="F2DCDB"/>
            <w:vAlign w:val="center"/>
          </w:tcPr>
          <w:p w14:paraId="0DEF8B61" w14:textId="77777777" w:rsidR="00394D0F" w:rsidRDefault="00394D0F">
            <w:pPr>
              <w:jc w:val="right"/>
              <w:rPr>
                <w:color w:val="000000"/>
                <w:sz w:val="24"/>
                <w:szCs w:val="24"/>
              </w:rPr>
            </w:pPr>
            <w:r>
              <w:rPr>
                <w:color w:val="000000"/>
              </w:rPr>
              <w:t>273</w:t>
            </w:r>
          </w:p>
        </w:tc>
        <w:tc>
          <w:tcPr>
            <w:tcW w:w="256" w:type="pct"/>
            <w:tcBorders>
              <w:top w:val="nil"/>
              <w:left w:val="double" w:sz="6" w:space="0" w:color="auto"/>
              <w:bottom w:val="single" w:sz="4" w:space="0" w:color="auto"/>
              <w:right w:val="nil"/>
            </w:tcBorders>
            <w:shd w:val="clear" w:color="000000" w:fill="F2DCDB"/>
            <w:vAlign w:val="center"/>
          </w:tcPr>
          <w:p w14:paraId="39C2B4AC" w14:textId="77777777" w:rsidR="00394D0F" w:rsidRDefault="00394D0F">
            <w:pPr>
              <w:jc w:val="right"/>
              <w:rPr>
                <w:color w:val="000000"/>
                <w:sz w:val="24"/>
                <w:szCs w:val="24"/>
              </w:rPr>
            </w:pPr>
            <w:r>
              <w:rPr>
                <w:color w:val="000000"/>
              </w:rPr>
              <w:t>212</w:t>
            </w:r>
          </w:p>
        </w:tc>
        <w:tc>
          <w:tcPr>
            <w:tcW w:w="249" w:type="pct"/>
            <w:tcBorders>
              <w:top w:val="nil"/>
              <w:left w:val="double" w:sz="6" w:space="0" w:color="auto"/>
              <w:bottom w:val="single" w:sz="4" w:space="0" w:color="auto"/>
              <w:right w:val="nil"/>
            </w:tcBorders>
            <w:shd w:val="clear" w:color="000000" w:fill="F2DCDB"/>
            <w:vAlign w:val="center"/>
          </w:tcPr>
          <w:p w14:paraId="7D99F94E" w14:textId="77777777" w:rsidR="00394D0F" w:rsidRDefault="00394D0F">
            <w:pPr>
              <w:jc w:val="right"/>
              <w:rPr>
                <w:color w:val="000000"/>
                <w:sz w:val="24"/>
                <w:szCs w:val="24"/>
              </w:rPr>
            </w:pPr>
            <w:r>
              <w:rPr>
                <w:color w:val="000000"/>
              </w:rPr>
              <w:t>284</w:t>
            </w:r>
          </w:p>
        </w:tc>
        <w:tc>
          <w:tcPr>
            <w:tcW w:w="249" w:type="pct"/>
            <w:tcBorders>
              <w:top w:val="nil"/>
              <w:left w:val="double" w:sz="6" w:space="0" w:color="auto"/>
              <w:bottom w:val="single" w:sz="4" w:space="0" w:color="auto"/>
              <w:right w:val="nil"/>
            </w:tcBorders>
            <w:shd w:val="clear" w:color="000000" w:fill="F2DCDB"/>
            <w:vAlign w:val="center"/>
          </w:tcPr>
          <w:p w14:paraId="16FE28D7" w14:textId="77777777" w:rsidR="00394D0F" w:rsidRDefault="00394D0F">
            <w:pPr>
              <w:jc w:val="right"/>
              <w:rPr>
                <w:color w:val="000000"/>
                <w:sz w:val="24"/>
                <w:szCs w:val="24"/>
              </w:rPr>
            </w:pPr>
            <w:r>
              <w:rPr>
                <w:color w:val="000000"/>
              </w:rPr>
              <w:t>297</w:t>
            </w:r>
          </w:p>
        </w:tc>
        <w:tc>
          <w:tcPr>
            <w:tcW w:w="222" w:type="pct"/>
            <w:tcBorders>
              <w:top w:val="nil"/>
              <w:left w:val="double" w:sz="6" w:space="0" w:color="auto"/>
              <w:bottom w:val="single" w:sz="4" w:space="0" w:color="auto"/>
              <w:right w:val="nil"/>
            </w:tcBorders>
            <w:shd w:val="clear" w:color="000000" w:fill="F2DCDB"/>
            <w:vAlign w:val="center"/>
          </w:tcPr>
          <w:p w14:paraId="2F716B31" w14:textId="77777777" w:rsidR="00394D0F" w:rsidRDefault="00394D0F">
            <w:pPr>
              <w:jc w:val="right"/>
              <w:rPr>
                <w:color w:val="000000"/>
                <w:sz w:val="24"/>
                <w:szCs w:val="24"/>
              </w:rPr>
            </w:pPr>
            <w:r>
              <w:rPr>
                <w:color w:val="000000"/>
              </w:rPr>
              <w:t>54</w:t>
            </w:r>
          </w:p>
        </w:tc>
        <w:tc>
          <w:tcPr>
            <w:tcW w:w="228" w:type="pct"/>
            <w:tcBorders>
              <w:top w:val="nil"/>
              <w:left w:val="double" w:sz="6" w:space="0" w:color="auto"/>
              <w:bottom w:val="single" w:sz="4" w:space="0" w:color="auto"/>
              <w:right w:val="nil"/>
            </w:tcBorders>
            <w:shd w:val="clear" w:color="000000" w:fill="F2DCDB"/>
            <w:vAlign w:val="center"/>
          </w:tcPr>
          <w:p w14:paraId="2D29FB49" w14:textId="77777777" w:rsidR="00394D0F" w:rsidRDefault="00394D0F">
            <w:pPr>
              <w:jc w:val="right"/>
              <w:rPr>
                <w:color w:val="000000"/>
                <w:sz w:val="24"/>
                <w:szCs w:val="24"/>
              </w:rPr>
            </w:pPr>
            <w:r>
              <w:rPr>
                <w:color w:val="000000"/>
              </w:rPr>
              <w:t>59</w:t>
            </w:r>
          </w:p>
        </w:tc>
        <w:tc>
          <w:tcPr>
            <w:tcW w:w="291" w:type="pct"/>
            <w:tcBorders>
              <w:top w:val="nil"/>
              <w:left w:val="double" w:sz="6" w:space="0" w:color="auto"/>
              <w:bottom w:val="single" w:sz="4" w:space="0" w:color="auto"/>
              <w:right w:val="nil"/>
            </w:tcBorders>
            <w:shd w:val="clear" w:color="000000" w:fill="F2DCDB"/>
            <w:vAlign w:val="center"/>
          </w:tcPr>
          <w:p w14:paraId="3E99FA1C" w14:textId="77777777" w:rsidR="00394D0F" w:rsidRDefault="00394D0F">
            <w:pPr>
              <w:jc w:val="right"/>
              <w:rPr>
                <w:color w:val="000000"/>
                <w:sz w:val="24"/>
                <w:szCs w:val="24"/>
              </w:rPr>
            </w:pPr>
            <w:r>
              <w:rPr>
                <w:color w:val="000000"/>
              </w:rPr>
              <w:t>10</w:t>
            </w:r>
          </w:p>
        </w:tc>
        <w:tc>
          <w:tcPr>
            <w:tcW w:w="299" w:type="pct"/>
            <w:tcBorders>
              <w:top w:val="nil"/>
              <w:left w:val="double" w:sz="6" w:space="0" w:color="auto"/>
              <w:bottom w:val="single" w:sz="4" w:space="0" w:color="auto"/>
              <w:right w:val="nil"/>
            </w:tcBorders>
            <w:shd w:val="clear" w:color="000000" w:fill="F2DCDB"/>
            <w:vAlign w:val="center"/>
          </w:tcPr>
          <w:p w14:paraId="341CCECD" w14:textId="77777777" w:rsidR="00394D0F" w:rsidRDefault="00394D0F">
            <w:pPr>
              <w:jc w:val="right"/>
              <w:rPr>
                <w:color w:val="000000"/>
                <w:sz w:val="24"/>
                <w:szCs w:val="24"/>
              </w:rPr>
            </w:pPr>
            <w:r>
              <w:rPr>
                <w:color w:val="000000"/>
              </w:rPr>
              <w:t>10</w:t>
            </w:r>
          </w:p>
        </w:tc>
        <w:tc>
          <w:tcPr>
            <w:tcW w:w="222" w:type="pct"/>
            <w:tcBorders>
              <w:top w:val="nil"/>
              <w:left w:val="double" w:sz="6" w:space="0" w:color="auto"/>
              <w:bottom w:val="single" w:sz="4" w:space="0" w:color="auto"/>
              <w:right w:val="nil"/>
            </w:tcBorders>
            <w:shd w:val="clear" w:color="000000" w:fill="F2DCDB"/>
            <w:vAlign w:val="center"/>
          </w:tcPr>
          <w:p w14:paraId="50366504" w14:textId="77777777" w:rsidR="00394D0F" w:rsidRDefault="00394D0F">
            <w:pPr>
              <w:jc w:val="right"/>
              <w:rPr>
                <w:color w:val="000000"/>
                <w:sz w:val="24"/>
                <w:szCs w:val="24"/>
              </w:rPr>
            </w:pPr>
            <w:r>
              <w:rPr>
                <w:color w:val="000000"/>
              </w:rPr>
              <w:t>27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51CE1C6D" w14:textId="77777777" w:rsidR="00394D0F" w:rsidRDefault="00394D0F">
            <w:pPr>
              <w:jc w:val="right"/>
              <w:rPr>
                <w:color w:val="000000"/>
                <w:sz w:val="24"/>
                <w:szCs w:val="24"/>
              </w:rPr>
            </w:pPr>
            <w:r>
              <w:rPr>
                <w:color w:val="000000"/>
              </w:rPr>
              <w:t>36</w:t>
            </w:r>
          </w:p>
        </w:tc>
      </w:tr>
      <w:tr w:rsidR="00394D0F" w:rsidRPr="000A46ED" w14:paraId="413B7EF3"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18DFC3E" w14:textId="448386F6"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what I read.</w:t>
            </w:r>
          </w:p>
        </w:tc>
        <w:tc>
          <w:tcPr>
            <w:tcW w:w="255" w:type="pct"/>
            <w:tcBorders>
              <w:top w:val="nil"/>
              <w:left w:val="double" w:sz="6" w:space="0" w:color="auto"/>
              <w:bottom w:val="single" w:sz="4" w:space="0" w:color="auto"/>
              <w:right w:val="nil"/>
            </w:tcBorders>
            <w:shd w:val="clear" w:color="000000" w:fill="F2DCDB"/>
            <w:vAlign w:val="center"/>
          </w:tcPr>
          <w:p w14:paraId="0F12A3C7" w14:textId="77777777" w:rsidR="00394D0F" w:rsidRDefault="00394D0F">
            <w:pPr>
              <w:jc w:val="right"/>
              <w:rPr>
                <w:color w:val="000000"/>
                <w:sz w:val="24"/>
                <w:szCs w:val="24"/>
              </w:rPr>
            </w:pPr>
            <w:r>
              <w:rPr>
                <w:color w:val="000000"/>
              </w:rPr>
              <w:t>250</w:t>
            </w:r>
          </w:p>
        </w:tc>
        <w:tc>
          <w:tcPr>
            <w:tcW w:w="256" w:type="pct"/>
            <w:tcBorders>
              <w:top w:val="nil"/>
              <w:left w:val="double" w:sz="6" w:space="0" w:color="auto"/>
              <w:bottom w:val="single" w:sz="4" w:space="0" w:color="auto"/>
              <w:right w:val="nil"/>
            </w:tcBorders>
            <w:shd w:val="clear" w:color="000000" w:fill="F2DCDB"/>
            <w:vAlign w:val="center"/>
          </w:tcPr>
          <w:p w14:paraId="5921C72F" w14:textId="77777777" w:rsidR="00394D0F" w:rsidRDefault="00394D0F">
            <w:pPr>
              <w:jc w:val="right"/>
              <w:rPr>
                <w:color w:val="000000"/>
                <w:sz w:val="24"/>
                <w:szCs w:val="24"/>
              </w:rPr>
            </w:pPr>
            <w:r>
              <w:rPr>
                <w:color w:val="000000"/>
              </w:rPr>
              <w:t>194</w:t>
            </w:r>
          </w:p>
        </w:tc>
        <w:tc>
          <w:tcPr>
            <w:tcW w:w="249" w:type="pct"/>
            <w:tcBorders>
              <w:top w:val="nil"/>
              <w:left w:val="double" w:sz="6" w:space="0" w:color="auto"/>
              <w:bottom w:val="single" w:sz="4" w:space="0" w:color="auto"/>
              <w:right w:val="nil"/>
            </w:tcBorders>
            <w:shd w:val="clear" w:color="000000" w:fill="F2DCDB"/>
            <w:vAlign w:val="center"/>
          </w:tcPr>
          <w:p w14:paraId="7FE33142" w14:textId="77777777" w:rsidR="00394D0F" w:rsidRDefault="00394D0F">
            <w:pPr>
              <w:jc w:val="right"/>
              <w:rPr>
                <w:color w:val="000000"/>
                <w:sz w:val="24"/>
                <w:szCs w:val="24"/>
              </w:rPr>
            </w:pPr>
            <w:r>
              <w:rPr>
                <w:color w:val="000000"/>
              </w:rPr>
              <w:t>284</w:t>
            </w:r>
          </w:p>
        </w:tc>
        <w:tc>
          <w:tcPr>
            <w:tcW w:w="249" w:type="pct"/>
            <w:tcBorders>
              <w:top w:val="nil"/>
              <w:left w:val="double" w:sz="6" w:space="0" w:color="auto"/>
              <w:bottom w:val="single" w:sz="4" w:space="0" w:color="auto"/>
              <w:right w:val="nil"/>
            </w:tcBorders>
            <w:shd w:val="clear" w:color="000000" w:fill="F2DCDB"/>
            <w:vAlign w:val="center"/>
          </w:tcPr>
          <w:p w14:paraId="49E5B35A" w14:textId="77777777" w:rsidR="00394D0F" w:rsidRDefault="00394D0F">
            <w:pPr>
              <w:jc w:val="right"/>
              <w:rPr>
                <w:color w:val="000000"/>
                <w:sz w:val="24"/>
                <w:szCs w:val="24"/>
              </w:rPr>
            </w:pPr>
            <w:r>
              <w:rPr>
                <w:color w:val="000000"/>
              </w:rPr>
              <w:t>312</w:t>
            </w:r>
          </w:p>
        </w:tc>
        <w:tc>
          <w:tcPr>
            <w:tcW w:w="222" w:type="pct"/>
            <w:tcBorders>
              <w:top w:val="nil"/>
              <w:left w:val="double" w:sz="6" w:space="0" w:color="auto"/>
              <w:bottom w:val="single" w:sz="4" w:space="0" w:color="auto"/>
              <w:right w:val="nil"/>
            </w:tcBorders>
            <w:shd w:val="clear" w:color="000000" w:fill="F2DCDB"/>
            <w:vAlign w:val="center"/>
          </w:tcPr>
          <w:p w14:paraId="0C1E5FA3" w14:textId="77777777" w:rsidR="00394D0F" w:rsidRDefault="00394D0F">
            <w:pPr>
              <w:jc w:val="right"/>
              <w:rPr>
                <w:color w:val="000000"/>
                <w:sz w:val="24"/>
                <w:szCs w:val="24"/>
              </w:rPr>
            </w:pPr>
            <w:r>
              <w:rPr>
                <w:color w:val="000000"/>
              </w:rPr>
              <w:t>67</w:t>
            </w:r>
          </w:p>
        </w:tc>
        <w:tc>
          <w:tcPr>
            <w:tcW w:w="228" w:type="pct"/>
            <w:tcBorders>
              <w:top w:val="nil"/>
              <w:left w:val="double" w:sz="6" w:space="0" w:color="auto"/>
              <w:bottom w:val="single" w:sz="4" w:space="0" w:color="auto"/>
              <w:right w:val="nil"/>
            </w:tcBorders>
            <w:shd w:val="clear" w:color="000000" w:fill="F2DCDB"/>
            <w:vAlign w:val="center"/>
          </w:tcPr>
          <w:p w14:paraId="04479ED3" w14:textId="77777777" w:rsidR="00394D0F" w:rsidRDefault="00394D0F">
            <w:pPr>
              <w:jc w:val="right"/>
              <w:rPr>
                <w:color w:val="000000"/>
                <w:sz w:val="24"/>
                <w:szCs w:val="24"/>
              </w:rPr>
            </w:pPr>
            <w:r>
              <w:rPr>
                <w:color w:val="000000"/>
              </w:rPr>
              <w:t>58</w:t>
            </w:r>
          </w:p>
        </w:tc>
        <w:tc>
          <w:tcPr>
            <w:tcW w:w="291" w:type="pct"/>
            <w:tcBorders>
              <w:top w:val="nil"/>
              <w:left w:val="double" w:sz="6" w:space="0" w:color="auto"/>
              <w:bottom w:val="single" w:sz="4" w:space="0" w:color="auto"/>
              <w:right w:val="nil"/>
            </w:tcBorders>
            <w:shd w:val="clear" w:color="000000" w:fill="F2DCDB"/>
            <w:vAlign w:val="center"/>
          </w:tcPr>
          <w:p w14:paraId="4AA4B761" w14:textId="77777777" w:rsidR="00394D0F" w:rsidRDefault="00394D0F">
            <w:pPr>
              <w:jc w:val="right"/>
              <w:rPr>
                <w:color w:val="000000"/>
                <w:sz w:val="24"/>
                <w:szCs w:val="24"/>
              </w:rPr>
            </w:pPr>
            <w:r>
              <w:rPr>
                <w:color w:val="000000"/>
              </w:rPr>
              <w:t>9</w:t>
            </w:r>
          </w:p>
        </w:tc>
        <w:tc>
          <w:tcPr>
            <w:tcW w:w="299" w:type="pct"/>
            <w:tcBorders>
              <w:top w:val="nil"/>
              <w:left w:val="double" w:sz="6" w:space="0" w:color="auto"/>
              <w:bottom w:val="single" w:sz="4" w:space="0" w:color="auto"/>
              <w:right w:val="nil"/>
            </w:tcBorders>
            <w:shd w:val="clear" w:color="000000" w:fill="F2DCDB"/>
            <w:vAlign w:val="center"/>
          </w:tcPr>
          <w:p w14:paraId="2C1BDCF4" w14:textId="77777777" w:rsidR="00394D0F" w:rsidRDefault="00394D0F">
            <w:pPr>
              <w:jc w:val="right"/>
              <w:rPr>
                <w:color w:val="000000"/>
                <w:sz w:val="24"/>
                <w:szCs w:val="24"/>
              </w:rPr>
            </w:pPr>
            <w:r>
              <w:rPr>
                <w:color w:val="000000"/>
              </w:rPr>
              <w:t>13</w:t>
            </w:r>
          </w:p>
        </w:tc>
        <w:tc>
          <w:tcPr>
            <w:tcW w:w="222" w:type="pct"/>
            <w:tcBorders>
              <w:top w:val="nil"/>
              <w:left w:val="double" w:sz="6" w:space="0" w:color="auto"/>
              <w:bottom w:val="single" w:sz="4" w:space="0" w:color="auto"/>
              <w:right w:val="nil"/>
            </w:tcBorders>
            <w:shd w:val="clear" w:color="000000" w:fill="F2DCDB"/>
            <w:vAlign w:val="center"/>
          </w:tcPr>
          <w:p w14:paraId="43F858E1" w14:textId="77777777" w:rsidR="00394D0F" w:rsidRDefault="00394D0F">
            <w:pPr>
              <w:jc w:val="right"/>
              <w:rPr>
                <w:color w:val="000000"/>
                <w:sz w:val="24"/>
                <w:szCs w:val="24"/>
              </w:rPr>
            </w:pPr>
            <w:r>
              <w:rPr>
                <w:color w:val="000000"/>
              </w:rPr>
              <w:t>41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9767A38" w14:textId="77777777" w:rsidR="00394D0F" w:rsidRDefault="00394D0F">
            <w:pPr>
              <w:jc w:val="right"/>
              <w:rPr>
                <w:color w:val="000000"/>
                <w:sz w:val="24"/>
                <w:szCs w:val="24"/>
              </w:rPr>
            </w:pPr>
            <w:r>
              <w:rPr>
                <w:color w:val="000000"/>
              </w:rPr>
              <w:t>36</w:t>
            </w:r>
          </w:p>
        </w:tc>
      </w:tr>
      <w:tr w:rsidR="00394D0F" w:rsidRPr="000A46ED" w14:paraId="004E45DF"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2820A7E" w14:textId="04DD6D9A"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reading skills in all subjects.</w:t>
            </w:r>
          </w:p>
        </w:tc>
        <w:tc>
          <w:tcPr>
            <w:tcW w:w="255" w:type="pct"/>
            <w:tcBorders>
              <w:top w:val="nil"/>
              <w:left w:val="double" w:sz="6" w:space="0" w:color="auto"/>
              <w:bottom w:val="single" w:sz="4" w:space="0" w:color="auto"/>
              <w:right w:val="nil"/>
            </w:tcBorders>
            <w:shd w:val="clear" w:color="000000" w:fill="F2DCDB"/>
            <w:vAlign w:val="center"/>
          </w:tcPr>
          <w:p w14:paraId="71D951EC" w14:textId="77777777" w:rsidR="00394D0F" w:rsidRDefault="00394D0F">
            <w:pPr>
              <w:jc w:val="right"/>
              <w:rPr>
                <w:color w:val="000000"/>
                <w:sz w:val="24"/>
                <w:szCs w:val="24"/>
              </w:rPr>
            </w:pPr>
            <w:r>
              <w:rPr>
                <w:color w:val="000000"/>
              </w:rPr>
              <w:t>280</w:t>
            </w:r>
          </w:p>
        </w:tc>
        <w:tc>
          <w:tcPr>
            <w:tcW w:w="256" w:type="pct"/>
            <w:tcBorders>
              <w:top w:val="nil"/>
              <w:left w:val="double" w:sz="6" w:space="0" w:color="auto"/>
              <w:bottom w:val="single" w:sz="4" w:space="0" w:color="auto"/>
              <w:right w:val="nil"/>
            </w:tcBorders>
            <w:shd w:val="clear" w:color="000000" w:fill="F2DCDB"/>
            <w:vAlign w:val="center"/>
          </w:tcPr>
          <w:p w14:paraId="3928B5E2" w14:textId="77777777" w:rsidR="00394D0F" w:rsidRDefault="00394D0F">
            <w:pPr>
              <w:jc w:val="right"/>
              <w:rPr>
                <w:color w:val="000000"/>
                <w:sz w:val="24"/>
                <w:szCs w:val="24"/>
              </w:rPr>
            </w:pPr>
            <w:r>
              <w:rPr>
                <w:color w:val="000000"/>
              </w:rPr>
              <w:t>240</w:t>
            </w:r>
          </w:p>
        </w:tc>
        <w:tc>
          <w:tcPr>
            <w:tcW w:w="249" w:type="pct"/>
            <w:tcBorders>
              <w:top w:val="nil"/>
              <w:left w:val="double" w:sz="6" w:space="0" w:color="auto"/>
              <w:bottom w:val="single" w:sz="4" w:space="0" w:color="auto"/>
              <w:right w:val="nil"/>
            </w:tcBorders>
            <w:shd w:val="clear" w:color="000000" w:fill="F2DCDB"/>
            <w:vAlign w:val="center"/>
          </w:tcPr>
          <w:p w14:paraId="69D66F59" w14:textId="77777777" w:rsidR="00394D0F" w:rsidRDefault="00394D0F">
            <w:pPr>
              <w:jc w:val="right"/>
              <w:rPr>
                <w:color w:val="000000"/>
                <w:sz w:val="24"/>
                <w:szCs w:val="24"/>
              </w:rPr>
            </w:pPr>
            <w:r>
              <w:rPr>
                <w:color w:val="000000"/>
              </w:rPr>
              <w:t>295</w:t>
            </w:r>
          </w:p>
        </w:tc>
        <w:tc>
          <w:tcPr>
            <w:tcW w:w="249" w:type="pct"/>
            <w:tcBorders>
              <w:top w:val="nil"/>
              <w:left w:val="double" w:sz="6" w:space="0" w:color="auto"/>
              <w:bottom w:val="single" w:sz="4" w:space="0" w:color="auto"/>
              <w:right w:val="nil"/>
            </w:tcBorders>
            <w:shd w:val="clear" w:color="000000" w:fill="F2DCDB"/>
            <w:vAlign w:val="center"/>
          </w:tcPr>
          <w:p w14:paraId="627A97C6" w14:textId="77777777" w:rsidR="00394D0F" w:rsidRDefault="00394D0F">
            <w:pPr>
              <w:jc w:val="right"/>
              <w:rPr>
                <w:color w:val="000000"/>
                <w:sz w:val="24"/>
                <w:szCs w:val="24"/>
              </w:rPr>
            </w:pPr>
            <w:r>
              <w:rPr>
                <w:color w:val="000000"/>
              </w:rPr>
              <w:t>262</w:t>
            </w:r>
          </w:p>
        </w:tc>
        <w:tc>
          <w:tcPr>
            <w:tcW w:w="222" w:type="pct"/>
            <w:tcBorders>
              <w:top w:val="nil"/>
              <w:left w:val="double" w:sz="6" w:space="0" w:color="auto"/>
              <w:bottom w:val="single" w:sz="4" w:space="0" w:color="auto"/>
              <w:right w:val="nil"/>
            </w:tcBorders>
            <w:shd w:val="clear" w:color="000000" w:fill="F2DCDB"/>
            <w:vAlign w:val="center"/>
          </w:tcPr>
          <w:p w14:paraId="141D7D18" w14:textId="77777777" w:rsidR="00394D0F" w:rsidRDefault="00394D0F">
            <w:pPr>
              <w:jc w:val="right"/>
              <w:rPr>
                <w:color w:val="000000"/>
                <w:sz w:val="24"/>
                <w:szCs w:val="24"/>
              </w:rPr>
            </w:pPr>
            <w:r>
              <w:rPr>
                <w:color w:val="000000"/>
              </w:rPr>
              <w:t>41</w:t>
            </w:r>
          </w:p>
        </w:tc>
        <w:tc>
          <w:tcPr>
            <w:tcW w:w="228" w:type="pct"/>
            <w:tcBorders>
              <w:top w:val="nil"/>
              <w:left w:val="double" w:sz="6" w:space="0" w:color="auto"/>
              <w:bottom w:val="single" w:sz="4" w:space="0" w:color="auto"/>
              <w:right w:val="nil"/>
            </w:tcBorders>
            <w:shd w:val="clear" w:color="000000" w:fill="F2DCDB"/>
            <w:vAlign w:val="center"/>
          </w:tcPr>
          <w:p w14:paraId="4A54C65A" w14:textId="77777777" w:rsidR="00394D0F" w:rsidRDefault="00394D0F">
            <w:pPr>
              <w:jc w:val="right"/>
              <w:rPr>
                <w:color w:val="000000"/>
                <w:sz w:val="24"/>
                <w:szCs w:val="24"/>
              </w:rPr>
            </w:pPr>
            <w:r>
              <w:rPr>
                <w:color w:val="000000"/>
              </w:rPr>
              <w:t>69</w:t>
            </w:r>
          </w:p>
        </w:tc>
        <w:tc>
          <w:tcPr>
            <w:tcW w:w="291" w:type="pct"/>
            <w:tcBorders>
              <w:top w:val="nil"/>
              <w:left w:val="double" w:sz="6" w:space="0" w:color="auto"/>
              <w:bottom w:val="single" w:sz="4" w:space="0" w:color="auto"/>
              <w:right w:val="nil"/>
            </w:tcBorders>
            <w:shd w:val="clear" w:color="000000" w:fill="F2DCDB"/>
            <w:vAlign w:val="center"/>
          </w:tcPr>
          <w:p w14:paraId="314A5339" w14:textId="77777777" w:rsidR="00394D0F" w:rsidRDefault="00394D0F">
            <w:pPr>
              <w:jc w:val="right"/>
              <w:rPr>
                <w:color w:val="000000"/>
                <w:sz w:val="24"/>
                <w:szCs w:val="24"/>
              </w:rPr>
            </w:pPr>
            <w:r>
              <w:rPr>
                <w:color w:val="000000"/>
              </w:rPr>
              <w:t>12</w:t>
            </w:r>
          </w:p>
        </w:tc>
        <w:tc>
          <w:tcPr>
            <w:tcW w:w="299" w:type="pct"/>
            <w:tcBorders>
              <w:top w:val="nil"/>
              <w:left w:val="double" w:sz="6" w:space="0" w:color="auto"/>
              <w:bottom w:val="single" w:sz="4" w:space="0" w:color="auto"/>
              <w:right w:val="nil"/>
            </w:tcBorders>
            <w:shd w:val="clear" w:color="000000" w:fill="F2DCDB"/>
            <w:vAlign w:val="center"/>
          </w:tcPr>
          <w:p w14:paraId="0B677419" w14:textId="77777777" w:rsidR="00394D0F" w:rsidRDefault="00394D0F">
            <w:pPr>
              <w:jc w:val="right"/>
              <w:rPr>
                <w:color w:val="000000"/>
                <w:sz w:val="24"/>
                <w:szCs w:val="24"/>
              </w:rPr>
            </w:pPr>
            <w:r>
              <w:rPr>
                <w:color w:val="000000"/>
              </w:rPr>
              <w:t>16</w:t>
            </w:r>
          </w:p>
        </w:tc>
        <w:tc>
          <w:tcPr>
            <w:tcW w:w="222" w:type="pct"/>
            <w:tcBorders>
              <w:top w:val="nil"/>
              <w:left w:val="double" w:sz="6" w:space="0" w:color="auto"/>
              <w:bottom w:val="single" w:sz="4" w:space="0" w:color="auto"/>
              <w:right w:val="nil"/>
            </w:tcBorders>
            <w:shd w:val="clear" w:color="000000" w:fill="F2DCDB"/>
            <w:vAlign w:val="center"/>
          </w:tcPr>
          <w:p w14:paraId="1ADD9403" w14:textId="77777777" w:rsidR="00394D0F" w:rsidRDefault="00394D0F">
            <w:pPr>
              <w:jc w:val="right"/>
              <w:rPr>
                <w:color w:val="000000"/>
                <w:sz w:val="24"/>
                <w:szCs w:val="24"/>
              </w:rPr>
            </w:pPr>
            <w:r>
              <w:rPr>
                <w:color w:val="000000"/>
              </w:rPr>
              <w:t>24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1840205" w14:textId="77777777" w:rsidR="00394D0F" w:rsidRDefault="00394D0F">
            <w:pPr>
              <w:jc w:val="right"/>
              <w:rPr>
                <w:color w:val="000000"/>
                <w:sz w:val="24"/>
                <w:szCs w:val="24"/>
              </w:rPr>
            </w:pPr>
            <w:r>
              <w:rPr>
                <w:color w:val="000000"/>
              </w:rPr>
              <w:t>23</w:t>
            </w:r>
          </w:p>
        </w:tc>
      </w:tr>
      <w:tr w:rsidR="00394D0F" w:rsidRPr="000A46ED" w14:paraId="40A9BFD7"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5DB3D7F"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reading challenges me and makes me think.</w:t>
            </w:r>
          </w:p>
        </w:tc>
        <w:tc>
          <w:tcPr>
            <w:tcW w:w="255" w:type="pct"/>
            <w:tcBorders>
              <w:top w:val="nil"/>
              <w:left w:val="double" w:sz="6" w:space="0" w:color="auto"/>
              <w:bottom w:val="single" w:sz="4" w:space="0" w:color="auto"/>
              <w:right w:val="nil"/>
            </w:tcBorders>
            <w:shd w:val="clear" w:color="000000" w:fill="F2DCDB"/>
            <w:vAlign w:val="center"/>
          </w:tcPr>
          <w:p w14:paraId="56D327E6" w14:textId="77777777" w:rsidR="00394D0F" w:rsidRDefault="00394D0F">
            <w:pPr>
              <w:jc w:val="right"/>
              <w:rPr>
                <w:color w:val="000000"/>
                <w:sz w:val="24"/>
                <w:szCs w:val="24"/>
              </w:rPr>
            </w:pPr>
            <w:r>
              <w:rPr>
                <w:color w:val="000000"/>
              </w:rPr>
              <w:t>227</w:t>
            </w:r>
          </w:p>
        </w:tc>
        <w:tc>
          <w:tcPr>
            <w:tcW w:w="256" w:type="pct"/>
            <w:tcBorders>
              <w:top w:val="nil"/>
              <w:left w:val="double" w:sz="6" w:space="0" w:color="auto"/>
              <w:bottom w:val="single" w:sz="4" w:space="0" w:color="auto"/>
              <w:right w:val="nil"/>
            </w:tcBorders>
            <w:shd w:val="clear" w:color="000000" w:fill="F2DCDB"/>
            <w:vAlign w:val="center"/>
          </w:tcPr>
          <w:p w14:paraId="7DAE86F5" w14:textId="77777777" w:rsidR="00394D0F" w:rsidRDefault="00394D0F">
            <w:pPr>
              <w:jc w:val="right"/>
              <w:rPr>
                <w:color w:val="000000"/>
                <w:sz w:val="24"/>
                <w:szCs w:val="24"/>
              </w:rPr>
            </w:pPr>
            <w:r>
              <w:rPr>
                <w:color w:val="000000"/>
              </w:rPr>
              <w:t>178</w:t>
            </w:r>
          </w:p>
        </w:tc>
        <w:tc>
          <w:tcPr>
            <w:tcW w:w="249" w:type="pct"/>
            <w:tcBorders>
              <w:top w:val="nil"/>
              <w:left w:val="double" w:sz="6" w:space="0" w:color="auto"/>
              <w:bottom w:val="single" w:sz="4" w:space="0" w:color="auto"/>
              <w:right w:val="nil"/>
            </w:tcBorders>
            <w:shd w:val="clear" w:color="000000" w:fill="F2DCDB"/>
            <w:vAlign w:val="center"/>
          </w:tcPr>
          <w:p w14:paraId="2B7C4E21" w14:textId="77777777" w:rsidR="00394D0F" w:rsidRDefault="00394D0F">
            <w:pPr>
              <w:jc w:val="right"/>
              <w:rPr>
                <w:color w:val="000000"/>
                <w:sz w:val="24"/>
                <w:szCs w:val="24"/>
              </w:rPr>
            </w:pPr>
            <w:r>
              <w:rPr>
                <w:color w:val="000000"/>
              </w:rPr>
              <w:t>318</w:t>
            </w:r>
          </w:p>
        </w:tc>
        <w:tc>
          <w:tcPr>
            <w:tcW w:w="249" w:type="pct"/>
            <w:tcBorders>
              <w:top w:val="nil"/>
              <w:left w:val="double" w:sz="6" w:space="0" w:color="auto"/>
              <w:bottom w:val="single" w:sz="4" w:space="0" w:color="auto"/>
              <w:right w:val="nil"/>
            </w:tcBorders>
            <w:shd w:val="clear" w:color="000000" w:fill="F2DCDB"/>
            <w:vAlign w:val="center"/>
          </w:tcPr>
          <w:p w14:paraId="5ACE1BD5" w14:textId="77777777" w:rsidR="00394D0F" w:rsidRDefault="00394D0F">
            <w:pPr>
              <w:jc w:val="right"/>
              <w:rPr>
                <w:color w:val="000000"/>
                <w:sz w:val="24"/>
                <w:szCs w:val="24"/>
              </w:rPr>
            </w:pPr>
            <w:r>
              <w:rPr>
                <w:color w:val="000000"/>
              </w:rPr>
              <w:t>308</w:t>
            </w:r>
          </w:p>
        </w:tc>
        <w:tc>
          <w:tcPr>
            <w:tcW w:w="222" w:type="pct"/>
            <w:tcBorders>
              <w:top w:val="nil"/>
              <w:left w:val="double" w:sz="6" w:space="0" w:color="auto"/>
              <w:bottom w:val="single" w:sz="4" w:space="0" w:color="auto"/>
              <w:right w:val="nil"/>
            </w:tcBorders>
            <w:shd w:val="clear" w:color="000000" w:fill="F2DCDB"/>
            <w:vAlign w:val="center"/>
          </w:tcPr>
          <w:p w14:paraId="300E9E09" w14:textId="77777777" w:rsidR="00394D0F" w:rsidRDefault="00394D0F">
            <w:pPr>
              <w:jc w:val="right"/>
              <w:rPr>
                <w:color w:val="000000"/>
                <w:sz w:val="24"/>
                <w:szCs w:val="24"/>
              </w:rPr>
            </w:pPr>
            <w:r>
              <w:rPr>
                <w:color w:val="000000"/>
              </w:rPr>
              <w:t>61</w:t>
            </w:r>
          </w:p>
        </w:tc>
        <w:tc>
          <w:tcPr>
            <w:tcW w:w="228" w:type="pct"/>
            <w:tcBorders>
              <w:top w:val="nil"/>
              <w:left w:val="double" w:sz="6" w:space="0" w:color="auto"/>
              <w:bottom w:val="single" w:sz="4" w:space="0" w:color="auto"/>
              <w:right w:val="nil"/>
            </w:tcBorders>
            <w:shd w:val="clear" w:color="000000" w:fill="F2DCDB"/>
            <w:vAlign w:val="center"/>
          </w:tcPr>
          <w:p w14:paraId="3BD18913" w14:textId="77777777" w:rsidR="00394D0F" w:rsidRDefault="00394D0F">
            <w:pPr>
              <w:jc w:val="right"/>
              <w:rPr>
                <w:color w:val="000000"/>
                <w:sz w:val="24"/>
                <w:szCs w:val="24"/>
              </w:rPr>
            </w:pPr>
            <w:r>
              <w:rPr>
                <w:color w:val="000000"/>
              </w:rPr>
              <w:t>65</w:t>
            </w:r>
          </w:p>
        </w:tc>
        <w:tc>
          <w:tcPr>
            <w:tcW w:w="291" w:type="pct"/>
            <w:tcBorders>
              <w:top w:val="nil"/>
              <w:left w:val="double" w:sz="6" w:space="0" w:color="auto"/>
              <w:bottom w:val="single" w:sz="4" w:space="0" w:color="auto"/>
              <w:right w:val="nil"/>
            </w:tcBorders>
            <w:shd w:val="clear" w:color="000000" w:fill="F2DCDB"/>
            <w:vAlign w:val="center"/>
          </w:tcPr>
          <w:p w14:paraId="70847484" w14:textId="77777777" w:rsidR="00394D0F" w:rsidRDefault="00394D0F">
            <w:pPr>
              <w:jc w:val="right"/>
              <w:rPr>
                <w:color w:val="000000"/>
                <w:sz w:val="24"/>
                <w:szCs w:val="24"/>
              </w:rPr>
            </w:pPr>
            <w:r>
              <w:rPr>
                <w:color w:val="000000"/>
              </w:rPr>
              <w:t>17</w:t>
            </w:r>
          </w:p>
        </w:tc>
        <w:tc>
          <w:tcPr>
            <w:tcW w:w="299" w:type="pct"/>
            <w:tcBorders>
              <w:top w:val="nil"/>
              <w:left w:val="double" w:sz="6" w:space="0" w:color="auto"/>
              <w:bottom w:val="single" w:sz="4" w:space="0" w:color="auto"/>
              <w:right w:val="nil"/>
            </w:tcBorders>
            <w:shd w:val="clear" w:color="000000" w:fill="F2DCDB"/>
            <w:vAlign w:val="center"/>
          </w:tcPr>
          <w:p w14:paraId="2476EB42" w14:textId="77777777" w:rsidR="00394D0F" w:rsidRDefault="00394D0F">
            <w:pPr>
              <w:jc w:val="right"/>
              <w:rPr>
                <w:color w:val="000000"/>
                <w:sz w:val="24"/>
                <w:szCs w:val="24"/>
              </w:rPr>
            </w:pPr>
            <w:r>
              <w:rPr>
                <w:color w:val="000000"/>
              </w:rPr>
              <w:t>17</w:t>
            </w:r>
          </w:p>
        </w:tc>
        <w:tc>
          <w:tcPr>
            <w:tcW w:w="222" w:type="pct"/>
            <w:tcBorders>
              <w:top w:val="nil"/>
              <w:left w:val="double" w:sz="6" w:space="0" w:color="auto"/>
              <w:bottom w:val="single" w:sz="4" w:space="0" w:color="auto"/>
              <w:right w:val="nil"/>
            </w:tcBorders>
            <w:shd w:val="clear" w:color="000000" w:fill="F2DCDB"/>
            <w:vAlign w:val="center"/>
          </w:tcPr>
          <w:p w14:paraId="012C0DD6" w14:textId="77777777" w:rsidR="00394D0F" w:rsidRDefault="00394D0F">
            <w:pPr>
              <w:jc w:val="right"/>
              <w:rPr>
                <w:color w:val="000000"/>
                <w:sz w:val="24"/>
                <w:szCs w:val="24"/>
              </w:rPr>
            </w:pPr>
            <w:r>
              <w:rPr>
                <w:color w:val="000000"/>
              </w:rPr>
              <w:t>24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21B6977" w14:textId="77777777" w:rsidR="00394D0F" w:rsidRDefault="00394D0F">
            <w:pPr>
              <w:jc w:val="right"/>
              <w:rPr>
                <w:color w:val="000000"/>
                <w:sz w:val="24"/>
                <w:szCs w:val="24"/>
              </w:rPr>
            </w:pPr>
            <w:r>
              <w:rPr>
                <w:color w:val="000000"/>
              </w:rPr>
              <w:t>43</w:t>
            </w:r>
          </w:p>
        </w:tc>
      </w:tr>
      <w:tr w:rsidR="00394D0F" w:rsidRPr="000A46ED" w14:paraId="34B5D784"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B3176A1"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reading.</w:t>
            </w:r>
          </w:p>
        </w:tc>
        <w:tc>
          <w:tcPr>
            <w:tcW w:w="255" w:type="pct"/>
            <w:tcBorders>
              <w:top w:val="nil"/>
              <w:left w:val="double" w:sz="6" w:space="0" w:color="auto"/>
              <w:bottom w:val="single" w:sz="4" w:space="0" w:color="auto"/>
              <w:right w:val="nil"/>
            </w:tcBorders>
            <w:shd w:val="clear" w:color="000000" w:fill="F2DCDB"/>
            <w:vAlign w:val="center"/>
          </w:tcPr>
          <w:p w14:paraId="43A0E6A4" w14:textId="77777777" w:rsidR="00394D0F" w:rsidRDefault="00394D0F">
            <w:pPr>
              <w:jc w:val="right"/>
              <w:rPr>
                <w:color w:val="000000"/>
                <w:sz w:val="24"/>
                <w:szCs w:val="24"/>
              </w:rPr>
            </w:pPr>
            <w:r>
              <w:rPr>
                <w:color w:val="000000"/>
              </w:rPr>
              <w:t>232</w:t>
            </w:r>
          </w:p>
        </w:tc>
        <w:tc>
          <w:tcPr>
            <w:tcW w:w="256" w:type="pct"/>
            <w:tcBorders>
              <w:top w:val="nil"/>
              <w:left w:val="double" w:sz="6" w:space="0" w:color="auto"/>
              <w:bottom w:val="single" w:sz="4" w:space="0" w:color="auto"/>
              <w:right w:val="nil"/>
            </w:tcBorders>
            <w:shd w:val="clear" w:color="000000" w:fill="F2DCDB"/>
            <w:vAlign w:val="center"/>
          </w:tcPr>
          <w:p w14:paraId="0EBCE77D" w14:textId="77777777" w:rsidR="00394D0F" w:rsidRDefault="00394D0F">
            <w:pPr>
              <w:jc w:val="right"/>
              <w:rPr>
                <w:color w:val="000000"/>
                <w:sz w:val="24"/>
                <w:szCs w:val="24"/>
              </w:rPr>
            </w:pPr>
            <w:r>
              <w:rPr>
                <w:color w:val="000000"/>
              </w:rPr>
              <w:t>175</w:t>
            </w:r>
          </w:p>
        </w:tc>
        <w:tc>
          <w:tcPr>
            <w:tcW w:w="249" w:type="pct"/>
            <w:tcBorders>
              <w:top w:val="nil"/>
              <w:left w:val="double" w:sz="6" w:space="0" w:color="auto"/>
              <w:bottom w:val="single" w:sz="4" w:space="0" w:color="auto"/>
              <w:right w:val="nil"/>
            </w:tcBorders>
            <w:shd w:val="clear" w:color="000000" w:fill="F2DCDB"/>
            <w:vAlign w:val="center"/>
          </w:tcPr>
          <w:p w14:paraId="00096BF3" w14:textId="77777777" w:rsidR="00394D0F" w:rsidRDefault="00394D0F">
            <w:pPr>
              <w:jc w:val="right"/>
              <w:rPr>
                <w:color w:val="000000"/>
                <w:sz w:val="24"/>
                <w:szCs w:val="24"/>
              </w:rPr>
            </w:pPr>
            <w:r>
              <w:rPr>
                <w:color w:val="000000"/>
              </w:rPr>
              <w:t>277</w:t>
            </w:r>
          </w:p>
        </w:tc>
        <w:tc>
          <w:tcPr>
            <w:tcW w:w="249" w:type="pct"/>
            <w:tcBorders>
              <w:top w:val="nil"/>
              <w:left w:val="double" w:sz="6" w:space="0" w:color="auto"/>
              <w:bottom w:val="single" w:sz="4" w:space="0" w:color="auto"/>
              <w:right w:val="nil"/>
            </w:tcBorders>
            <w:shd w:val="clear" w:color="000000" w:fill="F2DCDB"/>
            <w:vAlign w:val="center"/>
          </w:tcPr>
          <w:p w14:paraId="047EEBF9" w14:textId="77777777" w:rsidR="00394D0F" w:rsidRDefault="00394D0F">
            <w:pPr>
              <w:jc w:val="right"/>
              <w:rPr>
                <w:color w:val="000000"/>
                <w:sz w:val="24"/>
                <w:szCs w:val="24"/>
              </w:rPr>
            </w:pPr>
            <w:r>
              <w:rPr>
                <w:color w:val="000000"/>
              </w:rPr>
              <w:t>307</w:t>
            </w:r>
          </w:p>
        </w:tc>
        <w:tc>
          <w:tcPr>
            <w:tcW w:w="222" w:type="pct"/>
            <w:tcBorders>
              <w:top w:val="nil"/>
              <w:left w:val="double" w:sz="6" w:space="0" w:color="auto"/>
              <w:bottom w:val="single" w:sz="4" w:space="0" w:color="auto"/>
              <w:right w:val="nil"/>
            </w:tcBorders>
            <w:shd w:val="clear" w:color="000000" w:fill="F2DCDB"/>
            <w:vAlign w:val="center"/>
          </w:tcPr>
          <w:p w14:paraId="142F66C2" w14:textId="77777777" w:rsidR="00394D0F" w:rsidRDefault="00394D0F">
            <w:pPr>
              <w:jc w:val="right"/>
              <w:rPr>
                <w:color w:val="000000"/>
                <w:sz w:val="24"/>
                <w:szCs w:val="24"/>
              </w:rPr>
            </w:pPr>
            <w:r>
              <w:rPr>
                <w:color w:val="000000"/>
              </w:rPr>
              <w:t>80</w:t>
            </w:r>
          </w:p>
        </w:tc>
        <w:tc>
          <w:tcPr>
            <w:tcW w:w="228" w:type="pct"/>
            <w:tcBorders>
              <w:top w:val="nil"/>
              <w:left w:val="double" w:sz="6" w:space="0" w:color="auto"/>
              <w:bottom w:val="single" w:sz="4" w:space="0" w:color="auto"/>
              <w:right w:val="nil"/>
            </w:tcBorders>
            <w:shd w:val="clear" w:color="000000" w:fill="F2DCDB"/>
            <w:vAlign w:val="center"/>
          </w:tcPr>
          <w:p w14:paraId="7985E38E" w14:textId="77777777" w:rsidR="00394D0F" w:rsidRDefault="00394D0F">
            <w:pPr>
              <w:jc w:val="right"/>
              <w:rPr>
                <w:color w:val="000000"/>
                <w:sz w:val="24"/>
                <w:szCs w:val="24"/>
              </w:rPr>
            </w:pPr>
            <w:r>
              <w:rPr>
                <w:color w:val="000000"/>
              </w:rPr>
              <w:t>74</w:t>
            </w:r>
          </w:p>
        </w:tc>
        <w:tc>
          <w:tcPr>
            <w:tcW w:w="291" w:type="pct"/>
            <w:tcBorders>
              <w:top w:val="nil"/>
              <w:left w:val="double" w:sz="6" w:space="0" w:color="auto"/>
              <w:bottom w:val="single" w:sz="4" w:space="0" w:color="auto"/>
              <w:right w:val="nil"/>
            </w:tcBorders>
            <w:shd w:val="clear" w:color="000000" w:fill="F2DCDB"/>
            <w:vAlign w:val="center"/>
          </w:tcPr>
          <w:p w14:paraId="2077A662" w14:textId="77777777" w:rsidR="00394D0F" w:rsidRDefault="00394D0F">
            <w:pPr>
              <w:jc w:val="right"/>
              <w:rPr>
                <w:color w:val="000000"/>
                <w:sz w:val="24"/>
                <w:szCs w:val="24"/>
              </w:rPr>
            </w:pPr>
            <w:r>
              <w:rPr>
                <w:color w:val="000000"/>
              </w:rPr>
              <w:t>16</w:t>
            </w:r>
          </w:p>
        </w:tc>
        <w:tc>
          <w:tcPr>
            <w:tcW w:w="299" w:type="pct"/>
            <w:tcBorders>
              <w:top w:val="nil"/>
              <w:left w:val="double" w:sz="6" w:space="0" w:color="auto"/>
              <w:bottom w:val="single" w:sz="4" w:space="0" w:color="auto"/>
              <w:right w:val="nil"/>
            </w:tcBorders>
            <w:shd w:val="clear" w:color="000000" w:fill="F2DCDB"/>
            <w:vAlign w:val="center"/>
          </w:tcPr>
          <w:p w14:paraId="2936BF51" w14:textId="77777777" w:rsidR="00394D0F" w:rsidRDefault="00394D0F">
            <w:pPr>
              <w:jc w:val="right"/>
              <w:rPr>
                <w:color w:val="000000"/>
                <w:sz w:val="24"/>
                <w:szCs w:val="24"/>
              </w:rPr>
            </w:pPr>
            <w:r>
              <w:rPr>
                <w:color w:val="000000"/>
              </w:rPr>
              <w:t>20</w:t>
            </w:r>
          </w:p>
        </w:tc>
        <w:tc>
          <w:tcPr>
            <w:tcW w:w="222" w:type="pct"/>
            <w:tcBorders>
              <w:top w:val="nil"/>
              <w:left w:val="double" w:sz="6" w:space="0" w:color="auto"/>
              <w:bottom w:val="single" w:sz="4" w:space="0" w:color="auto"/>
              <w:right w:val="nil"/>
            </w:tcBorders>
            <w:shd w:val="clear" w:color="000000" w:fill="F2DCDB"/>
            <w:vAlign w:val="center"/>
          </w:tcPr>
          <w:p w14:paraId="3456455E" w14:textId="77777777" w:rsidR="00394D0F" w:rsidRDefault="00394D0F">
            <w:pPr>
              <w:jc w:val="right"/>
              <w:rPr>
                <w:color w:val="000000"/>
                <w:sz w:val="24"/>
                <w:szCs w:val="24"/>
              </w:rPr>
            </w:pPr>
            <w:r>
              <w:rPr>
                <w:color w:val="000000"/>
              </w:rPr>
              <w:t>44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CAFF0CD" w14:textId="77777777" w:rsidR="00394D0F" w:rsidRDefault="00394D0F">
            <w:pPr>
              <w:jc w:val="right"/>
              <w:rPr>
                <w:color w:val="000000"/>
                <w:sz w:val="24"/>
                <w:szCs w:val="24"/>
              </w:rPr>
            </w:pPr>
            <w:r>
              <w:rPr>
                <w:color w:val="000000"/>
              </w:rPr>
              <w:t>36</w:t>
            </w:r>
          </w:p>
        </w:tc>
      </w:tr>
      <w:tr w:rsidR="00394D0F" w:rsidRPr="000A46ED" w14:paraId="591C416B"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F19C449"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reading skills.</w:t>
            </w:r>
          </w:p>
        </w:tc>
        <w:tc>
          <w:tcPr>
            <w:tcW w:w="255" w:type="pct"/>
            <w:tcBorders>
              <w:top w:val="nil"/>
              <w:left w:val="double" w:sz="6" w:space="0" w:color="auto"/>
              <w:bottom w:val="single" w:sz="4" w:space="0" w:color="auto"/>
              <w:right w:val="nil"/>
            </w:tcBorders>
            <w:shd w:val="clear" w:color="000000" w:fill="F2DCDB"/>
            <w:vAlign w:val="center"/>
          </w:tcPr>
          <w:p w14:paraId="5A8BFC7C" w14:textId="77777777" w:rsidR="00394D0F" w:rsidRDefault="00394D0F">
            <w:pPr>
              <w:jc w:val="right"/>
              <w:rPr>
                <w:color w:val="000000"/>
                <w:sz w:val="24"/>
                <w:szCs w:val="24"/>
              </w:rPr>
            </w:pPr>
            <w:r>
              <w:rPr>
                <w:color w:val="000000"/>
              </w:rPr>
              <w:t>252</w:t>
            </w:r>
          </w:p>
        </w:tc>
        <w:tc>
          <w:tcPr>
            <w:tcW w:w="256" w:type="pct"/>
            <w:tcBorders>
              <w:top w:val="nil"/>
              <w:left w:val="double" w:sz="6" w:space="0" w:color="auto"/>
              <w:bottom w:val="single" w:sz="4" w:space="0" w:color="auto"/>
              <w:right w:val="nil"/>
            </w:tcBorders>
            <w:shd w:val="clear" w:color="000000" w:fill="F2DCDB"/>
            <w:vAlign w:val="center"/>
          </w:tcPr>
          <w:p w14:paraId="47620454" w14:textId="77777777" w:rsidR="00394D0F" w:rsidRDefault="00394D0F">
            <w:pPr>
              <w:jc w:val="right"/>
              <w:rPr>
                <w:color w:val="000000"/>
                <w:sz w:val="24"/>
                <w:szCs w:val="24"/>
              </w:rPr>
            </w:pPr>
            <w:r>
              <w:rPr>
                <w:color w:val="000000"/>
              </w:rPr>
              <w:t>221</w:t>
            </w:r>
          </w:p>
        </w:tc>
        <w:tc>
          <w:tcPr>
            <w:tcW w:w="249" w:type="pct"/>
            <w:tcBorders>
              <w:top w:val="nil"/>
              <w:left w:val="double" w:sz="6" w:space="0" w:color="auto"/>
              <w:bottom w:val="single" w:sz="4" w:space="0" w:color="auto"/>
              <w:right w:val="nil"/>
            </w:tcBorders>
            <w:shd w:val="clear" w:color="000000" w:fill="F2DCDB"/>
            <w:vAlign w:val="center"/>
          </w:tcPr>
          <w:p w14:paraId="164CD7D8" w14:textId="77777777" w:rsidR="00394D0F" w:rsidRDefault="00394D0F">
            <w:pPr>
              <w:jc w:val="right"/>
              <w:rPr>
                <w:color w:val="000000"/>
                <w:sz w:val="24"/>
                <w:szCs w:val="24"/>
              </w:rPr>
            </w:pPr>
            <w:r>
              <w:rPr>
                <w:color w:val="000000"/>
              </w:rPr>
              <w:t>257</w:t>
            </w:r>
          </w:p>
        </w:tc>
        <w:tc>
          <w:tcPr>
            <w:tcW w:w="249" w:type="pct"/>
            <w:tcBorders>
              <w:top w:val="nil"/>
              <w:left w:val="double" w:sz="6" w:space="0" w:color="auto"/>
              <w:bottom w:val="single" w:sz="4" w:space="0" w:color="auto"/>
              <w:right w:val="nil"/>
            </w:tcBorders>
            <w:shd w:val="clear" w:color="000000" w:fill="F2DCDB"/>
            <w:vAlign w:val="center"/>
          </w:tcPr>
          <w:p w14:paraId="1D013E55" w14:textId="77777777" w:rsidR="00394D0F" w:rsidRDefault="00394D0F">
            <w:pPr>
              <w:jc w:val="right"/>
              <w:rPr>
                <w:color w:val="000000"/>
                <w:sz w:val="24"/>
                <w:szCs w:val="24"/>
              </w:rPr>
            </w:pPr>
            <w:r>
              <w:rPr>
                <w:color w:val="000000"/>
              </w:rPr>
              <w:t>270</w:t>
            </w:r>
          </w:p>
        </w:tc>
        <w:tc>
          <w:tcPr>
            <w:tcW w:w="222" w:type="pct"/>
            <w:tcBorders>
              <w:top w:val="nil"/>
              <w:left w:val="double" w:sz="6" w:space="0" w:color="auto"/>
              <w:bottom w:val="single" w:sz="4" w:space="0" w:color="auto"/>
              <w:right w:val="nil"/>
            </w:tcBorders>
            <w:shd w:val="clear" w:color="000000" w:fill="F2DCDB"/>
            <w:vAlign w:val="center"/>
          </w:tcPr>
          <w:p w14:paraId="53C0F395" w14:textId="77777777" w:rsidR="00394D0F" w:rsidRDefault="00394D0F">
            <w:pPr>
              <w:jc w:val="right"/>
              <w:rPr>
                <w:color w:val="000000"/>
                <w:sz w:val="24"/>
                <w:szCs w:val="24"/>
              </w:rPr>
            </w:pPr>
            <w:r>
              <w:rPr>
                <w:color w:val="000000"/>
              </w:rPr>
              <w:t>86</w:t>
            </w:r>
          </w:p>
        </w:tc>
        <w:tc>
          <w:tcPr>
            <w:tcW w:w="228" w:type="pct"/>
            <w:tcBorders>
              <w:top w:val="nil"/>
              <w:left w:val="double" w:sz="6" w:space="0" w:color="auto"/>
              <w:bottom w:val="single" w:sz="4" w:space="0" w:color="auto"/>
              <w:right w:val="nil"/>
            </w:tcBorders>
            <w:shd w:val="clear" w:color="000000" w:fill="F2DCDB"/>
            <w:vAlign w:val="center"/>
          </w:tcPr>
          <w:p w14:paraId="2C4D7784" w14:textId="77777777" w:rsidR="00394D0F" w:rsidRDefault="00394D0F">
            <w:pPr>
              <w:jc w:val="right"/>
              <w:rPr>
                <w:color w:val="000000"/>
                <w:sz w:val="24"/>
                <w:szCs w:val="24"/>
              </w:rPr>
            </w:pPr>
            <w:r>
              <w:rPr>
                <w:color w:val="000000"/>
              </w:rPr>
              <w:t>80</w:t>
            </w:r>
          </w:p>
        </w:tc>
        <w:tc>
          <w:tcPr>
            <w:tcW w:w="291" w:type="pct"/>
            <w:tcBorders>
              <w:top w:val="nil"/>
              <w:left w:val="double" w:sz="6" w:space="0" w:color="auto"/>
              <w:bottom w:val="single" w:sz="4" w:space="0" w:color="auto"/>
              <w:right w:val="nil"/>
            </w:tcBorders>
            <w:shd w:val="clear" w:color="000000" w:fill="F2DCDB"/>
            <w:vAlign w:val="center"/>
          </w:tcPr>
          <w:p w14:paraId="32EEDB5F" w14:textId="77777777" w:rsidR="00394D0F" w:rsidRDefault="00394D0F">
            <w:pPr>
              <w:jc w:val="right"/>
              <w:rPr>
                <w:color w:val="000000"/>
                <w:sz w:val="24"/>
                <w:szCs w:val="24"/>
              </w:rPr>
            </w:pPr>
            <w:r>
              <w:rPr>
                <w:color w:val="000000"/>
              </w:rPr>
              <w:t>20</w:t>
            </w:r>
          </w:p>
        </w:tc>
        <w:tc>
          <w:tcPr>
            <w:tcW w:w="299" w:type="pct"/>
            <w:tcBorders>
              <w:top w:val="nil"/>
              <w:left w:val="double" w:sz="6" w:space="0" w:color="auto"/>
              <w:bottom w:val="single" w:sz="4" w:space="0" w:color="auto"/>
              <w:right w:val="nil"/>
            </w:tcBorders>
            <w:shd w:val="clear" w:color="000000" w:fill="F2DCDB"/>
            <w:vAlign w:val="center"/>
          </w:tcPr>
          <w:p w14:paraId="10628BE1" w14:textId="77777777" w:rsidR="00394D0F" w:rsidRDefault="00394D0F">
            <w:pPr>
              <w:jc w:val="right"/>
              <w:rPr>
                <w:color w:val="000000"/>
                <w:sz w:val="24"/>
                <w:szCs w:val="24"/>
              </w:rPr>
            </w:pPr>
            <w:r>
              <w:rPr>
                <w:color w:val="000000"/>
              </w:rPr>
              <w:t>16</w:t>
            </w:r>
          </w:p>
        </w:tc>
        <w:tc>
          <w:tcPr>
            <w:tcW w:w="222" w:type="pct"/>
            <w:tcBorders>
              <w:top w:val="nil"/>
              <w:left w:val="double" w:sz="6" w:space="0" w:color="auto"/>
              <w:bottom w:val="single" w:sz="4" w:space="0" w:color="auto"/>
              <w:right w:val="nil"/>
            </w:tcBorders>
            <w:shd w:val="clear" w:color="000000" w:fill="F2DCDB"/>
            <w:vAlign w:val="center"/>
          </w:tcPr>
          <w:p w14:paraId="2F9CEB57" w14:textId="77777777" w:rsidR="00394D0F" w:rsidRDefault="00394D0F">
            <w:pPr>
              <w:jc w:val="right"/>
              <w:rPr>
                <w:color w:val="000000"/>
                <w:sz w:val="24"/>
                <w:szCs w:val="24"/>
              </w:rPr>
            </w:pPr>
            <w:r>
              <w:rPr>
                <w:color w:val="000000"/>
              </w:rPr>
              <w:t>34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1FD2FB7" w14:textId="77777777" w:rsidR="00394D0F" w:rsidRDefault="00394D0F">
            <w:pPr>
              <w:jc w:val="right"/>
              <w:rPr>
                <w:color w:val="000000"/>
                <w:sz w:val="24"/>
                <w:szCs w:val="24"/>
              </w:rPr>
            </w:pPr>
            <w:r>
              <w:rPr>
                <w:color w:val="000000"/>
              </w:rPr>
              <w:t>28</w:t>
            </w:r>
          </w:p>
        </w:tc>
      </w:tr>
    </w:tbl>
    <w:p w14:paraId="2C0679B8" w14:textId="77777777" w:rsidR="005C5B3E" w:rsidRDefault="005C5B3E" w:rsidP="004910A6">
      <w:pPr>
        <w:rPr>
          <w:rFonts w:cs="Arial"/>
          <w:sz w:val="24"/>
          <w:szCs w:val="24"/>
        </w:rPr>
        <w:sectPr w:rsidR="005C5B3E" w:rsidSect="005C5B3E">
          <w:pgSz w:w="16838" w:h="11906" w:orient="landscape"/>
          <w:pgMar w:top="1418" w:right="1134" w:bottom="851" w:left="1134" w:header="709" w:footer="709" w:gutter="0"/>
          <w:cols w:space="708"/>
          <w:docGrid w:linePitch="360"/>
        </w:sectPr>
      </w:pPr>
    </w:p>
    <w:tbl>
      <w:tblPr>
        <w:tblW w:w="5000" w:type="pct"/>
        <w:tblLook w:val="04A0" w:firstRow="1" w:lastRow="0" w:firstColumn="1" w:lastColumn="0" w:noHBand="0" w:noVBand="1"/>
        <w:tblCaption w:val="Table - Numeracy Year 7"/>
        <w:tblDescription w:val="Data relating to Numeracy Year 7"/>
      </w:tblPr>
      <w:tblGrid>
        <w:gridCol w:w="7403"/>
        <w:gridCol w:w="755"/>
        <w:gridCol w:w="757"/>
        <w:gridCol w:w="736"/>
        <w:gridCol w:w="736"/>
        <w:gridCol w:w="656"/>
        <w:gridCol w:w="674"/>
        <w:gridCol w:w="861"/>
        <w:gridCol w:w="884"/>
        <w:gridCol w:w="656"/>
        <w:gridCol w:w="668"/>
      </w:tblGrid>
      <w:tr w:rsidR="005C5B3E" w:rsidRPr="000A46ED" w14:paraId="7E817EC3" w14:textId="77777777" w:rsidTr="0001238E">
        <w:trPr>
          <w:trHeight w:val="567"/>
        </w:trPr>
        <w:tc>
          <w:tcPr>
            <w:tcW w:w="2503" w:type="pct"/>
            <w:vMerge w:val="restart"/>
            <w:tcBorders>
              <w:top w:val="single" w:sz="4" w:space="0" w:color="auto"/>
              <w:left w:val="single" w:sz="4" w:space="0" w:color="auto"/>
              <w:bottom w:val="nil"/>
              <w:right w:val="nil"/>
            </w:tcBorders>
            <w:shd w:val="clear" w:color="auto" w:fill="auto"/>
            <w:noWrap/>
            <w:vAlign w:val="center"/>
            <w:hideMark/>
          </w:tcPr>
          <w:p w14:paraId="0F784523" w14:textId="77777777" w:rsidR="005C5B3E" w:rsidRPr="008826A5" w:rsidRDefault="005C5B3E" w:rsidP="0001238E">
            <w:pPr>
              <w:spacing w:after="0" w:line="240" w:lineRule="auto"/>
              <w:jc w:val="center"/>
              <w:rPr>
                <w:rFonts w:eastAsia="Times New Roman" w:cs="Times New Roman"/>
                <w:b/>
                <w:bCs/>
                <w:color w:val="244061" w:themeColor="accent1" w:themeShade="80"/>
                <w:sz w:val="36"/>
                <w:szCs w:val="36"/>
                <w:lang w:eastAsia="en-AU"/>
              </w:rPr>
            </w:pPr>
            <w:r>
              <w:rPr>
                <w:rFonts w:eastAsia="Times New Roman" w:cs="Times New Roman"/>
                <w:b/>
                <w:bCs/>
                <w:color w:val="244061" w:themeColor="accent1" w:themeShade="80"/>
                <w:sz w:val="36"/>
                <w:szCs w:val="36"/>
                <w:lang w:eastAsia="en-AU"/>
              </w:rPr>
              <w:t>Numeracy</w:t>
            </w:r>
          </w:p>
          <w:p w14:paraId="14011986" w14:textId="77777777" w:rsidR="005C5B3E" w:rsidRPr="000A46ED" w:rsidRDefault="005C5B3E" w:rsidP="0001238E">
            <w:pPr>
              <w:spacing w:after="0" w:line="240" w:lineRule="auto"/>
              <w:jc w:val="center"/>
              <w:rPr>
                <w:rFonts w:eastAsia="Times New Roman" w:cs="Times New Roman"/>
                <w:b/>
                <w:bCs/>
                <w:color w:val="FF0000"/>
                <w:sz w:val="36"/>
                <w:szCs w:val="36"/>
                <w:lang w:eastAsia="en-AU"/>
              </w:rPr>
            </w:pPr>
          </w:p>
        </w:tc>
        <w:tc>
          <w:tcPr>
            <w:tcW w:w="2497"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093CD9F0" w14:textId="77777777" w:rsidR="005C5B3E" w:rsidRPr="000A46ED" w:rsidRDefault="005C5B3E" w:rsidP="0001238E">
            <w:pPr>
              <w:spacing w:after="0" w:line="240" w:lineRule="auto"/>
              <w:jc w:val="center"/>
              <w:rPr>
                <w:rFonts w:eastAsia="Times New Roman" w:cs="Times New Roman"/>
                <w:color w:val="000000"/>
                <w:sz w:val="52"/>
                <w:szCs w:val="52"/>
                <w:lang w:eastAsia="en-AU"/>
              </w:rPr>
            </w:pPr>
            <w:r>
              <w:rPr>
                <w:rFonts w:eastAsia="Times New Roman" w:cs="Times New Roman"/>
                <w:color w:val="000000"/>
                <w:sz w:val="52"/>
                <w:szCs w:val="52"/>
                <w:lang w:eastAsia="en-AU"/>
              </w:rPr>
              <w:t>Year 7</w:t>
            </w:r>
          </w:p>
        </w:tc>
      </w:tr>
      <w:tr w:rsidR="005C5B3E" w:rsidRPr="000A46ED" w14:paraId="4C058716" w14:textId="77777777" w:rsidTr="00394D0F">
        <w:trPr>
          <w:trHeight w:val="276"/>
        </w:trPr>
        <w:tc>
          <w:tcPr>
            <w:tcW w:w="2503" w:type="pct"/>
            <w:vMerge/>
            <w:tcBorders>
              <w:left w:val="single" w:sz="4" w:space="0" w:color="auto"/>
              <w:right w:val="nil"/>
            </w:tcBorders>
            <w:shd w:val="clear" w:color="auto" w:fill="auto"/>
            <w:vAlign w:val="center"/>
            <w:hideMark/>
          </w:tcPr>
          <w:p w14:paraId="48E8EFFB"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511"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2B4B54D0"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498" w:type="pct"/>
            <w:gridSpan w:val="2"/>
            <w:tcBorders>
              <w:top w:val="double" w:sz="6" w:space="0" w:color="auto"/>
              <w:left w:val="nil"/>
              <w:bottom w:val="single" w:sz="4" w:space="0" w:color="auto"/>
              <w:right w:val="single" w:sz="12" w:space="0" w:color="000000"/>
            </w:tcBorders>
            <w:shd w:val="clear" w:color="auto" w:fill="auto"/>
            <w:vAlign w:val="center"/>
            <w:hideMark/>
          </w:tcPr>
          <w:p w14:paraId="0401873C"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450" w:type="pct"/>
            <w:gridSpan w:val="2"/>
            <w:tcBorders>
              <w:top w:val="double" w:sz="6" w:space="0" w:color="auto"/>
              <w:left w:val="nil"/>
              <w:bottom w:val="single" w:sz="4" w:space="0" w:color="auto"/>
              <w:right w:val="single" w:sz="12" w:space="0" w:color="000000"/>
            </w:tcBorders>
            <w:shd w:val="clear" w:color="auto" w:fill="auto"/>
            <w:vAlign w:val="center"/>
            <w:hideMark/>
          </w:tcPr>
          <w:p w14:paraId="49ADA9D7"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590" w:type="pct"/>
            <w:gridSpan w:val="2"/>
            <w:tcBorders>
              <w:top w:val="double" w:sz="6" w:space="0" w:color="auto"/>
              <w:left w:val="nil"/>
              <w:bottom w:val="single" w:sz="4" w:space="0" w:color="auto"/>
              <w:right w:val="single" w:sz="12" w:space="0" w:color="000000"/>
            </w:tcBorders>
            <w:shd w:val="clear" w:color="auto" w:fill="auto"/>
            <w:vAlign w:val="center"/>
            <w:hideMark/>
          </w:tcPr>
          <w:p w14:paraId="26597AEB"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448" w:type="pct"/>
            <w:gridSpan w:val="2"/>
            <w:tcBorders>
              <w:top w:val="double" w:sz="6" w:space="0" w:color="auto"/>
              <w:left w:val="nil"/>
              <w:bottom w:val="single" w:sz="4" w:space="0" w:color="auto"/>
              <w:right w:val="double" w:sz="6" w:space="0" w:color="000000"/>
            </w:tcBorders>
            <w:shd w:val="clear" w:color="auto" w:fill="auto"/>
            <w:vAlign w:val="center"/>
            <w:hideMark/>
          </w:tcPr>
          <w:p w14:paraId="51CD4CBB"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5C5B3E" w:rsidRPr="000A46ED" w14:paraId="286ED20A" w14:textId="77777777" w:rsidTr="00394D0F">
        <w:trPr>
          <w:trHeight w:val="276"/>
        </w:trPr>
        <w:tc>
          <w:tcPr>
            <w:tcW w:w="2503" w:type="pct"/>
            <w:vMerge/>
            <w:tcBorders>
              <w:left w:val="single" w:sz="4" w:space="0" w:color="auto"/>
              <w:bottom w:val="single" w:sz="8" w:space="0" w:color="auto"/>
              <w:right w:val="nil"/>
            </w:tcBorders>
            <w:shd w:val="clear" w:color="auto" w:fill="auto"/>
            <w:vAlign w:val="center"/>
            <w:hideMark/>
          </w:tcPr>
          <w:p w14:paraId="0B1C3914"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255" w:type="pct"/>
            <w:tcBorders>
              <w:top w:val="nil"/>
              <w:left w:val="double" w:sz="6" w:space="0" w:color="auto"/>
              <w:bottom w:val="single" w:sz="4" w:space="0" w:color="auto"/>
              <w:right w:val="single" w:sz="4" w:space="0" w:color="auto"/>
            </w:tcBorders>
            <w:shd w:val="clear" w:color="auto" w:fill="auto"/>
            <w:vAlign w:val="center"/>
            <w:hideMark/>
          </w:tcPr>
          <w:p w14:paraId="54C65ED3"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56" w:type="pct"/>
            <w:tcBorders>
              <w:top w:val="nil"/>
              <w:left w:val="nil"/>
              <w:bottom w:val="single" w:sz="4" w:space="0" w:color="auto"/>
              <w:right w:val="single" w:sz="12" w:space="0" w:color="auto"/>
            </w:tcBorders>
            <w:shd w:val="clear" w:color="auto" w:fill="auto"/>
            <w:vAlign w:val="center"/>
            <w:hideMark/>
          </w:tcPr>
          <w:p w14:paraId="5930A51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49" w:type="pct"/>
            <w:tcBorders>
              <w:top w:val="nil"/>
              <w:left w:val="nil"/>
              <w:bottom w:val="single" w:sz="4" w:space="0" w:color="auto"/>
              <w:right w:val="single" w:sz="4" w:space="0" w:color="auto"/>
            </w:tcBorders>
            <w:shd w:val="clear" w:color="auto" w:fill="auto"/>
            <w:vAlign w:val="center"/>
            <w:hideMark/>
          </w:tcPr>
          <w:p w14:paraId="3A3A0E11"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49" w:type="pct"/>
            <w:tcBorders>
              <w:top w:val="nil"/>
              <w:left w:val="nil"/>
              <w:bottom w:val="single" w:sz="4" w:space="0" w:color="auto"/>
              <w:right w:val="single" w:sz="12" w:space="0" w:color="auto"/>
            </w:tcBorders>
            <w:shd w:val="clear" w:color="auto" w:fill="auto"/>
            <w:vAlign w:val="center"/>
            <w:hideMark/>
          </w:tcPr>
          <w:p w14:paraId="603A6A2E"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3C0855E8"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single" w:sz="12" w:space="0" w:color="auto"/>
            </w:tcBorders>
            <w:shd w:val="clear" w:color="auto" w:fill="auto"/>
            <w:vAlign w:val="center"/>
            <w:hideMark/>
          </w:tcPr>
          <w:p w14:paraId="26D46E0A"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1" w:type="pct"/>
            <w:tcBorders>
              <w:top w:val="nil"/>
              <w:left w:val="nil"/>
              <w:bottom w:val="single" w:sz="4" w:space="0" w:color="auto"/>
              <w:right w:val="single" w:sz="4" w:space="0" w:color="auto"/>
            </w:tcBorders>
            <w:shd w:val="clear" w:color="auto" w:fill="auto"/>
            <w:vAlign w:val="center"/>
            <w:hideMark/>
          </w:tcPr>
          <w:p w14:paraId="3E8E376C"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70F0F024"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663980F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6" w:type="pct"/>
            <w:tcBorders>
              <w:top w:val="nil"/>
              <w:left w:val="nil"/>
              <w:bottom w:val="single" w:sz="4" w:space="0" w:color="auto"/>
              <w:right w:val="double" w:sz="6" w:space="0" w:color="auto"/>
            </w:tcBorders>
            <w:shd w:val="clear" w:color="auto" w:fill="auto"/>
            <w:vAlign w:val="center"/>
            <w:hideMark/>
          </w:tcPr>
          <w:p w14:paraId="4715BFE0"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C755B1" w:rsidRPr="000A46ED" w14:paraId="10E8FEA6"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E7C7F0F" w14:textId="3DC26571"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doing Maths.</w:t>
            </w:r>
          </w:p>
        </w:tc>
        <w:tc>
          <w:tcPr>
            <w:tcW w:w="255" w:type="pct"/>
            <w:tcBorders>
              <w:top w:val="nil"/>
              <w:left w:val="double" w:sz="6" w:space="0" w:color="auto"/>
              <w:bottom w:val="single" w:sz="4" w:space="0" w:color="auto"/>
              <w:right w:val="nil"/>
            </w:tcBorders>
            <w:shd w:val="clear" w:color="000000" w:fill="F2DCDB"/>
            <w:vAlign w:val="center"/>
          </w:tcPr>
          <w:p w14:paraId="4923297B" w14:textId="77777777" w:rsidR="00C755B1" w:rsidRDefault="00C755B1" w:rsidP="00C755B1">
            <w:pPr>
              <w:jc w:val="right"/>
              <w:rPr>
                <w:color w:val="000000"/>
                <w:sz w:val="24"/>
                <w:szCs w:val="24"/>
              </w:rPr>
            </w:pPr>
            <w:r>
              <w:rPr>
                <w:color w:val="000000"/>
              </w:rPr>
              <w:t>75</w:t>
            </w:r>
          </w:p>
        </w:tc>
        <w:tc>
          <w:tcPr>
            <w:tcW w:w="256" w:type="pct"/>
            <w:tcBorders>
              <w:top w:val="nil"/>
              <w:left w:val="double" w:sz="6" w:space="0" w:color="auto"/>
              <w:bottom w:val="single" w:sz="4" w:space="0" w:color="auto"/>
              <w:right w:val="nil"/>
            </w:tcBorders>
            <w:shd w:val="clear" w:color="000000" w:fill="F2DCDB"/>
            <w:vAlign w:val="center"/>
          </w:tcPr>
          <w:p w14:paraId="64FB3503" w14:textId="77777777" w:rsidR="00C755B1" w:rsidRDefault="00C755B1" w:rsidP="00C755B1">
            <w:pPr>
              <w:jc w:val="right"/>
              <w:rPr>
                <w:color w:val="000000"/>
                <w:sz w:val="24"/>
                <w:szCs w:val="24"/>
              </w:rPr>
            </w:pPr>
            <w:r>
              <w:rPr>
                <w:color w:val="000000"/>
              </w:rPr>
              <w:t>89</w:t>
            </w:r>
          </w:p>
        </w:tc>
        <w:tc>
          <w:tcPr>
            <w:tcW w:w="249" w:type="pct"/>
            <w:tcBorders>
              <w:top w:val="nil"/>
              <w:left w:val="double" w:sz="6" w:space="0" w:color="auto"/>
              <w:bottom w:val="single" w:sz="4" w:space="0" w:color="auto"/>
              <w:right w:val="nil"/>
            </w:tcBorders>
            <w:shd w:val="clear" w:color="000000" w:fill="F2DCDB"/>
            <w:vAlign w:val="center"/>
          </w:tcPr>
          <w:p w14:paraId="142DB26C" w14:textId="77777777" w:rsidR="00C755B1" w:rsidRDefault="00C755B1" w:rsidP="00C755B1">
            <w:pPr>
              <w:jc w:val="right"/>
              <w:rPr>
                <w:color w:val="000000"/>
                <w:sz w:val="24"/>
                <w:szCs w:val="24"/>
              </w:rPr>
            </w:pPr>
            <w:r>
              <w:rPr>
                <w:color w:val="000000"/>
              </w:rPr>
              <w:t>228</w:t>
            </w:r>
          </w:p>
        </w:tc>
        <w:tc>
          <w:tcPr>
            <w:tcW w:w="249" w:type="pct"/>
            <w:tcBorders>
              <w:top w:val="nil"/>
              <w:left w:val="double" w:sz="6" w:space="0" w:color="auto"/>
              <w:bottom w:val="single" w:sz="4" w:space="0" w:color="auto"/>
              <w:right w:val="nil"/>
            </w:tcBorders>
            <w:shd w:val="clear" w:color="000000" w:fill="F2DCDB"/>
            <w:vAlign w:val="center"/>
          </w:tcPr>
          <w:p w14:paraId="38229627" w14:textId="77777777" w:rsidR="00C755B1" w:rsidRDefault="00C755B1" w:rsidP="00C755B1">
            <w:pPr>
              <w:jc w:val="right"/>
              <w:rPr>
                <w:color w:val="000000"/>
                <w:sz w:val="24"/>
                <w:szCs w:val="24"/>
              </w:rPr>
            </w:pPr>
            <w:r>
              <w:rPr>
                <w:color w:val="000000"/>
              </w:rPr>
              <w:t>210</w:t>
            </w:r>
          </w:p>
        </w:tc>
        <w:tc>
          <w:tcPr>
            <w:tcW w:w="222" w:type="pct"/>
            <w:tcBorders>
              <w:top w:val="nil"/>
              <w:left w:val="double" w:sz="6" w:space="0" w:color="auto"/>
              <w:bottom w:val="single" w:sz="4" w:space="0" w:color="auto"/>
              <w:right w:val="nil"/>
            </w:tcBorders>
            <w:shd w:val="clear" w:color="000000" w:fill="F2DCDB"/>
            <w:vAlign w:val="center"/>
          </w:tcPr>
          <w:p w14:paraId="21E7237F" w14:textId="77777777" w:rsidR="00C755B1" w:rsidRDefault="00C755B1" w:rsidP="00C755B1">
            <w:pPr>
              <w:jc w:val="right"/>
              <w:rPr>
                <w:color w:val="000000"/>
                <w:sz w:val="24"/>
                <w:szCs w:val="24"/>
              </w:rPr>
            </w:pPr>
            <w:r>
              <w:rPr>
                <w:color w:val="000000"/>
              </w:rPr>
              <w:t>126</w:t>
            </w:r>
          </w:p>
        </w:tc>
        <w:tc>
          <w:tcPr>
            <w:tcW w:w="228" w:type="pct"/>
            <w:tcBorders>
              <w:top w:val="nil"/>
              <w:left w:val="double" w:sz="6" w:space="0" w:color="auto"/>
              <w:bottom w:val="single" w:sz="4" w:space="0" w:color="auto"/>
              <w:right w:val="nil"/>
            </w:tcBorders>
            <w:shd w:val="clear" w:color="000000" w:fill="F2DCDB"/>
            <w:vAlign w:val="center"/>
          </w:tcPr>
          <w:p w14:paraId="3B4983FF" w14:textId="77777777" w:rsidR="00C755B1" w:rsidRDefault="00C755B1" w:rsidP="00C755B1">
            <w:pPr>
              <w:jc w:val="right"/>
              <w:rPr>
                <w:color w:val="000000"/>
                <w:sz w:val="24"/>
                <w:szCs w:val="24"/>
              </w:rPr>
            </w:pPr>
            <w:r>
              <w:rPr>
                <w:color w:val="000000"/>
              </w:rPr>
              <w:t>114</w:t>
            </w:r>
          </w:p>
        </w:tc>
        <w:tc>
          <w:tcPr>
            <w:tcW w:w="291" w:type="pct"/>
            <w:tcBorders>
              <w:top w:val="nil"/>
              <w:left w:val="double" w:sz="6" w:space="0" w:color="auto"/>
              <w:bottom w:val="single" w:sz="4" w:space="0" w:color="auto"/>
              <w:right w:val="nil"/>
            </w:tcBorders>
            <w:shd w:val="clear" w:color="000000" w:fill="F2DCDB"/>
            <w:vAlign w:val="center"/>
          </w:tcPr>
          <w:p w14:paraId="0E59A4B5" w14:textId="77777777" w:rsidR="00C755B1" w:rsidRDefault="00C755B1" w:rsidP="00C755B1">
            <w:pPr>
              <w:jc w:val="right"/>
              <w:rPr>
                <w:color w:val="000000"/>
                <w:sz w:val="24"/>
                <w:szCs w:val="24"/>
              </w:rPr>
            </w:pPr>
            <w:r>
              <w:rPr>
                <w:color w:val="000000"/>
              </w:rPr>
              <w:t>73</w:t>
            </w:r>
          </w:p>
        </w:tc>
        <w:tc>
          <w:tcPr>
            <w:tcW w:w="299" w:type="pct"/>
            <w:tcBorders>
              <w:top w:val="nil"/>
              <w:left w:val="double" w:sz="6" w:space="0" w:color="auto"/>
              <w:bottom w:val="single" w:sz="4" w:space="0" w:color="auto"/>
              <w:right w:val="nil"/>
            </w:tcBorders>
            <w:shd w:val="clear" w:color="000000" w:fill="F2DCDB"/>
            <w:vAlign w:val="center"/>
          </w:tcPr>
          <w:p w14:paraId="201069C8" w14:textId="77777777" w:rsidR="00C755B1" w:rsidRDefault="00C755B1" w:rsidP="00C755B1">
            <w:pPr>
              <w:jc w:val="right"/>
              <w:rPr>
                <w:color w:val="000000"/>
                <w:sz w:val="24"/>
                <w:szCs w:val="24"/>
              </w:rPr>
            </w:pPr>
            <w:r>
              <w:rPr>
                <w:color w:val="000000"/>
              </w:rPr>
              <w:t>50</w:t>
            </w:r>
          </w:p>
        </w:tc>
        <w:tc>
          <w:tcPr>
            <w:tcW w:w="222" w:type="pct"/>
            <w:tcBorders>
              <w:top w:val="nil"/>
              <w:left w:val="double" w:sz="6" w:space="0" w:color="auto"/>
              <w:bottom w:val="single" w:sz="4" w:space="0" w:color="auto"/>
              <w:right w:val="nil"/>
            </w:tcBorders>
            <w:shd w:val="clear" w:color="000000" w:fill="F2DCDB"/>
            <w:vAlign w:val="center"/>
          </w:tcPr>
          <w:p w14:paraId="30B6CFB6" w14:textId="77777777" w:rsidR="00C755B1" w:rsidRDefault="00C755B1" w:rsidP="00C755B1">
            <w:pPr>
              <w:jc w:val="right"/>
              <w:rPr>
                <w:color w:val="000000"/>
                <w:sz w:val="24"/>
                <w:szCs w:val="24"/>
              </w:rPr>
            </w:pPr>
            <w:r>
              <w:rPr>
                <w:color w:val="000000"/>
              </w:rPr>
              <w:t>38</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04B397A" w14:textId="77777777" w:rsidR="00C755B1" w:rsidRDefault="00C755B1" w:rsidP="00C755B1">
            <w:pPr>
              <w:jc w:val="right"/>
              <w:rPr>
                <w:color w:val="000000"/>
                <w:sz w:val="24"/>
                <w:szCs w:val="24"/>
              </w:rPr>
            </w:pPr>
            <w:r>
              <w:rPr>
                <w:color w:val="000000"/>
              </w:rPr>
              <w:t>29</w:t>
            </w:r>
          </w:p>
        </w:tc>
      </w:tr>
      <w:tr w:rsidR="00C755B1" w:rsidRPr="000A46ED" w14:paraId="35CC40C2"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57DED8F" w14:textId="65BA783D"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 It is important to learn Maths.</w:t>
            </w:r>
          </w:p>
        </w:tc>
        <w:tc>
          <w:tcPr>
            <w:tcW w:w="255" w:type="pct"/>
            <w:tcBorders>
              <w:top w:val="nil"/>
              <w:left w:val="double" w:sz="6" w:space="0" w:color="auto"/>
              <w:bottom w:val="single" w:sz="4" w:space="0" w:color="auto"/>
              <w:right w:val="nil"/>
            </w:tcBorders>
            <w:shd w:val="clear" w:color="000000" w:fill="F2DCDB"/>
            <w:vAlign w:val="center"/>
          </w:tcPr>
          <w:p w14:paraId="5B0F7D2F" w14:textId="77777777" w:rsidR="00C755B1" w:rsidRDefault="00C755B1" w:rsidP="00C755B1">
            <w:pPr>
              <w:jc w:val="right"/>
              <w:rPr>
                <w:color w:val="000000"/>
                <w:sz w:val="24"/>
                <w:szCs w:val="24"/>
              </w:rPr>
            </w:pPr>
            <w:r>
              <w:rPr>
                <w:color w:val="000000"/>
              </w:rPr>
              <w:t>248</w:t>
            </w:r>
          </w:p>
        </w:tc>
        <w:tc>
          <w:tcPr>
            <w:tcW w:w="256" w:type="pct"/>
            <w:tcBorders>
              <w:top w:val="nil"/>
              <w:left w:val="double" w:sz="6" w:space="0" w:color="auto"/>
              <w:bottom w:val="single" w:sz="4" w:space="0" w:color="auto"/>
              <w:right w:val="nil"/>
            </w:tcBorders>
            <w:shd w:val="clear" w:color="000000" w:fill="F2DCDB"/>
            <w:vAlign w:val="center"/>
          </w:tcPr>
          <w:p w14:paraId="7C426609" w14:textId="77777777" w:rsidR="00C755B1" w:rsidRDefault="00C755B1" w:rsidP="00C755B1">
            <w:pPr>
              <w:jc w:val="right"/>
              <w:rPr>
                <w:color w:val="000000"/>
                <w:sz w:val="24"/>
                <w:szCs w:val="24"/>
              </w:rPr>
            </w:pPr>
            <w:r>
              <w:rPr>
                <w:color w:val="000000"/>
              </w:rPr>
              <w:t>274</w:t>
            </w:r>
          </w:p>
        </w:tc>
        <w:tc>
          <w:tcPr>
            <w:tcW w:w="249" w:type="pct"/>
            <w:tcBorders>
              <w:top w:val="nil"/>
              <w:left w:val="double" w:sz="6" w:space="0" w:color="auto"/>
              <w:bottom w:val="single" w:sz="4" w:space="0" w:color="auto"/>
              <w:right w:val="nil"/>
            </w:tcBorders>
            <w:shd w:val="clear" w:color="000000" w:fill="F2DCDB"/>
            <w:vAlign w:val="center"/>
          </w:tcPr>
          <w:p w14:paraId="1A51720A" w14:textId="77777777" w:rsidR="00C755B1" w:rsidRDefault="00C755B1" w:rsidP="00C755B1">
            <w:pPr>
              <w:jc w:val="right"/>
              <w:rPr>
                <w:color w:val="000000"/>
                <w:sz w:val="24"/>
                <w:szCs w:val="24"/>
              </w:rPr>
            </w:pPr>
            <w:r>
              <w:rPr>
                <w:color w:val="000000"/>
              </w:rPr>
              <w:t>241</w:t>
            </w:r>
          </w:p>
        </w:tc>
        <w:tc>
          <w:tcPr>
            <w:tcW w:w="249" w:type="pct"/>
            <w:tcBorders>
              <w:top w:val="nil"/>
              <w:left w:val="double" w:sz="6" w:space="0" w:color="auto"/>
              <w:bottom w:val="single" w:sz="4" w:space="0" w:color="auto"/>
              <w:right w:val="nil"/>
            </w:tcBorders>
            <w:shd w:val="clear" w:color="000000" w:fill="F2DCDB"/>
            <w:vAlign w:val="center"/>
          </w:tcPr>
          <w:p w14:paraId="4190AC65" w14:textId="77777777" w:rsidR="00C755B1" w:rsidRDefault="00C755B1" w:rsidP="00C755B1">
            <w:pPr>
              <w:jc w:val="right"/>
              <w:rPr>
                <w:color w:val="000000"/>
                <w:sz w:val="24"/>
                <w:szCs w:val="24"/>
              </w:rPr>
            </w:pPr>
            <w:r>
              <w:rPr>
                <w:color w:val="000000"/>
              </w:rPr>
              <w:t>178</w:t>
            </w:r>
          </w:p>
        </w:tc>
        <w:tc>
          <w:tcPr>
            <w:tcW w:w="222" w:type="pct"/>
            <w:tcBorders>
              <w:top w:val="nil"/>
              <w:left w:val="double" w:sz="6" w:space="0" w:color="auto"/>
              <w:bottom w:val="single" w:sz="4" w:space="0" w:color="auto"/>
              <w:right w:val="nil"/>
            </w:tcBorders>
            <w:shd w:val="clear" w:color="000000" w:fill="F2DCDB"/>
            <w:vAlign w:val="center"/>
          </w:tcPr>
          <w:p w14:paraId="66327276" w14:textId="77777777" w:rsidR="00C755B1" w:rsidRDefault="00C755B1" w:rsidP="00C755B1">
            <w:pPr>
              <w:jc w:val="right"/>
              <w:rPr>
                <w:color w:val="000000"/>
                <w:sz w:val="24"/>
                <w:szCs w:val="24"/>
              </w:rPr>
            </w:pPr>
            <w:r>
              <w:rPr>
                <w:color w:val="000000"/>
              </w:rPr>
              <w:t>27</w:t>
            </w:r>
          </w:p>
        </w:tc>
        <w:tc>
          <w:tcPr>
            <w:tcW w:w="228" w:type="pct"/>
            <w:tcBorders>
              <w:top w:val="nil"/>
              <w:left w:val="double" w:sz="6" w:space="0" w:color="auto"/>
              <w:bottom w:val="single" w:sz="4" w:space="0" w:color="auto"/>
              <w:right w:val="nil"/>
            </w:tcBorders>
            <w:shd w:val="clear" w:color="000000" w:fill="F2DCDB"/>
            <w:vAlign w:val="center"/>
          </w:tcPr>
          <w:p w14:paraId="385DF58E" w14:textId="77777777" w:rsidR="00C755B1" w:rsidRDefault="00C755B1" w:rsidP="00C755B1">
            <w:pPr>
              <w:jc w:val="right"/>
              <w:rPr>
                <w:color w:val="000000"/>
                <w:sz w:val="24"/>
                <w:szCs w:val="24"/>
              </w:rPr>
            </w:pPr>
            <w:r>
              <w:rPr>
                <w:color w:val="000000"/>
              </w:rPr>
              <w:t>20</w:t>
            </w:r>
          </w:p>
        </w:tc>
        <w:tc>
          <w:tcPr>
            <w:tcW w:w="291" w:type="pct"/>
            <w:tcBorders>
              <w:top w:val="nil"/>
              <w:left w:val="double" w:sz="6" w:space="0" w:color="auto"/>
              <w:bottom w:val="single" w:sz="4" w:space="0" w:color="auto"/>
              <w:right w:val="nil"/>
            </w:tcBorders>
            <w:shd w:val="clear" w:color="000000" w:fill="F2DCDB"/>
            <w:vAlign w:val="center"/>
          </w:tcPr>
          <w:p w14:paraId="07A21684" w14:textId="77777777" w:rsidR="00C755B1" w:rsidRDefault="00C755B1" w:rsidP="00C755B1">
            <w:pPr>
              <w:jc w:val="right"/>
              <w:rPr>
                <w:color w:val="000000"/>
                <w:sz w:val="24"/>
                <w:szCs w:val="24"/>
              </w:rPr>
            </w:pPr>
            <w:r>
              <w:rPr>
                <w:color w:val="000000"/>
              </w:rPr>
              <w:t>6</w:t>
            </w:r>
          </w:p>
        </w:tc>
        <w:tc>
          <w:tcPr>
            <w:tcW w:w="299" w:type="pct"/>
            <w:tcBorders>
              <w:top w:val="nil"/>
              <w:left w:val="double" w:sz="6" w:space="0" w:color="auto"/>
              <w:bottom w:val="single" w:sz="4" w:space="0" w:color="auto"/>
              <w:right w:val="nil"/>
            </w:tcBorders>
            <w:shd w:val="clear" w:color="000000" w:fill="F2DCDB"/>
            <w:vAlign w:val="center"/>
          </w:tcPr>
          <w:p w14:paraId="704675D4" w14:textId="77777777" w:rsidR="00C755B1" w:rsidRDefault="00C755B1" w:rsidP="00C755B1">
            <w:pPr>
              <w:jc w:val="right"/>
              <w:rPr>
                <w:color w:val="000000"/>
                <w:sz w:val="24"/>
                <w:szCs w:val="24"/>
              </w:rPr>
            </w:pPr>
            <w:r>
              <w:rPr>
                <w:color w:val="000000"/>
              </w:rPr>
              <w:t>16</w:t>
            </w:r>
          </w:p>
        </w:tc>
        <w:tc>
          <w:tcPr>
            <w:tcW w:w="222" w:type="pct"/>
            <w:tcBorders>
              <w:top w:val="nil"/>
              <w:left w:val="double" w:sz="6" w:space="0" w:color="auto"/>
              <w:bottom w:val="single" w:sz="4" w:space="0" w:color="auto"/>
              <w:right w:val="nil"/>
            </w:tcBorders>
            <w:shd w:val="clear" w:color="000000" w:fill="F2DCDB"/>
            <w:vAlign w:val="center"/>
          </w:tcPr>
          <w:p w14:paraId="5A2348D7" w14:textId="77777777" w:rsidR="00C755B1" w:rsidRDefault="00C755B1" w:rsidP="00C755B1">
            <w:pPr>
              <w:jc w:val="right"/>
              <w:rPr>
                <w:color w:val="000000"/>
                <w:sz w:val="24"/>
                <w:szCs w:val="24"/>
              </w:rPr>
            </w:pPr>
            <w:r>
              <w:rPr>
                <w:color w:val="000000"/>
              </w:rPr>
              <w:t>16</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6AE3FA4" w14:textId="77777777" w:rsidR="00C755B1" w:rsidRDefault="00C755B1" w:rsidP="00C755B1">
            <w:pPr>
              <w:jc w:val="right"/>
              <w:rPr>
                <w:color w:val="000000"/>
                <w:sz w:val="24"/>
                <w:szCs w:val="24"/>
              </w:rPr>
            </w:pPr>
            <w:r>
              <w:rPr>
                <w:color w:val="000000"/>
              </w:rPr>
              <w:t>7</w:t>
            </w:r>
          </w:p>
        </w:tc>
      </w:tr>
      <w:tr w:rsidR="00C755B1" w:rsidRPr="000A46ED" w14:paraId="41C81794"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7DD2592" w14:textId="3DA3B458"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Maths skills.</w:t>
            </w:r>
          </w:p>
        </w:tc>
        <w:tc>
          <w:tcPr>
            <w:tcW w:w="255" w:type="pct"/>
            <w:tcBorders>
              <w:top w:val="nil"/>
              <w:left w:val="double" w:sz="6" w:space="0" w:color="auto"/>
              <w:bottom w:val="single" w:sz="4" w:space="0" w:color="auto"/>
              <w:right w:val="nil"/>
            </w:tcBorders>
            <w:shd w:val="clear" w:color="000000" w:fill="F2DCDB"/>
            <w:vAlign w:val="center"/>
          </w:tcPr>
          <w:p w14:paraId="79F73CBC" w14:textId="77777777" w:rsidR="00C755B1" w:rsidRDefault="00C755B1" w:rsidP="00C755B1">
            <w:pPr>
              <w:jc w:val="right"/>
              <w:rPr>
                <w:color w:val="000000"/>
                <w:sz w:val="24"/>
                <w:szCs w:val="24"/>
              </w:rPr>
            </w:pPr>
            <w:r>
              <w:rPr>
                <w:color w:val="000000"/>
              </w:rPr>
              <w:t>63</w:t>
            </w:r>
          </w:p>
        </w:tc>
        <w:tc>
          <w:tcPr>
            <w:tcW w:w="256" w:type="pct"/>
            <w:tcBorders>
              <w:top w:val="nil"/>
              <w:left w:val="double" w:sz="6" w:space="0" w:color="auto"/>
              <w:bottom w:val="single" w:sz="4" w:space="0" w:color="auto"/>
              <w:right w:val="nil"/>
            </w:tcBorders>
            <w:shd w:val="clear" w:color="000000" w:fill="F2DCDB"/>
            <w:vAlign w:val="center"/>
          </w:tcPr>
          <w:p w14:paraId="1CE1EB50" w14:textId="77777777" w:rsidR="00C755B1" w:rsidRDefault="00C755B1" w:rsidP="00C755B1">
            <w:pPr>
              <w:jc w:val="right"/>
              <w:rPr>
                <w:color w:val="000000"/>
                <w:sz w:val="24"/>
                <w:szCs w:val="24"/>
              </w:rPr>
            </w:pPr>
            <w:r>
              <w:rPr>
                <w:color w:val="000000"/>
              </w:rPr>
              <w:t>81</w:t>
            </w:r>
          </w:p>
        </w:tc>
        <w:tc>
          <w:tcPr>
            <w:tcW w:w="249" w:type="pct"/>
            <w:tcBorders>
              <w:top w:val="nil"/>
              <w:left w:val="double" w:sz="6" w:space="0" w:color="auto"/>
              <w:bottom w:val="single" w:sz="4" w:space="0" w:color="auto"/>
              <w:right w:val="nil"/>
            </w:tcBorders>
            <w:shd w:val="clear" w:color="000000" w:fill="F2DCDB"/>
            <w:vAlign w:val="center"/>
          </w:tcPr>
          <w:p w14:paraId="220D2F03" w14:textId="77777777" w:rsidR="00C755B1" w:rsidRDefault="00C755B1" w:rsidP="00C755B1">
            <w:pPr>
              <w:jc w:val="right"/>
              <w:rPr>
                <w:color w:val="000000"/>
                <w:sz w:val="24"/>
                <w:szCs w:val="24"/>
              </w:rPr>
            </w:pPr>
            <w:r>
              <w:rPr>
                <w:color w:val="000000"/>
              </w:rPr>
              <w:t>236</w:t>
            </w:r>
          </w:p>
        </w:tc>
        <w:tc>
          <w:tcPr>
            <w:tcW w:w="249" w:type="pct"/>
            <w:tcBorders>
              <w:top w:val="nil"/>
              <w:left w:val="double" w:sz="6" w:space="0" w:color="auto"/>
              <w:bottom w:val="single" w:sz="4" w:space="0" w:color="auto"/>
              <w:right w:val="nil"/>
            </w:tcBorders>
            <w:shd w:val="clear" w:color="000000" w:fill="F2DCDB"/>
            <w:vAlign w:val="center"/>
          </w:tcPr>
          <w:p w14:paraId="6ED13C7C" w14:textId="77777777" w:rsidR="00C755B1" w:rsidRDefault="00C755B1" w:rsidP="00C755B1">
            <w:pPr>
              <w:jc w:val="right"/>
              <w:rPr>
                <w:color w:val="000000"/>
                <w:sz w:val="24"/>
                <w:szCs w:val="24"/>
              </w:rPr>
            </w:pPr>
            <w:r>
              <w:rPr>
                <w:color w:val="000000"/>
              </w:rPr>
              <w:t>265</w:t>
            </w:r>
          </w:p>
        </w:tc>
        <w:tc>
          <w:tcPr>
            <w:tcW w:w="222" w:type="pct"/>
            <w:tcBorders>
              <w:top w:val="nil"/>
              <w:left w:val="double" w:sz="6" w:space="0" w:color="auto"/>
              <w:bottom w:val="single" w:sz="4" w:space="0" w:color="auto"/>
              <w:right w:val="nil"/>
            </w:tcBorders>
            <w:shd w:val="clear" w:color="000000" w:fill="F2DCDB"/>
            <w:vAlign w:val="center"/>
          </w:tcPr>
          <w:p w14:paraId="6C0A5C4D" w14:textId="77777777" w:rsidR="00C755B1" w:rsidRDefault="00C755B1" w:rsidP="00C755B1">
            <w:pPr>
              <w:jc w:val="right"/>
              <w:rPr>
                <w:color w:val="000000"/>
                <w:sz w:val="24"/>
                <w:szCs w:val="24"/>
              </w:rPr>
            </w:pPr>
            <w:r>
              <w:rPr>
                <w:color w:val="000000"/>
              </w:rPr>
              <w:t>119</w:t>
            </w:r>
          </w:p>
        </w:tc>
        <w:tc>
          <w:tcPr>
            <w:tcW w:w="228" w:type="pct"/>
            <w:tcBorders>
              <w:top w:val="nil"/>
              <w:left w:val="double" w:sz="6" w:space="0" w:color="auto"/>
              <w:bottom w:val="single" w:sz="4" w:space="0" w:color="auto"/>
              <w:right w:val="nil"/>
            </w:tcBorders>
            <w:shd w:val="clear" w:color="000000" w:fill="F2DCDB"/>
            <w:vAlign w:val="center"/>
          </w:tcPr>
          <w:p w14:paraId="6483EE88" w14:textId="77777777" w:rsidR="00C755B1" w:rsidRDefault="00C755B1" w:rsidP="00C755B1">
            <w:pPr>
              <w:jc w:val="right"/>
              <w:rPr>
                <w:color w:val="000000"/>
                <w:sz w:val="24"/>
                <w:szCs w:val="24"/>
              </w:rPr>
            </w:pPr>
            <w:r>
              <w:rPr>
                <w:color w:val="000000"/>
              </w:rPr>
              <w:t>84</w:t>
            </w:r>
          </w:p>
        </w:tc>
        <w:tc>
          <w:tcPr>
            <w:tcW w:w="291" w:type="pct"/>
            <w:tcBorders>
              <w:top w:val="nil"/>
              <w:left w:val="double" w:sz="6" w:space="0" w:color="auto"/>
              <w:bottom w:val="single" w:sz="4" w:space="0" w:color="auto"/>
              <w:right w:val="nil"/>
            </w:tcBorders>
            <w:shd w:val="clear" w:color="000000" w:fill="F2DCDB"/>
            <w:vAlign w:val="center"/>
          </w:tcPr>
          <w:p w14:paraId="3462BB49" w14:textId="77777777" w:rsidR="00C755B1" w:rsidRDefault="00C755B1" w:rsidP="00C755B1">
            <w:pPr>
              <w:jc w:val="right"/>
              <w:rPr>
                <w:color w:val="000000"/>
                <w:sz w:val="24"/>
                <w:szCs w:val="24"/>
              </w:rPr>
            </w:pPr>
            <w:r>
              <w:rPr>
                <w:color w:val="000000"/>
              </w:rPr>
              <w:t>34</w:t>
            </w:r>
          </w:p>
        </w:tc>
        <w:tc>
          <w:tcPr>
            <w:tcW w:w="299" w:type="pct"/>
            <w:tcBorders>
              <w:top w:val="nil"/>
              <w:left w:val="double" w:sz="6" w:space="0" w:color="auto"/>
              <w:bottom w:val="single" w:sz="4" w:space="0" w:color="auto"/>
              <w:right w:val="nil"/>
            </w:tcBorders>
            <w:shd w:val="clear" w:color="000000" w:fill="F2DCDB"/>
            <w:vAlign w:val="center"/>
          </w:tcPr>
          <w:p w14:paraId="4AB7BE3B" w14:textId="77777777" w:rsidR="00C755B1" w:rsidRDefault="00C755B1" w:rsidP="00C755B1">
            <w:pPr>
              <w:jc w:val="right"/>
              <w:rPr>
                <w:color w:val="000000"/>
                <w:sz w:val="24"/>
                <w:szCs w:val="24"/>
              </w:rPr>
            </w:pPr>
            <w:r>
              <w:rPr>
                <w:color w:val="000000"/>
              </w:rPr>
              <w:t>23</w:t>
            </w:r>
          </w:p>
        </w:tc>
        <w:tc>
          <w:tcPr>
            <w:tcW w:w="222" w:type="pct"/>
            <w:tcBorders>
              <w:top w:val="nil"/>
              <w:left w:val="double" w:sz="6" w:space="0" w:color="auto"/>
              <w:bottom w:val="single" w:sz="4" w:space="0" w:color="auto"/>
              <w:right w:val="nil"/>
            </w:tcBorders>
            <w:shd w:val="clear" w:color="000000" w:fill="F2DCDB"/>
            <w:vAlign w:val="center"/>
          </w:tcPr>
          <w:p w14:paraId="0609A7B1" w14:textId="77777777" w:rsidR="00C755B1" w:rsidRDefault="00C755B1" w:rsidP="00C755B1">
            <w:pPr>
              <w:jc w:val="right"/>
              <w:rPr>
                <w:color w:val="000000"/>
                <w:sz w:val="24"/>
                <w:szCs w:val="24"/>
              </w:rPr>
            </w:pPr>
            <w:r>
              <w:rPr>
                <w:color w:val="000000"/>
              </w:rPr>
              <w:t>87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B72E500" w14:textId="77777777" w:rsidR="00C755B1" w:rsidRDefault="00C755B1" w:rsidP="00C755B1">
            <w:pPr>
              <w:jc w:val="right"/>
              <w:rPr>
                <w:color w:val="000000"/>
                <w:sz w:val="24"/>
                <w:szCs w:val="24"/>
              </w:rPr>
            </w:pPr>
            <w:r>
              <w:rPr>
                <w:color w:val="000000"/>
              </w:rPr>
              <w:t>43</w:t>
            </w:r>
          </w:p>
        </w:tc>
      </w:tr>
      <w:tr w:rsidR="00C755B1" w:rsidRPr="000A46ED" w14:paraId="0E47D381"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43D55CB" w14:textId="4C4A7B4B"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learning as I get older.</w:t>
            </w:r>
          </w:p>
        </w:tc>
        <w:tc>
          <w:tcPr>
            <w:tcW w:w="255" w:type="pct"/>
            <w:tcBorders>
              <w:top w:val="nil"/>
              <w:left w:val="double" w:sz="6" w:space="0" w:color="auto"/>
              <w:bottom w:val="single" w:sz="4" w:space="0" w:color="auto"/>
              <w:right w:val="nil"/>
            </w:tcBorders>
            <w:shd w:val="clear" w:color="000000" w:fill="F2DCDB"/>
            <w:vAlign w:val="center"/>
          </w:tcPr>
          <w:p w14:paraId="30111C19" w14:textId="77777777" w:rsidR="00C755B1" w:rsidRDefault="00C755B1" w:rsidP="00C755B1">
            <w:pPr>
              <w:jc w:val="right"/>
              <w:rPr>
                <w:color w:val="000000"/>
                <w:sz w:val="24"/>
                <w:szCs w:val="24"/>
              </w:rPr>
            </w:pPr>
            <w:r>
              <w:rPr>
                <w:color w:val="000000"/>
              </w:rPr>
              <w:t>119</w:t>
            </w:r>
          </w:p>
        </w:tc>
        <w:tc>
          <w:tcPr>
            <w:tcW w:w="256" w:type="pct"/>
            <w:tcBorders>
              <w:top w:val="nil"/>
              <w:left w:val="double" w:sz="6" w:space="0" w:color="auto"/>
              <w:bottom w:val="single" w:sz="4" w:space="0" w:color="auto"/>
              <w:right w:val="nil"/>
            </w:tcBorders>
            <w:shd w:val="clear" w:color="000000" w:fill="F2DCDB"/>
            <w:vAlign w:val="center"/>
          </w:tcPr>
          <w:p w14:paraId="1B6FAC46" w14:textId="77777777" w:rsidR="00C755B1" w:rsidRDefault="00C755B1" w:rsidP="00C755B1">
            <w:pPr>
              <w:jc w:val="right"/>
              <w:rPr>
                <w:color w:val="000000"/>
                <w:sz w:val="24"/>
                <w:szCs w:val="24"/>
              </w:rPr>
            </w:pPr>
            <w:r>
              <w:rPr>
                <w:color w:val="000000"/>
              </w:rPr>
              <w:t>131</w:t>
            </w:r>
          </w:p>
        </w:tc>
        <w:tc>
          <w:tcPr>
            <w:tcW w:w="249" w:type="pct"/>
            <w:tcBorders>
              <w:top w:val="nil"/>
              <w:left w:val="double" w:sz="6" w:space="0" w:color="auto"/>
              <w:bottom w:val="single" w:sz="4" w:space="0" w:color="auto"/>
              <w:right w:val="nil"/>
            </w:tcBorders>
            <w:shd w:val="clear" w:color="000000" w:fill="F2DCDB"/>
            <w:vAlign w:val="center"/>
          </w:tcPr>
          <w:p w14:paraId="2630ADF5" w14:textId="77777777" w:rsidR="00C755B1" w:rsidRDefault="00C755B1" w:rsidP="00C755B1">
            <w:pPr>
              <w:jc w:val="right"/>
              <w:rPr>
                <w:color w:val="000000"/>
                <w:sz w:val="24"/>
                <w:szCs w:val="24"/>
              </w:rPr>
            </w:pPr>
            <w:r>
              <w:rPr>
                <w:color w:val="000000"/>
              </w:rPr>
              <w:t>287</w:t>
            </w:r>
          </w:p>
        </w:tc>
        <w:tc>
          <w:tcPr>
            <w:tcW w:w="249" w:type="pct"/>
            <w:tcBorders>
              <w:top w:val="nil"/>
              <w:left w:val="double" w:sz="6" w:space="0" w:color="auto"/>
              <w:bottom w:val="single" w:sz="4" w:space="0" w:color="auto"/>
              <w:right w:val="nil"/>
            </w:tcBorders>
            <w:shd w:val="clear" w:color="000000" w:fill="F2DCDB"/>
            <w:vAlign w:val="center"/>
          </w:tcPr>
          <w:p w14:paraId="348E5025" w14:textId="77777777" w:rsidR="00C755B1" w:rsidRDefault="00C755B1" w:rsidP="00C755B1">
            <w:pPr>
              <w:jc w:val="right"/>
              <w:rPr>
                <w:color w:val="000000"/>
                <w:sz w:val="24"/>
                <w:szCs w:val="24"/>
              </w:rPr>
            </w:pPr>
            <w:r>
              <w:rPr>
                <w:color w:val="000000"/>
              </w:rPr>
              <w:t>257</w:t>
            </w:r>
          </w:p>
        </w:tc>
        <w:tc>
          <w:tcPr>
            <w:tcW w:w="222" w:type="pct"/>
            <w:tcBorders>
              <w:top w:val="nil"/>
              <w:left w:val="double" w:sz="6" w:space="0" w:color="auto"/>
              <w:bottom w:val="single" w:sz="4" w:space="0" w:color="auto"/>
              <w:right w:val="nil"/>
            </w:tcBorders>
            <w:shd w:val="clear" w:color="000000" w:fill="F2DCDB"/>
            <w:vAlign w:val="center"/>
          </w:tcPr>
          <w:p w14:paraId="52A56180" w14:textId="77777777" w:rsidR="00C755B1" w:rsidRDefault="00C755B1" w:rsidP="00C755B1">
            <w:pPr>
              <w:jc w:val="right"/>
              <w:rPr>
                <w:color w:val="000000"/>
                <w:sz w:val="24"/>
                <w:szCs w:val="24"/>
              </w:rPr>
            </w:pPr>
            <w:r>
              <w:rPr>
                <w:color w:val="000000"/>
              </w:rPr>
              <w:t>57</w:t>
            </w:r>
          </w:p>
        </w:tc>
        <w:tc>
          <w:tcPr>
            <w:tcW w:w="228" w:type="pct"/>
            <w:tcBorders>
              <w:top w:val="nil"/>
              <w:left w:val="double" w:sz="6" w:space="0" w:color="auto"/>
              <w:bottom w:val="single" w:sz="4" w:space="0" w:color="auto"/>
              <w:right w:val="nil"/>
            </w:tcBorders>
            <w:shd w:val="clear" w:color="000000" w:fill="F2DCDB"/>
            <w:vAlign w:val="center"/>
          </w:tcPr>
          <w:p w14:paraId="2D9A3EF9" w14:textId="77777777" w:rsidR="00C755B1" w:rsidRDefault="00C755B1" w:rsidP="00C755B1">
            <w:pPr>
              <w:jc w:val="right"/>
              <w:rPr>
                <w:color w:val="000000"/>
                <w:sz w:val="24"/>
                <w:szCs w:val="24"/>
              </w:rPr>
            </w:pPr>
            <w:r>
              <w:rPr>
                <w:color w:val="000000"/>
              </w:rPr>
              <w:t>51</w:t>
            </w:r>
          </w:p>
        </w:tc>
        <w:tc>
          <w:tcPr>
            <w:tcW w:w="291" w:type="pct"/>
            <w:tcBorders>
              <w:top w:val="nil"/>
              <w:left w:val="double" w:sz="6" w:space="0" w:color="auto"/>
              <w:bottom w:val="single" w:sz="4" w:space="0" w:color="auto"/>
              <w:right w:val="nil"/>
            </w:tcBorders>
            <w:shd w:val="clear" w:color="000000" w:fill="F2DCDB"/>
            <w:vAlign w:val="center"/>
          </w:tcPr>
          <w:p w14:paraId="116E9746" w14:textId="77777777" w:rsidR="00C755B1" w:rsidRDefault="00C755B1" w:rsidP="00C755B1">
            <w:pPr>
              <w:jc w:val="right"/>
              <w:rPr>
                <w:color w:val="000000"/>
                <w:sz w:val="24"/>
                <w:szCs w:val="24"/>
              </w:rPr>
            </w:pPr>
            <w:r>
              <w:rPr>
                <w:color w:val="000000"/>
              </w:rPr>
              <w:t>15</w:t>
            </w:r>
          </w:p>
        </w:tc>
        <w:tc>
          <w:tcPr>
            <w:tcW w:w="299" w:type="pct"/>
            <w:tcBorders>
              <w:top w:val="nil"/>
              <w:left w:val="double" w:sz="6" w:space="0" w:color="auto"/>
              <w:bottom w:val="single" w:sz="4" w:space="0" w:color="auto"/>
              <w:right w:val="nil"/>
            </w:tcBorders>
            <w:shd w:val="clear" w:color="000000" w:fill="F2DCDB"/>
            <w:vAlign w:val="center"/>
          </w:tcPr>
          <w:p w14:paraId="5AAE107A" w14:textId="77777777" w:rsidR="00C755B1" w:rsidRDefault="00C755B1" w:rsidP="00C755B1">
            <w:pPr>
              <w:jc w:val="right"/>
              <w:rPr>
                <w:color w:val="000000"/>
                <w:sz w:val="24"/>
                <w:szCs w:val="24"/>
              </w:rPr>
            </w:pPr>
            <w:r>
              <w:rPr>
                <w:color w:val="000000"/>
              </w:rPr>
              <w:t>19</w:t>
            </w:r>
          </w:p>
        </w:tc>
        <w:tc>
          <w:tcPr>
            <w:tcW w:w="222" w:type="pct"/>
            <w:tcBorders>
              <w:top w:val="nil"/>
              <w:left w:val="double" w:sz="6" w:space="0" w:color="auto"/>
              <w:bottom w:val="single" w:sz="4" w:space="0" w:color="auto"/>
              <w:right w:val="nil"/>
            </w:tcBorders>
            <w:shd w:val="clear" w:color="000000" w:fill="F2DCDB"/>
            <w:vAlign w:val="center"/>
          </w:tcPr>
          <w:p w14:paraId="62BAED10" w14:textId="77777777" w:rsidR="00C755B1" w:rsidRDefault="00C755B1" w:rsidP="00C755B1">
            <w:pPr>
              <w:jc w:val="right"/>
              <w:rPr>
                <w:color w:val="000000"/>
                <w:sz w:val="24"/>
                <w:szCs w:val="24"/>
              </w:rPr>
            </w:pPr>
            <w:r>
              <w:rPr>
                <w:color w:val="000000"/>
              </w:rPr>
              <w:t>62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825695D" w14:textId="77777777" w:rsidR="00C755B1" w:rsidRDefault="00C755B1" w:rsidP="00C755B1">
            <w:pPr>
              <w:jc w:val="right"/>
              <w:rPr>
                <w:color w:val="000000"/>
                <w:sz w:val="24"/>
                <w:szCs w:val="24"/>
              </w:rPr>
            </w:pPr>
            <w:r>
              <w:rPr>
                <w:color w:val="000000"/>
              </w:rPr>
              <w:t>37</w:t>
            </w:r>
          </w:p>
        </w:tc>
      </w:tr>
      <w:tr w:rsidR="00C755B1" w:rsidRPr="000A46ED" w14:paraId="529742E5"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489B09C" w14:textId="6068D897"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 My teacher expects more of me in Maths as I get older.</w:t>
            </w:r>
          </w:p>
        </w:tc>
        <w:tc>
          <w:tcPr>
            <w:tcW w:w="255" w:type="pct"/>
            <w:tcBorders>
              <w:top w:val="nil"/>
              <w:left w:val="double" w:sz="6" w:space="0" w:color="auto"/>
              <w:bottom w:val="single" w:sz="4" w:space="0" w:color="auto"/>
              <w:right w:val="nil"/>
            </w:tcBorders>
            <w:shd w:val="clear" w:color="000000" w:fill="F2DCDB"/>
            <w:vAlign w:val="center"/>
          </w:tcPr>
          <w:p w14:paraId="61494C14" w14:textId="77777777" w:rsidR="00C755B1" w:rsidRDefault="00C755B1" w:rsidP="00C755B1">
            <w:pPr>
              <w:jc w:val="right"/>
              <w:rPr>
                <w:color w:val="000000"/>
                <w:sz w:val="24"/>
                <w:szCs w:val="24"/>
              </w:rPr>
            </w:pPr>
            <w:r>
              <w:rPr>
                <w:color w:val="000000"/>
              </w:rPr>
              <w:t>169</w:t>
            </w:r>
          </w:p>
        </w:tc>
        <w:tc>
          <w:tcPr>
            <w:tcW w:w="256" w:type="pct"/>
            <w:tcBorders>
              <w:top w:val="nil"/>
              <w:left w:val="double" w:sz="6" w:space="0" w:color="auto"/>
              <w:bottom w:val="single" w:sz="4" w:space="0" w:color="auto"/>
              <w:right w:val="nil"/>
            </w:tcBorders>
            <w:shd w:val="clear" w:color="000000" w:fill="F2DCDB"/>
            <w:vAlign w:val="center"/>
          </w:tcPr>
          <w:p w14:paraId="53F87B66" w14:textId="77777777" w:rsidR="00C755B1" w:rsidRDefault="00C755B1" w:rsidP="00C755B1">
            <w:pPr>
              <w:jc w:val="right"/>
              <w:rPr>
                <w:color w:val="000000"/>
                <w:sz w:val="24"/>
                <w:szCs w:val="24"/>
              </w:rPr>
            </w:pPr>
            <w:r>
              <w:rPr>
                <w:color w:val="000000"/>
              </w:rPr>
              <w:t>167</w:t>
            </w:r>
          </w:p>
        </w:tc>
        <w:tc>
          <w:tcPr>
            <w:tcW w:w="249" w:type="pct"/>
            <w:tcBorders>
              <w:top w:val="nil"/>
              <w:left w:val="double" w:sz="6" w:space="0" w:color="auto"/>
              <w:bottom w:val="single" w:sz="4" w:space="0" w:color="auto"/>
              <w:right w:val="nil"/>
            </w:tcBorders>
            <w:shd w:val="clear" w:color="000000" w:fill="F2DCDB"/>
            <w:vAlign w:val="center"/>
          </w:tcPr>
          <w:p w14:paraId="7EA2D39D" w14:textId="77777777" w:rsidR="00C755B1" w:rsidRDefault="00C755B1" w:rsidP="00C755B1">
            <w:pPr>
              <w:jc w:val="right"/>
              <w:rPr>
                <w:color w:val="000000"/>
                <w:sz w:val="24"/>
                <w:szCs w:val="24"/>
              </w:rPr>
            </w:pPr>
            <w:r>
              <w:rPr>
                <w:color w:val="000000"/>
              </w:rPr>
              <w:t>272</w:t>
            </w:r>
          </w:p>
        </w:tc>
        <w:tc>
          <w:tcPr>
            <w:tcW w:w="249" w:type="pct"/>
            <w:tcBorders>
              <w:top w:val="nil"/>
              <w:left w:val="double" w:sz="6" w:space="0" w:color="auto"/>
              <w:bottom w:val="single" w:sz="4" w:space="0" w:color="auto"/>
              <w:right w:val="nil"/>
            </w:tcBorders>
            <w:shd w:val="clear" w:color="000000" w:fill="F2DCDB"/>
            <w:vAlign w:val="center"/>
          </w:tcPr>
          <w:p w14:paraId="479D2CE3" w14:textId="77777777" w:rsidR="00C755B1" w:rsidRDefault="00C755B1" w:rsidP="00C755B1">
            <w:pPr>
              <w:jc w:val="right"/>
              <w:rPr>
                <w:color w:val="000000"/>
                <w:sz w:val="24"/>
                <w:szCs w:val="24"/>
              </w:rPr>
            </w:pPr>
            <w:r>
              <w:rPr>
                <w:color w:val="000000"/>
              </w:rPr>
              <w:t>238</w:t>
            </w:r>
          </w:p>
        </w:tc>
        <w:tc>
          <w:tcPr>
            <w:tcW w:w="222" w:type="pct"/>
            <w:tcBorders>
              <w:top w:val="nil"/>
              <w:left w:val="double" w:sz="6" w:space="0" w:color="auto"/>
              <w:bottom w:val="single" w:sz="4" w:space="0" w:color="auto"/>
              <w:right w:val="nil"/>
            </w:tcBorders>
            <w:shd w:val="clear" w:color="000000" w:fill="F2DCDB"/>
            <w:vAlign w:val="center"/>
          </w:tcPr>
          <w:p w14:paraId="73CFEE3B" w14:textId="77777777" w:rsidR="00C755B1" w:rsidRDefault="00C755B1" w:rsidP="00C755B1">
            <w:pPr>
              <w:jc w:val="right"/>
              <w:rPr>
                <w:color w:val="000000"/>
                <w:sz w:val="24"/>
                <w:szCs w:val="24"/>
              </w:rPr>
            </w:pPr>
            <w:r>
              <w:rPr>
                <w:color w:val="000000"/>
              </w:rPr>
              <w:t>23</w:t>
            </w:r>
          </w:p>
        </w:tc>
        <w:tc>
          <w:tcPr>
            <w:tcW w:w="228" w:type="pct"/>
            <w:tcBorders>
              <w:top w:val="nil"/>
              <w:left w:val="double" w:sz="6" w:space="0" w:color="auto"/>
              <w:bottom w:val="single" w:sz="4" w:space="0" w:color="auto"/>
              <w:right w:val="nil"/>
            </w:tcBorders>
            <w:shd w:val="clear" w:color="000000" w:fill="F2DCDB"/>
            <w:vAlign w:val="center"/>
          </w:tcPr>
          <w:p w14:paraId="0AF3519C" w14:textId="77777777" w:rsidR="00C755B1" w:rsidRDefault="00C755B1" w:rsidP="00C755B1">
            <w:pPr>
              <w:jc w:val="right"/>
              <w:rPr>
                <w:color w:val="000000"/>
                <w:sz w:val="24"/>
                <w:szCs w:val="24"/>
              </w:rPr>
            </w:pPr>
            <w:r>
              <w:rPr>
                <w:color w:val="000000"/>
              </w:rPr>
              <w:t>22</w:t>
            </w:r>
          </w:p>
        </w:tc>
        <w:tc>
          <w:tcPr>
            <w:tcW w:w="291" w:type="pct"/>
            <w:tcBorders>
              <w:top w:val="nil"/>
              <w:left w:val="double" w:sz="6" w:space="0" w:color="auto"/>
              <w:bottom w:val="single" w:sz="4" w:space="0" w:color="auto"/>
              <w:right w:val="nil"/>
            </w:tcBorders>
            <w:shd w:val="clear" w:color="000000" w:fill="F2DCDB"/>
            <w:vAlign w:val="center"/>
          </w:tcPr>
          <w:p w14:paraId="338E9109" w14:textId="77777777" w:rsidR="00C755B1" w:rsidRDefault="00C755B1" w:rsidP="00C755B1">
            <w:pPr>
              <w:jc w:val="right"/>
              <w:rPr>
                <w:color w:val="000000"/>
                <w:sz w:val="24"/>
                <w:szCs w:val="24"/>
              </w:rPr>
            </w:pPr>
            <w:r>
              <w:rPr>
                <w:color w:val="000000"/>
              </w:rPr>
              <w:t>7</w:t>
            </w:r>
          </w:p>
        </w:tc>
        <w:tc>
          <w:tcPr>
            <w:tcW w:w="299" w:type="pct"/>
            <w:tcBorders>
              <w:top w:val="nil"/>
              <w:left w:val="double" w:sz="6" w:space="0" w:color="auto"/>
              <w:bottom w:val="single" w:sz="4" w:space="0" w:color="auto"/>
              <w:right w:val="nil"/>
            </w:tcBorders>
            <w:shd w:val="clear" w:color="000000" w:fill="F2DCDB"/>
            <w:vAlign w:val="center"/>
          </w:tcPr>
          <w:p w14:paraId="7F5EC50E" w14:textId="77777777" w:rsidR="00C755B1" w:rsidRDefault="00C755B1" w:rsidP="00C755B1">
            <w:pPr>
              <w:jc w:val="right"/>
              <w:rPr>
                <w:color w:val="000000"/>
                <w:sz w:val="24"/>
                <w:szCs w:val="24"/>
              </w:rPr>
            </w:pPr>
            <w:r>
              <w:rPr>
                <w:color w:val="000000"/>
              </w:rPr>
              <w:t>20</w:t>
            </w:r>
          </w:p>
        </w:tc>
        <w:tc>
          <w:tcPr>
            <w:tcW w:w="222" w:type="pct"/>
            <w:tcBorders>
              <w:top w:val="nil"/>
              <w:left w:val="double" w:sz="6" w:space="0" w:color="auto"/>
              <w:bottom w:val="single" w:sz="4" w:space="0" w:color="auto"/>
              <w:right w:val="nil"/>
            </w:tcBorders>
            <w:shd w:val="clear" w:color="000000" w:fill="F2DCDB"/>
            <w:vAlign w:val="center"/>
          </w:tcPr>
          <w:p w14:paraId="71BAB287" w14:textId="77777777" w:rsidR="00C755B1" w:rsidRDefault="00C755B1" w:rsidP="00C755B1">
            <w:pPr>
              <w:jc w:val="right"/>
              <w:rPr>
                <w:color w:val="000000"/>
                <w:sz w:val="24"/>
                <w:szCs w:val="24"/>
              </w:rPr>
            </w:pPr>
            <w:r>
              <w:rPr>
                <w:color w:val="000000"/>
              </w:rPr>
              <w:t>71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25FDC68" w14:textId="77777777" w:rsidR="00C755B1" w:rsidRDefault="00C755B1" w:rsidP="00C755B1">
            <w:pPr>
              <w:jc w:val="right"/>
              <w:rPr>
                <w:color w:val="000000"/>
                <w:sz w:val="24"/>
                <w:szCs w:val="24"/>
              </w:rPr>
            </w:pPr>
            <w:r>
              <w:rPr>
                <w:color w:val="000000"/>
              </w:rPr>
              <w:t>44</w:t>
            </w:r>
          </w:p>
        </w:tc>
      </w:tr>
      <w:tr w:rsidR="00C755B1" w:rsidRPr="000A46ED" w14:paraId="5E856D97"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FEE1F1D" w14:textId="314A0BB9"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 My teacher tells me what I am learning in Maths and why.</w:t>
            </w:r>
          </w:p>
        </w:tc>
        <w:tc>
          <w:tcPr>
            <w:tcW w:w="255" w:type="pct"/>
            <w:tcBorders>
              <w:top w:val="nil"/>
              <w:left w:val="double" w:sz="6" w:space="0" w:color="auto"/>
              <w:bottom w:val="single" w:sz="4" w:space="0" w:color="auto"/>
              <w:right w:val="nil"/>
            </w:tcBorders>
            <w:shd w:val="clear" w:color="000000" w:fill="F2DCDB"/>
            <w:vAlign w:val="center"/>
          </w:tcPr>
          <w:p w14:paraId="3D2C5FCC" w14:textId="77777777" w:rsidR="00C755B1" w:rsidRDefault="00C755B1" w:rsidP="00C755B1">
            <w:pPr>
              <w:jc w:val="right"/>
              <w:rPr>
                <w:color w:val="000000"/>
                <w:sz w:val="24"/>
                <w:szCs w:val="24"/>
              </w:rPr>
            </w:pPr>
            <w:r>
              <w:rPr>
                <w:color w:val="000000"/>
              </w:rPr>
              <w:t>148</w:t>
            </w:r>
          </w:p>
        </w:tc>
        <w:tc>
          <w:tcPr>
            <w:tcW w:w="256" w:type="pct"/>
            <w:tcBorders>
              <w:top w:val="nil"/>
              <w:left w:val="double" w:sz="6" w:space="0" w:color="auto"/>
              <w:bottom w:val="single" w:sz="4" w:space="0" w:color="auto"/>
              <w:right w:val="nil"/>
            </w:tcBorders>
            <w:shd w:val="clear" w:color="000000" w:fill="F2DCDB"/>
            <w:vAlign w:val="center"/>
          </w:tcPr>
          <w:p w14:paraId="6A63DACA" w14:textId="77777777" w:rsidR="00C755B1" w:rsidRDefault="00C755B1" w:rsidP="00C755B1">
            <w:pPr>
              <w:jc w:val="right"/>
              <w:rPr>
                <w:color w:val="000000"/>
                <w:sz w:val="24"/>
                <w:szCs w:val="24"/>
              </w:rPr>
            </w:pPr>
            <w:r>
              <w:rPr>
                <w:color w:val="000000"/>
              </w:rPr>
              <w:t>159</w:t>
            </w:r>
          </w:p>
        </w:tc>
        <w:tc>
          <w:tcPr>
            <w:tcW w:w="249" w:type="pct"/>
            <w:tcBorders>
              <w:top w:val="nil"/>
              <w:left w:val="double" w:sz="6" w:space="0" w:color="auto"/>
              <w:bottom w:val="single" w:sz="4" w:space="0" w:color="auto"/>
              <w:right w:val="nil"/>
            </w:tcBorders>
            <w:shd w:val="clear" w:color="000000" w:fill="F2DCDB"/>
            <w:vAlign w:val="center"/>
          </w:tcPr>
          <w:p w14:paraId="13CD74BE" w14:textId="77777777" w:rsidR="00C755B1" w:rsidRDefault="00C755B1" w:rsidP="00C755B1">
            <w:pPr>
              <w:jc w:val="right"/>
              <w:rPr>
                <w:color w:val="000000"/>
                <w:sz w:val="24"/>
                <w:szCs w:val="24"/>
              </w:rPr>
            </w:pPr>
            <w:r>
              <w:rPr>
                <w:color w:val="000000"/>
              </w:rPr>
              <w:t>270</w:t>
            </w:r>
          </w:p>
        </w:tc>
        <w:tc>
          <w:tcPr>
            <w:tcW w:w="249" w:type="pct"/>
            <w:tcBorders>
              <w:top w:val="nil"/>
              <w:left w:val="double" w:sz="6" w:space="0" w:color="auto"/>
              <w:bottom w:val="single" w:sz="4" w:space="0" w:color="auto"/>
              <w:right w:val="nil"/>
            </w:tcBorders>
            <w:shd w:val="clear" w:color="000000" w:fill="F2DCDB"/>
            <w:vAlign w:val="center"/>
          </w:tcPr>
          <w:p w14:paraId="4C044C14" w14:textId="77777777" w:rsidR="00C755B1" w:rsidRDefault="00C755B1" w:rsidP="00C755B1">
            <w:pPr>
              <w:jc w:val="right"/>
              <w:rPr>
                <w:color w:val="000000"/>
                <w:sz w:val="24"/>
                <w:szCs w:val="24"/>
              </w:rPr>
            </w:pPr>
            <w:r>
              <w:rPr>
                <w:color w:val="000000"/>
              </w:rPr>
              <w:t>231</w:t>
            </w:r>
          </w:p>
        </w:tc>
        <w:tc>
          <w:tcPr>
            <w:tcW w:w="222" w:type="pct"/>
            <w:tcBorders>
              <w:top w:val="nil"/>
              <w:left w:val="double" w:sz="6" w:space="0" w:color="auto"/>
              <w:bottom w:val="single" w:sz="4" w:space="0" w:color="auto"/>
              <w:right w:val="nil"/>
            </w:tcBorders>
            <w:shd w:val="clear" w:color="000000" w:fill="F2DCDB"/>
            <w:vAlign w:val="center"/>
          </w:tcPr>
          <w:p w14:paraId="5BE777CD" w14:textId="77777777" w:rsidR="00C755B1" w:rsidRDefault="00C755B1" w:rsidP="00C755B1">
            <w:pPr>
              <w:jc w:val="right"/>
              <w:rPr>
                <w:color w:val="000000"/>
                <w:sz w:val="24"/>
                <w:szCs w:val="24"/>
              </w:rPr>
            </w:pPr>
            <w:r>
              <w:rPr>
                <w:color w:val="000000"/>
              </w:rPr>
              <w:t>64</w:t>
            </w:r>
          </w:p>
        </w:tc>
        <w:tc>
          <w:tcPr>
            <w:tcW w:w="228" w:type="pct"/>
            <w:tcBorders>
              <w:top w:val="nil"/>
              <w:left w:val="double" w:sz="6" w:space="0" w:color="auto"/>
              <w:bottom w:val="single" w:sz="4" w:space="0" w:color="auto"/>
              <w:right w:val="nil"/>
            </w:tcBorders>
            <w:shd w:val="clear" w:color="000000" w:fill="F2DCDB"/>
            <w:vAlign w:val="center"/>
          </w:tcPr>
          <w:p w14:paraId="59EBD9D3" w14:textId="77777777" w:rsidR="00C755B1" w:rsidRDefault="00C755B1" w:rsidP="00C755B1">
            <w:pPr>
              <w:jc w:val="right"/>
              <w:rPr>
                <w:color w:val="000000"/>
                <w:sz w:val="24"/>
                <w:szCs w:val="24"/>
              </w:rPr>
            </w:pPr>
            <w:r>
              <w:rPr>
                <w:color w:val="000000"/>
              </w:rPr>
              <w:t>52</w:t>
            </w:r>
          </w:p>
        </w:tc>
        <w:tc>
          <w:tcPr>
            <w:tcW w:w="291" w:type="pct"/>
            <w:tcBorders>
              <w:top w:val="nil"/>
              <w:left w:val="double" w:sz="6" w:space="0" w:color="auto"/>
              <w:bottom w:val="single" w:sz="4" w:space="0" w:color="auto"/>
              <w:right w:val="nil"/>
            </w:tcBorders>
            <w:shd w:val="clear" w:color="000000" w:fill="F2DCDB"/>
            <w:vAlign w:val="center"/>
          </w:tcPr>
          <w:p w14:paraId="48105223" w14:textId="77777777" w:rsidR="00C755B1" w:rsidRDefault="00C755B1" w:rsidP="00C755B1">
            <w:pPr>
              <w:jc w:val="right"/>
              <w:rPr>
                <w:color w:val="000000"/>
                <w:sz w:val="24"/>
                <w:szCs w:val="24"/>
              </w:rPr>
            </w:pPr>
            <w:r>
              <w:rPr>
                <w:color w:val="000000"/>
              </w:rPr>
              <w:t>31</w:t>
            </w:r>
          </w:p>
        </w:tc>
        <w:tc>
          <w:tcPr>
            <w:tcW w:w="299" w:type="pct"/>
            <w:tcBorders>
              <w:top w:val="nil"/>
              <w:left w:val="double" w:sz="6" w:space="0" w:color="auto"/>
              <w:bottom w:val="single" w:sz="4" w:space="0" w:color="auto"/>
              <w:right w:val="nil"/>
            </w:tcBorders>
            <w:shd w:val="clear" w:color="000000" w:fill="F2DCDB"/>
            <w:vAlign w:val="center"/>
          </w:tcPr>
          <w:p w14:paraId="352BE46E" w14:textId="77777777" w:rsidR="00C755B1" w:rsidRDefault="00C755B1" w:rsidP="00C755B1">
            <w:pPr>
              <w:jc w:val="right"/>
              <w:rPr>
                <w:color w:val="000000"/>
                <w:sz w:val="24"/>
                <w:szCs w:val="24"/>
              </w:rPr>
            </w:pPr>
            <w:r>
              <w:rPr>
                <w:color w:val="000000"/>
              </w:rPr>
              <w:t>28</w:t>
            </w:r>
          </w:p>
        </w:tc>
        <w:tc>
          <w:tcPr>
            <w:tcW w:w="222" w:type="pct"/>
            <w:tcBorders>
              <w:top w:val="nil"/>
              <w:left w:val="double" w:sz="6" w:space="0" w:color="auto"/>
              <w:bottom w:val="single" w:sz="4" w:space="0" w:color="auto"/>
              <w:right w:val="nil"/>
            </w:tcBorders>
            <w:shd w:val="clear" w:color="000000" w:fill="F2DCDB"/>
            <w:vAlign w:val="center"/>
          </w:tcPr>
          <w:p w14:paraId="6FE71006" w14:textId="77777777" w:rsidR="00C755B1" w:rsidRDefault="00C755B1" w:rsidP="00C755B1">
            <w:pPr>
              <w:jc w:val="right"/>
              <w:rPr>
                <w:color w:val="000000"/>
                <w:sz w:val="24"/>
                <w:szCs w:val="24"/>
              </w:rPr>
            </w:pPr>
            <w:r>
              <w:rPr>
                <w:color w:val="000000"/>
              </w:rPr>
              <w:t>29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E5E9BA3" w14:textId="77777777" w:rsidR="00C755B1" w:rsidRDefault="00C755B1" w:rsidP="00C755B1">
            <w:pPr>
              <w:jc w:val="right"/>
              <w:rPr>
                <w:color w:val="000000"/>
                <w:sz w:val="24"/>
                <w:szCs w:val="24"/>
              </w:rPr>
            </w:pPr>
            <w:r>
              <w:rPr>
                <w:color w:val="000000"/>
              </w:rPr>
              <w:t>23</w:t>
            </w:r>
          </w:p>
        </w:tc>
      </w:tr>
      <w:tr w:rsidR="00C755B1" w:rsidRPr="000A46ED" w14:paraId="40160F45"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FCA2E98" w14:textId="00B07D25"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 The activities my teachers use in Maths help me learn.</w:t>
            </w:r>
          </w:p>
        </w:tc>
        <w:tc>
          <w:tcPr>
            <w:tcW w:w="255" w:type="pct"/>
            <w:tcBorders>
              <w:top w:val="nil"/>
              <w:left w:val="double" w:sz="6" w:space="0" w:color="auto"/>
              <w:bottom w:val="single" w:sz="4" w:space="0" w:color="auto"/>
              <w:right w:val="nil"/>
            </w:tcBorders>
            <w:shd w:val="clear" w:color="000000" w:fill="F2DCDB"/>
            <w:vAlign w:val="center"/>
          </w:tcPr>
          <w:p w14:paraId="4A6A56E8" w14:textId="77777777" w:rsidR="00C755B1" w:rsidRDefault="00C755B1" w:rsidP="00C755B1">
            <w:pPr>
              <w:jc w:val="right"/>
              <w:rPr>
                <w:color w:val="000000"/>
                <w:sz w:val="24"/>
                <w:szCs w:val="24"/>
              </w:rPr>
            </w:pPr>
            <w:r>
              <w:rPr>
                <w:color w:val="000000"/>
              </w:rPr>
              <w:t>169</w:t>
            </w:r>
          </w:p>
        </w:tc>
        <w:tc>
          <w:tcPr>
            <w:tcW w:w="256" w:type="pct"/>
            <w:tcBorders>
              <w:top w:val="nil"/>
              <w:left w:val="double" w:sz="6" w:space="0" w:color="auto"/>
              <w:bottom w:val="single" w:sz="4" w:space="0" w:color="auto"/>
              <w:right w:val="nil"/>
            </w:tcBorders>
            <w:shd w:val="clear" w:color="000000" w:fill="F2DCDB"/>
            <w:vAlign w:val="center"/>
          </w:tcPr>
          <w:p w14:paraId="6C94EC61" w14:textId="77777777" w:rsidR="00C755B1" w:rsidRDefault="00C755B1" w:rsidP="00C755B1">
            <w:pPr>
              <w:jc w:val="right"/>
              <w:rPr>
                <w:color w:val="000000"/>
                <w:sz w:val="24"/>
                <w:szCs w:val="24"/>
              </w:rPr>
            </w:pPr>
            <w:r>
              <w:rPr>
                <w:color w:val="000000"/>
              </w:rPr>
              <w:t>153</w:t>
            </w:r>
          </w:p>
        </w:tc>
        <w:tc>
          <w:tcPr>
            <w:tcW w:w="249" w:type="pct"/>
            <w:tcBorders>
              <w:top w:val="nil"/>
              <w:left w:val="double" w:sz="6" w:space="0" w:color="auto"/>
              <w:bottom w:val="single" w:sz="4" w:space="0" w:color="auto"/>
              <w:right w:val="nil"/>
            </w:tcBorders>
            <w:shd w:val="clear" w:color="000000" w:fill="F2DCDB"/>
            <w:vAlign w:val="center"/>
          </w:tcPr>
          <w:p w14:paraId="283D26DF" w14:textId="77777777" w:rsidR="00C755B1" w:rsidRDefault="00C755B1" w:rsidP="00C755B1">
            <w:pPr>
              <w:jc w:val="right"/>
              <w:rPr>
                <w:color w:val="000000"/>
                <w:sz w:val="24"/>
                <w:szCs w:val="24"/>
              </w:rPr>
            </w:pPr>
            <w:r>
              <w:rPr>
                <w:color w:val="000000"/>
              </w:rPr>
              <w:t>249</w:t>
            </w:r>
          </w:p>
        </w:tc>
        <w:tc>
          <w:tcPr>
            <w:tcW w:w="249" w:type="pct"/>
            <w:tcBorders>
              <w:top w:val="nil"/>
              <w:left w:val="double" w:sz="6" w:space="0" w:color="auto"/>
              <w:bottom w:val="single" w:sz="4" w:space="0" w:color="auto"/>
              <w:right w:val="nil"/>
            </w:tcBorders>
            <w:shd w:val="clear" w:color="000000" w:fill="F2DCDB"/>
            <w:vAlign w:val="center"/>
          </w:tcPr>
          <w:p w14:paraId="4D090690" w14:textId="77777777" w:rsidR="00C755B1" w:rsidRDefault="00C755B1" w:rsidP="00C755B1">
            <w:pPr>
              <w:jc w:val="right"/>
              <w:rPr>
                <w:color w:val="000000"/>
                <w:sz w:val="24"/>
                <w:szCs w:val="24"/>
              </w:rPr>
            </w:pPr>
            <w:r>
              <w:rPr>
                <w:color w:val="000000"/>
              </w:rPr>
              <w:t>229</w:t>
            </w:r>
          </w:p>
        </w:tc>
        <w:tc>
          <w:tcPr>
            <w:tcW w:w="222" w:type="pct"/>
            <w:tcBorders>
              <w:top w:val="nil"/>
              <w:left w:val="double" w:sz="6" w:space="0" w:color="auto"/>
              <w:bottom w:val="single" w:sz="4" w:space="0" w:color="auto"/>
              <w:right w:val="nil"/>
            </w:tcBorders>
            <w:shd w:val="clear" w:color="000000" w:fill="F2DCDB"/>
            <w:vAlign w:val="center"/>
          </w:tcPr>
          <w:p w14:paraId="6E4D9C13" w14:textId="77777777" w:rsidR="00C755B1" w:rsidRDefault="00C755B1" w:rsidP="00C755B1">
            <w:pPr>
              <w:jc w:val="right"/>
              <w:rPr>
                <w:color w:val="000000"/>
                <w:sz w:val="24"/>
                <w:szCs w:val="24"/>
              </w:rPr>
            </w:pPr>
            <w:r>
              <w:rPr>
                <w:color w:val="000000"/>
              </w:rPr>
              <w:t>60</w:t>
            </w:r>
          </w:p>
        </w:tc>
        <w:tc>
          <w:tcPr>
            <w:tcW w:w="228" w:type="pct"/>
            <w:tcBorders>
              <w:top w:val="nil"/>
              <w:left w:val="double" w:sz="6" w:space="0" w:color="auto"/>
              <w:bottom w:val="single" w:sz="4" w:space="0" w:color="auto"/>
              <w:right w:val="nil"/>
            </w:tcBorders>
            <w:shd w:val="clear" w:color="000000" w:fill="F2DCDB"/>
            <w:vAlign w:val="center"/>
          </w:tcPr>
          <w:p w14:paraId="326975F8" w14:textId="77777777" w:rsidR="00C755B1" w:rsidRDefault="00C755B1" w:rsidP="00C755B1">
            <w:pPr>
              <w:jc w:val="right"/>
              <w:rPr>
                <w:color w:val="000000"/>
                <w:sz w:val="24"/>
                <w:szCs w:val="24"/>
              </w:rPr>
            </w:pPr>
            <w:r>
              <w:rPr>
                <w:color w:val="000000"/>
              </w:rPr>
              <w:t>49</w:t>
            </w:r>
          </w:p>
        </w:tc>
        <w:tc>
          <w:tcPr>
            <w:tcW w:w="291" w:type="pct"/>
            <w:tcBorders>
              <w:top w:val="nil"/>
              <w:left w:val="double" w:sz="6" w:space="0" w:color="auto"/>
              <w:bottom w:val="single" w:sz="4" w:space="0" w:color="auto"/>
              <w:right w:val="nil"/>
            </w:tcBorders>
            <w:shd w:val="clear" w:color="000000" w:fill="F2DCDB"/>
            <w:vAlign w:val="center"/>
          </w:tcPr>
          <w:p w14:paraId="12DF88AF" w14:textId="77777777" w:rsidR="00C755B1" w:rsidRDefault="00C755B1" w:rsidP="00C755B1">
            <w:pPr>
              <w:jc w:val="right"/>
              <w:rPr>
                <w:color w:val="000000"/>
                <w:sz w:val="24"/>
                <w:szCs w:val="24"/>
              </w:rPr>
            </w:pPr>
            <w:r>
              <w:rPr>
                <w:color w:val="000000"/>
              </w:rPr>
              <w:t>27</w:t>
            </w:r>
          </w:p>
        </w:tc>
        <w:tc>
          <w:tcPr>
            <w:tcW w:w="299" w:type="pct"/>
            <w:tcBorders>
              <w:top w:val="nil"/>
              <w:left w:val="double" w:sz="6" w:space="0" w:color="auto"/>
              <w:bottom w:val="single" w:sz="4" w:space="0" w:color="auto"/>
              <w:right w:val="nil"/>
            </w:tcBorders>
            <w:shd w:val="clear" w:color="000000" w:fill="F2DCDB"/>
            <w:vAlign w:val="center"/>
          </w:tcPr>
          <w:p w14:paraId="248B5008" w14:textId="77777777" w:rsidR="00C755B1" w:rsidRDefault="00C755B1" w:rsidP="00C755B1">
            <w:pPr>
              <w:jc w:val="right"/>
              <w:rPr>
                <w:color w:val="000000"/>
                <w:sz w:val="24"/>
                <w:szCs w:val="24"/>
              </w:rPr>
            </w:pPr>
            <w:r>
              <w:rPr>
                <w:color w:val="000000"/>
              </w:rPr>
              <w:t>34</w:t>
            </w:r>
          </w:p>
        </w:tc>
        <w:tc>
          <w:tcPr>
            <w:tcW w:w="222" w:type="pct"/>
            <w:tcBorders>
              <w:top w:val="nil"/>
              <w:left w:val="double" w:sz="6" w:space="0" w:color="auto"/>
              <w:bottom w:val="single" w:sz="4" w:space="0" w:color="auto"/>
              <w:right w:val="nil"/>
            </w:tcBorders>
            <w:shd w:val="clear" w:color="000000" w:fill="F2DCDB"/>
            <w:vAlign w:val="center"/>
          </w:tcPr>
          <w:p w14:paraId="0F8A0E10" w14:textId="77777777" w:rsidR="00C755B1" w:rsidRDefault="00C755B1" w:rsidP="00C755B1">
            <w:pPr>
              <w:jc w:val="right"/>
              <w:rPr>
                <w:color w:val="000000"/>
                <w:sz w:val="24"/>
                <w:szCs w:val="24"/>
              </w:rPr>
            </w:pPr>
            <w:r>
              <w:rPr>
                <w:color w:val="000000"/>
              </w:rPr>
              <w:t>37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E4A3668" w14:textId="77777777" w:rsidR="00C755B1" w:rsidRDefault="00C755B1" w:rsidP="00C755B1">
            <w:pPr>
              <w:jc w:val="right"/>
              <w:rPr>
                <w:color w:val="000000"/>
                <w:sz w:val="24"/>
                <w:szCs w:val="24"/>
              </w:rPr>
            </w:pPr>
            <w:r>
              <w:rPr>
                <w:color w:val="000000"/>
              </w:rPr>
              <w:t>28</w:t>
            </w:r>
          </w:p>
        </w:tc>
      </w:tr>
      <w:tr w:rsidR="00C755B1" w:rsidRPr="000A46ED" w14:paraId="19E039AB"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9549B97" w14:textId="0DBDAC1E"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Maths.</w:t>
            </w:r>
          </w:p>
        </w:tc>
        <w:tc>
          <w:tcPr>
            <w:tcW w:w="255" w:type="pct"/>
            <w:tcBorders>
              <w:top w:val="nil"/>
              <w:left w:val="double" w:sz="6" w:space="0" w:color="auto"/>
              <w:bottom w:val="single" w:sz="4" w:space="0" w:color="auto"/>
              <w:right w:val="nil"/>
            </w:tcBorders>
            <w:shd w:val="clear" w:color="000000" w:fill="F2DCDB"/>
            <w:vAlign w:val="center"/>
          </w:tcPr>
          <w:p w14:paraId="2DE1BB4F" w14:textId="77777777" w:rsidR="00C755B1" w:rsidRDefault="00C755B1" w:rsidP="00C755B1">
            <w:pPr>
              <w:jc w:val="right"/>
              <w:rPr>
                <w:color w:val="000000"/>
                <w:sz w:val="24"/>
                <w:szCs w:val="24"/>
              </w:rPr>
            </w:pPr>
            <w:r>
              <w:rPr>
                <w:color w:val="000000"/>
              </w:rPr>
              <w:t>159</w:t>
            </w:r>
          </w:p>
        </w:tc>
        <w:tc>
          <w:tcPr>
            <w:tcW w:w="256" w:type="pct"/>
            <w:tcBorders>
              <w:top w:val="nil"/>
              <w:left w:val="double" w:sz="6" w:space="0" w:color="auto"/>
              <w:bottom w:val="single" w:sz="4" w:space="0" w:color="auto"/>
              <w:right w:val="nil"/>
            </w:tcBorders>
            <w:shd w:val="clear" w:color="000000" w:fill="F2DCDB"/>
            <w:vAlign w:val="center"/>
          </w:tcPr>
          <w:p w14:paraId="47DB9C2B" w14:textId="77777777" w:rsidR="00C755B1" w:rsidRDefault="00C755B1" w:rsidP="00C755B1">
            <w:pPr>
              <w:jc w:val="right"/>
              <w:rPr>
                <w:color w:val="000000"/>
                <w:sz w:val="24"/>
                <w:szCs w:val="24"/>
              </w:rPr>
            </w:pPr>
            <w:r>
              <w:rPr>
                <w:color w:val="000000"/>
              </w:rPr>
              <w:t>150</w:t>
            </w:r>
          </w:p>
        </w:tc>
        <w:tc>
          <w:tcPr>
            <w:tcW w:w="249" w:type="pct"/>
            <w:tcBorders>
              <w:top w:val="nil"/>
              <w:left w:val="double" w:sz="6" w:space="0" w:color="auto"/>
              <w:bottom w:val="single" w:sz="4" w:space="0" w:color="auto"/>
              <w:right w:val="nil"/>
            </w:tcBorders>
            <w:shd w:val="clear" w:color="000000" w:fill="F2DCDB"/>
            <w:vAlign w:val="center"/>
          </w:tcPr>
          <w:p w14:paraId="4F02E8A0" w14:textId="77777777" w:rsidR="00C755B1" w:rsidRDefault="00C755B1" w:rsidP="00C755B1">
            <w:pPr>
              <w:jc w:val="right"/>
              <w:rPr>
                <w:color w:val="000000"/>
                <w:sz w:val="24"/>
                <w:szCs w:val="24"/>
              </w:rPr>
            </w:pPr>
            <w:r>
              <w:rPr>
                <w:color w:val="000000"/>
              </w:rPr>
              <w:t>250</w:t>
            </w:r>
          </w:p>
        </w:tc>
        <w:tc>
          <w:tcPr>
            <w:tcW w:w="249" w:type="pct"/>
            <w:tcBorders>
              <w:top w:val="nil"/>
              <w:left w:val="double" w:sz="6" w:space="0" w:color="auto"/>
              <w:bottom w:val="single" w:sz="4" w:space="0" w:color="auto"/>
              <w:right w:val="nil"/>
            </w:tcBorders>
            <w:shd w:val="clear" w:color="000000" w:fill="F2DCDB"/>
            <w:vAlign w:val="center"/>
          </w:tcPr>
          <w:p w14:paraId="3DA31525" w14:textId="77777777" w:rsidR="00C755B1" w:rsidRDefault="00C755B1" w:rsidP="00C755B1">
            <w:pPr>
              <w:jc w:val="right"/>
              <w:rPr>
                <w:color w:val="000000"/>
                <w:sz w:val="24"/>
                <w:szCs w:val="24"/>
              </w:rPr>
            </w:pPr>
            <w:r>
              <w:rPr>
                <w:color w:val="000000"/>
              </w:rPr>
              <w:t>219</w:t>
            </w:r>
          </w:p>
        </w:tc>
        <w:tc>
          <w:tcPr>
            <w:tcW w:w="222" w:type="pct"/>
            <w:tcBorders>
              <w:top w:val="nil"/>
              <w:left w:val="double" w:sz="6" w:space="0" w:color="auto"/>
              <w:bottom w:val="single" w:sz="4" w:space="0" w:color="auto"/>
              <w:right w:val="nil"/>
            </w:tcBorders>
            <w:shd w:val="clear" w:color="000000" w:fill="F2DCDB"/>
            <w:vAlign w:val="center"/>
          </w:tcPr>
          <w:p w14:paraId="346F102C" w14:textId="77777777" w:rsidR="00C755B1" w:rsidRDefault="00C755B1" w:rsidP="00C755B1">
            <w:pPr>
              <w:jc w:val="right"/>
              <w:rPr>
                <w:color w:val="000000"/>
                <w:sz w:val="24"/>
                <w:szCs w:val="24"/>
              </w:rPr>
            </w:pPr>
            <w:r>
              <w:rPr>
                <w:color w:val="000000"/>
              </w:rPr>
              <w:t>68</w:t>
            </w:r>
          </w:p>
        </w:tc>
        <w:tc>
          <w:tcPr>
            <w:tcW w:w="228" w:type="pct"/>
            <w:tcBorders>
              <w:top w:val="nil"/>
              <w:left w:val="double" w:sz="6" w:space="0" w:color="auto"/>
              <w:bottom w:val="single" w:sz="4" w:space="0" w:color="auto"/>
              <w:right w:val="nil"/>
            </w:tcBorders>
            <w:shd w:val="clear" w:color="000000" w:fill="F2DCDB"/>
            <w:vAlign w:val="center"/>
          </w:tcPr>
          <w:p w14:paraId="23CC38C2" w14:textId="77777777" w:rsidR="00C755B1" w:rsidRDefault="00C755B1" w:rsidP="00C755B1">
            <w:pPr>
              <w:jc w:val="right"/>
              <w:rPr>
                <w:color w:val="000000"/>
                <w:sz w:val="24"/>
                <w:szCs w:val="24"/>
              </w:rPr>
            </w:pPr>
            <w:r>
              <w:rPr>
                <w:color w:val="000000"/>
              </w:rPr>
              <w:t>59</w:t>
            </w:r>
          </w:p>
        </w:tc>
        <w:tc>
          <w:tcPr>
            <w:tcW w:w="291" w:type="pct"/>
            <w:tcBorders>
              <w:top w:val="nil"/>
              <w:left w:val="double" w:sz="6" w:space="0" w:color="auto"/>
              <w:bottom w:val="single" w:sz="4" w:space="0" w:color="auto"/>
              <w:right w:val="nil"/>
            </w:tcBorders>
            <w:shd w:val="clear" w:color="000000" w:fill="F2DCDB"/>
            <w:vAlign w:val="center"/>
          </w:tcPr>
          <w:p w14:paraId="6CAA3CF8" w14:textId="77777777" w:rsidR="00C755B1" w:rsidRDefault="00C755B1" w:rsidP="00C755B1">
            <w:pPr>
              <w:jc w:val="right"/>
              <w:rPr>
                <w:color w:val="000000"/>
                <w:sz w:val="24"/>
                <w:szCs w:val="24"/>
              </w:rPr>
            </w:pPr>
            <w:r>
              <w:rPr>
                <w:color w:val="000000"/>
              </w:rPr>
              <w:t>33</w:t>
            </w:r>
          </w:p>
        </w:tc>
        <w:tc>
          <w:tcPr>
            <w:tcW w:w="299" w:type="pct"/>
            <w:tcBorders>
              <w:top w:val="nil"/>
              <w:left w:val="double" w:sz="6" w:space="0" w:color="auto"/>
              <w:bottom w:val="single" w:sz="4" w:space="0" w:color="auto"/>
              <w:right w:val="nil"/>
            </w:tcBorders>
            <w:shd w:val="clear" w:color="000000" w:fill="F2DCDB"/>
            <w:vAlign w:val="center"/>
          </w:tcPr>
          <w:p w14:paraId="59F1F5C5" w14:textId="77777777" w:rsidR="00C755B1" w:rsidRDefault="00C755B1" w:rsidP="00C755B1">
            <w:pPr>
              <w:jc w:val="right"/>
              <w:rPr>
                <w:color w:val="000000"/>
                <w:sz w:val="24"/>
                <w:szCs w:val="24"/>
              </w:rPr>
            </w:pPr>
            <w:r>
              <w:rPr>
                <w:color w:val="000000"/>
              </w:rPr>
              <w:t>36</w:t>
            </w:r>
          </w:p>
        </w:tc>
        <w:tc>
          <w:tcPr>
            <w:tcW w:w="222" w:type="pct"/>
            <w:tcBorders>
              <w:top w:val="nil"/>
              <w:left w:val="double" w:sz="6" w:space="0" w:color="auto"/>
              <w:bottom w:val="single" w:sz="4" w:space="0" w:color="auto"/>
              <w:right w:val="nil"/>
            </w:tcBorders>
            <w:shd w:val="clear" w:color="000000" w:fill="F2DCDB"/>
            <w:vAlign w:val="center"/>
          </w:tcPr>
          <w:p w14:paraId="326E7430" w14:textId="77777777" w:rsidR="00C755B1" w:rsidRDefault="00C755B1" w:rsidP="00C755B1">
            <w:pPr>
              <w:jc w:val="right"/>
              <w:rPr>
                <w:color w:val="000000"/>
                <w:sz w:val="24"/>
                <w:szCs w:val="24"/>
              </w:rPr>
            </w:pPr>
            <w:r>
              <w:rPr>
                <w:color w:val="000000"/>
              </w:rPr>
              <w:t>33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526C254F" w14:textId="77777777" w:rsidR="00C755B1" w:rsidRDefault="00C755B1" w:rsidP="00C755B1">
            <w:pPr>
              <w:jc w:val="right"/>
              <w:rPr>
                <w:color w:val="000000"/>
                <w:sz w:val="24"/>
                <w:szCs w:val="24"/>
              </w:rPr>
            </w:pPr>
            <w:r>
              <w:rPr>
                <w:color w:val="000000"/>
              </w:rPr>
              <w:t>29</w:t>
            </w:r>
          </w:p>
        </w:tc>
      </w:tr>
      <w:tr w:rsidR="00C755B1" w:rsidRPr="000A46ED" w14:paraId="71FA1472"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A111329" w14:textId="4080ACCD"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Maths skills in other subjects.</w:t>
            </w:r>
          </w:p>
        </w:tc>
        <w:tc>
          <w:tcPr>
            <w:tcW w:w="255" w:type="pct"/>
            <w:tcBorders>
              <w:top w:val="nil"/>
              <w:left w:val="double" w:sz="6" w:space="0" w:color="auto"/>
              <w:bottom w:val="single" w:sz="4" w:space="0" w:color="auto"/>
              <w:right w:val="nil"/>
            </w:tcBorders>
            <w:shd w:val="clear" w:color="000000" w:fill="F2DCDB"/>
            <w:vAlign w:val="center"/>
          </w:tcPr>
          <w:p w14:paraId="0C18F506" w14:textId="77777777" w:rsidR="00C755B1" w:rsidRDefault="00C755B1" w:rsidP="00C755B1">
            <w:pPr>
              <w:jc w:val="right"/>
              <w:rPr>
                <w:color w:val="000000"/>
                <w:sz w:val="24"/>
                <w:szCs w:val="24"/>
              </w:rPr>
            </w:pPr>
            <w:r>
              <w:rPr>
                <w:color w:val="000000"/>
              </w:rPr>
              <w:t>123</w:t>
            </w:r>
          </w:p>
        </w:tc>
        <w:tc>
          <w:tcPr>
            <w:tcW w:w="256" w:type="pct"/>
            <w:tcBorders>
              <w:top w:val="nil"/>
              <w:left w:val="double" w:sz="6" w:space="0" w:color="auto"/>
              <w:bottom w:val="single" w:sz="4" w:space="0" w:color="auto"/>
              <w:right w:val="nil"/>
            </w:tcBorders>
            <w:shd w:val="clear" w:color="000000" w:fill="F2DCDB"/>
            <w:vAlign w:val="center"/>
          </w:tcPr>
          <w:p w14:paraId="347C9496" w14:textId="77777777" w:rsidR="00C755B1" w:rsidRDefault="00C755B1" w:rsidP="00C755B1">
            <w:pPr>
              <w:jc w:val="right"/>
              <w:rPr>
                <w:color w:val="000000"/>
                <w:sz w:val="24"/>
                <w:szCs w:val="24"/>
              </w:rPr>
            </w:pPr>
            <w:r>
              <w:rPr>
                <w:color w:val="000000"/>
              </w:rPr>
              <w:t>118</w:t>
            </w:r>
          </w:p>
        </w:tc>
        <w:tc>
          <w:tcPr>
            <w:tcW w:w="249" w:type="pct"/>
            <w:tcBorders>
              <w:top w:val="nil"/>
              <w:left w:val="double" w:sz="6" w:space="0" w:color="auto"/>
              <w:bottom w:val="single" w:sz="4" w:space="0" w:color="auto"/>
              <w:right w:val="nil"/>
            </w:tcBorders>
            <w:shd w:val="clear" w:color="000000" w:fill="F2DCDB"/>
            <w:vAlign w:val="center"/>
          </w:tcPr>
          <w:p w14:paraId="2A5D1B2E" w14:textId="77777777" w:rsidR="00C755B1" w:rsidRDefault="00C755B1" w:rsidP="00C755B1">
            <w:pPr>
              <w:jc w:val="right"/>
              <w:rPr>
                <w:color w:val="000000"/>
                <w:sz w:val="24"/>
                <w:szCs w:val="24"/>
              </w:rPr>
            </w:pPr>
            <w:r>
              <w:rPr>
                <w:color w:val="000000"/>
              </w:rPr>
              <w:t>279</w:t>
            </w:r>
          </w:p>
        </w:tc>
        <w:tc>
          <w:tcPr>
            <w:tcW w:w="249" w:type="pct"/>
            <w:tcBorders>
              <w:top w:val="nil"/>
              <w:left w:val="double" w:sz="6" w:space="0" w:color="auto"/>
              <w:bottom w:val="single" w:sz="4" w:space="0" w:color="auto"/>
              <w:right w:val="nil"/>
            </w:tcBorders>
            <w:shd w:val="clear" w:color="000000" w:fill="F2DCDB"/>
            <w:vAlign w:val="center"/>
          </w:tcPr>
          <w:p w14:paraId="50E881A3" w14:textId="77777777" w:rsidR="00C755B1" w:rsidRDefault="00C755B1" w:rsidP="00C755B1">
            <w:pPr>
              <w:jc w:val="right"/>
              <w:rPr>
                <w:color w:val="000000"/>
                <w:sz w:val="24"/>
                <w:szCs w:val="24"/>
              </w:rPr>
            </w:pPr>
            <w:r>
              <w:rPr>
                <w:color w:val="000000"/>
              </w:rPr>
              <w:t>245</w:t>
            </w:r>
          </w:p>
        </w:tc>
        <w:tc>
          <w:tcPr>
            <w:tcW w:w="222" w:type="pct"/>
            <w:tcBorders>
              <w:top w:val="nil"/>
              <w:left w:val="double" w:sz="6" w:space="0" w:color="auto"/>
              <w:bottom w:val="single" w:sz="4" w:space="0" w:color="auto"/>
              <w:right w:val="nil"/>
            </w:tcBorders>
            <w:shd w:val="clear" w:color="000000" w:fill="F2DCDB"/>
            <w:vAlign w:val="center"/>
          </w:tcPr>
          <w:p w14:paraId="02C22076" w14:textId="77777777" w:rsidR="00C755B1" w:rsidRDefault="00C755B1" w:rsidP="00C755B1">
            <w:pPr>
              <w:jc w:val="right"/>
              <w:rPr>
                <w:color w:val="000000"/>
                <w:sz w:val="24"/>
                <w:szCs w:val="24"/>
              </w:rPr>
            </w:pPr>
            <w:r>
              <w:rPr>
                <w:color w:val="000000"/>
              </w:rPr>
              <w:t>84</w:t>
            </w:r>
          </w:p>
        </w:tc>
        <w:tc>
          <w:tcPr>
            <w:tcW w:w="228" w:type="pct"/>
            <w:tcBorders>
              <w:top w:val="nil"/>
              <w:left w:val="double" w:sz="6" w:space="0" w:color="auto"/>
              <w:bottom w:val="single" w:sz="4" w:space="0" w:color="auto"/>
              <w:right w:val="nil"/>
            </w:tcBorders>
            <w:shd w:val="clear" w:color="000000" w:fill="F2DCDB"/>
            <w:vAlign w:val="center"/>
          </w:tcPr>
          <w:p w14:paraId="6C6404F7" w14:textId="77777777" w:rsidR="00C755B1" w:rsidRDefault="00C755B1" w:rsidP="00C755B1">
            <w:pPr>
              <w:jc w:val="right"/>
              <w:rPr>
                <w:color w:val="000000"/>
                <w:sz w:val="24"/>
                <w:szCs w:val="24"/>
              </w:rPr>
            </w:pPr>
            <w:r>
              <w:rPr>
                <w:color w:val="000000"/>
              </w:rPr>
              <w:t>72</w:t>
            </w:r>
          </w:p>
        </w:tc>
        <w:tc>
          <w:tcPr>
            <w:tcW w:w="291" w:type="pct"/>
            <w:tcBorders>
              <w:top w:val="nil"/>
              <w:left w:val="double" w:sz="6" w:space="0" w:color="auto"/>
              <w:bottom w:val="single" w:sz="4" w:space="0" w:color="auto"/>
              <w:right w:val="nil"/>
            </w:tcBorders>
            <w:shd w:val="clear" w:color="000000" w:fill="F2DCDB"/>
            <w:vAlign w:val="center"/>
          </w:tcPr>
          <w:p w14:paraId="541F571E" w14:textId="77777777" w:rsidR="00C755B1" w:rsidRDefault="00C755B1" w:rsidP="00C755B1">
            <w:pPr>
              <w:jc w:val="right"/>
              <w:rPr>
                <w:color w:val="000000"/>
                <w:sz w:val="24"/>
                <w:szCs w:val="24"/>
              </w:rPr>
            </w:pPr>
            <w:r>
              <w:rPr>
                <w:color w:val="000000"/>
              </w:rPr>
              <w:t>17</w:t>
            </w:r>
          </w:p>
        </w:tc>
        <w:tc>
          <w:tcPr>
            <w:tcW w:w="299" w:type="pct"/>
            <w:tcBorders>
              <w:top w:val="nil"/>
              <w:left w:val="double" w:sz="6" w:space="0" w:color="auto"/>
              <w:bottom w:val="single" w:sz="4" w:space="0" w:color="auto"/>
              <w:right w:val="nil"/>
            </w:tcBorders>
            <w:shd w:val="clear" w:color="000000" w:fill="F2DCDB"/>
            <w:vAlign w:val="center"/>
          </w:tcPr>
          <w:p w14:paraId="515DED25" w14:textId="77777777" w:rsidR="00C755B1" w:rsidRDefault="00C755B1" w:rsidP="00C755B1">
            <w:pPr>
              <w:jc w:val="right"/>
              <w:rPr>
                <w:color w:val="000000"/>
                <w:sz w:val="24"/>
                <w:szCs w:val="24"/>
              </w:rPr>
            </w:pPr>
            <w:r>
              <w:rPr>
                <w:color w:val="000000"/>
              </w:rPr>
              <w:t>42</w:t>
            </w:r>
          </w:p>
        </w:tc>
        <w:tc>
          <w:tcPr>
            <w:tcW w:w="222" w:type="pct"/>
            <w:tcBorders>
              <w:top w:val="nil"/>
              <w:left w:val="double" w:sz="6" w:space="0" w:color="auto"/>
              <w:bottom w:val="single" w:sz="4" w:space="0" w:color="auto"/>
              <w:right w:val="nil"/>
            </w:tcBorders>
            <w:shd w:val="clear" w:color="000000" w:fill="F2DCDB"/>
            <w:vAlign w:val="center"/>
          </w:tcPr>
          <w:p w14:paraId="1B5F76B7" w14:textId="77777777" w:rsidR="00C755B1" w:rsidRDefault="00C755B1" w:rsidP="00C755B1">
            <w:pPr>
              <w:jc w:val="right"/>
              <w:rPr>
                <w:color w:val="000000"/>
                <w:sz w:val="24"/>
                <w:szCs w:val="24"/>
              </w:rPr>
            </w:pPr>
            <w:r>
              <w:rPr>
                <w:color w:val="000000"/>
              </w:rPr>
              <w:t>41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85A0EE4" w14:textId="77777777" w:rsidR="00C755B1" w:rsidRDefault="00C755B1" w:rsidP="00C755B1">
            <w:pPr>
              <w:jc w:val="right"/>
              <w:rPr>
                <w:color w:val="000000"/>
                <w:sz w:val="24"/>
                <w:szCs w:val="24"/>
              </w:rPr>
            </w:pPr>
            <w:r>
              <w:rPr>
                <w:color w:val="000000"/>
              </w:rPr>
              <w:t>17</w:t>
            </w:r>
          </w:p>
        </w:tc>
      </w:tr>
      <w:tr w:rsidR="00C755B1" w:rsidRPr="000A46ED" w14:paraId="20D0C2D6"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1EF4E87"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Maths challenges me and makes me think.</w:t>
            </w:r>
          </w:p>
        </w:tc>
        <w:tc>
          <w:tcPr>
            <w:tcW w:w="255" w:type="pct"/>
            <w:tcBorders>
              <w:top w:val="nil"/>
              <w:left w:val="double" w:sz="6" w:space="0" w:color="auto"/>
              <w:bottom w:val="single" w:sz="4" w:space="0" w:color="auto"/>
              <w:right w:val="nil"/>
            </w:tcBorders>
            <w:shd w:val="clear" w:color="000000" w:fill="F2DCDB"/>
            <w:vAlign w:val="center"/>
          </w:tcPr>
          <w:p w14:paraId="74A46748" w14:textId="77777777" w:rsidR="00C755B1" w:rsidRDefault="00C755B1" w:rsidP="00C755B1">
            <w:pPr>
              <w:jc w:val="right"/>
              <w:rPr>
                <w:color w:val="000000"/>
                <w:sz w:val="24"/>
                <w:szCs w:val="24"/>
              </w:rPr>
            </w:pPr>
            <w:r>
              <w:rPr>
                <w:color w:val="000000"/>
              </w:rPr>
              <w:t>167</w:t>
            </w:r>
          </w:p>
        </w:tc>
        <w:tc>
          <w:tcPr>
            <w:tcW w:w="256" w:type="pct"/>
            <w:tcBorders>
              <w:top w:val="nil"/>
              <w:left w:val="double" w:sz="6" w:space="0" w:color="auto"/>
              <w:bottom w:val="single" w:sz="4" w:space="0" w:color="auto"/>
              <w:right w:val="nil"/>
            </w:tcBorders>
            <w:shd w:val="clear" w:color="000000" w:fill="F2DCDB"/>
            <w:vAlign w:val="center"/>
          </w:tcPr>
          <w:p w14:paraId="621B37FB" w14:textId="77777777" w:rsidR="00C755B1" w:rsidRDefault="00C755B1" w:rsidP="00C755B1">
            <w:pPr>
              <w:jc w:val="right"/>
              <w:rPr>
                <w:color w:val="000000"/>
                <w:sz w:val="24"/>
                <w:szCs w:val="24"/>
              </w:rPr>
            </w:pPr>
            <w:r>
              <w:rPr>
                <w:color w:val="000000"/>
              </w:rPr>
              <w:t>149</w:t>
            </w:r>
          </w:p>
        </w:tc>
        <w:tc>
          <w:tcPr>
            <w:tcW w:w="249" w:type="pct"/>
            <w:tcBorders>
              <w:top w:val="nil"/>
              <w:left w:val="double" w:sz="6" w:space="0" w:color="auto"/>
              <w:bottom w:val="single" w:sz="4" w:space="0" w:color="auto"/>
              <w:right w:val="nil"/>
            </w:tcBorders>
            <w:shd w:val="clear" w:color="000000" w:fill="F2DCDB"/>
            <w:vAlign w:val="center"/>
          </w:tcPr>
          <w:p w14:paraId="493F77B8" w14:textId="77777777" w:rsidR="00C755B1" w:rsidRDefault="00C755B1" w:rsidP="00C755B1">
            <w:pPr>
              <w:jc w:val="right"/>
              <w:rPr>
                <w:color w:val="000000"/>
                <w:sz w:val="24"/>
                <w:szCs w:val="24"/>
              </w:rPr>
            </w:pPr>
            <w:r>
              <w:rPr>
                <w:color w:val="000000"/>
              </w:rPr>
              <w:t>270</w:t>
            </w:r>
          </w:p>
        </w:tc>
        <w:tc>
          <w:tcPr>
            <w:tcW w:w="249" w:type="pct"/>
            <w:tcBorders>
              <w:top w:val="nil"/>
              <w:left w:val="double" w:sz="6" w:space="0" w:color="auto"/>
              <w:bottom w:val="single" w:sz="4" w:space="0" w:color="auto"/>
              <w:right w:val="nil"/>
            </w:tcBorders>
            <w:shd w:val="clear" w:color="000000" w:fill="F2DCDB"/>
            <w:vAlign w:val="center"/>
          </w:tcPr>
          <w:p w14:paraId="22E09806" w14:textId="77777777" w:rsidR="00C755B1" w:rsidRDefault="00C755B1" w:rsidP="00C755B1">
            <w:pPr>
              <w:jc w:val="right"/>
              <w:rPr>
                <w:color w:val="000000"/>
                <w:sz w:val="24"/>
                <w:szCs w:val="24"/>
              </w:rPr>
            </w:pPr>
            <w:r>
              <w:rPr>
                <w:color w:val="000000"/>
              </w:rPr>
              <w:t>244</w:t>
            </w:r>
          </w:p>
        </w:tc>
        <w:tc>
          <w:tcPr>
            <w:tcW w:w="222" w:type="pct"/>
            <w:tcBorders>
              <w:top w:val="nil"/>
              <w:left w:val="double" w:sz="6" w:space="0" w:color="auto"/>
              <w:bottom w:val="single" w:sz="4" w:space="0" w:color="auto"/>
              <w:right w:val="nil"/>
            </w:tcBorders>
            <w:shd w:val="clear" w:color="000000" w:fill="F2DCDB"/>
            <w:vAlign w:val="center"/>
          </w:tcPr>
          <w:p w14:paraId="1D34F147" w14:textId="77777777" w:rsidR="00C755B1" w:rsidRDefault="00C755B1" w:rsidP="00C755B1">
            <w:pPr>
              <w:jc w:val="right"/>
              <w:rPr>
                <w:color w:val="000000"/>
                <w:sz w:val="24"/>
                <w:szCs w:val="24"/>
              </w:rPr>
            </w:pPr>
            <w:r>
              <w:rPr>
                <w:color w:val="000000"/>
              </w:rPr>
              <w:t>49</w:t>
            </w:r>
          </w:p>
        </w:tc>
        <w:tc>
          <w:tcPr>
            <w:tcW w:w="228" w:type="pct"/>
            <w:tcBorders>
              <w:top w:val="nil"/>
              <w:left w:val="double" w:sz="6" w:space="0" w:color="auto"/>
              <w:bottom w:val="single" w:sz="4" w:space="0" w:color="auto"/>
              <w:right w:val="nil"/>
            </w:tcBorders>
            <w:shd w:val="clear" w:color="000000" w:fill="F2DCDB"/>
            <w:vAlign w:val="center"/>
          </w:tcPr>
          <w:p w14:paraId="1318F521" w14:textId="77777777" w:rsidR="00C755B1" w:rsidRDefault="00C755B1" w:rsidP="00C755B1">
            <w:pPr>
              <w:jc w:val="right"/>
              <w:rPr>
                <w:color w:val="000000"/>
                <w:sz w:val="24"/>
                <w:szCs w:val="24"/>
              </w:rPr>
            </w:pPr>
            <w:r>
              <w:rPr>
                <w:color w:val="000000"/>
              </w:rPr>
              <w:t>52</w:t>
            </w:r>
          </w:p>
        </w:tc>
        <w:tc>
          <w:tcPr>
            <w:tcW w:w="291" w:type="pct"/>
            <w:tcBorders>
              <w:top w:val="nil"/>
              <w:left w:val="double" w:sz="6" w:space="0" w:color="auto"/>
              <w:bottom w:val="single" w:sz="4" w:space="0" w:color="auto"/>
              <w:right w:val="nil"/>
            </w:tcBorders>
            <w:shd w:val="clear" w:color="000000" w:fill="F2DCDB"/>
            <w:vAlign w:val="center"/>
          </w:tcPr>
          <w:p w14:paraId="3F80BFA4" w14:textId="77777777" w:rsidR="00C755B1" w:rsidRDefault="00C755B1" w:rsidP="00C755B1">
            <w:pPr>
              <w:jc w:val="right"/>
              <w:rPr>
                <w:color w:val="000000"/>
                <w:sz w:val="24"/>
                <w:szCs w:val="24"/>
              </w:rPr>
            </w:pPr>
            <w:r>
              <w:rPr>
                <w:color w:val="000000"/>
              </w:rPr>
              <w:t>19</w:t>
            </w:r>
          </w:p>
        </w:tc>
        <w:tc>
          <w:tcPr>
            <w:tcW w:w="299" w:type="pct"/>
            <w:tcBorders>
              <w:top w:val="nil"/>
              <w:left w:val="double" w:sz="6" w:space="0" w:color="auto"/>
              <w:bottom w:val="single" w:sz="4" w:space="0" w:color="auto"/>
              <w:right w:val="nil"/>
            </w:tcBorders>
            <w:shd w:val="clear" w:color="000000" w:fill="F2DCDB"/>
            <w:vAlign w:val="center"/>
          </w:tcPr>
          <w:p w14:paraId="4944C973" w14:textId="77777777" w:rsidR="00C755B1" w:rsidRDefault="00C755B1" w:rsidP="00C755B1">
            <w:pPr>
              <w:jc w:val="right"/>
              <w:rPr>
                <w:color w:val="000000"/>
                <w:sz w:val="24"/>
                <w:szCs w:val="24"/>
              </w:rPr>
            </w:pPr>
            <w:r>
              <w:rPr>
                <w:color w:val="000000"/>
              </w:rPr>
              <w:t>25</w:t>
            </w:r>
          </w:p>
        </w:tc>
        <w:tc>
          <w:tcPr>
            <w:tcW w:w="222" w:type="pct"/>
            <w:tcBorders>
              <w:top w:val="nil"/>
              <w:left w:val="double" w:sz="6" w:space="0" w:color="auto"/>
              <w:bottom w:val="single" w:sz="4" w:space="0" w:color="auto"/>
              <w:right w:val="nil"/>
            </w:tcBorders>
            <w:shd w:val="clear" w:color="000000" w:fill="F2DCDB"/>
            <w:vAlign w:val="center"/>
          </w:tcPr>
          <w:p w14:paraId="6EF11691" w14:textId="77777777" w:rsidR="00C755B1" w:rsidRDefault="00C755B1" w:rsidP="00C755B1">
            <w:pPr>
              <w:jc w:val="right"/>
              <w:rPr>
                <w:color w:val="000000"/>
                <w:sz w:val="24"/>
                <w:szCs w:val="24"/>
              </w:rPr>
            </w:pPr>
            <w:r>
              <w:rPr>
                <w:color w:val="000000"/>
              </w:rPr>
              <w:t>38</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1FBB80E" w14:textId="77777777" w:rsidR="00C755B1" w:rsidRDefault="00C755B1" w:rsidP="00C755B1">
            <w:pPr>
              <w:jc w:val="right"/>
              <w:rPr>
                <w:color w:val="000000"/>
                <w:sz w:val="24"/>
                <w:szCs w:val="24"/>
              </w:rPr>
            </w:pPr>
            <w:r>
              <w:rPr>
                <w:color w:val="000000"/>
              </w:rPr>
              <w:t>23</w:t>
            </w:r>
          </w:p>
        </w:tc>
      </w:tr>
      <w:tr w:rsidR="00C755B1" w:rsidRPr="000A46ED" w14:paraId="4E69010C"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3CF45BE"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Maths.</w:t>
            </w:r>
          </w:p>
        </w:tc>
        <w:tc>
          <w:tcPr>
            <w:tcW w:w="255" w:type="pct"/>
            <w:tcBorders>
              <w:top w:val="nil"/>
              <w:left w:val="double" w:sz="6" w:space="0" w:color="auto"/>
              <w:bottom w:val="single" w:sz="4" w:space="0" w:color="auto"/>
              <w:right w:val="nil"/>
            </w:tcBorders>
            <w:shd w:val="clear" w:color="000000" w:fill="F2DCDB"/>
            <w:vAlign w:val="center"/>
          </w:tcPr>
          <w:p w14:paraId="41B32DC4" w14:textId="77777777" w:rsidR="00C755B1" w:rsidRDefault="00C755B1" w:rsidP="00C755B1">
            <w:pPr>
              <w:jc w:val="right"/>
              <w:rPr>
                <w:color w:val="000000"/>
                <w:sz w:val="24"/>
                <w:szCs w:val="24"/>
              </w:rPr>
            </w:pPr>
            <w:r>
              <w:rPr>
                <w:color w:val="000000"/>
              </w:rPr>
              <w:t>118</w:t>
            </w:r>
          </w:p>
        </w:tc>
        <w:tc>
          <w:tcPr>
            <w:tcW w:w="256" w:type="pct"/>
            <w:tcBorders>
              <w:top w:val="nil"/>
              <w:left w:val="double" w:sz="6" w:space="0" w:color="auto"/>
              <w:bottom w:val="single" w:sz="4" w:space="0" w:color="auto"/>
              <w:right w:val="nil"/>
            </w:tcBorders>
            <w:shd w:val="clear" w:color="000000" w:fill="F2DCDB"/>
            <w:vAlign w:val="center"/>
          </w:tcPr>
          <w:p w14:paraId="11EF8455" w14:textId="77777777" w:rsidR="00C755B1" w:rsidRDefault="00C755B1" w:rsidP="00C755B1">
            <w:pPr>
              <w:jc w:val="right"/>
              <w:rPr>
                <w:color w:val="000000"/>
                <w:sz w:val="24"/>
                <w:szCs w:val="24"/>
              </w:rPr>
            </w:pPr>
            <w:r>
              <w:rPr>
                <w:color w:val="000000"/>
              </w:rPr>
              <w:t>116</w:t>
            </w:r>
          </w:p>
        </w:tc>
        <w:tc>
          <w:tcPr>
            <w:tcW w:w="249" w:type="pct"/>
            <w:tcBorders>
              <w:top w:val="nil"/>
              <w:left w:val="double" w:sz="6" w:space="0" w:color="auto"/>
              <w:bottom w:val="single" w:sz="4" w:space="0" w:color="auto"/>
              <w:right w:val="nil"/>
            </w:tcBorders>
            <w:shd w:val="clear" w:color="000000" w:fill="F2DCDB"/>
            <w:vAlign w:val="center"/>
          </w:tcPr>
          <w:p w14:paraId="2CB47956" w14:textId="77777777" w:rsidR="00C755B1" w:rsidRDefault="00C755B1" w:rsidP="00C755B1">
            <w:pPr>
              <w:jc w:val="right"/>
              <w:rPr>
                <w:color w:val="000000"/>
                <w:sz w:val="24"/>
                <w:szCs w:val="24"/>
              </w:rPr>
            </w:pPr>
            <w:r>
              <w:rPr>
                <w:color w:val="000000"/>
              </w:rPr>
              <w:t>249</w:t>
            </w:r>
          </w:p>
        </w:tc>
        <w:tc>
          <w:tcPr>
            <w:tcW w:w="249" w:type="pct"/>
            <w:tcBorders>
              <w:top w:val="nil"/>
              <w:left w:val="double" w:sz="6" w:space="0" w:color="auto"/>
              <w:bottom w:val="single" w:sz="4" w:space="0" w:color="auto"/>
              <w:right w:val="nil"/>
            </w:tcBorders>
            <w:shd w:val="clear" w:color="000000" w:fill="F2DCDB"/>
            <w:vAlign w:val="center"/>
          </w:tcPr>
          <w:p w14:paraId="229FA485" w14:textId="77777777" w:rsidR="00C755B1" w:rsidRDefault="00C755B1" w:rsidP="00C755B1">
            <w:pPr>
              <w:jc w:val="right"/>
              <w:rPr>
                <w:color w:val="000000"/>
                <w:sz w:val="24"/>
                <w:szCs w:val="24"/>
              </w:rPr>
            </w:pPr>
            <w:r>
              <w:rPr>
                <w:color w:val="000000"/>
              </w:rPr>
              <w:t>232</w:t>
            </w:r>
          </w:p>
        </w:tc>
        <w:tc>
          <w:tcPr>
            <w:tcW w:w="222" w:type="pct"/>
            <w:tcBorders>
              <w:top w:val="nil"/>
              <w:left w:val="double" w:sz="6" w:space="0" w:color="auto"/>
              <w:bottom w:val="single" w:sz="4" w:space="0" w:color="auto"/>
              <w:right w:val="nil"/>
            </w:tcBorders>
            <w:shd w:val="clear" w:color="000000" w:fill="F2DCDB"/>
            <w:vAlign w:val="center"/>
          </w:tcPr>
          <w:p w14:paraId="617758B5" w14:textId="77777777" w:rsidR="00C755B1" w:rsidRDefault="00C755B1" w:rsidP="00C755B1">
            <w:pPr>
              <w:jc w:val="right"/>
              <w:rPr>
                <w:color w:val="000000"/>
                <w:sz w:val="24"/>
                <w:szCs w:val="24"/>
              </w:rPr>
            </w:pPr>
            <w:r>
              <w:rPr>
                <w:color w:val="000000"/>
              </w:rPr>
              <w:t>90</w:t>
            </w:r>
          </w:p>
        </w:tc>
        <w:tc>
          <w:tcPr>
            <w:tcW w:w="228" w:type="pct"/>
            <w:tcBorders>
              <w:top w:val="nil"/>
              <w:left w:val="double" w:sz="6" w:space="0" w:color="auto"/>
              <w:bottom w:val="single" w:sz="4" w:space="0" w:color="auto"/>
              <w:right w:val="nil"/>
            </w:tcBorders>
            <w:shd w:val="clear" w:color="000000" w:fill="F2DCDB"/>
            <w:vAlign w:val="center"/>
          </w:tcPr>
          <w:p w14:paraId="3A930227" w14:textId="77777777" w:rsidR="00C755B1" w:rsidRDefault="00C755B1" w:rsidP="00C755B1">
            <w:pPr>
              <w:jc w:val="right"/>
              <w:rPr>
                <w:color w:val="000000"/>
                <w:sz w:val="24"/>
                <w:szCs w:val="24"/>
              </w:rPr>
            </w:pPr>
            <w:r>
              <w:rPr>
                <w:color w:val="000000"/>
              </w:rPr>
              <w:t>75</w:t>
            </w:r>
          </w:p>
        </w:tc>
        <w:tc>
          <w:tcPr>
            <w:tcW w:w="291" w:type="pct"/>
            <w:tcBorders>
              <w:top w:val="nil"/>
              <w:left w:val="double" w:sz="6" w:space="0" w:color="auto"/>
              <w:bottom w:val="single" w:sz="4" w:space="0" w:color="auto"/>
              <w:right w:val="nil"/>
            </w:tcBorders>
            <w:shd w:val="clear" w:color="000000" w:fill="F2DCDB"/>
            <w:vAlign w:val="center"/>
          </w:tcPr>
          <w:p w14:paraId="34C66950" w14:textId="77777777" w:rsidR="00C755B1" w:rsidRDefault="00C755B1" w:rsidP="00C755B1">
            <w:pPr>
              <w:jc w:val="right"/>
              <w:rPr>
                <w:color w:val="000000"/>
                <w:sz w:val="24"/>
                <w:szCs w:val="24"/>
              </w:rPr>
            </w:pPr>
            <w:r>
              <w:rPr>
                <w:color w:val="000000"/>
              </w:rPr>
              <w:t>38</w:t>
            </w:r>
          </w:p>
        </w:tc>
        <w:tc>
          <w:tcPr>
            <w:tcW w:w="299" w:type="pct"/>
            <w:tcBorders>
              <w:top w:val="nil"/>
              <w:left w:val="double" w:sz="6" w:space="0" w:color="auto"/>
              <w:bottom w:val="single" w:sz="4" w:space="0" w:color="auto"/>
              <w:right w:val="nil"/>
            </w:tcBorders>
            <w:shd w:val="clear" w:color="000000" w:fill="F2DCDB"/>
            <w:vAlign w:val="center"/>
          </w:tcPr>
          <w:p w14:paraId="3AC2DF0E" w14:textId="77777777" w:rsidR="00C755B1" w:rsidRDefault="00C755B1" w:rsidP="00C755B1">
            <w:pPr>
              <w:jc w:val="right"/>
              <w:rPr>
                <w:color w:val="000000"/>
                <w:sz w:val="24"/>
                <w:szCs w:val="24"/>
              </w:rPr>
            </w:pPr>
            <w:r>
              <w:rPr>
                <w:color w:val="000000"/>
              </w:rPr>
              <w:t>41</w:t>
            </w:r>
          </w:p>
        </w:tc>
        <w:tc>
          <w:tcPr>
            <w:tcW w:w="222" w:type="pct"/>
            <w:tcBorders>
              <w:top w:val="nil"/>
              <w:left w:val="double" w:sz="6" w:space="0" w:color="auto"/>
              <w:bottom w:val="single" w:sz="4" w:space="0" w:color="auto"/>
              <w:right w:val="nil"/>
            </w:tcBorders>
            <w:shd w:val="clear" w:color="000000" w:fill="F2DCDB"/>
            <w:vAlign w:val="center"/>
          </w:tcPr>
          <w:p w14:paraId="60F3F061" w14:textId="77777777" w:rsidR="00C755B1" w:rsidRDefault="00C755B1" w:rsidP="00C755B1">
            <w:pPr>
              <w:jc w:val="right"/>
              <w:rPr>
                <w:color w:val="000000"/>
                <w:sz w:val="24"/>
                <w:szCs w:val="24"/>
              </w:rPr>
            </w:pPr>
            <w:r>
              <w:rPr>
                <w:color w:val="000000"/>
              </w:rPr>
              <w:t>45</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959A058" w14:textId="77777777" w:rsidR="00C755B1" w:rsidRDefault="00C755B1" w:rsidP="00C755B1">
            <w:pPr>
              <w:jc w:val="right"/>
              <w:rPr>
                <w:color w:val="000000"/>
                <w:sz w:val="24"/>
                <w:szCs w:val="24"/>
              </w:rPr>
            </w:pPr>
            <w:r>
              <w:rPr>
                <w:color w:val="000000"/>
              </w:rPr>
              <w:t>30</w:t>
            </w:r>
          </w:p>
        </w:tc>
      </w:tr>
      <w:tr w:rsidR="00C755B1" w:rsidRPr="000A46ED" w14:paraId="6FBF6177"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D5A023A"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Maths skills.</w:t>
            </w:r>
          </w:p>
        </w:tc>
        <w:tc>
          <w:tcPr>
            <w:tcW w:w="255" w:type="pct"/>
            <w:tcBorders>
              <w:top w:val="nil"/>
              <w:left w:val="double" w:sz="6" w:space="0" w:color="auto"/>
              <w:bottom w:val="single" w:sz="4" w:space="0" w:color="auto"/>
              <w:right w:val="nil"/>
            </w:tcBorders>
            <w:shd w:val="clear" w:color="000000" w:fill="F2DCDB"/>
            <w:vAlign w:val="center"/>
          </w:tcPr>
          <w:p w14:paraId="71142EE1" w14:textId="77777777" w:rsidR="00C755B1" w:rsidRDefault="00C755B1" w:rsidP="00C755B1">
            <w:pPr>
              <w:jc w:val="right"/>
              <w:rPr>
                <w:color w:val="000000"/>
                <w:sz w:val="24"/>
                <w:szCs w:val="24"/>
              </w:rPr>
            </w:pPr>
            <w:r>
              <w:rPr>
                <w:color w:val="000000"/>
              </w:rPr>
              <w:t>128</w:t>
            </w:r>
          </w:p>
        </w:tc>
        <w:tc>
          <w:tcPr>
            <w:tcW w:w="256" w:type="pct"/>
            <w:tcBorders>
              <w:top w:val="nil"/>
              <w:left w:val="double" w:sz="6" w:space="0" w:color="auto"/>
              <w:bottom w:val="single" w:sz="4" w:space="0" w:color="auto"/>
              <w:right w:val="nil"/>
            </w:tcBorders>
            <w:shd w:val="clear" w:color="000000" w:fill="F2DCDB"/>
            <w:vAlign w:val="center"/>
          </w:tcPr>
          <w:p w14:paraId="2E575657" w14:textId="77777777" w:rsidR="00C755B1" w:rsidRDefault="00C755B1" w:rsidP="00C755B1">
            <w:pPr>
              <w:jc w:val="right"/>
              <w:rPr>
                <w:color w:val="000000"/>
                <w:sz w:val="24"/>
                <w:szCs w:val="24"/>
              </w:rPr>
            </w:pPr>
            <w:r>
              <w:rPr>
                <w:color w:val="000000"/>
              </w:rPr>
              <w:t>132</w:t>
            </w:r>
          </w:p>
        </w:tc>
        <w:tc>
          <w:tcPr>
            <w:tcW w:w="249" w:type="pct"/>
            <w:tcBorders>
              <w:top w:val="nil"/>
              <w:left w:val="double" w:sz="6" w:space="0" w:color="auto"/>
              <w:bottom w:val="single" w:sz="4" w:space="0" w:color="auto"/>
              <w:right w:val="nil"/>
            </w:tcBorders>
            <w:shd w:val="clear" w:color="000000" w:fill="F2DCDB"/>
            <w:vAlign w:val="center"/>
          </w:tcPr>
          <w:p w14:paraId="679810F5" w14:textId="77777777" w:rsidR="00C755B1" w:rsidRDefault="00C755B1" w:rsidP="00C755B1">
            <w:pPr>
              <w:jc w:val="right"/>
              <w:rPr>
                <w:color w:val="000000"/>
                <w:sz w:val="24"/>
                <w:szCs w:val="24"/>
              </w:rPr>
            </w:pPr>
            <w:r>
              <w:rPr>
                <w:color w:val="000000"/>
              </w:rPr>
              <w:t>237</w:t>
            </w:r>
          </w:p>
        </w:tc>
        <w:tc>
          <w:tcPr>
            <w:tcW w:w="249" w:type="pct"/>
            <w:tcBorders>
              <w:top w:val="nil"/>
              <w:left w:val="double" w:sz="6" w:space="0" w:color="auto"/>
              <w:bottom w:val="single" w:sz="4" w:space="0" w:color="auto"/>
              <w:right w:val="nil"/>
            </w:tcBorders>
            <w:shd w:val="clear" w:color="000000" w:fill="F2DCDB"/>
            <w:vAlign w:val="center"/>
          </w:tcPr>
          <w:p w14:paraId="4FCF8089" w14:textId="77777777" w:rsidR="00C755B1" w:rsidRDefault="00C755B1" w:rsidP="00C755B1">
            <w:pPr>
              <w:jc w:val="right"/>
              <w:rPr>
                <w:color w:val="000000"/>
                <w:sz w:val="24"/>
                <w:szCs w:val="24"/>
              </w:rPr>
            </w:pPr>
            <w:r>
              <w:rPr>
                <w:color w:val="000000"/>
              </w:rPr>
              <w:t>229</w:t>
            </w:r>
          </w:p>
        </w:tc>
        <w:tc>
          <w:tcPr>
            <w:tcW w:w="222" w:type="pct"/>
            <w:tcBorders>
              <w:top w:val="nil"/>
              <w:left w:val="double" w:sz="6" w:space="0" w:color="auto"/>
              <w:bottom w:val="single" w:sz="4" w:space="0" w:color="auto"/>
              <w:right w:val="nil"/>
            </w:tcBorders>
            <w:shd w:val="clear" w:color="000000" w:fill="F2DCDB"/>
            <w:vAlign w:val="center"/>
          </w:tcPr>
          <w:p w14:paraId="6682F96F" w14:textId="77777777" w:rsidR="00C755B1" w:rsidRDefault="00C755B1" w:rsidP="00C755B1">
            <w:pPr>
              <w:jc w:val="right"/>
              <w:rPr>
                <w:color w:val="000000"/>
                <w:sz w:val="24"/>
                <w:szCs w:val="24"/>
              </w:rPr>
            </w:pPr>
            <w:r>
              <w:rPr>
                <w:color w:val="000000"/>
              </w:rPr>
              <w:t>91</w:t>
            </w:r>
          </w:p>
        </w:tc>
        <w:tc>
          <w:tcPr>
            <w:tcW w:w="228" w:type="pct"/>
            <w:tcBorders>
              <w:top w:val="nil"/>
              <w:left w:val="double" w:sz="6" w:space="0" w:color="auto"/>
              <w:bottom w:val="single" w:sz="4" w:space="0" w:color="auto"/>
              <w:right w:val="nil"/>
            </w:tcBorders>
            <w:shd w:val="clear" w:color="000000" w:fill="F2DCDB"/>
            <w:vAlign w:val="center"/>
          </w:tcPr>
          <w:p w14:paraId="49A80638" w14:textId="77777777" w:rsidR="00C755B1" w:rsidRDefault="00C755B1" w:rsidP="00C755B1">
            <w:pPr>
              <w:jc w:val="right"/>
              <w:rPr>
                <w:color w:val="000000"/>
                <w:sz w:val="24"/>
                <w:szCs w:val="24"/>
              </w:rPr>
            </w:pPr>
            <w:r>
              <w:rPr>
                <w:color w:val="000000"/>
              </w:rPr>
              <w:t>75</w:t>
            </w:r>
          </w:p>
        </w:tc>
        <w:tc>
          <w:tcPr>
            <w:tcW w:w="291" w:type="pct"/>
            <w:tcBorders>
              <w:top w:val="nil"/>
              <w:left w:val="double" w:sz="6" w:space="0" w:color="auto"/>
              <w:bottom w:val="single" w:sz="4" w:space="0" w:color="auto"/>
              <w:right w:val="nil"/>
            </w:tcBorders>
            <w:shd w:val="clear" w:color="000000" w:fill="F2DCDB"/>
            <w:vAlign w:val="center"/>
          </w:tcPr>
          <w:p w14:paraId="4E036597" w14:textId="77777777" w:rsidR="00C755B1" w:rsidRDefault="00C755B1" w:rsidP="00C755B1">
            <w:pPr>
              <w:jc w:val="right"/>
              <w:rPr>
                <w:color w:val="000000"/>
                <w:sz w:val="24"/>
                <w:szCs w:val="24"/>
              </w:rPr>
            </w:pPr>
            <w:r>
              <w:rPr>
                <w:color w:val="000000"/>
              </w:rPr>
              <w:t>43</w:t>
            </w:r>
          </w:p>
        </w:tc>
        <w:tc>
          <w:tcPr>
            <w:tcW w:w="299" w:type="pct"/>
            <w:tcBorders>
              <w:top w:val="nil"/>
              <w:left w:val="double" w:sz="6" w:space="0" w:color="auto"/>
              <w:bottom w:val="single" w:sz="4" w:space="0" w:color="auto"/>
              <w:right w:val="nil"/>
            </w:tcBorders>
            <w:shd w:val="clear" w:color="000000" w:fill="F2DCDB"/>
            <w:vAlign w:val="center"/>
          </w:tcPr>
          <w:p w14:paraId="735D2420" w14:textId="77777777" w:rsidR="00C755B1" w:rsidRDefault="00C755B1" w:rsidP="00C755B1">
            <w:pPr>
              <w:jc w:val="right"/>
              <w:rPr>
                <w:color w:val="000000"/>
                <w:sz w:val="24"/>
                <w:szCs w:val="24"/>
              </w:rPr>
            </w:pPr>
            <w:r>
              <w:rPr>
                <w:color w:val="000000"/>
              </w:rPr>
              <w:t>40</w:t>
            </w:r>
          </w:p>
        </w:tc>
        <w:tc>
          <w:tcPr>
            <w:tcW w:w="222" w:type="pct"/>
            <w:tcBorders>
              <w:top w:val="nil"/>
              <w:left w:val="double" w:sz="6" w:space="0" w:color="auto"/>
              <w:bottom w:val="single" w:sz="4" w:space="0" w:color="auto"/>
              <w:right w:val="nil"/>
            </w:tcBorders>
            <w:shd w:val="clear" w:color="000000" w:fill="F2DCDB"/>
            <w:vAlign w:val="center"/>
          </w:tcPr>
          <w:p w14:paraId="573FCA66" w14:textId="77777777" w:rsidR="00C755B1" w:rsidRDefault="00C755B1" w:rsidP="00C755B1">
            <w:pPr>
              <w:jc w:val="right"/>
              <w:rPr>
                <w:color w:val="000000"/>
                <w:sz w:val="24"/>
                <w:szCs w:val="24"/>
              </w:rPr>
            </w:pPr>
            <w:r>
              <w:rPr>
                <w:color w:val="000000"/>
              </w:rPr>
              <w:t>41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5447EC0" w14:textId="77777777" w:rsidR="00C755B1" w:rsidRDefault="00C755B1" w:rsidP="00C755B1">
            <w:pPr>
              <w:jc w:val="right"/>
              <w:rPr>
                <w:color w:val="000000"/>
                <w:sz w:val="24"/>
                <w:szCs w:val="24"/>
              </w:rPr>
            </w:pPr>
            <w:r>
              <w:rPr>
                <w:color w:val="000000"/>
              </w:rPr>
              <w:t>19</w:t>
            </w:r>
          </w:p>
        </w:tc>
      </w:tr>
    </w:tbl>
    <w:p w14:paraId="1C0B0AA5" w14:textId="77777777" w:rsidR="005C5B3E" w:rsidRDefault="005C5B3E" w:rsidP="004910A6">
      <w:pPr>
        <w:rPr>
          <w:rFonts w:cs="Arial"/>
          <w:sz w:val="24"/>
          <w:szCs w:val="24"/>
        </w:rPr>
        <w:sectPr w:rsidR="005C5B3E" w:rsidSect="005C5B3E">
          <w:pgSz w:w="16838" w:h="11906" w:orient="landscape"/>
          <w:pgMar w:top="1418" w:right="1134" w:bottom="851" w:left="1134" w:header="709" w:footer="709" w:gutter="0"/>
          <w:cols w:space="708"/>
          <w:docGrid w:linePitch="360"/>
        </w:sectPr>
      </w:pPr>
    </w:p>
    <w:tbl>
      <w:tblPr>
        <w:tblW w:w="5000" w:type="pct"/>
        <w:tblLook w:val="04A0" w:firstRow="1" w:lastRow="0" w:firstColumn="1" w:lastColumn="0" w:noHBand="0" w:noVBand="1"/>
        <w:tblCaption w:val="Table - Literacy Year 7"/>
        <w:tblDescription w:val="Data relating to Literacy Year 7"/>
      </w:tblPr>
      <w:tblGrid>
        <w:gridCol w:w="7403"/>
        <w:gridCol w:w="755"/>
        <w:gridCol w:w="757"/>
        <w:gridCol w:w="736"/>
        <w:gridCol w:w="736"/>
        <w:gridCol w:w="656"/>
        <w:gridCol w:w="674"/>
        <w:gridCol w:w="861"/>
        <w:gridCol w:w="884"/>
        <w:gridCol w:w="656"/>
        <w:gridCol w:w="668"/>
      </w:tblGrid>
      <w:tr w:rsidR="005C5B3E" w:rsidRPr="000A46ED" w14:paraId="392395E3" w14:textId="77777777" w:rsidTr="0001238E">
        <w:trPr>
          <w:trHeight w:val="567"/>
        </w:trPr>
        <w:tc>
          <w:tcPr>
            <w:tcW w:w="2503" w:type="pct"/>
            <w:vMerge w:val="restart"/>
            <w:tcBorders>
              <w:top w:val="single" w:sz="4" w:space="0" w:color="auto"/>
              <w:left w:val="single" w:sz="4" w:space="0" w:color="auto"/>
              <w:bottom w:val="nil"/>
              <w:right w:val="nil"/>
            </w:tcBorders>
            <w:shd w:val="clear" w:color="auto" w:fill="auto"/>
            <w:noWrap/>
            <w:vAlign w:val="center"/>
            <w:hideMark/>
          </w:tcPr>
          <w:p w14:paraId="6EA40B85" w14:textId="77777777" w:rsidR="005C5B3E" w:rsidRPr="008826A5" w:rsidRDefault="009F25F9" w:rsidP="0001238E">
            <w:pPr>
              <w:spacing w:after="0" w:line="240" w:lineRule="auto"/>
              <w:jc w:val="center"/>
              <w:rPr>
                <w:rFonts w:eastAsia="Times New Roman" w:cs="Times New Roman"/>
                <w:b/>
                <w:bCs/>
                <w:color w:val="244061" w:themeColor="accent1" w:themeShade="80"/>
                <w:sz w:val="36"/>
                <w:szCs w:val="36"/>
                <w:lang w:eastAsia="en-AU"/>
              </w:rPr>
            </w:pPr>
            <w:r>
              <w:rPr>
                <w:rFonts w:eastAsia="Times New Roman" w:cs="Times New Roman"/>
                <w:b/>
                <w:bCs/>
                <w:color w:val="244061" w:themeColor="accent1" w:themeShade="80"/>
                <w:sz w:val="36"/>
                <w:szCs w:val="36"/>
                <w:lang w:eastAsia="en-AU"/>
              </w:rPr>
              <w:t>Literacy</w:t>
            </w:r>
          </w:p>
          <w:p w14:paraId="265AD445" w14:textId="77777777" w:rsidR="005C5B3E" w:rsidRPr="000A46ED" w:rsidRDefault="005C5B3E" w:rsidP="0001238E">
            <w:pPr>
              <w:spacing w:after="0" w:line="240" w:lineRule="auto"/>
              <w:jc w:val="center"/>
              <w:rPr>
                <w:rFonts w:eastAsia="Times New Roman" w:cs="Times New Roman"/>
                <w:b/>
                <w:bCs/>
                <w:color w:val="FF0000"/>
                <w:sz w:val="36"/>
                <w:szCs w:val="36"/>
                <w:lang w:eastAsia="en-AU"/>
              </w:rPr>
            </w:pPr>
          </w:p>
        </w:tc>
        <w:tc>
          <w:tcPr>
            <w:tcW w:w="2497"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058E24BA" w14:textId="77777777" w:rsidR="005C5B3E" w:rsidRPr="000A46ED" w:rsidRDefault="005C5B3E" w:rsidP="0001238E">
            <w:pPr>
              <w:spacing w:after="0" w:line="240" w:lineRule="auto"/>
              <w:jc w:val="center"/>
              <w:rPr>
                <w:rFonts w:eastAsia="Times New Roman" w:cs="Times New Roman"/>
                <w:color w:val="000000"/>
                <w:sz w:val="52"/>
                <w:szCs w:val="52"/>
                <w:lang w:eastAsia="en-AU"/>
              </w:rPr>
            </w:pPr>
            <w:r>
              <w:rPr>
                <w:rFonts w:eastAsia="Times New Roman" w:cs="Times New Roman"/>
                <w:color w:val="000000"/>
                <w:sz w:val="52"/>
                <w:szCs w:val="52"/>
                <w:lang w:eastAsia="en-AU"/>
              </w:rPr>
              <w:t>Year 7</w:t>
            </w:r>
          </w:p>
        </w:tc>
      </w:tr>
      <w:tr w:rsidR="005C5B3E" w:rsidRPr="000A46ED" w14:paraId="5763E600" w14:textId="77777777" w:rsidTr="00394D0F">
        <w:trPr>
          <w:trHeight w:val="276"/>
        </w:trPr>
        <w:tc>
          <w:tcPr>
            <w:tcW w:w="2503" w:type="pct"/>
            <w:vMerge/>
            <w:tcBorders>
              <w:left w:val="single" w:sz="4" w:space="0" w:color="auto"/>
              <w:right w:val="nil"/>
            </w:tcBorders>
            <w:shd w:val="clear" w:color="auto" w:fill="auto"/>
            <w:vAlign w:val="center"/>
            <w:hideMark/>
          </w:tcPr>
          <w:p w14:paraId="253A06A6"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511"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3E1DD856"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498" w:type="pct"/>
            <w:gridSpan w:val="2"/>
            <w:tcBorders>
              <w:top w:val="double" w:sz="6" w:space="0" w:color="auto"/>
              <w:left w:val="nil"/>
              <w:bottom w:val="single" w:sz="4" w:space="0" w:color="auto"/>
              <w:right w:val="single" w:sz="12" w:space="0" w:color="000000"/>
            </w:tcBorders>
            <w:shd w:val="clear" w:color="auto" w:fill="auto"/>
            <w:vAlign w:val="center"/>
            <w:hideMark/>
          </w:tcPr>
          <w:p w14:paraId="1A012067"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450" w:type="pct"/>
            <w:gridSpan w:val="2"/>
            <w:tcBorders>
              <w:top w:val="double" w:sz="6" w:space="0" w:color="auto"/>
              <w:left w:val="nil"/>
              <w:bottom w:val="single" w:sz="4" w:space="0" w:color="auto"/>
              <w:right w:val="single" w:sz="12" w:space="0" w:color="000000"/>
            </w:tcBorders>
            <w:shd w:val="clear" w:color="auto" w:fill="auto"/>
            <w:vAlign w:val="center"/>
            <w:hideMark/>
          </w:tcPr>
          <w:p w14:paraId="3844DBF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590" w:type="pct"/>
            <w:gridSpan w:val="2"/>
            <w:tcBorders>
              <w:top w:val="double" w:sz="6" w:space="0" w:color="auto"/>
              <w:left w:val="nil"/>
              <w:bottom w:val="single" w:sz="4" w:space="0" w:color="auto"/>
              <w:right w:val="single" w:sz="12" w:space="0" w:color="000000"/>
            </w:tcBorders>
            <w:shd w:val="clear" w:color="auto" w:fill="auto"/>
            <w:vAlign w:val="center"/>
            <w:hideMark/>
          </w:tcPr>
          <w:p w14:paraId="44B8918A"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448" w:type="pct"/>
            <w:gridSpan w:val="2"/>
            <w:tcBorders>
              <w:top w:val="double" w:sz="6" w:space="0" w:color="auto"/>
              <w:left w:val="nil"/>
              <w:bottom w:val="single" w:sz="4" w:space="0" w:color="auto"/>
              <w:right w:val="double" w:sz="6" w:space="0" w:color="000000"/>
            </w:tcBorders>
            <w:shd w:val="clear" w:color="auto" w:fill="auto"/>
            <w:vAlign w:val="center"/>
            <w:hideMark/>
          </w:tcPr>
          <w:p w14:paraId="77B4350B"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5C5B3E" w:rsidRPr="000A46ED" w14:paraId="468AC3B0" w14:textId="77777777" w:rsidTr="00394D0F">
        <w:trPr>
          <w:trHeight w:val="276"/>
        </w:trPr>
        <w:tc>
          <w:tcPr>
            <w:tcW w:w="2503" w:type="pct"/>
            <w:vMerge/>
            <w:tcBorders>
              <w:left w:val="single" w:sz="4" w:space="0" w:color="auto"/>
              <w:bottom w:val="single" w:sz="8" w:space="0" w:color="auto"/>
              <w:right w:val="nil"/>
            </w:tcBorders>
            <w:shd w:val="clear" w:color="auto" w:fill="auto"/>
            <w:vAlign w:val="center"/>
            <w:hideMark/>
          </w:tcPr>
          <w:p w14:paraId="2E7B6358"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255" w:type="pct"/>
            <w:tcBorders>
              <w:top w:val="nil"/>
              <w:left w:val="double" w:sz="6" w:space="0" w:color="auto"/>
              <w:bottom w:val="single" w:sz="4" w:space="0" w:color="auto"/>
              <w:right w:val="single" w:sz="4" w:space="0" w:color="auto"/>
            </w:tcBorders>
            <w:shd w:val="clear" w:color="auto" w:fill="auto"/>
            <w:vAlign w:val="center"/>
            <w:hideMark/>
          </w:tcPr>
          <w:p w14:paraId="4E9EFC8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56" w:type="pct"/>
            <w:tcBorders>
              <w:top w:val="nil"/>
              <w:left w:val="nil"/>
              <w:bottom w:val="single" w:sz="4" w:space="0" w:color="auto"/>
              <w:right w:val="single" w:sz="12" w:space="0" w:color="auto"/>
            </w:tcBorders>
            <w:shd w:val="clear" w:color="auto" w:fill="auto"/>
            <w:vAlign w:val="center"/>
            <w:hideMark/>
          </w:tcPr>
          <w:p w14:paraId="444AFE3E"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49" w:type="pct"/>
            <w:tcBorders>
              <w:top w:val="nil"/>
              <w:left w:val="nil"/>
              <w:bottom w:val="single" w:sz="4" w:space="0" w:color="auto"/>
              <w:right w:val="single" w:sz="4" w:space="0" w:color="auto"/>
            </w:tcBorders>
            <w:shd w:val="clear" w:color="auto" w:fill="auto"/>
            <w:vAlign w:val="center"/>
            <w:hideMark/>
          </w:tcPr>
          <w:p w14:paraId="0C086EA3"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49" w:type="pct"/>
            <w:tcBorders>
              <w:top w:val="nil"/>
              <w:left w:val="nil"/>
              <w:bottom w:val="single" w:sz="4" w:space="0" w:color="auto"/>
              <w:right w:val="single" w:sz="12" w:space="0" w:color="auto"/>
            </w:tcBorders>
            <w:shd w:val="clear" w:color="auto" w:fill="auto"/>
            <w:vAlign w:val="center"/>
            <w:hideMark/>
          </w:tcPr>
          <w:p w14:paraId="3A891C16"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39074CA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single" w:sz="12" w:space="0" w:color="auto"/>
            </w:tcBorders>
            <w:shd w:val="clear" w:color="auto" w:fill="auto"/>
            <w:vAlign w:val="center"/>
            <w:hideMark/>
          </w:tcPr>
          <w:p w14:paraId="6814D2F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1" w:type="pct"/>
            <w:tcBorders>
              <w:top w:val="nil"/>
              <w:left w:val="nil"/>
              <w:bottom w:val="single" w:sz="4" w:space="0" w:color="auto"/>
              <w:right w:val="single" w:sz="4" w:space="0" w:color="auto"/>
            </w:tcBorders>
            <w:shd w:val="clear" w:color="auto" w:fill="auto"/>
            <w:vAlign w:val="center"/>
            <w:hideMark/>
          </w:tcPr>
          <w:p w14:paraId="01EE83A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363D9EC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7500C422"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6" w:type="pct"/>
            <w:tcBorders>
              <w:top w:val="nil"/>
              <w:left w:val="nil"/>
              <w:bottom w:val="single" w:sz="4" w:space="0" w:color="auto"/>
              <w:right w:val="double" w:sz="6" w:space="0" w:color="auto"/>
            </w:tcBorders>
            <w:shd w:val="clear" w:color="auto" w:fill="auto"/>
            <w:vAlign w:val="center"/>
            <w:hideMark/>
          </w:tcPr>
          <w:p w14:paraId="397131A8"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394D0F" w:rsidRPr="000A46ED" w14:paraId="69BA0432"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481FF9E" w14:textId="237218C4"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reading.</w:t>
            </w:r>
          </w:p>
        </w:tc>
        <w:tc>
          <w:tcPr>
            <w:tcW w:w="255" w:type="pct"/>
            <w:tcBorders>
              <w:top w:val="nil"/>
              <w:left w:val="double" w:sz="6" w:space="0" w:color="auto"/>
              <w:bottom w:val="single" w:sz="4" w:space="0" w:color="auto"/>
              <w:right w:val="nil"/>
            </w:tcBorders>
            <w:shd w:val="clear" w:color="000000" w:fill="F2DCDB"/>
            <w:vAlign w:val="center"/>
          </w:tcPr>
          <w:p w14:paraId="1A383195" w14:textId="77777777" w:rsidR="00394D0F" w:rsidRDefault="00394D0F">
            <w:pPr>
              <w:jc w:val="right"/>
              <w:rPr>
                <w:color w:val="000000"/>
                <w:sz w:val="24"/>
                <w:szCs w:val="24"/>
              </w:rPr>
            </w:pPr>
            <w:r>
              <w:rPr>
                <w:color w:val="000000"/>
              </w:rPr>
              <w:t>365</w:t>
            </w:r>
          </w:p>
        </w:tc>
        <w:tc>
          <w:tcPr>
            <w:tcW w:w="256" w:type="pct"/>
            <w:tcBorders>
              <w:top w:val="nil"/>
              <w:left w:val="double" w:sz="6" w:space="0" w:color="auto"/>
              <w:bottom w:val="single" w:sz="4" w:space="0" w:color="auto"/>
              <w:right w:val="nil"/>
            </w:tcBorders>
            <w:shd w:val="clear" w:color="000000" w:fill="F2DCDB"/>
            <w:vAlign w:val="center"/>
          </w:tcPr>
          <w:p w14:paraId="78D2EB28" w14:textId="77777777" w:rsidR="00394D0F" w:rsidRDefault="00394D0F">
            <w:pPr>
              <w:jc w:val="right"/>
              <w:rPr>
                <w:color w:val="000000"/>
                <w:sz w:val="24"/>
                <w:szCs w:val="24"/>
              </w:rPr>
            </w:pPr>
            <w:r>
              <w:rPr>
                <w:color w:val="000000"/>
              </w:rPr>
              <w:t>263</w:t>
            </w:r>
          </w:p>
        </w:tc>
        <w:tc>
          <w:tcPr>
            <w:tcW w:w="249" w:type="pct"/>
            <w:tcBorders>
              <w:top w:val="nil"/>
              <w:left w:val="double" w:sz="6" w:space="0" w:color="auto"/>
              <w:bottom w:val="single" w:sz="4" w:space="0" w:color="auto"/>
              <w:right w:val="nil"/>
            </w:tcBorders>
            <w:shd w:val="clear" w:color="000000" w:fill="F2DCDB"/>
            <w:vAlign w:val="center"/>
          </w:tcPr>
          <w:p w14:paraId="4E94490E" w14:textId="77777777" w:rsidR="00394D0F" w:rsidRDefault="00394D0F">
            <w:pPr>
              <w:jc w:val="right"/>
              <w:rPr>
                <w:color w:val="000000"/>
                <w:sz w:val="24"/>
                <w:szCs w:val="24"/>
              </w:rPr>
            </w:pPr>
            <w:r>
              <w:rPr>
                <w:color w:val="000000"/>
              </w:rPr>
              <w:t>778</w:t>
            </w:r>
          </w:p>
        </w:tc>
        <w:tc>
          <w:tcPr>
            <w:tcW w:w="249" w:type="pct"/>
            <w:tcBorders>
              <w:top w:val="nil"/>
              <w:left w:val="double" w:sz="6" w:space="0" w:color="auto"/>
              <w:bottom w:val="single" w:sz="4" w:space="0" w:color="auto"/>
              <w:right w:val="nil"/>
            </w:tcBorders>
            <w:shd w:val="clear" w:color="000000" w:fill="F2DCDB"/>
            <w:vAlign w:val="center"/>
          </w:tcPr>
          <w:p w14:paraId="29C36ABD" w14:textId="77777777" w:rsidR="00394D0F" w:rsidRDefault="00394D0F">
            <w:pPr>
              <w:jc w:val="right"/>
              <w:rPr>
                <w:color w:val="000000"/>
                <w:sz w:val="24"/>
                <w:szCs w:val="24"/>
              </w:rPr>
            </w:pPr>
            <w:r>
              <w:rPr>
                <w:color w:val="000000"/>
              </w:rPr>
              <w:t>838</w:t>
            </w:r>
          </w:p>
        </w:tc>
        <w:tc>
          <w:tcPr>
            <w:tcW w:w="222" w:type="pct"/>
            <w:tcBorders>
              <w:top w:val="nil"/>
              <w:left w:val="double" w:sz="6" w:space="0" w:color="auto"/>
              <w:bottom w:val="single" w:sz="4" w:space="0" w:color="auto"/>
              <w:right w:val="nil"/>
            </w:tcBorders>
            <w:shd w:val="clear" w:color="000000" w:fill="F2DCDB"/>
            <w:vAlign w:val="center"/>
          </w:tcPr>
          <w:p w14:paraId="48E2A788" w14:textId="77777777" w:rsidR="00394D0F" w:rsidRDefault="00394D0F">
            <w:pPr>
              <w:jc w:val="right"/>
              <w:rPr>
                <w:color w:val="000000"/>
                <w:sz w:val="24"/>
                <w:szCs w:val="24"/>
              </w:rPr>
            </w:pPr>
            <w:r>
              <w:rPr>
                <w:color w:val="000000"/>
              </w:rPr>
              <w:t>225</w:t>
            </w:r>
          </w:p>
        </w:tc>
        <w:tc>
          <w:tcPr>
            <w:tcW w:w="228" w:type="pct"/>
            <w:tcBorders>
              <w:top w:val="nil"/>
              <w:left w:val="double" w:sz="6" w:space="0" w:color="auto"/>
              <w:bottom w:val="single" w:sz="4" w:space="0" w:color="auto"/>
              <w:right w:val="nil"/>
            </w:tcBorders>
            <w:shd w:val="clear" w:color="000000" w:fill="F2DCDB"/>
            <w:vAlign w:val="center"/>
          </w:tcPr>
          <w:p w14:paraId="3A41E233" w14:textId="77777777" w:rsidR="00394D0F" w:rsidRDefault="00394D0F">
            <w:pPr>
              <w:jc w:val="right"/>
              <w:rPr>
                <w:color w:val="000000"/>
                <w:sz w:val="24"/>
                <w:szCs w:val="24"/>
              </w:rPr>
            </w:pPr>
            <w:r>
              <w:rPr>
                <w:color w:val="000000"/>
              </w:rPr>
              <w:t>327</w:t>
            </w:r>
          </w:p>
        </w:tc>
        <w:tc>
          <w:tcPr>
            <w:tcW w:w="291" w:type="pct"/>
            <w:tcBorders>
              <w:top w:val="nil"/>
              <w:left w:val="double" w:sz="6" w:space="0" w:color="auto"/>
              <w:bottom w:val="single" w:sz="4" w:space="0" w:color="auto"/>
              <w:right w:val="nil"/>
            </w:tcBorders>
            <w:shd w:val="clear" w:color="000000" w:fill="F2DCDB"/>
            <w:vAlign w:val="center"/>
          </w:tcPr>
          <w:p w14:paraId="0C8F978C" w14:textId="77777777" w:rsidR="00394D0F" w:rsidRDefault="00394D0F">
            <w:pPr>
              <w:jc w:val="right"/>
              <w:rPr>
                <w:color w:val="000000"/>
                <w:sz w:val="24"/>
                <w:szCs w:val="24"/>
              </w:rPr>
            </w:pPr>
            <w:r>
              <w:rPr>
                <w:color w:val="000000"/>
              </w:rPr>
              <w:t>85</w:t>
            </w:r>
          </w:p>
        </w:tc>
        <w:tc>
          <w:tcPr>
            <w:tcW w:w="299" w:type="pct"/>
            <w:tcBorders>
              <w:top w:val="nil"/>
              <w:left w:val="double" w:sz="6" w:space="0" w:color="auto"/>
              <w:bottom w:val="single" w:sz="4" w:space="0" w:color="auto"/>
              <w:right w:val="nil"/>
            </w:tcBorders>
            <w:shd w:val="clear" w:color="000000" w:fill="F2DCDB"/>
            <w:vAlign w:val="center"/>
          </w:tcPr>
          <w:p w14:paraId="7BB5813D" w14:textId="77777777" w:rsidR="00394D0F" w:rsidRDefault="00394D0F">
            <w:pPr>
              <w:jc w:val="right"/>
              <w:rPr>
                <w:color w:val="000000"/>
                <w:sz w:val="24"/>
                <w:szCs w:val="24"/>
              </w:rPr>
            </w:pPr>
            <w:r>
              <w:rPr>
                <w:color w:val="000000"/>
              </w:rPr>
              <w:t>147</w:t>
            </w:r>
          </w:p>
        </w:tc>
        <w:tc>
          <w:tcPr>
            <w:tcW w:w="222" w:type="pct"/>
            <w:tcBorders>
              <w:top w:val="nil"/>
              <w:left w:val="double" w:sz="6" w:space="0" w:color="auto"/>
              <w:bottom w:val="single" w:sz="4" w:space="0" w:color="auto"/>
              <w:right w:val="nil"/>
            </w:tcBorders>
            <w:shd w:val="clear" w:color="000000" w:fill="F2DCDB"/>
            <w:vAlign w:val="center"/>
          </w:tcPr>
          <w:p w14:paraId="7D2C07E1" w14:textId="77777777" w:rsidR="00394D0F" w:rsidRDefault="00394D0F">
            <w:pPr>
              <w:jc w:val="right"/>
              <w:rPr>
                <w:color w:val="000000"/>
                <w:sz w:val="24"/>
                <w:szCs w:val="24"/>
              </w:rPr>
            </w:pPr>
            <w:r>
              <w:rPr>
                <w:color w:val="000000"/>
              </w:rPr>
              <w:t>106</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D37335C" w14:textId="77777777" w:rsidR="00394D0F" w:rsidRDefault="00394D0F">
            <w:pPr>
              <w:jc w:val="right"/>
              <w:rPr>
                <w:color w:val="000000"/>
                <w:sz w:val="24"/>
                <w:szCs w:val="24"/>
              </w:rPr>
            </w:pPr>
            <w:r>
              <w:rPr>
                <w:color w:val="000000"/>
              </w:rPr>
              <w:t>116</w:t>
            </w:r>
          </w:p>
        </w:tc>
      </w:tr>
      <w:tr w:rsidR="00394D0F" w:rsidRPr="000A46ED" w14:paraId="6AF670B7"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03FDFB6" w14:textId="6B2CE2BB"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 It is important to learn to read and to understand what you are reading.</w:t>
            </w:r>
          </w:p>
        </w:tc>
        <w:tc>
          <w:tcPr>
            <w:tcW w:w="255" w:type="pct"/>
            <w:tcBorders>
              <w:top w:val="nil"/>
              <w:left w:val="double" w:sz="6" w:space="0" w:color="auto"/>
              <w:bottom w:val="single" w:sz="4" w:space="0" w:color="auto"/>
              <w:right w:val="nil"/>
            </w:tcBorders>
            <w:shd w:val="clear" w:color="000000" w:fill="F2DCDB"/>
            <w:vAlign w:val="center"/>
          </w:tcPr>
          <w:p w14:paraId="4D761206" w14:textId="77777777" w:rsidR="00394D0F" w:rsidRDefault="00394D0F">
            <w:pPr>
              <w:jc w:val="right"/>
              <w:rPr>
                <w:color w:val="000000"/>
                <w:sz w:val="24"/>
                <w:szCs w:val="24"/>
              </w:rPr>
            </w:pPr>
            <w:r>
              <w:rPr>
                <w:color w:val="000000"/>
              </w:rPr>
              <w:t>788</w:t>
            </w:r>
          </w:p>
        </w:tc>
        <w:tc>
          <w:tcPr>
            <w:tcW w:w="256" w:type="pct"/>
            <w:tcBorders>
              <w:top w:val="nil"/>
              <w:left w:val="double" w:sz="6" w:space="0" w:color="auto"/>
              <w:bottom w:val="single" w:sz="4" w:space="0" w:color="auto"/>
              <w:right w:val="nil"/>
            </w:tcBorders>
            <w:shd w:val="clear" w:color="000000" w:fill="F2DCDB"/>
            <w:vAlign w:val="center"/>
          </w:tcPr>
          <w:p w14:paraId="459E3FE7" w14:textId="77777777" w:rsidR="00394D0F" w:rsidRDefault="00394D0F">
            <w:pPr>
              <w:jc w:val="right"/>
              <w:rPr>
                <w:color w:val="000000"/>
                <w:sz w:val="24"/>
                <w:szCs w:val="24"/>
              </w:rPr>
            </w:pPr>
            <w:r>
              <w:rPr>
                <w:color w:val="000000"/>
              </w:rPr>
              <w:t>753</w:t>
            </w:r>
          </w:p>
        </w:tc>
        <w:tc>
          <w:tcPr>
            <w:tcW w:w="249" w:type="pct"/>
            <w:tcBorders>
              <w:top w:val="nil"/>
              <w:left w:val="double" w:sz="6" w:space="0" w:color="auto"/>
              <w:bottom w:val="single" w:sz="4" w:space="0" w:color="auto"/>
              <w:right w:val="nil"/>
            </w:tcBorders>
            <w:shd w:val="clear" w:color="000000" w:fill="F2DCDB"/>
            <w:vAlign w:val="center"/>
          </w:tcPr>
          <w:p w14:paraId="630664F2" w14:textId="77777777" w:rsidR="00394D0F" w:rsidRDefault="00394D0F">
            <w:pPr>
              <w:jc w:val="right"/>
              <w:rPr>
                <w:color w:val="000000"/>
                <w:sz w:val="24"/>
                <w:szCs w:val="24"/>
              </w:rPr>
            </w:pPr>
            <w:r>
              <w:rPr>
                <w:color w:val="000000"/>
              </w:rPr>
              <w:t>692</w:t>
            </w:r>
          </w:p>
        </w:tc>
        <w:tc>
          <w:tcPr>
            <w:tcW w:w="249" w:type="pct"/>
            <w:tcBorders>
              <w:top w:val="nil"/>
              <w:left w:val="double" w:sz="6" w:space="0" w:color="auto"/>
              <w:bottom w:val="single" w:sz="4" w:space="0" w:color="auto"/>
              <w:right w:val="nil"/>
            </w:tcBorders>
            <w:shd w:val="clear" w:color="000000" w:fill="F2DCDB"/>
            <w:vAlign w:val="center"/>
          </w:tcPr>
          <w:p w14:paraId="075B8490" w14:textId="77777777" w:rsidR="00394D0F" w:rsidRDefault="00394D0F">
            <w:pPr>
              <w:jc w:val="right"/>
              <w:rPr>
                <w:color w:val="000000"/>
                <w:sz w:val="24"/>
                <w:szCs w:val="24"/>
              </w:rPr>
            </w:pPr>
            <w:r>
              <w:rPr>
                <w:color w:val="000000"/>
              </w:rPr>
              <w:t>806</w:t>
            </w:r>
          </w:p>
        </w:tc>
        <w:tc>
          <w:tcPr>
            <w:tcW w:w="222" w:type="pct"/>
            <w:tcBorders>
              <w:top w:val="nil"/>
              <w:left w:val="double" w:sz="6" w:space="0" w:color="auto"/>
              <w:bottom w:val="single" w:sz="4" w:space="0" w:color="auto"/>
              <w:right w:val="nil"/>
            </w:tcBorders>
            <w:shd w:val="clear" w:color="000000" w:fill="F2DCDB"/>
            <w:vAlign w:val="center"/>
          </w:tcPr>
          <w:p w14:paraId="5CF94A53" w14:textId="77777777" w:rsidR="00394D0F" w:rsidRDefault="00394D0F">
            <w:pPr>
              <w:jc w:val="right"/>
              <w:rPr>
                <w:color w:val="000000"/>
                <w:sz w:val="24"/>
                <w:szCs w:val="24"/>
              </w:rPr>
            </w:pPr>
            <w:r>
              <w:rPr>
                <w:color w:val="000000"/>
              </w:rPr>
              <w:t>28</w:t>
            </w:r>
          </w:p>
        </w:tc>
        <w:tc>
          <w:tcPr>
            <w:tcW w:w="228" w:type="pct"/>
            <w:tcBorders>
              <w:top w:val="nil"/>
              <w:left w:val="double" w:sz="6" w:space="0" w:color="auto"/>
              <w:bottom w:val="single" w:sz="4" w:space="0" w:color="auto"/>
              <w:right w:val="nil"/>
            </w:tcBorders>
            <w:shd w:val="clear" w:color="000000" w:fill="F2DCDB"/>
            <w:vAlign w:val="center"/>
          </w:tcPr>
          <w:p w14:paraId="62A52CF7" w14:textId="77777777" w:rsidR="00394D0F" w:rsidRDefault="00394D0F">
            <w:pPr>
              <w:jc w:val="right"/>
              <w:rPr>
                <w:color w:val="000000"/>
                <w:sz w:val="24"/>
                <w:szCs w:val="24"/>
              </w:rPr>
            </w:pPr>
            <w:r>
              <w:rPr>
                <w:color w:val="000000"/>
              </w:rPr>
              <w:t>55</w:t>
            </w:r>
          </w:p>
        </w:tc>
        <w:tc>
          <w:tcPr>
            <w:tcW w:w="291" w:type="pct"/>
            <w:tcBorders>
              <w:top w:val="nil"/>
              <w:left w:val="double" w:sz="6" w:space="0" w:color="auto"/>
              <w:bottom w:val="single" w:sz="4" w:space="0" w:color="auto"/>
              <w:right w:val="nil"/>
            </w:tcBorders>
            <w:shd w:val="clear" w:color="000000" w:fill="F2DCDB"/>
            <w:vAlign w:val="center"/>
          </w:tcPr>
          <w:p w14:paraId="75BADF43" w14:textId="77777777" w:rsidR="00394D0F" w:rsidRDefault="00394D0F">
            <w:pPr>
              <w:jc w:val="right"/>
              <w:rPr>
                <w:color w:val="000000"/>
                <w:sz w:val="24"/>
                <w:szCs w:val="24"/>
              </w:rPr>
            </w:pPr>
            <w:r>
              <w:rPr>
                <w:color w:val="000000"/>
              </w:rPr>
              <w:t>10</w:t>
            </w:r>
          </w:p>
        </w:tc>
        <w:tc>
          <w:tcPr>
            <w:tcW w:w="299" w:type="pct"/>
            <w:tcBorders>
              <w:top w:val="nil"/>
              <w:left w:val="double" w:sz="6" w:space="0" w:color="auto"/>
              <w:bottom w:val="single" w:sz="4" w:space="0" w:color="auto"/>
              <w:right w:val="nil"/>
            </w:tcBorders>
            <w:shd w:val="clear" w:color="000000" w:fill="F2DCDB"/>
            <w:vAlign w:val="center"/>
          </w:tcPr>
          <w:p w14:paraId="1D13FDE2" w14:textId="77777777" w:rsidR="00394D0F" w:rsidRDefault="00394D0F">
            <w:pPr>
              <w:jc w:val="right"/>
              <w:rPr>
                <w:color w:val="000000"/>
                <w:sz w:val="24"/>
                <w:szCs w:val="24"/>
              </w:rPr>
            </w:pPr>
            <w:r>
              <w:rPr>
                <w:color w:val="000000"/>
              </w:rPr>
              <w:t>28</w:t>
            </w:r>
          </w:p>
        </w:tc>
        <w:tc>
          <w:tcPr>
            <w:tcW w:w="222" w:type="pct"/>
            <w:tcBorders>
              <w:top w:val="nil"/>
              <w:left w:val="double" w:sz="6" w:space="0" w:color="auto"/>
              <w:bottom w:val="single" w:sz="4" w:space="0" w:color="auto"/>
              <w:right w:val="nil"/>
            </w:tcBorders>
            <w:shd w:val="clear" w:color="000000" w:fill="F2DCDB"/>
            <w:vAlign w:val="center"/>
          </w:tcPr>
          <w:p w14:paraId="22FF9A59" w14:textId="77777777" w:rsidR="00394D0F" w:rsidRDefault="00394D0F">
            <w:pPr>
              <w:jc w:val="right"/>
              <w:rPr>
                <w:color w:val="000000"/>
                <w:sz w:val="24"/>
                <w:szCs w:val="24"/>
              </w:rPr>
            </w:pPr>
            <w:r>
              <w:rPr>
                <w:color w:val="000000"/>
              </w:rPr>
              <w:t>39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2D11A9A" w14:textId="77777777" w:rsidR="00394D0F" w:rsidRDefault="00394D0F">
            <w:pPr>
              <w:jc w:val="right"/>
              <w:rPr>
                <w:color w:val="000000"/>
                <w:sz w:val="24"/>
                <w:szCs w:val="24"/>
              </w:rPr>
            </w:pPr>
            <w:r>
              <w:rPr>
                <w:color w:val="000000"/>
              </w:rPr>
              <w:t>48</w:t>
            </w:r>
          </w:p>
        </w:tc>
      </w:tr>
      <w:tr w:rsidR="00394D0F" w:rsidRPr="000A46ED" w14:paraId="4FD1B3E8"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B4F1678" w14:textId="3402FD5F"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reading skills.</w:t>
            </w:r>
          </w:p>
        </w:tc>
        <w:tc>
          <w:tcPr>
            <w:tcW w:w="255" w:type="pct"/>
            <w:tcBorders>
              <w:top w:val="nil"/>
              <w:left w:val="double" w:sz="6" w:space="0" w:color="auto"/>
              <w:bottom w:val="single" w:sz="4" w:space="0" w:color="auto"/>
              <w:right w:val="nil"/>
            </w:tcBorders>
            <w:shd w:val="clear" w:color="000000" w:fill="F2DCDB"/>
            <w:vAlign w:val="center"/>
          </w:tcPr>
          <w:p w14:paraId="741DA1FA" w14:textId="77777777" w:rsidR="00394D0F" w:rsidRDefault="00394D0F">
            <w:pPr>
              <w:jc w:val="right"/>
              <w:rPr>
                <w:color w:val="000000"/>
                <w:sz w:val="24"/>
                <w:szCs w:val="24"/>
              </w:rPr>
            </w:pPr>
            <w:r>
              <w:rPr>
                <w:color w:val="000000"/>
              </w:rPr>
              <w:t>335</w:t>
            </w:r>
          </w:p>
        </w:tc>
        <w:tc>
          <w:tcPr>
            <w:tcW w:w="256" w:type="pct"/>
            <w:tcBorders>
              <w:top w:val="nil"/>
              <w:left w:val="double" w:sz="6" w:space="0" w:color="auto"/>
              <w:bottom w:val="single" w:sz="4" w:space="0" w:color="auto"/>
              <w:right w:val="nil"/>
            </w:tcBorders>
            <w:shd w:val="clear" w:color="000000" w:fill="F2DCDB"/>
            <w:vAlign w:val="center"/>
          </w:tcPr>
          <w:p w14:paraId="2FDBF05A" w14:textId="77777777" w:rsidR="00394D0F" w:rsidRDefault="00394D0F">
            <w:pPr>
              <w:jc w:val="right"/>
              <w:rPr>
                <w:color w:val="000000"/>
                <w:sz w:val="24"/>
                <w:szCs w:val="24"/>
              </w:rPr>
            </w:pPr>
            <w:r>
              <w:rPr>
                <w:color w:val="000000"/>
              </w:rPr>
              <w:t>362</w:t>
            </w:r>
          </w:p>
        </w:tc>
        <w:tc>
          <w:tcPr>
            <w:tcW w:w="249" w:type="pct"/>
            <w:tcBorders>
              <w:top w:val="nil"/>
              <w:left w:val="double" w:sz="6" w:space="0" w:color="auto"/>
              <w:bottom w:val="single" w:sz="4" w:space="0" w:color="auto"/>
              <w:right w:val="nil"/>
            </w:tcBorders>
            <w:shd w:val="clear" w:color="000000" w:fill="F2DCDB"/>
            <w:vAlign w:val="center"/>
          </w:tcPr>
          <w:p w14:paraId="23A08257" w14:textId="77777777" w:rsidR="00394D0F" w:rsidRDefault="00394D0F">
            <w:pPr>
              <w:jc w:val="right"/>
              <w:rPr>
                <w:color w:val="000000"/>
                <w:sz w:val="24"/>
                <w:szCs w:val="24"/>
              </w:rPr>
            </w:pPr>
            <w:r>
              <w:rPr>
                <w:color w:val="000000"/>
              </w:rPr>
              <w:t>807</w:t>
            </w:r>
          </w:p>
        </w:tc>
        <w:tc>
          <w:tcPr>
            <w:tcW w:w="249" w:type="pct"/>
            <w:tcBorders>
              <w:top w:val="nil"/>
              <w:left w:val="double" w:sz="6" w:space="0" w:color="auto"/>
              <w:bottom w:val="single" w:sz="4" w:space="0" w:color="auto"/>
              <w:right w:val="nil"/>
            </w:tcBorders>
            <w:shd w:val="clear" w:color="000000" w:fill="F2DCDB"/>
            <w:vAlign w:val="center"/>
          </w:tcPr>
          <w:p w14:paraId="5FB50EAF" w14:textId="77777777" w:rsidR="00394D0F" w:rsidRDefault="00394D0F">
            <w:pPr>
              <w:jc w:val="right"/>
              <w:rPr>
                <w:color w:val="000000"/>
                <w:sz w:val="24"/>
                <w:szCs w:val="24"/>
              </w:rPr>
            </w:pPr>
            <w:r>
              <w:rPr>
                <w:color w:val="000000"/>
              </w:rPr>
              <w:t>874</w:t>
            </w:r>
          </w:p>
        </w:tc>
        <w:tc>
          <w:tcPr>
            <w:tcW w:w="222" w:type="pct"/>
            <w:tcBorders>
              <w:top w:val="nil"/>
              <w:left w:val="double" w:sz="6" w:space="0" w:color="auto"/>
              <w:bottom w:val="single" w:sz="4" w:space="0" w:color="auto"/>
              <w:right w:val="nil"/>
            </w:tcBorders>
            <w:shd w:val="clear" w:color="000000" w:fill="F2DCDB"/>
            <w:vAlign w:val="center"/>
          </w:tcPr>
          <w:p w14:paraId="40012990" w14:textId="77777777" w:rsidR="00394D0F" w:rsidRDefault="00394D0F">
            <w:pPr>
              <w:jc w:val="right"/>
              <w:rPr>
                <w:color w:val="000000"/>
                <w:sz w:val="24"/>
                <w:szCs w:val="24"/>
              </w:rPr>
            </w:pPr>
            <w:r>
              <w:rPr>
                <w:color w:val="000000"/>
              </w:rPr>
              <w:t>183</w:t>
            </w:r>
          </w:p>
        </w:tc>
        <w:tc>
          <w:tcPr>
            <w:tcW w:w="228" w:type="pct"/>
            <w:tcBorders>
              <w:top w:val="nil"/>
              <w:left w:val="double" w:sz="6" w:space="0" w:color="auto"/>
              <w:bottom w:val="single" w:sz="4" w:space="0" w:color="auto"/>
              <w:right w:val="nil"/>
            </w:tcBorders>
            <w:shd w:val="clear" w:color="000000" w:fill="F2DCDB"/>
            <w:vAlign w:val="center"/>
          </w:tcPr>
          <w:p w14:paraId="07A458ED" w14:textId="77777777" w:rsidR="00394D0F" w:rsidRDefault="00394D0F">
            <w:pPr>
              <w:jc w:val="right"/>
              <w:rPr>
                <w:color w:val="000000"/>
                <w:sz w:val="24"/>
                <w:szCs w:val="24"/>
              </w:rPr>
            </w:pPr>
            <w:r>
              <w:rPr>
                <w:color w:val="000000"/>
              </w:rPr>
              <w:t>228</w:t>
            </w:r>
          </w:p>
        </w:tc>
        <w:tc>
          <w:tcPr>
            <w:tcW w:w="291" w:type="pct"/>
            <w:tcBorders>
              <w:top w:val="nil"/>
              <w:left w:val="double" w:sz="6" w:space="0" w:color="auto"/>
              <w:bottom w:val="single" w:sz="4" w:space="0" w:color="auto"/>
              <w:right w:val="nil"/>
            </w:tcBorders>
            <w:shd w:val="clear" w:color="000000" w:fill="F2DCDB"/>
            <w:vAlign w:val="center"/>
          </w:tcPr>
          <w:p w14:paraId="46F426E2" w14:textId="77777777" w:rsidR="00394D0F" w:rsidRDefault="00394D0F">
            <w:pPr>
              <w:jc w:val="right"/>
              <w:rPr>
                <w:color w:val="000000"/>
                <w:sz w:val="24"/>
                <w:szCs w:val="24"/>
              </w:rPr>
            </w:pPr>
            <w:r>
              <w:rPr>
                <w:color w:val="000000"/>
              </w:rPr>
              <w:t>49</w:t>
            </w:r>
          </w:p>
        </w:tc>
        <w:tc>
          <w:tcPr>
            <w:tcW w:w="299" w:type="pct"/>
            <w:tcBorders>
              <w:top w:val="nil"/>
              <w:left w:val="double" w:sz="6" w:space="0" w:color="auto"/>
              <w:bottom w:val="single" w:sz="4" w:space="0" w:color="auto"/>
              <w:right w:val="nil"/>
            </w:tcBorders>
            <w:shd w:val="clear" w:color="000000" w:fill="F2DCDB"/>
            <w:vAlign w:val="center"/>
          </w:tcPr>
          <w:p w14:paraId="1F847B14" w14:textId="77777777" w:rsidR="00394D0F" w:rsidRDefault="00394D0F">
            <w:pPr>
              <w:jc w:val="right"/>
              <w:rPr>
                <w:color w:val="000000"/>
                <w:sz w:val="24"/>
                <w:szCs w:val="24"/>
              </w:rPr>
            </w:pPr>
            <w:r>
              <w:rPr>
                <w:color w:val="000000"/>
              </w:rPr>
              <w:t>59</w:t>
            </w:r>
          </w:p>
        </w:tc>
        <w:tc>
          <w:tcPr>
            <w:tcW w:w="222" w:type="pct"/>
            <w:tcBorders>
              <w:top w:val="nil"/>
              <w:left w:val="double" w:sz="6" w:space="0" w:color="auto"/>
              <w:bottom w:val="single" w:sz="4" w:space="0" w:color="auto"/>
              <w:right w:val="nil"/>
            </w:tcBorders>
            <w:shd w:val="clear" w:color="000000" w:fill="F2DCDB"/>
            <w:vAlign w:val="center"/>
          </w:tcPr>
          <w:p w14:paraId="387272FA" w14:textId="77777777" w:rsidR="00394D0F" w:rsidRDefault="00394D0F">
            <w:pPr>
              <w:jc w:val="right"/>
              <w:rPr>
                <w:color w:val="000000"/>
                <w:sz w:val="24"/>
                <w:szCs w:val="24"/>
              </w:rPr>
            </w:pPr>
            <w:r>
              <w:rPr>
                <w:color w:val="000000"/>
              </w:rPr>
              <w:t>184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9B1A9F4" w14:textId="77777777" w:rsidR="00394D0F" w:rsidRDefault="00394D0F">
            <w:pPr>
              <w:jc w:val="right"/>
              <w:rPr>
                <w:color w:val="000000"/>
                <w:sz w:val="24"/>
                <w:szCs w:val="24"/>
              </w:rPr>
            </w:pPr>
            <w:r>
              <w:rPr>
                <w:color w:val="000000"/>
              </w:rPr>
              <w:t>168</w:t>
            </w:r>
          </w:p>
        </w:tc>
      </w:tr>
      <w:tr w:rsidR="00394D0F" w:rsidRPr="000A46ED" w14:paraId="778197A1"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AEFA2F3" w14:textId="71BEEC77"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my learning as I get older.</w:t>
            </w:r>
          </w:p>
        </w:tc>
        <w:tc>
          <w:tcPr>
            <w:tcW w:w="255" w:type="pct"/>
            <w:tcBorders>
              <w:top w:val="nil"/>
              <w:left w:val="double" w:sz="6" w:space="0" w:color="auto"/>
              <w:bottom w:val="single" w:sz="4" w:space="0" w:color="auto"/>
              <w:right w:val="nil"/>
            </w:tcBorders>
            <w:shd w:val="clear" w:color="000000" w:fill="F2DCDB"/>
            <w:vAlign w:val="center"/>
          </w:tcPr>
          <w:p w14:paraId="164B0BB0" w14:textId="77777777" w:rsidR="00394D0F" w:rsidRDefault="00394D0F">
            <w:pPr>
              <w:jc w:val="right"/>
              <w:rPr>
                <w:color w:val="000000"/>
                <w:sz w:val="24"/>
                <w:szCs w:val="24"/>
              </w:rPr>
            </w:pPr>
            <w:r>
              <w:rPr>
                <w:color w:val="000000"/>
              </w:rPr>
              <w:t>466</w:t>
            </w:r>
          </w:p>
        </w:tc>
        <w:tc>
          <w:tcPr>
            <w:tcW w:w="256" w:type="pct"/>
            <w:tcBorders>
              <w:top w:val="nil"/>
              <w:left w:val="double" w:sz="6" w:space="0" w:color="auto"/>
              <w:bottom w:val="single" w:sz="4" w:space="0" w:color="auto"/>
              <w:right w:val="nil"/>
            </w:tcBorders>
            <w:shd w:val="clear" w:color="000000" w:fill="F2DCDB"/>
            <w:vAlign w:val="center"/>
          </w:tcPr>
          <w:p w14:paraId="580C1662" w14:textId="77777777" w:rsidR="00394D0F" w:rsidRDefault="00394D0F">
            <w:pPr>
              <w:jc w:val="right"/>
              <w:rPr>
                <w:color w:val="000000"/>
                <w:sz w:val="24"/>
                <w:szCs w:val="24"/>
              </w:rPr>
            </w:pPr>
            <w:r>
              <w:rPr>
                <w:color w:val="000000"/>
              </w:rPr>
              <w:t>468</w:t>
            </w:r>
          </w:p>
        </w:tc>
        <w:tc>
          <w:tcPr>
            <w:tcW w:w="249" w:type="pct"/>
            <w:tcBorders>
              <w:top w:val="nil"/>
              <w:left w:val="double" w:sz="6" w:space="0" w:color="auto"/>
              <w:bottom w:val="single" w:sz="4" w:space="0" w:color="auto"/>
              <w:right w:val="nil"/>
            </w:tcBorders>
            <w:shd w:val="clear" w:color="000000" w:fill="F2DCDB"/>
            <w:vAlign w:val="center"/>
          </w:tcPr>
          <w:p w14:paraId="62C39753" w14:textId="77777777" w:rsidR="00394D0F" w:rsidRDefault="00394D0F">
            <w:pPr>
              <w:jc w:val="right"/>
              <w:rPr>
                <w:color w:val="000000"/>
                <w:sz w:val="24"/>
                <w:szCs w:val="24"/>
              </w:rPr>
            </w:pPr>
            <w:r>
              <w:rPr>
                <w:color w:val="000000"/>
              </w:rPr>
              <w:t>795</w:t>
            </w:r>
          </w:p>
        </w:tc>
        <w:tc>
          <w:tcPr>
            <w:tcW w:w="249" w:type="pct"/>
            <w:tcBorders>
              <w:top w:val="nil"/>
              <w:left w:val="double" w:sz="6" w:space="0" w:color="auto"/>
              <w:bottom w:val="single" w:sz="4" w:space="0" w:color="auto"/>
              <w:right w:val="nil"/>
            </w:tcBorders>
            <w:shd w:val="clear" w:color="000000" w:fill="F2DCDB"/>
            <w:vAlign w:val="center"/>
          </w:tcPr>
          <w:p w14:paraId="0491304F" w14:textId="77777777" w:rsidR="00394D0F" w:rsidRDefault="00394D0F">
            <w:pPr>
              <w:jc w:val="right"/>
              <w:rPr>
                <w:color w:val="000000"/>
                <w:sz w:val="24"/>
                <w:szCs w:val="24"/>
              </w:rPr>
            </w:pPr>
            <w:r>
              <w:rPr>
                <w:color w:val="000000"/>
              </w:rPr>
              <w:t>876</w:t>
            </w:r>
          </w:p>
        </w:tc>
        <w:tc>
          <w:tcPr>
            <w:tcW w:w="222" w:type="pct"/>
            <w:tcBorders>
              <w:top w:val="nil"/>
              <w:left w:val="double" w:sz="6" w:space="0" w:color="auto"/>
              <w:bottom w:val="single" w:sz="4" w:space="0" w:color="auto"/>
              <w:right w:val="nil"/>
            </w:tcBorders>
            <w:shd w:val="clear" w:color="000000" w:fill="F2DCDB"/>
            <w:vAlign w:val="center"/>
          </w:tcPr>
          <w:p w14:paraId="50F7026B" w14:textId="77777777" w:rsidR="00394D0F" w:rsidRDefault="00394D0F">
            <w:pPr>
              <w:jc w:val="right"/>
              <w:rPr>
                <w:color w:val="000000"/>
                <w:sz w:val="24"/>
                <w:szCs w:val="24"/>
              </w:rPr>
            </w:pPr>
            <w:r>
              <w:rPr>
                <w:color w:val="000000"/>
              </w:rPr>
              <w:t>115</w:t>
            </w:r>
          </w:p>
        </w:tc>
        <w:tc>
          <w:tcPr>
            <w:tcW w:w="228" w:type="pct"/>
            <w:tcBorders>
              <w:top w:val="nil"/>
              <w:left w:val="double" w:sz="6" w:space="0" w:color="auto"/>
              <w:bottom w:val="single" w:sz="4" w:space="0" w:color="auto"/>
              <w:right w:val="nil"/>
            </w:tcBorders>
            <w:shd w:val="clear" w:color="000000" w:fill="F2DCDB"/>
            <w:vAlign w:val="center"/>
          </w:tcPr>
          <w:p w14:paraId="2F2493CC" w14:textId="77777777" w:rsidR="00394D0F" w:rsidRDefault="00394D0F">
            <w:pPr>
              <w:jc w:val="right"/>
              <w:rPr>
                <w:color w:val="000000"/>
                <w:sz w:val="24"/>
                <w:szCs w:val="24"/>
              </w:rPr>
            </w:pPr>
            <w:r>
              <w:rPr>
                <w:color w:val="000000"/>
              </w:rPr>
              <w:t>171</w:t>
            </w:r>
          </w:p>
        </w:tc>
        <w:tc>
          <w:tcPr>
            <w:tcW w:w="291" w:type="pct"/>
            <w:tcBorders>
              <w:top w:val="nil"/>
              <w:left w:val="double" w:sz="6" w:space="0" w:color="auto"/>
              <w:bottom w:val="single" w:sz="4" w:space="0" w:color="auto"/>
              <w:right w:val="nil"/>
            </w:tcBorders>
            <w:shd w:val="clear" w:color="000000" w:fill="F2DCDB"/>
            <w:vAlign w:val="center"/>
          </w:tcPr>
          <w:p w14:paraId="2946B32E" w14:textId="77777777" w:rsidR="00394D0F" w:rsidRDefault="00394D0F">
            <w:pPr>
              <w:jc w:val="right"/>
              <w:rPr>
                <w:color w:val="000000"/>
                <w:sz w:val="24"/>
                <w:szCs w:val="24"/>
              </w:rPr>
            </w:pPr>
            <w:r>
              <w:rPr>
                <w:color w:val="000000"/>
              </w:rPr>
              <w:t>30</w:t>
            </w:r>
          </w:p>
        </w:tc>
        <w:tc>
          <w:tcPr>
            <w:tcW w:w="299" w:type="pct"/>
            <w:tcBorders>
              <w:top w:val="nil"/>
              <w:left w:val="double" w:sz="6" w:space="0" w:color="auto"/>
              <w:bottom w:val="single" w:sz="4" w:space="0" w:color="auto"/>
              <w:right w:val="nil"/>
            </w:tcBorders>
            <w:shd w:val="clear" w:color="000000" w:fill="F2DCDB"/>
            <w:vAlign w:val="center"/>
          </w:tcPr>
          <w:p w14:paraId="1854BCC9" w14:textId="77777777" w:rsidR="00394D0F" w:rsidRDefault="00394D0F">
            <w:pPr>
              <w:jc w:val="right"/>
              <w:rPr>
                <w:color w:val="000000"/>
                <w:sz w:val="24"/>
                <w:szCs w:val="24"/>
              </w:rPr>
            </w:pPr>
            <w:r>
              <w:rPr>
                <w:color w:val="000000"/>
              </w:rPr>
              <w:t>46</w:t>
            </w:r>
          </w:p>
        </w:tc>
        <w:tc>
          <w:tcPr>
            <w:tcW w:w="222" w:type="pct"/>
            <w:tcBorders>
              <w:top w:val="nil"/>
              <w:left w:val="double" w:sz="6" w:space="0" w:color="auto"/>
              <w:bottom w:val="single" w:sz="4" w:space="0" w:color="auto"/>
              <w:right w:val="nil"/>
            </w:tcBorders>
            <w:shd w:val="clear" w:color="000000" w:fill="F2DCDB"/>
            <w:vAlign w:val="center"/>
          </w:tcPr>
          <w:p w14:paraId="05DB3308" w14:textId="77777777" w:rsidR="00394D0F" w:rsidRDefault="00394D0F">
            <w:pPr>
              <w:jc w:val="right"/>
              <w:rPr>
                <w:color w:val="000000"/>
                <w:sz w:val="24"/>
                <w:szCs w:val="24"/>
              </w:rPr>
            </w:pPr>
            <w:r>
              <w:rPr>
                <w:color w:val="000000"/>
              </w:rPr>
              <w:t>150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5415C60" w14:textId="77777777" w:rsidR="00394D0F" w:rsidRDefault="00394D0F">
            <w:pPr>
              <w:jc w:val="right"/>
              <w:rPr>
                <w:color w:val="000000"/>
                <w:sz w:val="24"/>
                <w:szCs w:val="24"/>
              </w:rPr>
            </w:pPr>
            <w:r>
              <w:rPr>
                <w:color w:val="000000"/>
              </w:rPr>
              <w:t>128</w:t>
            </w:r>
          </w:p>
        </w:tc>
      </w:tr>
      <w:tr w:rsidR="00394D0F" w:rsidRPr="000A46ED" w14:paraId="48A1C21A"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1A2E3A4" w14:textId="448291F5"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 My teacher expects more of me in reading as I get older.</w:t>
            </w:r>
          </w:p>
        </w:tc>
        <w:tc>
          <w:tcPr>
            <w:tcW w:w="255" w:type="pct"/>
            <w:tcBorders>
              <w:top w:val="nil"/>
              <w:left w:val="double" w:sz="6" w:space="0" w:color="auto"/>
              <w:bottom w:val="single" w:sz="4" w:space="0" w:color="auto"/>
              <w:right w:val="nil"/>
            </w:tcBorders>
            <w:shd w:val="clear" w:color="000000" w:fill="F2DCDB"/>
            <w:vAlign w:val="center"/>
          </w:tcPr>
          <w:p w14:paraId="2103D0A3" w14:textId="77777777" w:rsidR="00394D0F" w:rsidRDefault="00394D0F">
            <w:pPr>
              <w:jc w:val="right"/>
              <w:rPr>
                <w:color w:val="000000"/>
                <w:sz w:val="24"/>
                <w:szCs w:val="24"/>
              </w:rPr>
            </w:pPr>
            <w:r>
              <w:rPr>
                <w:color w:val="000000"/>
              </w:rPr>
              <w:t>492</w:t>
            </w:r>
          </w:p>
        </w:tc>
        <w:tc>
          <w:tcPr>
            <w:tcW w:w="256" w:type="pct"/>
            <w:tcBorders>
              <w:top w:val="nil"/>
              <w:left w:val="double" w:sz="6" w:space="0" w:color="auto"/>
              <w:bottom w:val="single" w:sz="4" w:space="0" w:color="auto"/>
              <w:right w:val="nil"/>
            </w:tcBorders>
            <w:shd w:val="clear" w:color="000000" w:fill="F2DCDB"/>
            <w:vAlign w:val="center"/>
          </w:tcPr>
          <w:p w14:paraId="2A67D0B0" w14:textId="77777777" w:rsidR="00394D0F" w:rsidRDefault="00394D0F">
            <w:pPr>
              <w:jc w:val="right"/>
              <w:rPr>
                <w:color w:val="000000"/>
                <w:sz w:val="24"/>
                <w:szCs w:val="24"/>
              </w:rPr>
            </w:pPr>
            <w:r>
              <w:rPr>
                <w:color w:val="000000"/>
              </w:rPr>
              <w:t>534</w:t>
            </w:r>
          </w:p>
        </w:tc>
        <w:tc>
          <w:tcPr>
            <w:tcW w:w="249" w:type="pct"/>
            <w:tcBorders>
              <w:top w:val="nil"/>
              <w:left w:val="double" w:sz="6" w:space="0" w:color="auto"/>
              <w:bottom w:val="single" w:sz="4" w:space="0" w:color="auto"/>
              <w:right w:val="nil"/>
            </w:tcBorders>
            <w:shd w:val="clear" w:color="000000" w:fill="F2DCDB"/>
            <w:vAlign w:val="center"/>
          </w:tcPr>
          <w:p w14:paraId="6BBDB0C0" w14:textId="77777777" w:rsidR="00394D0F" w:rsidRDefault="00394D0F">
            <w:pPr>
              <w:jc w:val="right"/>
              <w:rPr>
                <w:color w:val="000000"/>
                <w:sz w:val="24"/>
                <w:szCs w:val="24"/>
              </w:rPr>
            </w:pPr>
            <w:r>
              <w:rPr>
                <w:color w:val="000000"/>
              </w:rPr>
              <w:t>705</w:t>
            </w:r>
          </w:p>
        </w:tc>
        <w:tc>
          <w:tcPr>
            <w:tcW w:w="249" w:type="pct"/>
            <w:tcBorders>
              <w:top w:val="nil"/>
              <w:left w:val="double" w:sz="6" w:space="0" w:color="auto"/>
              <w:bottom w:val="single" w:sz="4" w:space="0" w:color="auto"/>
              <w:right w:val="nil"/>
            </w:tcBorders>
            <w:shd w:val="clear" w:color="000000" w:fill="F2DCDB"/>
            <w:vAlign w:val="center"/>
          </w:tcPr>
          <w:p w14:paraId="67329428" w14:textId="77777777" w:rsidR="00394D0F" w:rsidRDefault="00394D0F">
            <w:pPr>
              <w:jc w:val="right"/>
              <w:rPr>
                <w:color w:val="000000"/>
                <w:sz w:val="24"/>
                <w:szCs w:val="24"/>
              </w:rPr>
            </w:pPr>
            <w:r>
              <w:rPr>
                <w:color w:val="000000"/>
              </w:rPr>
              <w:t>814</w:t>
            </w:r>
          </w:p>
        </w:tc>
        <w:tc>
          <w:tcPr>
            <w:tcW w:w="222" w:type="pct"/>
            <w:tcBorders>
              <w:top w:val="nil"/>
              <w:left w:val="double" w:sz="6" w:space="0" w:color="auto"/>
              <w:bottom w:val="single" w:sz="4" w:space="0" w:color="auto"/>
              <w:right w:val="nil"/>
            </w:tcBorders>
            <w:shd w:val="clear" w:color="000000" w:fill="F2DCDB"/>
            <w:vAlign w:val="center"/>
          </w:tcPr>
          <w:p w14:paraId="1A6ABDA4" w14:textId="77777777" w:rsidR="00394D0F" w:rsidRDefault="00394D0F">
            <w:pPr>
              <w:jc w:val="right"/>
              <w:rPr>
                <w:color w:val="000000"/>
                <w:sz w:val="24"/>
                <w:szCs w:val="24"/>
              </w:rPr>
            </w:pPr>
            <w:r>
              <w:rPr>
                <w:color w:val="000000"/>
              </w:rPr>
              <w:t>107</w:t>
            </w:r>
          </w:p>
        </w:tc>
        <w:tc>
          <w:tcPr>
            <w:tcW w:w="228" w:type="pct"/>
            <w:tcBorders>
              <w:top w:val="nil"/>
              <w:left w:val="double" w:sz="6" w:space="0" w:color="auto"/>
              <w:bottom w:val="single" w:sz="4" w:space="0" w:color="auto"/>
              <w:right w:val="nil"/>
            </w:tcBorders>
            <w:shd w:val="clear" w:color="000000" w:fill="F2DCDB"/>
            <w:vAlign w:val="center"/>
          </w:tcPr>
          <w:p w14:paraId="0BFA00C4" w14:textId="77777777" w:rsidR="00394D0F" w:rsidRDefault="00394D0F">
            <w:pPr>
              <w:jc w:val="right"/>
              <w:rPr>
                <w:color w:val="000000"/>
                <w:sz w:val="24"/>
                <w:szCs w:val="24"/>
              </w:rPr>
            </w:pPr>
            <w:r>
              <w:rPr>
                <w:color w:val="000000"/>
              </w:rPr>
              <w:t>99</w:t>
            </w:r>
          </w:p>
        </w:tc>
        <w:tc>
          <w:tcPr>
            <w:tcW w:w="291" w:type="pct"/>
            <w:tcBorders>
              <w:top w:val="nil"/>
              <w:left w:val="double" w:sz="6" w:space="0" w:color="auto"/>
              <w:bottom w:val="single" w:sz="4" w:space="0" w:color="auto"/>
              <w:right w:val="nil"/>
            </w:tcBorders>
            <w:shd w:val="clear" w:color="000000" w:fill="F2DCDB"/>
            <w:vAlign w:val="center"/>
          </w:tcPr>
          <w:p w14:paraId="10FC1DEC" w14:textId="77777777" w:rsidR="00394D0F" w:rsidRDefault="00394D0F">
            <w:pPr>
              <w:jc w:val="right"/>
              <w:rPr>
                <w:color w:val="000000"/>
                <w:sz w:val="24"/>
                <w:szCs w:val="24"/>
              </w:rPr>
            </w:pPr>
            <w:r>
              <w:rPr>
                <w:color w:val="000000"/>
              </w:rPr>
              <w:t>31</w:t>
            </w:r>
          </w:p>
        </w:tc>
        <w:tc>
          <w:tcPr>
            <w:tcW w:w="299" w:type="pct"/>
            <w:tcBorders>
              <w:top w:val="nil"/>
              <w:left w:val="double" w:sz="6" w:space="0" w:color="auto"/>
              <w:bottom w:val="single" w:sz="4" w:space="0" w:color="auto"/>
              <w:right w:val="nil"/>
            </w:tcBorders>
            <w:shd w:val="clear" w:color="000000" w:fill="F2DCDB"/>
            <w:vAlign w:val="center"/>
          </w:tcPr>
          <w:p w14:paraId="33149B7C" w14:textId="77777777" w:rsidR="00394D0F" w:rsidRDefault="00394D0F">
            <w:pPr>
              <w:jc w:val="right"/>
              <w:rPr>
                <w:color w:val="000000"/>
                <w:sz w:val="24"/>
                <w:szCs w:val="24"/>
              </w:rPr>
            </w:pPr>
            <w:r>
              <w:rPr>
                <w:color w:val="000000"/>
              </w:rPr>
              <w:t>35</w:t>
            </w:r>
          </w:p>
        </w:tc>
        <w:tc>
          <w:tcPr>
            <w:tcW w:w="222" w:type="pct"/>
            <w:tcBorders>
              <w:top w:val="nil"/>
              <w:left w:val="double" w:sz="6" w:space="0" w:color="auto"/>
              <w:bottom w:val="single" w:sz="4" w:space="0" w:color="auto"/>
              <w:right w:val="nil"/>
            </w:tcBorders>
            <w:shd w:val="clear" w:color="000000" w:fill="F2DCDB"/>
            <w:vAlign w:val="center"/>
          </w:tcPr>
          <w:p w14:paraId="389DB917" w14:textId="77777777" w:rsidR="00394D0F" w:rsidRDefault="00394D0F">
            <w:pPr>
              <w:jc w:val="right"/>
              <w:rPr>
                <w:color w:val="000000"/>
                <w:sz w:val="24"/>
                <w:szCs w:val="24"/>
              </w:rPr>
            </w:pPr>
            <w:r>
              <w:rPr>
                <w:color w:val="000000"/>
              </w:rPr>
              <w:t>224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5D2876B" w14:textId="77777777" w:rsidR="00394D0F" w:rsidRDefault="00394D0F">
            <w:pPr>
              <w:jc w:val="right"/>
              <w:rPr>
                <w:color w:val="000000"/>
                <w:sz w:val="24"/>
                <w:szCs w:val="24"/>
              </w:rPr>
            </w:pPr>
            <w:r>
              <w:rPr>
                <w:color w:val="000000"/>
              </w:rPr>
              <w:t>209</w:t>
            </w:r>
          </w:p>
        </w:tc>
      </w:tr>
      <w:tr w:rsidR="00394D0F" w:rsidRPr="000A46ED" w14:paraId="4F529738"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0A03C10" w14:textId="60264017"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 My teacher tells me what I am learning in reading and why.</w:t>
            </w:r>
          </w:p>
        </w:tc>
        <w:tc>
          <w:tcPr>
            <w:tcW w:w="255" w:type="pct"/>
            <w:tcBorders>
              <w:top w:val="nil"/>
              <w:left w:val="double" w:sz="6" w:space="0" w:color="auto"/>
              <w:bottom w:val="single" w:sz="4" w:space="0" w:color="auto"/>
              <w:right w:val="nil"/>
            </w:tcBorders>
            <w:shd w:val="clear" w:color="000000" w:fill="F2DCDB"/>
            <w:vAlign w:val="center"/>
          </w:tcPr>
          <w:p w14:paraId="1E2CD269" w14:textId="77777777" w:rsidR="00394D0F" w:rsidRDefault="00394D0F">
            <w:pPr>
              <w:jc w:val="right"/>
              <w:rPr>
                <w:color w:val="000000"/>
                <w:sz w:val="24"/>
                <w:szCs w:val="24"/>
              </w:rPr>
            </w:pPr>
            <w:r>
              <w:rPr>
                <w:color w:val="000000"/>
              </w:rPr>
              <w:t>359</w:t>
            </w:r>
          </w:p>
        </w:tc>
        <w:tc>
          <w:tcPr>
            <w:tcW w:w="256" w:type="pct"/>
            <w:tcBorders>
              <w:top w:val="nil"/>
              <w:left w:val="double" w:sz="6" w:space="0" w:color="auto"/>
              <w:bottom w:val="single" w:sz="4" w:space="0" w:color="auto"/>
              <w:right w:val="nil"/>
            </w:tcBorders>
            <w:shd w:val="clear" w:color="000000" w:fill="F2DCDB"/>
            <w:vAlign w:val="center"/>
          </w:tcPr>
          <w:p w14:paraId="3890BA26" w14:textId="77777777" w:rsidR="00394D0F" w:rsidRDefault="00394D0F">
            <w:pPr>
              <w:jc w:val="right"/>
              <w:rPr>
                <w:color w:val="000000"/>
                <w:sz w:val="24"/>
                <w:szCs w:val="24"/>
              </w:rPr>
            </w:pPr>
            <w:r>
              <w:rPr>
                <w:color w:val="000000"/>
              </w:rPr>
              <w:t>359</w:t>
            </w:r>
          </w:p>
        </w:tc>
        <w:tc>
          <w:tcPr>
            <w:tcW w:w="249" w:type="pct"/>
            <w:tcBorders>
              <w:top w:val="nil"/>
              <w:left w:val="double" w:sz="6" w:space="0" w:color="auto"/>
              <w:bottom w:val="single" w:sz="4" w:space="0" w:color="auto"/>
              <w:right w:val="nil"/>
            </w:tcBorders>
            <w:shd w:val="clear" w:color="000000" w:fill="F2DCDB"/>
            <w:vAlign w:val="center"/>
          </w:tcPr>
          <w:p w14:paraId="23420508" w14:textId="77777777" w:rsidR="00394D0F" w:rsidRDefault="00394D0F">
            <w:pPr>
              <w:jc w:val="right"/>
              <w:rPr>
                <w:color w:val="000000"/>
                <w:sz w:val="24"/>
                <w:szCs w:val="24"/>
              </w:rPr>
            </w:pPr>
            <w:r>
              <w:rPr>
                <w:color w:val="000000"/>
              </w:rPr>
              <w:t>779</w:t>
            </w:r>
          </w:p>
        </w:tc>
        <w:tc>
          <w:tcPr>
            <w:tcW w:w="249" w:type="pct"/>
            <w:tcBorders>
              <w:top w:val="nil"/>
              <w:left w:val="double" w:sz="6" w:space="0" w:color="auto"/>
              <w:bottom w:val="single" w:sz="4" w:space="0" w:color="auto"/>
              <w:right w:val="nil"/>
            </w:tcBorders>
            <w:shd w:val="clear" w:color="000000" w:fill="F2DCDB"/>
            <w:vAlign w:val="center"/>
          </w:tcPr>
          <w:p w14:paraId="36C7CF23" w14:textId="77777777" w:rsidR="00394D0F" w:rsidRDefault="00394D0F">
            <w:pPr>
              <w:jc w:val="right"/>
              <w:rPr>
                <w:color w:val="000000"/>
                <w:sz w:val="24"/>
                <w:szCs w:val="24"/>
              </w:rPr>
            </w:pPr>
            <w:r>
              <w:rPr>
                <w:color w:val="000000"/>
              </w:rPr>
              <w:t>864</w:t>
            </w:r>
          </w:p>
        </w:tc>
        <w:tc>
          <w:tcPr>
            <w:tcW w:w="222" w:type="pct"/>
            <w:tcBorders>
              <w:top w:val="nil"/>
              <w:left w:val="double" w:sz="6" w:space="0" w:color="auto"/>
              <w:bottom w:val="single" w:sz="4" w:space="0" w:color="auto"/>
              <w:right w:val="nil"/>
            </w:tcBorders>
            <w:shd w:val="clear" w:color="000000" w:fill="F2DCDB"/>
            <w:vAlign w:val="center"/>
          </w:tcPr>
          <w:p w14:paraId="2A623347" w14:textId="77777777" w:rsidR="00394D0F" w:rsidRDefault="00394D0F">
            <w:pPr>
              <w:jc w:val="right"/>
              <w:rPr>
                <w:color w:val="000000"/>
                <w:sz w:val="24"/>
                <w:szCs w:val="24"/>
              </w:rPr>
            </w:pPr>
            <w:r>
              <w:rPr>
                <w:color w:val="000000"/>
              </w:rPr>
              <w:t>219</w:t>
            </w:r>
          </w:p>
        </w:tc>
        <w:tc>
          <w:tcPr>
            <w:tcW w:w="228" w:type="pct"/>
            <w:tcBorders>
              <w:top w:val="nil"/>
              <w:left w:val="double" w:sz="6" w:space="0" w:color="auto"/>
              <w:bottom w:val="single" w:sz="4" w:space="0" w:color="auto"/>
              <w:right w:val="nil"/>
            </w:tcBorders>
            <w:shd w:val="clear" w:color="000000" w:fill="F2DCDB"/>
            <w:vAlign w:val="center"/>
          </w:tcPr>
          <w:p w14:paraId="1456022A" w14:textId="77777777" w:rsidR="00394D0F" w:rsidRDefault="00394D0F">
            <w:pPr>
              <w:jc w:val="right"/>
              <w:rPr>
                <w:color w:val="000000"/>
                <w:sz w:val="24"/>
                <w:szCs w:val="24"/>
              </w:rPr>
            </w:pPr>
            <w:r>
              <w:rPr>
                <w:color w:val="000000"/>
              </w:rPr>
              <w:t>247</w:t>
            </w:r>
          </w:p>
        </w:tc>
        <w:tc>
          <w:tcPr>
            <w:tcW w:w="291" w:type="pct"/>
            <w:tcBorders>
              <w:top w:val="nil"/>
              <w:left w:val="double" w:sz="6" w:space="0" w:color="auto"/>
              <w:bottom w:val="single" w:sz="4" w:space="0" w:color="auto"/>
              <w:right w:val="nil"/>
            </w:tcBorders>
            <w:shd w:val="clear" w:color="000000" w:fill="F2DCDB"/>
            <w:vAlign w:val="center"/>
          </w:tcPr>
          <w:p w14:paraId="429DB0CB" w14:textId="77777777" w:rsidR="00394D0F" w:rsidRDefault="00394D0F">
            <w:pPr>
              <w:jc w:val="right"/>
              <w:rPr>
                <w:color w:val="000000"/>
                <w:sz w:val="24"/>
                <w:szCs w:val="24"/>
              </w:rPr>
            </w:pPr>
            <w:r>
              <w:rPr>
                <w:color w:val="000000"/>
              </w:rPr>
              <w:t>51</w:t>
            </w:r>
          </w:p>
        </w:tc>
        <w:tc>
          <w:tcPr>
            <w:tcW w:w="299" w:type="pct"/>
            <w:tcBorders>
              <w:top w:val="nil"/>
              <w:left w:val="double" w:sz="6" w:space="0" w:color="auto"/>
              <w:bottom w:val="single" w:sz="4" w:space="0" w:color="auto"/>
              <w:right w:val="nil"/>
            </w:tcBorders>
            <w:shd w:val="clear" w:color="000000" w:fill="F2DCDB"/>
            <w:vAlign w:val="center"/>
          </w:tcPr>
          <w:p w14:paraId="369423AE" w14:textId="77777777" w:rsidR="00394D0F" w:rsidRDefault="00394D0F">
            <w:pPr>
              <w:jc w:val="right"/>
              <w:rPr>
                <w:color w:val="000000"/>
                <w:sz w:val="24"/>
                <w:szCs w:val="24"/>
              </w:rPr>
            </w:pPr>
            <w:r>
              <w:rPr>
                <w:color w:val="000000"/>
              </w:rPr>
              <w:t>76</w:t>
            </w:r>
          </w:p>
        </w:tc>
        <w:tc>
          <w:tcPr>
            <w:tcW w:w="222" w:type="pct"/>
            <w:tcBorders>
              <w:top w:val="nil"/>
              <w:left w:val="double" w:sz="6" w:space="0" w:color="auto"/>
              <w:bottom w:val="single" w:sz="4" w:space="0" w:color="auto"/>
              <w:right w:val="nil"/>
            </w:tcBorders>
            <w:shd w:val="clear" w:color="000000" w:fill="F2DCDB"/>
            <w:vAlign w:val="center"/>
          </w:tcPr>
          <w:p w14:paraId="6C298C12" w14:textId="77777777" w:rsidR="00394D0F" w:rsidRDefault="00394D0F">
            <w:pPr>
              <w:jc w:val="right"/>
              <w:rPr>
                <w:color w:val="000000"/>
                <w:sz w:val="24"/>
                <w:szCs w:val="24"/>
              </w:rPr>
            </w:pPr>
            <w:r>
              <w:rPr>
                <w:color w:val="000000"/>
              </w:rPr>
              <w:t>151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0EF81C8" w14:textId="77777777" w:rsidR="00394D0F" w:rsidRDefault="00394D0F">
            <w:pPr>
              <w:jc w:val="right"/>
              <w:rPr>
                <w:color w:val="000000"/>
                <w:sz w:val="24"/>
                <w:szCs w:val="24"/>
              </w:rPr>
            </w:pPr>
            <w:r>
              <w:rPr>
                <w:color w:val="000000"/>
              </w:rPr>
              <w:t>143</w:t>
            </w:r>
          </w:p>
        </w:tc>
      </w:tr>
      <w:tr w:rsidR="00394D0F" w:rsidRPr="000A46ED" w14:paraId="0034BF13"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E8016B6" w14:textId="36759543"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 The activities my teachers use in reading help me learn.</w:t>
            </w:r>
          </w:p>
        </w:tc>
        <w:tc>
          <w:tcPr>
            <w:tcW w:w="255" w:type="pct"/>
            <w:tcBorders>
              <w:top w:val="nil"/>
              <w:left w:val="double" w:sz="6" w:space="0" w:color="auto"/>
              <w:bottom w:val="single" w:sz="4" w:space="0" w:color="auto"/>
              <w:right w:val="nil"/>
            </w:tcBorders>
            <w:shd w:val="clear" w:color="000000" w:fill="F2DCDB"/>
            <w:vAlign w:val="center"/>
          </w:tcPr>
          <w:p w14:paraId="02F41605" w14:textId="77777777" w:rsidR="00394D0F" w:rsidRDefault="00394D0F">
            <w:pPr>
              <w:jc w:val="right"/>
              <w:rPr>
                <w:color w:val="000000"/>
                <w:sz w:val="24"/>
                <w:szCs w:val="24"/>
              </w:rPr>
            </w:pPr>
            <w:r>
              <w:rPr>
                <w:color w:val="000000"/>
              </w:rPr>
              <w:t>391</w:t>
            </w:r>
          </w:p>
        </w:tc>
        <w:tc>
          <w:tcPr>
            <w:tcW w:w="256" w:type="pct"/>
            <w:tcBorders>
              <w:top w:val="nil"/>
              <w:left w:val="double" w:sz="6" w:space="0" w:color="auto"/>
              <w:bottom w:val="single" w:sz="4" w:space="0" w:color="auto"/>
              <w:right w:val="nil"/>
            </w:tcBorders>
            <w:shd w:val="clear" w:color="000000" w:fill="F2DCDB"/>
            <w:vAlign w:val="center"/>
          </w:tcPr>
          <w:p w14:paraId="68FD5F62" w14:textId="77777777" w:rsidR="00394D0F" w:rsidRDefault="00394D0F">
            <w:pPr>
              <w:jc w:val="right"/>
              <w:rPr>
                <w:color w:val="000000"/>
                <w:sz w:val="24"/>
                <w:szCs w:val="24"/>
              </w:rPr>
            </w:pPr>
            <w:r>
              <w:rPr>
                <w:color w:val="000000"/>
              </w:rPr>
              <w:t>381</w:t>
            </w:r>
          </w:p>
        </w:tc>
        <w:tc>
          <w:tcPr>
            <w:tcW w:w="249" w:type="pct"/>
            <w:tcBorders>
              <w:top w:val="nil"/>
              <w:left w:val="double" w:sz="6" w:space="0" w:color="auto"/>
              <w:bottom w:val="single" w:sz="4" w:space="0" w:color="auto"/>
              <w:right w:val="nil"/>
            </w:tcBorders>
            <w:shd w:val="clear" w:color="000000" w:fill="F2DCDB"/>
            <w:vAlign w:val="center"/>
          </w:tcPr>
          <w:p w14:paraId="5B411AD4" w14:textId="77777777" w:rsidR="00394D0F" w:rsidRDefault="00394D0F">
            <w:pPr>
              <w:jc w:val="right"/>
              <w:rPr>
                <w:color w:val="000000"/>
                <w:sz w:val="24"/>
                <w:szCs w:val="24"/>
              </w:rPr>
            </w:pPr>
            <w:r>
              <w:rPr>
                <w:color w:val="000000"/>
              </w:rPr>
              <w:t>800</w:t>
            </w:r>
          </w:p>
        </w:tc>
        <w:tc>
          <w:tcPr>
            <w:tcW w:w="249" w:type="pct"/>
            <w:tcBorders>
              <w:top w:val="nil"/>
              <w:left w:val="double" w:sz="6" w:space="0" w:color="auto"/>
              <w:bottom w:val="single" w:sz="4" w:space="0" w:color="auto"/>
              <w:right w:val="nil"/>
            </w:tcBorders>
            <w:shd w:val="clear" w:color="000000" w:fill="F2DCDB"/>
            <w:vAlign w:val="center"/>
          </w:tcPr>
          <w:p w14:paraId="6BAF1AE5" w14:textId="77777777" w:rsidR="00394D0F" w:rsidRDefault="00394D0F">
            <w:pPr>
              <w:jc w:val="right"/>
              <w:rPr>
                <w:color w:val="000000"/>
                <w:sz w:val="24"/>
                <w:szCs w:val="24"/>
              </w:rPr>
            </w:pPr>
            <w:r>
              <w:rPr>
                <w:color w:val="000000"/>
              </w:rPr>
              <w:t>898</w:t>
            </w:r>
          </w:p>
        </w:tc>
        <w:tc>
          <w:tcPr>
            <w:tcW w:w="222" w:type="pct"/>
            <w:tcBorders>
              <w:top w:val="nil"/>
              <w:left w:val="double" w:sz="6" w:space="0" w:color="auto"/>
              <w:bottom w:val="single" w:sz="4" w:space="0" w:color="auto"/>
              <w:right w:val="nil"/>
            </w:tcBorders>
            <w:shd w:val="clear" w:color="000000" w:fill="F2DCDB"/>
            <w:vAlign w:val="center"/>
          </w:tcPr>
          <w:p w14:paraId="37A7A1E7" w14:textId="77777777" w:rsidR="00394D0F" w:rsidRDefault="00394D0F">
            <w:pPr>
              <w:jc w:val="right"/>
              <w:rPr>
                <w:color w:val="000000"/>
                <w:sz w:val="24"/>
                <w:szCs w:val="24"/>
              </w:rPr>
            </w:pPr>
            <w:r>
              <w:rPr>
                <w:color w:val="000000"/>
              </w:rPr>
              <w:t>190</w:t>
            </w:r>
          </w:p>
        </w:tc>
        <w:tc>
          <w:tcPr>
            <w:tcW w:w="228" w:type="pct"/>
            <w:tcBorders>
              <w:top w:val="nil"/>
              <w:left w:val="double" w:sz="6" w:space="0" w:color="auto"/>
              <w:bottom w:val="single" w:sz="4" w:space="0" w:color="auto"/>
              <w:right w:val="nil"/>
            </w:tcBorders>
            <w:shd w:val="clear" w:color="000000" w:fill="F2DCDB"/>
            <w:vAlign w:val="center"/>
          </w:tcPr>
          <w:p w14:paraId="34FAE52C" w14:textId="77777777" w:rsidR="00394D0F" w:rsidRDefault="00394D0F">
            <w:pPr>
              <w:jc w:val="right"/>
              <w:rPr>
                <w:color w:val="000000"/>
                <w:sz w:val="24"/>
                <w:szCs w:val="24"/>
              </w:rPr>
            </w:pPr>
            <w:r>
              <w:rPr>
                <w:color w:val="000000"/>
              </w:rPr>
              <w:t>221</w:t>
            </w:r>
          </w:p>
        </w:tc>
        <w:tc>
          <w:tcPr>
            <w:tcW w:w="291" w:type="pct"/>
            <w:tcBorders>
              <w:top w:val="nil"/>
              <w:left w:val="double" w:sz="6" w:space="0" w:color="auto"/>
              <w:bottom w:val="single" w:sz="4" w:space="0" w:color="auto"/>
              <w:right w:val="nil"/>
            </w:tcBorders>
            <w:shd w:val="clear" w:color="000000" w:fill="F2DCDB"/>
            <w:vAlign w:val="center"/>
          </w:tcPr>
          <w:p w14:paraId="1836A30D" w14:textId="77777777" w:rsidR="00394D0F" w:rsidRDefault="00394D0F">
            <w:pPr>
              <w:jc w:val="right"/>
              <w:rPr>
                <w:color w:val="000000"/>
                <w:sz w:val="24"/>
                <w:szCs w:val="24"/>
              </w:rPr>
            </w:pPr>
            <w:r>
              <w:rPr>
                <w:color w:val="000000"/>
              </w:rPr>
              <w:t>54</w:t>
            </w:r>
          </w:p>
        </w:tc>
        <w:tc>
          <w:tcPr>
            <w:tcW w:w="299" w:type="pct"/>
            <w:tcBorders>
              <w:top w:val="nil"/>
              <w:left w:val="double" w:sz="6" w:space="0" w:color="auto"/>
              <w:bottom w:val="single" w:sz="4" w:space="0" w:color="auto"/>
              <w:right w:val="nil"/>
            </w:tcBorders>
            <w:shd w:val="clear" w:color="000000" w:fill="F2DCDB"/>
            <w:vAlign w:val="center"/>
          </w:tcPr>
          <w:p w14:paraId="0319E9F1" w14:textId="77777777" w:rsidR="00394D0F" w:rsidRDefault="00394D0F">
            <w:pPr>
              <w:jc w:val="right"/>
              <w:rPr>
                <w:color w:val="000000"/>
                <w:sz w:val="24"/>
                <w:szCs w:val="24"/>
              </w:rPr>
            </w:pPr>
            <w:r>
              <w:rPr>
                <w:color w:val="000000"/>
              </w:rPr>
              <w:t>65</w:t>
            </w:r>
          </w:p>
        </w:tc>
        <w:tc>
          <w:tcPr>
            <w:tcW w:w="222" w:type="pct"/>
            <w:tcBorders>
              <w:top w:val="nil"/>
              <w:left w:val="double" w:sz="6" w:space="0" w:color="auto"/>
              <w:bottom w:val="single" w:sz="4" w:space="0" w:color="auto"/>
              <w:right w:val="nil"/>
            </w:tcBorders>
            <w:shd w:val="clear" w:color="000000" w:fill="F2DCDB"/>
            <w:vAlign w:val="center"/>
          </w:tcPr>
          <w:p w14:paraId="14306937" w14:textId="77777777" w:rsidR="00394D0F" w:rsidRDefault="00394D0F">
            <w:pPr>
              <w:jc w:val="right"/>
              <w:rPr>
                <w:color w:val="000000"/>
                <w:sz w:val="24"/>
                <w:szCs w:val="24"/>
              </w:rPr>
            </w:pPr>
            <w:r>
              <w:rPr>
                <w:color w:val="000000"/>
              </w:rPr>
              <w:t>123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0413256" w14:textId="77777777" w:rsidR="00394D0F" w:rsidRDefault="00394D0F">
            <w:pPr>
              <w:jc w:val="right"/>
              <w:rPr>
                <w:color w:val="000000"/>
                <w:sz w:val="24"/>
                <w:szCs w:val="24"/>
              </w:rPr>
            </w:pPr>
            <w:r>
              <w:rPr>
                <w:color w:val="000000"/>
              </w:rPr>
              <w:t>125</w:t>
            </w:r>
          </w:p>
        </w:tc>
      </w:tr>
      <w:tr w:rsidR="00394D0F" w:rsidRPr="000A46ED" w14:paraId="34D03868"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292E75D" w14:textId="57EBFC30"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what I read.</w:t>
            </w:r>
          </w:p>
        </w:tc>
        <w:tc>
          <w:tcPr>
            <w:tcW w:w="255" w:type="pct"/>
            <w:tcBorders>
              <w:top w:val="nil"/>
              <w:left w:val="double" w:sz="6" w:space="0" w:color="auto"/>
              <w:bottom w:val="single" w:sz="4" w:space="0" w:color="auto"/>
              <w:right w:val="nil"/>
            </w:tcBorders>
            <w:shd w:val="clear" w:color="000000" w:fill="F2DCDB"/>
            <w:vAlign w:val="center"/>
          </w:tcPr>
          <w:p w14:paraId="58C29BC0" w14:textId="77777777" w:rsidR="00394D0F" w:rsidRDefault="00394D0F">
            <w:pPr>
              <w:jc w:val="right"/>
              <w:rPr>
                <w:color w:val="000000"/>
                <w:sz w:val="24"/>
                <w:szCs w:val="24"/>
              </w:rPr>
            </w:pPr>
            <w:r>
              <w:rPr>
                <w:color w:val="000000"/>
              </w:rPr>
              <w:t>375</w:t>
            </w:r>
          </w:p>
        </w:tc>
        <w:tc>
          <w:tcPr>
            <w:tcW w:w="256" w:type="pct"/>
            <w:tcBorders>
              <w:top w:val="nil"/>
              <w:left w:val="double" w:sz="6" w:space="0" w:color="auto"/>
              <w:bottom w:val="single" w:sz="4" w:space="0" w:color="auto"/>
              <w:right w:val="nil"/>
            </w:tcBorders>
            <w:shd w:val="clear" w:color="000000" w:fill="F2DCDB"/>
            <w:vAlign w:val="center"/>
          </w:tcPr>
          <w:p w14:paraId="3CDDE91C" w14:textId="77777777" w:rsidR="00394D0F" w:rsidRDefault="00394D0F">
            <w:pPr>
              <w:jc w:val="right"/>
              <w:rPr>
                <w:color w:val="000000"/>
                <w:sz w:val="24"/>
                <w:szCs w:val="24"/>
              </w:rPr>
            </w:pPr>
            <w:r>
              <w:rPr>
                <w:color w:val="000000"/>
              </w:rPr>
              <w:t>353</w:t>
            </w:r>
          </w:p>
        </w:tc>
        <w:tc>
          <w:tcPr>
            <w:tcW w:w="249" w:type="pct"/>
            <w:tcBorders>
              <w:top w:val="nil"/>
              <w:left w:val="double" w:sz="6" w:space="0" w:color="auto"/>
              <w:bottom w:val="single" w:sz="4" w:space="0" w:color="auto"/>
              <w:right w:val="nil"/>
            </w:tcBorders>
            <w:shd w:val="clear" w:color="000000" w:fill="F2DCDB"/>
            <w:vAlign w:val="center"/>
          </w:tcPr>
          <w:p w14:paraId="28449EF4" w14:textId="77777777" w:rsidR="00394D0F" w:rsidRDefault="00394D0F">
            <w:pPr>
              <w:jc w:val="right"/>
              <w:rPr>
                <w:color w:val="000000"/>
                <w:sz w:val="24"/>
                <w:szCs w:val="24"/>
              </w:rPr>
            </w:pPr>
            <w:r>
              <w:rPr>
                <w:color w:val="000000"/>
              </w:rPr>
              <w:t>745</w:t>
            </w:r>
          </w:p>
        </w:tc>
        <w:tc>
          <w:tcPr>
            <w:tcW w:w="249" w:type="pct"/>
            <w:tcBorders>
              <w:top w:val="nil"/>
              <w:left w:val="double" w:sz="6" w:space="0" w:color="auto"/>
              <w:bottom w:val="single" w:sz="4" w:space="0" w:color="auto"/>
              <w:right w:val="nil"/>
            </w:tcBorders>
            <w:shd w:val="clear" w:color="000000" w:fill="F2DCDB"/>
            <w:vAlign w:val="center"/>
          </w:tcPr>
          <w:p w14:paraId="6B92D0ED" w14:textId="77777777" w:rsidR="00394D0F" w:rsidRDefault="00394D0F">
            <w:pPr>
              <w:jc w:val="right"/>
              <w:rPr>
                <w:color w:val="000000"/>
                <w:sz w:val="24"/>
                <w:szCs w:val="24"/>
              </w:rPr>
            </w:pPr>
            <w:r>
              <w:rPr>
                <w:color w:val="000000"/>
              </w:rPr>
              <w:t>864</w:t>
            </w:r>
          </w:p>
        </w:tc>
        <w:tc>
          <w:tcPr>
            <w:tcW w:w="222" w:type="pct"/>
            <w:tcBorders>
              <w:top w:val="nil"/>
              <w:left w:val="double" w:sz="6" w:space="0" w:color="auto"/>
              <w:bottom w:val="single" w:sz="4" w:space="0" w:color="auto"/>
              <w:right w:val="nil"/>
            </w:tcBorders>
            <w:shd w:val="clear" w:color="000000" w:fill="F2DCDB"/>
            <w:vAlign w:val="center"/>
          </w:tcPr>
          <w:p w14:paraId="7A660F94" w14:textId="77777777" w:rsidR="00394D0F" w:rsidRDefault="00394D0F">
            <w:pPr>
              <w:jc w:val="right"/>
              <w:rPr>
                <w:color w:val="000000"/>
                <w:sz w:val="24"/>
                <w:szCs w:val="24"/>
              </w:rPr>
            </w:pPr>
            <w:r>
              <w:rPr>
                <w:color w:val="000000"/>
              </w:rPr>
              <w:t>261</w:t>
            </w:r>
          </w:p>
        </w:tc>
        <w:tc>
          <w:tcPr>
            <w:tcW w:w="228" w:type="pct"/>
            <w:tcBorders>
              <w:top w:val="nil"/>
              <w:left w:val="double" w:sz="6" w:space="0" w:color="auto"/>
              <w:bottom w:val="single" w:sz="4" w:space="0" w:color="auto"/>
              <w:right w:val="nil"/>
            </w:tcBorders>
            <w:shd w:val="clear" w:color="000000" w:fill="F2DCDB"/>
            <w:vAlign w:val="center"/>
          </w:tcPr>
          <w:p w14:paraId="387087CB" w14:textId="77777777" w:rsidR="00394D0F" w:rsidRDefault="00394D0F">
            <w:pPr>
              <w:jc w:val="right"/>
              <w:rPr>
                <w:color w:val="000000"/>
                <w:sz w:val="24"/>
                <w:szCs w:val="24"/>
              </w:rPr>
            </w:pPr>
            <w:r>
              <w:rPr>
                <w:color w:val="000000"/>
              </w:rPr>
              <w:t>275</w:t>
            </w:r>
          </w:p>
        </w:tc>
        <w:tc>
          <w:tcPr>
            <w:tcW w:w="291" w:type="pct"/>
            <w:tcBorders>
              <w:top w:val="nil"/>
              <w:left w:val="double" w:sz="6" w:space="0" w:color="auto"/>
              <w:bottom w:val="single" w:sz="4" w:space="0" w:color="auto"/>
              <w:right w:val="nil"/>
            </w:tcBorders>
            <w:shd w:val="clear" w:color="000000" w:fill="F2DCDB"/>
            <w:vAlign w:val="center"/>
          </w:tcPr>
          <w:p w14:paraId="5016474B" w14:textId="77777777" w:rsidR="00394D0F" w:rsidRDefault="00394D0F">
            <w:pPr>
              <w:jc w:val="right"/>
              <w:rPr>
                <w:color w:val="000000"/>
                <w:sz w:val="24"/>
                <w:szCs w:val="24"/>
              </w:rPr>
            </w:pPr>
            <w:r>
              <w:rPr>
                <w:color w:val="000000"/>
              </w:rPr>
              <w:t>62</w:t>
            </w:r>
          </w:p>
        </w:tc>
        <w:tc>
          <w:tcPr>
            <w:tcW w:w="299" w:type="pct"/>
            <w:tcBorders>
              <w:top w:val="nil"/>
              <w:left w:val="double" w:sz="6" w:space="0" w:color="auto"/>
              <w:bottom w:val="single" w:sz="4" w:space="0" w:color="auto"/>
              <w:right w:val="nil"/>
            </w:tcBorders>
            <w:shd w:val="clear" w:color="000000" w:fill="F2DCDB"/>
            <w:vAlign w:val="center"/>
          </w:tcPr>
          <w:p w14:paraId="01B9EC34" w14:textId="77777777" w:rsidR="00394D0F" w:rsidRDefault="00394D0F">
            <w:pPr>
              <w:jc w:val="right"/>
              <w:rPr>
                <w:color w:val="000000"/>
                <w:sz w:val="24"/>
                <w:szCs w:val="24"/>
              </w:rPr>
            </w:pPr>
            <w:r>
              <w:rPr>
                <w:color w:val="000000"/>
              </w:rPr>
              <w:t>70</w:t>
            </w:r>
          </w:p>
        </w:tc>
        <w:tc>
          <w:tcPr>
            <w:tcW w:w="222" w:type="pct"/>
            <w:tcBorders>
              <w:top w:val="nil"/>
              <w:left w:val="double" w:sz="6" w:space="0" w:color="auto"/>
              <w:bottom w:val="single" w:sz="4" w:space="0" w:color="auto"/>
              <w:right w:val="nil"/>
            </w:tcBorders>
            <w:shd w:val="clear" w:color="000000" w:fill="F2DCDB"/>
            <w:vAlign w:val="center"/>
          </w:tcPr>
          <w:p w14:paraId="54A74634" w14:textId="77777777" w:rsidR="00394D0F" w:rsidRDefault="00394D0F">
            <w:pPr>
              <w:jc w:val="right"/>
              <w:rPr>
                <w:color w:val="000000"/>
                <w:sz w:val="24"/>
                <w:szCs w:val="24"/>
              </w:rPr>
            </w:pPr>
            <w:r>
              <w:rPr>
                <w:color w:val="000000"/>
              </w:rPr>
              <w:t>116</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03D2564" w14:textId="77777777" w:rsidR="00394D0F" w:rsidRDefault="00394D0F">
            <w:pPr>
              <w:jc w:val="right"/>
              <w:rPr>
                <w:color w:val="000000"/>
                <w:sz w:val="24"/>
                <w:szCs w:val="24"/>
              </w:rPr>
            </w:pPr>
            <w:r>
              <w:rPr>
                <w:color w:val="000000"/>
              </w:rPr>
              <w:t>128</w:t>
            </w:r>
          </w:p>
        </w:tc>
      </w:tr>
      <w:tr w:rsidR="00394D0F" w:rsidRPr="000A46ED" w14:paraId="720EE56A"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310C7C5" w14:textId="133696E8"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reading skills in all subjects.</w:t>
            </w:r>
          </w:p>
        </w:tc>
        <w:tc>
          <w:tcPr>
            <w:tcW w:w="255" w:type="pct"/>
            <w:tcBorders>
              <w:top w:val="nil"/>
              <w:left w:val="double" w:sz="6" w:space="0" w:color="auto"/>
              <w:bottom w:val="single" w:sz="4" w:space="0" w:color="auto"/>
              <w:right w:val="nil"/>
            </w:tcBorders>
            <w:shd w:val="clear" w:color="000000" w:fill="F2DCDB"/>
            <w:vAlign w:val="center"/>
          </w:tcPr>
          <w:p w14:paraId="25CCB02D" w14:textId="77777777" w:rsidR="00394D0F" w:rsidRDefault="00394D0F">
            <w:pPr>
              <w:jc w:val="right"/>
              <w:rPr>
                <w:color w:val="000000"/>
                <w:sz w:val="24"/>
                <w:szCs w:val="24"/>
              </w:rPr>
            </w:pPr>
            <w:r>
              <w:rPr>
                <w:color w:val="000000"/>
              </w:rPr>
              <w:t>572</w:t>
            </w:r>
          </w:p>
        </w:tc>
        <w:tc>
          <w:tcPr>
            <w:tcW w:w="256" w:type="pct"/>
            <w:tcBorders>
              <w:top w:val="nil"/>
              <w:left w:val="double" w:sz="6" w:space="0" w:color="auto"/>
              <w:bottom w:val="single" w:sz="4" w:space="0" w:color="auto"/>
              <w:right w:val="nil"/>
            </w:tcBorders>
            <w:shd w:val="clear" w:color="000000" w:fill="F2DCDB"/>
            <w:vAlign w:val="center"/>
          </w:tcPr>
          <w:p w14:paraId="388F7F7F" w14:textId="77777777" w:rsidR="00394D0F" w:rsidRDefault="00394D0F">
            <w:pPr>
              <w:jc w:val="right"/>
              <w:rPr>
                <w:color w:val="000000"/>
                <w:sz w:val="24"/>
                <w:szCs w:val="24"/>
              </w:rPr>
            </w:pPr>
            <w:r>
              <w:rPr>
                <w:color w:val="000000"/>
              </w:rPr>
              <w:t>558</w:t>
            </w:r>
          </w:p>
        </w:tc>
        <w:tc>
          <w:tcPr>
            <w:tcW w:w="249" w:type="pct"/>
            <w:tcBorders>
              <w:top w:val="nil"/>
              <w:left w:val="double" w:sz="6" w:space="0" w:color="auto"/>
              <w:bottom w:val="single" w:sz="4" w:space="0" w:color="auto"/>
              <w:right w:val="nil"/>
            </w:tcBorders>
            <w:shd w:val="clear" w:color="000000" w:fill="F2DCDB"/>
            <w:vAlign w:val="center"/>
          </w:tcPr>
          <w:p w14:paraId="741AFA1C" w14:textId="77777777" w:rsidR="00394D0F" w:rsidRDefault="00394D0F">
            <w:pPr>
              <w:jc w:val="right"/>
              <w:rPr>
                <w:color w:val="000000"/>
                <w:sz w:val="24"/>
                <w:szCs w:val="24"/>
              </w:rPr>
            </w:pPr>
            <w:r>
              <w:rPr>
                <w:color w:val="000000"/>
              </w:rPr>
              <w:t>716</w:t>
            </w:r>
          </w:p>
        </w:tc>
        <w:tc>
          <w:tcPr>
            <w:tcW w:w="249" w:type="pct"/>
            <w:tcBorders>
              <w:top w:val="nil"/>
              <w:left w:val="double" w:sz="6" w:space="0" w:color="auto"/>
              <w:bottom w:val="single" w:sz="4" w:space="0" w:color="auto"/>
              <w:right w:val="nil"/>
            </w:tcBorders>
            <w:shd w:val="clear" w:color="000000" w:fill="F2DCDB"/>
            <w:vAlign w:val="center"/>
          </w:tcPr>
          <w:p w14:paraId="49F9EF3E" w14:textId="77777777" w:rsidR="00394D0F" w:rsidRDefault="00394D0F">
            <w:pPr>
              <w:jc w:val="right"/>
              <w:rPr>
                <w:color w:val="000000"/>
                <w:sz w:val="24"/>
                <w:szCs w:val="24"/>
              </w:rPr>
            </w:pPr>
            <w:r>
              <w:rPr>
                <w:color w:val="000000"/>
              </w:rPr>
              <w:t>763</w:t>
            </w:r>
          </w:p>
        </w:tc>
        <w:tc>
          <w:tcPr>
            <w:tcW w:w="222" w:type="pct"/>
            <w:tcBorders>
              <w:top w:val="nil"/>
              <w:left w:val="double" w:sz="6" w:space="0" w:color="auto"/>
              <w:bottom w:val="single" w:sz="4" w:space="0" w:color="auto"/>
              <w:right w:val="nil"/>
            </w:tcBorders>
            <w:shd w:val="clear" w:color="000000" w:fill="F2DCDB"/>
            <w:vAlign w:val="center"/>
          </w:tcPr>
          <w:p w14:paraId="145C0D18" w14:textId="77777777" w:rsidR="00394D0F" w:rsidRDefault="00394D0F">
            <w:pPr>
              <w:jc w:val="right"/>
              <w:rPr>
                <w:color w:val="000000"/>
                <w:sz w:val="24"/>
                <w:szCs w:val="24"/>
              </w:rPr>
            </w:pPr>
            <w:r>
              <w:rPr>
                <w:color w:val="000000"/>
              </w:rPr>
              <w:t>167</w:t>
            </w:r>
          </w:p>
        </w:tc>
        <w:tc>
          <w:tcPr>
            <w:tcW w:w="228" w:type="pct"/>
            <w:tcBorders>
              <w:top w:val="nil"/>
              <w:left w:val="double" w:sz="6" w:space="0" w:color="auto"/>
              <w:bottom w:val="single" w:sz="4" w:space="0" w:color="auto"/>
              <w:right w:val="nil"/>
            </w:tcBorders>
            <w:shd w:val="clear" w:color="000000" w:fill="F2DCDB"/>
            <w:vAlign w:val="center"/>
          </w:tcPr>
          <w:p w14:paraId="2A6F16F4" w14:textId="77777777" w:rsidR="00394D0F" w:rsidRDefault="00394D0F">
            <w:pPr>
              <w:jc w:val="right"/>
              <w:rPr>
                <w:color w:val="000000"/>
                <w:sz w:val="24"/>
                <w:szCs w:val="24"/>
              </w:rPr>
            </w:pPr>
            <w:r>
              <w:rPr>
                <w:color w:val="000000"/>
              </w:rPr>
              <w:t>231</w:t>
            </w:r>
          </w:p>
        </w:tc>
        <w:tc>
          <w:tcPr>
            <w:tcW w:w="291" w:type="pct"/>
            <w:tcBorders>
              <w:top w:val="nil"/>
              <w:left w:val="double" w:sz="6" w:space="0" w:color="auto"/>
              <w:bottom w:val="single" w:sz="4" w:space="0" w:color="auto"/>
              <w:right w:val="nil"/>
            </w:tcBorders>
            <w:shd w:val="clear" w:color="000000" w:fill="F2DCDB"/>
            <w:vAlign w:val="center"/>
          </w:tcPr>
          <w:p w14:paraId="02D06231" w14:textId="77777777" w:rsidR="00394D0F" w:rsidRDefault="00394D0F">
            <w:pPr>
              <w:jc w:val="right"/>
              <w:rPr>
                <w:color w:val="000000"/>
                <w:sz w:val="24"/>
                <w:szCs w:val="24"/>
              </w:rPr>
            </w:pPr>
            <w:r>
              <w:rPr>
                <w:color w:val="000000"/>
              </w:rPr>
              <w:t>27</w:t>
            </w:r>
          </w:p>
        </w:tc>
        <w:tc>
          <w:tcPr>
            <w:tcW w:w="299" w:type="pct"/>
            <w:tcBorders>
              <w:top w:val="nil"/>
              <w:left w:val="double" w:sz="6" w:space="0" w:color="auto"/>
              <w:bottom w:val="single" w:sz="4" w:space="0" w:color="auto"/>
              <w:right w:val="nil"/>
            </w:tcBorders>
            <w:shd w:val="clear" w:color="000000" w:fill="F2DCDB"/>
            <w:vAlign w:val="center"/>
          </w:tcPr>
          <w:p w14:paraId="0F539339" w14:textId="77777777" w:rsidR="00394D0F" w:rsidRDefault="00394D0F">
            <w:pPr>
              <w:jc w:val="right"/>
              <w:rPr>
                <w:color w:val="000000"/>
                <w:sz w:val="24"/>
                <w:szCs w:val="24"/>
              </w:rPr>
            </w:pPr>
            <w:r>
              <w:rPr>
                <w:color w:val="000000"/>
              </w:rPr>
              <w:t>67</w:t>
            </w:r>
          </w:p>
        </w:tc>
        <w:tc>
          <w:tcPr>
            <w:tcW w:w="222" w:type="pct"/>
            <w:tcBorders>
              <w:top w:val="nil"/>
              <w:left w:val="double" w:sz="6" w:space="0" w:color="auto"/>
              <w:bottom w:val="single" w:sz="4" w:space="0" w:color="auto"/>
              <w:right w:val="nil"/>
            </w:tcBorders>
            <w:shd w:val="clear" w:color="000000" w:fill="F2DCDB"/>
            <w:vAlign w:val="center"/>
          </w:tcPr>
          <w:p w14:paraId="1443A5A3" w14:textId="77777777" w:rsidR="00394D0F" w:rsidRDefault="00394D0F">
            <w:pPr>
              <w:jc w:val="right"/>
              <w:rPr>
                <w:color w:val="000000"/>
                <w:sz w:val="24"/>
                <w:szCs w:val="24"/>
              </w:rPr>
            </w:pPr>
            <w:r>
              <w:rPr>
                <w:color w:val="000000"/>
              </w:rPr>
              <w:t>77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23623FA" w14:textId="77777777" w:rsidR="00394D0F" w:rsidRDefault="00394D0F">
            <w:pPr>
              <w:jc w:val="right"/>
              <w:rPr>
                <w:color w:val="000000"/>
                <w:sz w:val="24"/>
                <w:szCs w:val="24"/>
              </w:rPr>
            </w:pPr>
            <w:r>
              <w:rPr>
                <w:color w:val="000000"/>
              </w:rPr>
              <w:t>68</w:t>
            </w:r>
          </w:p>
        </w:tc>
      </w:tr>
      <w:tr w:rsidR="00394D0F" w:rsidRPr="000A46ED" w14:paraId="3F41E0DF"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0840B2C"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reading challenges me and makes me think.</w:t>
            </w:r>
          </w:p>
        </w:tc>
        <w:tc>
          <w:tcPr>
            <w:tcW w:w="255" w:type="pct"/>
            <w:tcBorders>
              <w:top w:val="nil"/>
              <w:left w:val="double" w:sz="6" w:space="0" w:color="auto"/>
              <w:bottom w:val="single" w:sz="4" w:space="0" w:color="auto"/>
              <w:right w:val="nil"/>
            </w:tcBorders>
            <w:shd w:val="clear" w:color="000000" w:fill="F2DCDB"/>
            <w:vAlign w:val="center"/>
          </w:tcPr>
          <w:p w14:paraId="24AD648A" w14:textId="77777777" w:rsidR="00394D0F" w:rsidRDefault="00394D0F">
            <w:pPr>
              <w:jc w:val="right"/>
              <w:rPr>
                <w:color w:val="000000"/>
                <w:sz w:val="24"/>
                <w:szCs w:val="24"/>
              </w:rPr>
            </w:pPr>
            <w:r>
              <w:rPr>
                <w:color w:val="000000"/>
              </w:rPr>
              <w:t>312</w:t>
            </w:r>
          </w:p>
        </w:tc>
        <w:tc>
          <w:tcPr>
            <w:tcW w:w="256" w:type="pct"/>
            <w:tcBorders>
              <w:top w:val="nil"/>
              <w:left w:val="double" w:sz="6" w:space="0" w:color="auto"/>
              <w:bottom w:val="single" w:sz="4" w:space="0" w:color="auto"/>
              <w:right w:val="nil"/>
            </w:tcBorders>
            <w:shd w:val="clear" w:color="000000" w:fill="F2DCDB"/>
            <w:vAlign w:val="center"/>
          </w:tcPr>
          <w:p w14:paraId="2AF6B589" w14:textId="77777777" w:rsidR="00394D0F" w:rsidRDefault="00394D0F">
            <w:pPr>
              <w:jc w:val="right"/>
              <w:rPr>
                <w:color w:val="000000"/>
                <w:sz w:val="24"/>
                <w:szCs w:val="24"/>
              </w:rPr>
            </w:pPr>
            <w:r>
              <w:rPr>
                <w:color w:val="000000"/>
              </w:rPr>
              <w:t>326</w:t>
            </w:r>
          </w:p>
        </w:tc>
        <w:tc>
          <w:tcPr>
            <w:tcW w:w="249" w:type="pct"/>
            <w:tcBorders>
              <w:top w:val="nil"/>
              <w:left w:val="double" w:sz="6" w:space="0" w:color="auto"/>
              <w:bottom w:val="single" w:sz="4" w:space="0" w:color="auto"/>
              <w:right w:val="nil"/>
            </w:tcBorders>
            <w:shd w:val="clear" w:color="000000" w:fill="F2DCDB"/>
            <w:vAlign w:val="center"/>
          </w:tcPr>
          <w:p w14:paraId="559F1379" w14:textId="77777777" w:rsidR="00394D0F" w:rsidRDefault="00394D0F">
            <w:pPr>
              <w:jc w:val="right"/>
              <w:rPr>
                <w:color w:val="000000"/>
                <w:sz w:val="24"/>
                <w:szCs w:val="24"/>
              </w:rPr>
            </w:pPr>
            <w:r>
              <w:rPr>
                <w:color w:val="000000"/>
              </w:rPr>
              <w:t>823</w:t>
            </w:r>
          </w:p>
        </w:tc>
        <w:tc>
          <w:tcPr>
            <w:tcW w:w="249" w:type="pct"/>
            <w:tcBorders>
              <w:top w:val="nil"/>
              <w:left w:val="double" w:sz="6" w:space="0" w:color="auto"/>
              <w:bottom w:val="single" w:sz="4" w:space="0" w:color="auto"/>
              <w:right w:val="nil"/>
            </w:tcBorders>
            <w:shd w:val="clear" w:color="000000" w:fill="F2DCDB"/>
            <w:vAlign w:val="center"/>
          </w:tcPr>
          <w:p w14:paraId="52BAE677" w14:textId="77777777" w:rsidR="00394D0F" w:rsidRDefault="00394D0F">
            <w:pPr>
              <w:jc w:val="right"/>
              <w:rPr>
                <w:color w:val="000000"/>
                <w:sz w:val="24"/>
                <w:szCs w:val="24"/>
              </w:rPr>
            </w:pPr>
            <w:r>
              <w:rPr>
                <w:color w:val="000000"/>
              </w:rPr>
              <w:t>879</w:t>
            </w:r>
          </w:p>
        </w:tc>
        <w:tc>
          <w:tcPr>
            <w:tcW w:w="222" w:type="pct"/>
            <w:tcBorders>
              <w:top w:val="nil"/>
              <w:left w:val="double" w:sz="6" w:space="0" w:color="auto"/>
              <w:bottom w:val="single" w:sz="4" w:space="0" w:color="auto"/>
              <w:right w:val="nil"/>
            </w:tcBorders>
            <w:shd w:val="clear" w:color="000000" w:fill="F2DCDB"/>
            <w:vAlign w:val="center"/>
          </w:tcPr>
          <w:p w14:paraId="67285771" w14:textId="77777777" w:rsidR="00394D0F" w:rsidRDefault="00394D0F">
            <w:pPr>
              <w:jc w:val="right"/>
              <w:rPr>
                <w:color w:val="000000"/>
                <w:sz w:val="24"/>
                <w:szCs w:val="24"/>
              </w:rPr>
            </w:pPr>
            <w:r>
              <w:rPr>
                <w:color w:val="000000"/>
              </w:rPr>
              <w:t>257</w:t>
            </w:r>
          </w:p>
        </w:tc>
        <w:tc>
          <w:tcPr>
            <w:tcW w:w="228" w:type="pct"/>
            <w:tcBorders>
              <w:top w:val="nil"/>
              <w:left w:val="double" w:sz="6" w:space="0" w:color="auto"/>
              <w:bottom w:val="single" w:sz="4" w:space="0" w:color="auto"/>
              <w:right w:val="nil"/>
            </w:tcBorders>
            <w:shd w:val="clear" w:color="000000" w:fill="F2DCDB"/>
            <w:vAlign w:val="center"/>
          </w:tcPr>
          <w:p w14:paraId="11AF7FB1" w14:textId="77777777" w:rsidR="00394D0F" w:rsidRDefault="00394D0F">
            <w:pPr>
              <w:jc w:val="right"/>
              <w:rPr>
                <w:color w:val="000000"/>
                <w:sz w:val="24"/>
                <w:szCs w:val="24"/>
              </w:rPr>
            </w:pPr>
            <w:r>
              <w:rPr>
                <w:color w:val="000000"/>
              </w:rPr>
              <w:t>291</w:t>
            </w:r>
          </w:p>
        </w:tc>
        <w:tc>
          <w:tcPr>
            <w:tcW w:w="291" w:type="pct"/>
            <w:tcBorders>
              <w:top w:val="nil"/>
              <w:left w:val="double" w:sz="6" w:space="0" w:color="auto"/>
              <w:bottom w:val="single" w:sz="4" w:space="0" w:color="auto"/>
              <w:right w:val="nil"/>
            </w:tcBorders>
            <w:shd w:val="clear" w:color="000000" w:fill="F2DCDB"/>
            <w:vAlign w:val="center"/>
          </w:tcPr>
          <w:p w14:paraId="14C26386" w14:textId="77777777" w:rsidR="00394D0F" w:rsidRDefault="00394D0F">
            <w:pPr>
              <w:jc w:val="right"/>
              <w:rPr>
                <w:color w:val="000000"/>
                <w:sz w:val="24"/>
                <w:szCs w:val="24"/>
              </w:rPr>
            </w:pPr>
            <w:r>
              <w:rPr>
                <w:color w:val="000000"/>
              </w:rPr>
              <w:t>46</w:t>
            </w:r>
          </w:p>
        </w:tc>
        <w:tc>
          <w:tcPr>
            <w:tcW w:w="299" w:type="pct"/>
            <w:tcBorders>
              <w:top w:val="nil"/>
              <w:left w:val="double" w:sz="6" w:space="0" w:color="auto"/>
              <w:bottom w:val="single" w:sz="4" w:space="0" w:color="auto"/>
              <w:right w:val="nil"/>
            </w:tcBorders>
            <w:shd w:val="clear" w:color="000000" w:fill="F2DCDB"/>
            <w:vAlign w:val="center"/>
          </w:tcPr>
          <w:p w14:paraId="0070C454" w14:textId="77777777" w:rsidR="00394D0F" w:rsidRDefault="00394D0F">
            <w:pPr>
              <w:jc w:val="right"/>
              <w:rPr>
                <w:color w:val="000000"/>
                <w:sz w:val="24"/>
                <w:szCs w:val="24"/>
              </w:rPr>
            </w:pPr>
            <w:r>
              <w:rPr>
                <w:color w:val="000000"/>
              </w:rPr>
              <w:t>77</w:t>
            </w:r>
          </w:p>
        </w:tc>
        <w:tc>
          <w:tcPr>
            <w:tcW w:w="222" w:type="pct"/>
            <w:tcBorders>
              <w:top w:val="nil"/>
              <w:left w:val="double" w:sz="6" w:space="0" w:color="auto"/>
              <w:bottom w:val="single" w:sz="4" w:space="0" w:color="auto"/>
              <w:right w:val="nil"/>
            </w:tcBorders>
            <w:shd w:val="clear" w:color="000000" w:fill="F2DCDB"/>
            <w:vAlign w:val="center"/>
          </w:tcPr>
          <w:p w14:paraId="01288A49" w14:textId="77777777" w:rsidR="00394D0F" w:rsidRDefault="00394D0F">
            <w:pPr>
              <w:jc w:val="right"/>
              <w:rPr>
                <w:color w:val="000000"/>
                <w:sz w:val="24"/>
                <w:szCs w:val="24"/>
              </w:rPr>
            </w:pPr>
            <w:r>
              <w:rPr>
                <w:color w:val="000000"/>
              </w:rPr>
              <w:t>119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B4DB5BE" w14:textId="77777777" w:rsidR="00394D0F" w:rsidRDefault="00394D0F">
            <w:pPr>
              <w:jc w:val="right"/>
              <w:rPr>
                <w:color w:val="000000"/>
                <w:sz w:val="24"/>
                <w:szCs w:val="24"/>
              </w:rPr>
            </w:pPr>
            <w:r>
              <w:rPr>
                <w:color w:val="000000"/>
              </w:rPr>
              <w:t>116</w:t>
            </w:r>
          </w:p>
        </w:tc>
      </w:tr>
      <w:tr w:rsidR="00394D0F" w:rsidRPr="000A46ED" w14:paraId="54018A90"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D5CA7F8"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reading.</w:t>
            </w:r>
          </w:p>
        </w:tc>
        <w:tc>
          <w:tcPr>
            <w:tcW w:w="255" w:type="pct"/>
            <w:tcBorders>
              <w:top w:val="nil"/>
              <w:left w:val="double" w:sz="6" w:space="0" w:color="auto"/>
              <w:bottom w:val="single" w:sz="4" w:space="0" w:color="auto"/>
              <w:right w:val="nil"/>
            </w:tcBorders>
            <w:shd w:val="clear" w:color="000000" w:fill="F2DCDB"/>
            <w:vAlign w:val="center"/>
          </w:tcPr>
          <w:p w14:paraId="46A4B779" w14:textId="77777777" w:rsidR="00394D0F" w:rsidRDefault="00394D0F">
            <w:pPr>
              <w:jc w:val="right"/>
              <w:rPr>
                <w:color w:val="000000"/>
                <w:sz w:val="24"/>
                <w:szCs w:val="24"/>
              </w:rPr>
            </w:pPr>
            <w:r>
              <w:rPr>
                <w:color w:val="000000"/>
              </w:rPr>
              <w:t>316</w:t>
            </w:r>
          </w:p>
        </w:tc>
        <w:tc>
          <w:tcPr>
            <w:tcW w:w="256" w:type="pct"/>
            <w:tcBorders>
              <w:top w:val="nil"/>
              <w:left w:val="double" w:sz="6" w:space="0" w:color="auto"/>
              <w:bottom w:val="single" w:sz="4" w:space="0" w:color="auto"/>
              <w:right w:val="nil"/>
            </w:tcBorders>
            <w:shd w:val="clear" w:color="000000" w:fill="F2DCDB"/>
            <w:vAlign w:val="center"/>
          </w:tcPr>
          <w:p w14:paraId="381F89C1" w14:textId="77777777" w:rsidR="00394D0F" w:rsidRDefault="00394D0F">
            <w:pPr>
              <w:jc w:val="right"/>
              <w:rPr>
                <w:color w:val="000000"/>
                <w:sz w:val="24"/>
                <w:szCs w:val="24"/>
              </w:rPr>
            </w:pPr>
            <w:r>
              <w:rPr>
                <w:color w:val="000000"/>
              </w:rPr>
              <w:t>335</w:t>
            </w:r>
          </w:p>
        </w:tc>
        <w:tc>
          <w:tcPr>
            <w:tcW w:w="249" w:type="pct"/>
            <w:tcBorders>
              <w:top w:val="nil"/>
              <w:left w:val="double" w:sz="6" w:space="0" w:color="auto"/>
              <w:bottom w:val="single" w:sz="4" w:space="0" w:color="auto"/>
              <w:right w:val="nil"/>
            </w:tcBorders>
            <w:shd w:val="clear" w:color="000000" w:fill="F2DCDB"/>
            <w:vAlign w:val="center"/>
          </w:tcPr>
          <w:p w14:paraId="2CF48110" w14:textId="77777777" w:rsidR="00394D0F" w:rsidRDefault="00394D0F">
            <w:pPr>
              <w:jc w:val="right"/>
              <w:rPr>
                <w:color w:val="000000"/>
                <w:sz w:val="24"/>
                <w:szCs w:val="24"/>
              </w:rPr>
            </w:pPr>
            <w:r>
              <w:rPr>
                <w:color w:val="000000"/>
              </w:rPr>
              <w:t>673</w:t>
            </w:r>
          </w:p>
        </w:tc>
        <w:tc>
          <w:tcPr>
            <w:tcW w:w="249" w:type="pct"/>
            <w:tcBorders>
              <w:top w:val="nil"/>
              <w:left w:val="double" w:sz="6" w:space="0" w:color="auto"/>
              <w:bottom w:val="single" w:sz="4" w:space="0" w:color="auto"/>
              <w:right w:val="nil"/>
            </w:tcBorders>
            <w:shd w:val="clear" w:color="000000" w:fill="F2DCDB"/>
            <w:vAlign w:val="center"/>
          </w:tcPr>
          <w:p w14:paraId="3B081562" w14:textId="77777777" w:rsidR="00394D0F" w:rsidRDefault="00394D0F">
            <w:pPr>
              <w:jc w:val="right"/>
              <w:rPr>
                <w:color w:val="000000"/>
                <w:sz w:val="24"/>
                <w:szCs w:val="24"/>
              </w:rPr>
            </w:pPr>
            <w:r>
              <w:rPr>
                <w:color w:val="000000"/>
              </w:rPr>
              <w:t>801</w:t>
            </w:r>
          </w:p>
        </w:tc>
        <w:tc>
          <w:tcPr>
            <w:tcW w:w="222" w:type="pct"/>
            <w:tcBorders>
              <w:top w:val="nil"/>
              <w:left w:val="double" w:sz="6" w:space="0" w:color="auto"/>
              <w:bottom w:val="single" w:sz="4" w:space="0" w:color="auto"/>
              <w:right w:val="nil"/>
            </w:tcBorders>
            <w:shd w:val="clear" w:color="000000" w:fill="F2DCDB"/>
            <w:vAlign w:val="center"/>
          </w:tcPr>
          <w:p w14:paraId="402930E2" w14:textId="77777777" w:rsidR="00394D0F" w:rsidRDefault="00394D0F">
            <w:pPr>
              <w:jc w:val="right"/>
              <w:rPr>
                <w:color w:val="000000"/>
                <w:sz w:val="24"/>
                <w:szCs w:val="24"/>
              </w:rPr>
            </w:pPr>
            <w:r>
              <w:rPr>
                <w:color w:val="000000"/>
              </w:rPr>
              <w:t>319</w:t>
            </w:r>
          </w:p>
        </w:tc>
        <w:tc>
          <w:tcPr>
            <w:tcW w:w="228" w:type="pct"/>
            <w:tcBorders>
              <w:top w:val="nil"/>
              <w:left w:val="double" w:sz="6" w:space="0" w:color="auto"/>
              <w:bottom w:val="single" w:sz="4" w:space="0" w:color="auto"/>
              <w:right w:val="nil"/>
            </w:tcBorders>
            <w:shd w:val="clear" w:color="000000" w:fill="F2DCDB"/>
            <w:vAlign w:val="center"/>
          </w:tcPr>
          <w:p w14:paraId="0745379B" w14:textId="77777777" w:rsidR="00394D0F" w:rsidRDefault="00394D0F">
            <w:pPr>
              <w:jc w:val="right"/>
              <w:rPr>
                <w:color w:val="000000"/>
                <w:sz w:val="24"/>
                <w:szCs w:val="24"/>
              </w:rPr>
            </w:pPr>
            <w:r>
              <w:rPr>
                <w:color w:val="000000"/>
              </w:rPr>
              <w:t>314</w:t>
            </w:r>
          </w:p>
        </w:tc>
        <w:tc>
          <w:tcPr>
            <w:tcW w:w="291" w:type="pct"/>
            <w:tcBorders>
              <w:top w:val="nil"/>
              <w:left w:val="double" w:sz="6" w:space="0" w:color="auto"/>
              <w:bottom w:val="single" w:sz="4" w:space="0" w:color="auto"/>
              <w:right w:val="nil"/>
            </w:tcBorders>
            <w:shd w:val="clear" w:color="000000" w:fill="F2DCDB"/>
            <w:vAlign w:val="center"/>
          </w:tcPr>
          <w:p w14:paraId="0572DF33" w14:textId="77777777" w:rsidR="00394D0F" w:rsidRDefault="00394D0F">
            <w:pPr>
              <w:jc w:val="right"/>
              <w:rPr>
                <w:color w:val="000000"/>
                <w:sz w:val="24"/>
                <w:szCs w:val="24"/>
              </w:rPr>
            </w:pPr>
            <w:r>
              <w:rPr>
                <w:color w:val="000000"/>
              </w:rPr>
              <w:t>103</w:t>
            </w:r>
          </w:p>
        </w:tc>
        <w:tc>
          <w:tcPr>
            <w:tcW w:w="299" w:type="pct"/>
            <w:tcBorders>
              <w:top w:val="nil"/>
              <w:left w:val="double" w:sz="6" w:space="0" w:color="auto"/>
              <w:bottom w:val="single" w:sz="4" w:space="0" w:color="auto"/>
              <w:right w:val="nil"/>
            </w:tcBorders>
            <w:shd w:val="clear" w:color="000000" w:fill="F2DCDB"/>
            <w:vAlign w:val="center"/>
          </w:tcPr>
          <w:p w14:paraId="22E9493F" w14:textId="77777777" w:rsidR="00394D0F" w:rsidRDefault="00394D0F">
            <w:pPr>
              <w:jc w:val="right"/>
              <w:rPr>
                <w:color w:val="000000"/>
                <w:sz w:val="24"/>
                <w:szCs w:val="24"/>
              </w:rPr>
            </w:pPr>
            <w:r>
              <w:rPr>
                <w:color w:val="000000"/>
              </w:rPr>
              <w:t>99</w:t>
            </w:r>
          </w:p>
        </w:tc>
        <w:tc>
          <w:tcPr>
            <w:tcW w:w="222" w:type="pct"/>
            <w:tcBorders>
              <w:top w:val="nil"/>
              <w:left w:val="double" w:sz="6" w:space="0" w:color="auto"/>
              <w:bottom w:val="single" w:sz="4" w:space="0" w:color="auto"/>
              <w:right w:val="nil"/>
            </w:tcBorders>
            <w:shd w:val="clear" w:color="000000" w:fill="F2DCDB"/>
            <w:vAlign w:val="center"/>
          </w:tcPr>
          <w:p w14:paraId="6AABC5AF" w14:textId="77777777" w:rsidR="00394D0F" w:rsidRDefault="00394D0F">
            <w:pPr>
              <w:jc w:val="right"/>
              <w:rPr>
                <w:color w:val="000000"/>
                <w:sz w:val="24"/>
                <w:szCs w:val="24"/>
              </w:rPr>
            </w:pPr>
            <w:r>
              <w:rPr>
                <w:color w:val="000000"/>
              </w:rPr>
              <w:t>146</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5ACBB592" w14:textId="77777777" w:rsidR="00394D0F" w:rsidRDefault="00394D0F">
            <w:pPr>
              <w:jc w:val="right"/>
              <w:rPr>
                <w:color w:val="000000"/>
                <w:sz w:val="24"/>
                <w:szCs w:val="24"/>
              </w:rPr>
            </w:pPr>
            <w:r>
              <w:rPr>
                <w:color w:val="000000"/>
              </w:rPr>
              <w:t>140</w:t>
            </w:r>
          </w:p>
        </w:tc>
      </w:tr>
      <w:tr w:rsidR="00394D0F" w:rsidRPr="000A46ED" w14:paraId="55222E66"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A2D9F10"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reading skills.</w:t>
            </w:r>
          </w:p>
        </w:tc>
        <w:tc>
          <w:tcPr>
            <w:tcW w:w="255" w:type="pct"/>
            <w:tcBorders>
              <w:top w:val="nil"/>
              <w:left w:val="double" w:sz="6" w:space="0" w:color="auto"/>
              <w:bottom w:val="single" w:sz="4" w:space="0" w:color="auto"/>
              <w:right w:val="nil"/>
            </w:tcBorders>
            <w:shd w:val="clear" w:color="000000" w:fill="F2DCDB"/>
            <w:vAlign w:val="center"/>
          </w:tcPr>
          <w:p w14:paraId="233C001B" w14:textId="77777777" w:rsidR="00394D0F" w:rsidRDefault="00394D0F">
            <w:pPr>
              <w:jc w:val="right"/>
              <w:rPr>
                <w:color w:val="000000"/>
                <w:sz w:val="24"/>
                <w:szCs w:val="24"/>
              </w:rPr>
            </w:pPr>
            <w:r>
              <w:rPr>
                <w:color w:val="000000"/>
              </w:rPr>
              <w:t>346</w:t>
            </w:r>
          </w:p>
        </w:tc>
        <w:tc>
          <w:tcPr>
            <w:tcW w:w="256" w:type="pct"/>
            <w:tcBorders>
              <w:top w:val="nil"/>
              <w:left w:val="double" w:sz="6" w:space="0" w:color="auto"/>
              <w:bottom w:val="single" w:sz="4" w:space="0" w:color="auto"/>
              <w:right w:val="nil"/>
            </w:tcBorders>
            <w:shd w:val="clear" w:color="000000" w:fill="F2DCDB"/>
            <w:vAlign w:val="center"/>
          </w:tcPr>
          <w:p w14:paraId="4FDCD6BC" w14:textId="77777777" w:rsidR="00394D0F" w:rsidRDefault="00394D0F">
            <w:pPr>
              <w:jc w:val="right"/>
              <w:rPr>
                <w:color w:val="000000"/>
                <w:sz w:val="24"/>
                <w:szCs w:val="24"/>
              </w:rPr>
            </w:pPr>
            <w:r>
              <w:rPr>
                <w:color w:val="000000"/>
              </w:rPr>
              <w:t>393</w:t>
            </w:r>
          </w:p>
        </w:tc>
        <w:tc>
          <w:tcPr>
            <w:tcW w:w="249" w:type="pct"/>
            <w:tcBorders>
              <w:top w:val="nil"/>
              <w:left w:val="double" w:sz="6" w:space="0" w:color="auto"/>
              <w:bottom w:val="single" w:sz="4" w:space="0" w:color="auto"/>
              <w:right w:val="nil"/>
            </w:tcBorders>
            <w:shd w:val="clear" w:color="000000" w:fill="F2DCDB"/>
            <w:vAlign w:val="center"/>
          </w:tcPr>
          <w:p w14:paraId="6626DCB6" w14:textId="77777777" w:rsidR="00394D0F" w:rsidRDefault="00394D0F">
            <w:pPr>
              <w:jc w:val="right"/>
              <w:rPr>
                <w:color w:val="000000"/>
                <w:sz w:val="24"/>
                <w:szCs w:val="24"/>
              </w:rPr>
            </w:pPr>
            <w:r>
              <w:rPr>
                <w:color w:val="000000"/>
              </w:rPr>
              <w:t>668</w:t>
            </w:r>
          </w:p>
        </w:tc>
        <w:tc>
          <w:tcPr>
            <w:tcW w:w="249" w:type="pct"/>
            <w:tcBorders>
              <w:top w:val="nil"/>
              <w:left w:val="double" w:sz="6" w:space="0" w:color="auto"/>
              <w:bottom w:val="single" w:sz="4" w:space="0" w:color="auto"/>
              <w:right w:val="nil"/>
            </w:tcBorders>
            <w:shd w:val="clear" w:color="000000" w:fill="F2DCDB"/>
            <w:vAlign w:val="center"/>
          </w:tcPr>
          <w:p w14:paraId="7BEE19F7" w14:textId="77777777" w:rsidR="00394D0F" w:rsidRDefault="00394D0F">
            <w:pPr>
              <w:jc w:val="right"/>
              <w:rPr>
                <w:color w:val="000000"/>
                <w:sz w:val="24"/>
                <w:szCs w:val="24"/>
              </w:rPr>
            </w:pPr>
            <w:r>
              <w:rPr>
                <w:color w:val="000000"/>
              </w:rPr>
              <w:t>748</w:t>
            </w:r>
          </w:p>
        </w:tc>
        <w:tc>
          <w:tcPr>
            <w:tcW w:w="222" w:type="pct"/>
            <w:tcBorders>
              <w:top w:val="nil"/>
              <w:left w:val="double" w:sz="6" w:space="0" w:color="auto"/>
              <w:bottom w:val="single" w:sz="4" w:space="0" w:color="auto"/>
              <w:right w:val="nil"/>
            </w:tcBorders>
            <w:shd w:val="clear" w:color="000000" w:fill="F2DCDB"/>
            <w:vAlign w:val="center"/>
          </w:tcPr>
          <w:p w14:paraId="78670F7D" w14:textId="77777777" w:rsidR="00394D0F" w:rsidRDefault="00394D0F">
            <w:pPr>
              <w:jc w:val="right"/>
              <w:rPr>
                <w:color w:val="000000"/>
                <w:sz w:val="24"/>
                <w:szCs w:val="24"/>
              </w:rPr>
            </w:pPr>
            <w:r>
              <w:rPr>
                <w:color w:val="000000"/>
              </w:rPr>
              <w:t>322</w:t>
            </w:r>
          </w:p>
        </w:tc>
        <w:tc>
          <w:tcPr>
            <w:tcW w:w="228" w:type="pct"/>
            <w:tcBorders>
              <w:top w:val="nil"/>
              <w:left w:val="double" w:sz="6" w:space="0" w:color="auto"/>
              <w:bottom w:val="single" w:sz="4" w:space="0" w:color="auto"/>
              <w:right w:val="nil"/>
            </w:tcBorders>
            <w:shd w:val="clear" w:color="000000" w:fill="F2DCDB"/>
            <w:vAlign w:val="center"/>
          </w:tcPr>
          <w:p w14:paraId="24CA2ADE" w14:textId="77777777" w:rsidR="00394D0F" w:rsidRDefault="00394D0F">
            <w:pPr>
              <w:jc w:val="right"/>
              <w:rPr>
                <w:color w:val="000000"/>
                <w:sz w:val="24"/>
                <w:szCs w:val="24"/>
              </w:rPr>
            </w:pPr>
            <w:r>
              <w:rPr>
                <w:color w:val="000000"/>
              </w:rPr>
              <w:t>290</w:t>
            </w:r>
          </w:p>
        </w:tc>
        <w:tc>
          <w:tcPr>
            <w:tcW w:w="291" w:type="pct"/>
            <w:tcBorders>
              <w:top w:val="nil"/>
              <w:left w:val="double" w:sz="6" w:space="0" w:color="auto"/>
              <w:bottom w:val="single" w:sz="4" w:space="0" w:color="auto"/>
              <w:right w:val="nil"/>
            </w:tcBorders>
            <w:shd w:val="clear" w:color="000000" w:fill="F2DCDB"/>
            <w:vAlign w:val="center"/>
          </w:tcPr>
          <w:p w14:paraId="7ADB553F" w14:textId="77777777" w:rsidR="00394D0F" w:rsidRDefault="00394D0F">
            <w:pPr>
              <w:jc w:val="right"/>
              <w:rPr>
                <w:color w:val="000000"/>
                <w:sz w:val="24"/>
                <w:szCs w:val="24"/>
              </w:rPr>
            </w:pPr>
            <w:r>
              <w:rPr>
                <w:color w:val="000000"/>
              </w:rPr>
              <w:t>115</w:t>
            </w:r>
          </w:p>
        </w:tc>
        <w:tc>
          <w:tcPr>
            <w:tcW w:w="299" w:type="pct"/>
            <w:tcBorders>
              <w:top w:val="nil"/>
              <w:left w:val="double" w:sz="6" w:space="0" w:color="auto"/>
              <w:bottom w:val="single" w:sz="4" w:space="0" w:color="auto"/>
              <w:right w:val="nil"/>
            </w:tcBorders>
            <w:shd w:val="clear" w:color="000000" w:fill="F2DCDB"/>
            <w:vAlign w:val="center"/>
          </w:tcPr>
          <w:p w14:paraId="4B62407B" w14:textId="77777777" w:rsidR="00394D0F" w:rsidRDefault="00394D0F">
            <w:pPr>
              <w:jc w:val="right"/>
              <w:rPr>
                <w:color w:val="000000"/>
                <w:sz w:val="24"/>
                <w:szCs w:val="24"/>
              </w:rPr>
            </w:pPr>
            <w:r>
              <w:rPr>
                <w:color w:val="000000"/>
              </w:rPr>
              <w:t>125</w:t>
            </w:r>
          </w:p>
        </w:tc>
        <w:tc>
          <w:tcPr>
            <w:tcW w:w="222" w:type="pct"/>
            <w:tcBorders>
              <w:top w:val="nil"/>
              <w:left w:val="double" w:sz="6" w:space="0" w:color="auto"/>
              <w:bottom w:val="single" w:sz="4" w:space="0" w:color="auto"/>
              <w:right w:val="nil"/>
            </w:tcBorders>
            <w:shd w:val="clear" w:color="000000" w:fill="F2DCDB"/>
            <w:vAlign w:val="center"/>
          </w:tcPr>
          <w:p w14:paraId="13508C6C" w14:textId="77777777" w:rsidR="00394D0F" w:rsidRDefault="00394D0F">
            <w:pPr>
              <w:jc w:val="right"/>
              <w:rPr>
                <w:color w:val="000000"/>
                <w:sz w:val="24"/>
                <w:szCs w:val="24"/>
              </w:rPr>
            </w:pPr>
            <w:r>
              <w:rPr>
                <w:color w:val="000000"/>
              </w:rPr>
              <w:t>108</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427C7A1" w14:textId="77777777" w:rsidR="00394D0F" w:rsidRDefault="00394D0F">
            <w:pPr>
              <w:jc w:val="right"/>
              <w:rPr>
                <w:color w:val="000000"/>
                <w:sz w:val="24"/>
                <w:szCs w:val="24"/>
              </w:rPr>
            </w:pPr>
            <w:r>
              <w:rPr>
                <w:color w:val="000000"/>
              </w:rPr>
              <w:t>133</w:t>
            </w:r>
          </w:p>
        </w:tc>
      </w:tr>
    </w:tbl>
    <w:p w14:paraId="1B5AE0C4" w14:textId="77777777" w:rsidR="005C5B3E" w:rsidRDefault="005C5B3E" w:rsidP="004910A6">
      <w:pPr>
        <w:rPr>
          <w:rFonts w:cs="Arial"/>
          <w:sz w:val="24"/>
          <w:szCs w:val="24"/>
        </w:rPr>
        <w:sectPr w:rsidR="005C5B3E" w:rsidSect="005C5B3E">
          <w:pgSz w:w="16838" w:h="11906" w:orient="landscape"/>
          <w:pgMar w:top="1418" w:right="1134" w:bottom="851" w:left="1134" w:header="709" w:footer="709" w:gutter="0"/>
          <w:cols w:space="708"/>
          <w:docGrid w:linePitch="360"/>
        </w:sectPr>
      </w:pPr>
    </w:p>
    <w:tbl>
      <w:tblPr>
        <w:tblW w:w="5000" w:type="pct"/>
        <w:tblLook w:val="04A0" w:firstRow="1" w:lastRow="0" w:firstColumn="1" w:lastColumn="0" w:noHBand="0" w:noVBand="1"/>
        <w:tblCaption w:val="Table - Numeracy Year 8"/>
        <w:tblDescription w:val="Data relating to Numeracy Year 8"/>
      </w:tblPr>
      <w:tblGrid>
        <w:gridCol w:w="7403"/>
        <w:gridCol w:w="755"/>
        <w:gridCol w:w="757"/>
        <w:gridCol w:w="736"/>
        <w:gridCol w:w="736"/>
        <w:gridCol w:w="656"/>
        <w:gridCol w:w="674"/>
        <w:gridCol w:w="861"/>
        <w:gridCol w:w="884"/>
        <w:gridCol w:w="656"/>
        <w:gridCol w:w="668"/>
      </w:tblGrid>
      <w:tr w:rsidR="005C5B3E" w:rsidRPr="000A46ED" w14:paraId="41DBDA66" w14:textId="77777777" w:rsidTr="0001238E">
        <w:trPr>
          <w:trHeight w:val="567"/>
        </w:trPr>
        <w:tc>
          <w:tcPr>
            <w:tcW w:w="2503" w:type="pct"/>
            <w:vMerge w:val="restart"/>
            <w:tcBorders>
              <w:top w:val="single" w:sz="4" w:space="0" w:color="auto"/>
              <w:left w:val="single" w:sz="4" w:space="0" w:color="auto"/>
              <w:bottom w:val="nil"/>
              <w:right w:val="nil"/>
            </w:tcBorders>
            <w:shd w:val="clear" w:color="auto" w:fill="auto"/>
            <w:noWrap/>
            <w:vAlign w:val="center"/>
            <w:hideMark/>
          </w:tcPr>
          <w:p w14:paraId="086D6D4A" w14:textId="77777777" w:rsidR="005C5B3E" w:rsidRPr="008826A5" w:rsidRDefault="005C5B3E" w:rsidP="0001238E">
            <w:pPr>
              <w:spacing w:after="0" w:line="240" w:lineRule="auto"/>
              <w:jc w:val="center"/>
              <w:rPr>
                <w:rFonts w:eastAsia="Times New Roman" w:cs="Times New Roman"/>
                <w:b/>
                <w:bCs/>
                <w:color w:val="244061" w:themeColor="accent1" w:themeShade="80"/>
                <w:sz w:val="36"/>
                <w:szCs w:val="36"/>
                <w:lang w:eastAsia="en-AU"/>
              </w:rPr>
            </w:pPr>
            <w:r>
              <w:rPr>
                <w:rFonts w:eastAsia="Times New Roman" w:cs="Times New Roman"/>
                <w:b/>
                <w:bCs/>
                <w:color w:val="244061" w:themeColor="accent1" w:themeShade="80"/>
                <w:sz w:val="36"/>
                <w:szCs w:val="36"/>
                <w:lang w:eastAsia="en-AU"/>
              </w:rPr>
              <w:t>Numeracy</w:t>
            </w:r>
          </w:p>
          <w:p w14:paraId="69065831" w14:textId="77777777" w:rsidR="005C5B3E" w:rsidRPr="000A46ED" w:rsidRDefault="005C5B3E" w:rsidP="0001238E">
            <w:pPr>
              <w:spacing w:after="0" w:line="240" w:lineRule="auto"/>
              <w:jc w:val="center"/>
              <w:rPr>
                <w:rFonts w:eastAsia="Times New Roman" w:cs="Times New Roman"/>
                <w:b/>
                <w:bCs/>
                <w:color w:val="FF0000"/>
                <w:sz w:val="36"/>
                <w:szCs w:val="36"/>
                <w:lang w:eastAsia="en-AU"/>
              </w:rPr>
            </w:pPr>
          </w:p>
        </w:tc>
        <w:tc>
          <w:tcPr>
            <w:tcW w:w="2497"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3372455D" w14:textId="77777777" w:rsidR="005C5B3E" w:rsidRPr="000A46ED" w:rsidRDefault="005C5B3E" w:rsidP="0001238E">
            <w:pPr>
              <w:spacing w:after="0" w:line="240" w:lineRule="auto"/>
              <w:jc w:val="center"/>
              <w:rPr>
                <w:rFonts w:eastAsia="Times New Roman" w:cs="Times New Roman"/>
                <w:color w:val="000000"/>
                <w:sz w:val="52"/>
                <w:szCs w:val="52"/>
                <w:lang w:eastAsia="en-AU"/>
              </w:rPr>
            </w:pPr>
            <w:r>
              <w:rPr>
                <w:rFonts w:eastAsia="Times New Roman" w:cs="Times New Roman"/>
                <w:color w:val="000000"/>
                <w:sz w:val="52"/>
                <w:szCs w:val="52"/>
                <w:lang w:eastAsia="en-AU"/>
              </w:rPr>
              <w:t>Year 8</w:t>
            </w:r>
          </w:p>
        </w:tc>
      </w:tr>
      <w:tr w:rsidR="005C5B3E" w:rsidRPr="000A46ED" w14:paraId="284175C3" w14:textId="77777777" w:rsidTr="00394D0F">
        <w:trPr>
          <w:trHeight w:val="276"/>
        </w:trPr>
        <w:tc>
          <w:tcPr>
            <w:tcW w:w="2503" w:type="pct"/>
            <w:vMerge/>
            <w:tcBorders>
              <w:left w:val="single" w:sz="4" w:space="0" w:color="auto"/>
              <w:right w:val="nil"/>
            </w:tcBorders>
            <w:shd w:val="clear" w:color="auto" w:fill="auto"/>
            <w:vAlign w:val="center"/>
            <w:hideMark/>
          </w:tcPr>
          <w:p w14:paraId="2A565E30"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511"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4E6816D4"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498" w:type="pct"/>
            <w:gridSpan w:val="2"/>
            <w:tcBorders>
              <w:top w:val="double" w:sz="6" w:space="0" w:color="auto"/>
              <w:left w:val="nil"/>
              <w:bottom w:val="single" w:sz="4" w:space="0" w:color="auto"/>
              <w:right w:val="single" w:sz="12" w:space="0" w:color="000000"/>
            </w:tcBorders>
            <w:shd w:val="clear" w:color="auto" w:fill="auto"/>
            <w:vAlign w:val="center"/>
            <w:hideMark/>
          </w:tcPr>
          <w:p w14:paraId="0A40901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450" w:type="pct"/>
            <w:gridSpan w:val="2"/>
            <w:tcBorders>
              <w:top w:val="double" w:sz="6" w:space="0" w:color="auto"/>
              <w:left w:val="nil"/>
              <w:bottom w:val="single" w:sz="4" w:space="0" w:color="auto"/>
              <w:right w:val="single" w:sz="12" w:space="0" w:color="000000"/>
            </w:tcBorders>
            <w:shd w:val="clear" w:color="auto" w:fill="auto"/>
            <w:vAlign w:val="center"/>
            <w:hideMark/>
          </w:tcPr>
          <w:p w14:paraId="69E5A537"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590" w:type="pct"/>
            <w:gridSpan w:val="2"/>
            <w:tcBorders>
              <w:top w:val="double" w:sz="6" w:space="0" w:color="auto"/>
              <w:left w:val="nil"/>
              <w:bottom w:val="single" w:sz="4" w:space="0" w:color="auto"/>
              <w:right w:val="single" w:sz="12" w:space="0" w:color="000000"/>
            </w:tcBorders>
            <w:shd w:val="clear" w:color="auto" w:fill="auto"/>
            <w:vAlign w:val="center"/>
            <w:hideMark/>
          </w:tcPr>
          <w:p w14:paraId="2A00126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448" w:type="pct"/>
            <w:gridSpan w:val="2"/>
            <w:tcBorders>
              <w:top w:val="double" w:sz="6" w:space="0" w:color="auto"/>
              <w:left w:val="nil"/>
              <w:bottom w:val="single" w:sz="4" w:space="0" w:color="auto"/>
              <w:right w:val="double" w:sz="6" w:space="0" w:color="000000"/>
            </w:tcBorders>
            <w:shd w:val="clear" w:color="auto" w:fill="auto"/>
            <w:vAlign w:val="center"/>
            <w:hideMark/>
          </w:tcPr>
          <w:p w14:paraId="5FCF2168"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5C5B3E" w:rsidRPr="000A46ED" w14:paraId="6AD8E468" w14:textId="77777777" w:rsidTr="00394D0F">
        <w:trPr>
          <w:trHeight w:val="276"/>
        </w:trPr>
        <w:tc>
          <w:tcPr>
            <w:tcW w:w="2503" w:type="pct"/>
            <w:vMerge/>
            <w:tcBorders>
              <w:left w:val="single" w:sz="4" w:space="0" w:color="auto"/>
              <w:bottom w:val="single" w:sz="8" w:space="0" w:color="auto"/>
              <w:right w:val="nil"/>
            </w:tcBorders>
            <w:shd w:val="clear" w:color="auto" w:fill="auto"/>
            <w:vAlign w:val="center"/>
            <w:hideMark/>
          </w:tcPr>
          <w:p w14:paraId="724F91A7"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255" w:type="pct"/>
            <w:tcBorders>
              <w:top w:val="nil"/>
              <w:left w:val="double" w:sz="6" w:space="0" w:color="auto"/>
              <w:bottom w:val="single" w:sz="4" w:space="0" w:color="auto"/>
              <w:right w:val="single" w:sz="4" w:space="0" w:color="auto"/>
            </w:tcBorders>
            <w:shd w:val="clear" w:color="auto" w:fill="auto"/>
            <w:vAlign w:val="center"/>
            <w:hideMark/>
          </w:tcPr>
          <w:p w14:paraId="7193AF5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56" w:type="pct"/>
            <w:tcBorders>
              <w:top w:val="nil"/>
              <w:left w:val="nil"/>
              <w:bottom w:val="single" w:sz="4" w:space="0" w:color="auto"/>
              <w:right w:val="single" w:sz="12" w:space="0" w:color="auto"/>
            </w:tcBorders>
            <w:shd w:val="clear" w:color="auto" w:fill="auto"/>
            <w:vAlign w:val="center"/>
            <w:hideMark/>
          </w:tcPr>
          <w:p w14:paraId="49BBCB8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49" w:type="pct"/>
            <w:tcBorders>
              <w:top w:val="nil"/>
              <w:left w:val="nil"/>
              <w:bottom w:val="single" w:sz="4" w:space="0" w:color="auto"/>
              <w:right w:val="single" w:sz="4" w:space="0" w:color="auto"/>
            </w:tcBorders>
            <w:shd w:val="clear" w:color="auto" w:fill="auto"/>
            <w:vAlign w:val="center"/>
            <w:hideMark/>
          </w:tcPr>
          <w:p w14:paraId="447B7878"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49" w:type="pct"/>
            <w:tcBorders>
              <w:top w:val="nil"/>
              <w:left w:val="nil"/>
              <w:bottom w:val="single" w:sz="4" w:space="0" w:color="auto"/>
              <w:right w:val="single" w:sz="12" w:space="0" w:color="auto"/>
            </w:tcBorders>
            <w:shd w:val="clear" w:color="auto" w:fill="auto"/>
            <w:vAlign w:val="center"/>
            <w:hideMark/>
          </w:tcPr>
          <w:p w14:paraId="4FC9748D"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7E8920B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single" w:sz="12" w:space="0" w:color="auto"/>
            </w:tcBorders>
            <w:shd w:val="clear" w:color="auto" w:fill="auto"/>
            <w:vAlign w:val="center"/>
            <w:hideMark/>
          </w:tcPr>
          <w:p w14:paraId="6DB8B7A3"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1" w:type="pct"/>
            <w:tcBorders>
              <w:top w:val="nil"/>
              <w:left w:val="nil"/>
              <w:bottom w:val="single" w:sz="4" w:space="0" w:color="auto"/>
              <w:right w:val="single" w:sz="4" w:space="0" w:color="auto"/>
            </w:tcBorders>
            <w:shd w:val="clear" w:color="auto" w:fill="auto"/>
            <w:vAlign w:val="center"/>
            <w:hideMark/>
          </w:tcPr>
          <w:p w14:paraId="6269DA07"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11DE3B74"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159B7CC0"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6" w:type="pct"/>
            <w:tcBorders>
              <w:top w:val="nil"/>
              <w:left w:val="nil"/>
              <w:bottom w:val="single" w:sz="4" w:space="0" w:color="auto"/>
              <w:right w:val="double" w:sz="6" w:space="0" w:color="auto"/>
            </w:tcBorders>
            <w:shd w:val="clear" w:color="auto" w:fill="auto"/>
            <w:vAlign w:val="center"/>
            <w:hideMark/>
          </w:tcPr>
          <w:p w14:paraId="090DA0A7"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C755B1" w:rsidRPr="000A46ED" w14:paraId="07E43FBB"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DBF5D66" w14:textId="3047F11D"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doing Maths.</w:t>
            </w:r>
          </w:p>
        </w:tc>
        <w:tc>
          <w:tcPr>
            <w:tcW w:w="255" w:type="pct"/>
            <w:tcBorders>
              <w:top w:val="nil"/>
              <w:left w:val="double" w:sz="6" w:space="0" w:color="auto"/>
              <w:bottom w:val="single" w:sz="4" w:space="0" w:color="auto"/>
              <w:right w:val="nil"/>
            </w:tcBorders>
            <w:shd w:val="clear" w:color="000000" w:fill="F2DCDB"/>
            <w:vAlign w:val="center"/>
          </w:tcPr>
          <w:p w14:paraId="516ED005" w14:textId="77777777" w:rsidR="00C755B1" w:rsidRDefault="00C755B1" w:rsidP="00C755B1">
            <w:pPr>
              <w:jc w:val="right"/>
              <w:rPr>
                <w:color w:val="000000"/>
                <w:sz w:val="24"/>
                <w:szCs w:val="24"/>
              </w:rPr>
            </w:pPr>
            <w:r>
              <w:rPr>
                <w:color w:val="000000"/>
              </w:rPr>
              <w:t>62</w:t>
            </w:r>
          </w:p>
        </w:tc>
        <w:tc>
          <w:tcPr>
            <w:tcW w:w="256" w:type="pct"/>
            <w:tcBorders>
              <w:top w:val="nil"/>
              <w:left w:val="double" w:sz="6" w:space="0" w:color="auto"/>
              <w:bottom w:val="single" w:sz="4" w:space="0" w:color="auto"/>
              <w:right w:val="nil"/>
            </w:tcBorders>
            <w:shd w:val="clear" w:color="000000" w:fill="F2DCDB"/>
            <w:vAlign w:val="center"/>
          </w:tcPr>
          <w:p w14:paraId="232F31F9" w14:textId="77777777" w:rsidR="00C755B1" w:rsidRDefault="00C755B1" w:rsidP="00C755B1">
            <w:pPr>
              <w:jc w:val="right"/>
              <w:rPr>
                <w:color w:val="000000"/>
                <w:sz w:val="24"/>
                <w:szCs w:val="24"/>
              </w:rPr>
            </w:pPr>
            <w:r>
              <w:rPr>
                <w:color w:val="000000"/>
              </w:rPr>
              <w:t>95</w:t>
            </w:r>
          </w:p>
        </w:tc>
        <w:tc>
          <w:tcPr>
            <w:tcW w:w="249" w:type="pct"/>
            <w:tcBorders>
              <w:top w:val="nil"/>
              <w:left w:val="double" w:sz="6" w:space="0" w:color="auto"/>
              <w:bottom w:val="single" w:sz="4" w:space="0" w:color="auto"/>
              <w:right w:val="nil"/>
            </w:tcBorders>
            <w:shd w:val="clear" w:color="000000" w:fill="F2DCDB"/>
            <w:vAlign w:val="center"/>
          </w:tcPr>
          <w:p w14:paraId="649CF559" w14:textId="77777777" w:rsidR="00C755B1" w:rsidRDefault="00C755B1" w:rsidP="00C755B1">
            <w:pPr>
              <w:jc w:val="right"/>
              <w:rPr>
                <w:color w:val="000000"/>
                <w:sz w:val="24"/>
                <w:szCs w:val="24"/>
              </w:rPr>
            </w:pPr>
            <w:r>
              <w:rPr>
                <w:color w:val="000000"/>
              </w:rPr>
              <w:t>198</w:t>
            </w:r>
          </w:p>
        </w:tc>
        <w:tc>
          <w:tcPr>
            <w:tcW w:w="249" w:type="pct"/>
            <w:tcBorders>
              <w:top w:val="nil"/>
              <w:left w:val="double" w:sz="6" w:space="0" w:color="auto"/>
              <w:bottom w:val="single" w:sz="4" w:space="0" w:color="auto"/>
              <w:right w:val="nil"/>
            </w:tcBorders>
            <w:shd w:val="clear" w:color="000000" w:fill="F2DCDB"/>
            <w:vAlign w:val="center"/>
          </w:tcPr>
          <w:p w14:paraId="747D33A4" w14:textId="77777777" w:rsidR="00C755B1" w:rsidRDefault="00C755B1" w:rsidP="00C755B1">
            <w:pPr>
              <w:jc w:val="right"/>
              <w:rPr>
                <w:color w:val="000000"/>
                <w:sz w:val="24"/>
                <w:szCs w:val="24"/>
              </w:rPr>
            </w:pPr>
            <w:r>
              <w:rPr>
                <w:color w:val="000000"/>
              </w:rPr>
              <w:t>234</w:t>
            </w:r>
          </w:p>
        </w:tc>
        <w:tc>
          <w:tcPr>
            <w:tcW w:w="222" w:type="pct"/>
            <w:tcBorders>
              <w:top w:val="nil"/>
              <w:left w:val="double" w:sz="6" w:space="0" w:color="auto"/>
              <w:bottom w:val="single" w:sz="4" w:space="0" w:color="auto"/>
              <w:right w:val="nil"/>
            </w:tcBorders>
            <w:shd w:val="clear" w:color="000000" w:fill="F2DCDB"/>
            <w:vAlign w:val="center"/>
          </w:tcPr>
          <w:p w14:paraId="02331264" w14:textId="77777777" w:rsidR="00C755B1" w:rsidRDefault="00C755B1" w:rsidP="00C755B1">
            <w:pPr>
              <w:jc w:val="right"/>
              <w:rPr>
                <w:color w:val="000000"/>
                <w:sz w:val="24"/>
                <w:szCs w:val="24"/>
              </w:rPr>
            </w:pPr>
            <w:r>
              <w:rPr>
                <w:color w:val="000000"/>
              </w:rPr>
              <w:t>142</w:t>
            </w:r>
          </w:p>
        </w:tc>
        <w:tc>
          <w:tcPr>
            <w:tcW w:w="228" w:type="pct"/>
            <w:tcBorders>
              <w:top w:val="nil"/>
              <w:left w:val="double" w:sz="6" w:space="0" w:color="auto"/>
              <w:bottom w:val="single" w:sz="4" w:space="0" w:color="auto"/>
              <w:right w:val="nil"/>
            </w:tcBorders>
            <w:shd w:val="clear" w:color="000000" w:fill="F2DCDB"/>
            <w:vAlign w:val="center"/>
          </w:tcPr>
          <w:p w14:paraId="7C554AE2" w14:textId="77777777" w:rsidR="00C755B1" w:rsidRDefault="00C755B1" w:rsidP="00C755B1">
            <w:pPr>
              <w:jc w:val="right"/>
              <w:rPr>
                <w:color w:val="000000"/>
                <w:sz w:val="24"/>
                <w:szCs w:val="24"/>
              </w:rPr>
            </w:pPr>
            <w:r>
              <w:rPr>
                <w:color w:val="000000"/>
              </w:rPr>
              <w:t>107</w:t>
            </w:r>
          </w:p>
        </w:tc>
        <w:tc>
          <w:tcPr>
            <w:tcW w:w="291" w:type="pct"/>
            <w:tcBorders>
              <w:top w:val="nil"/>
              <w:left w:val="double" w:sz="6" w:space="0" w:color="auto"/>
              <w:bottom w:val="single" w:sz="4" w:space="0" w:color="auto"/>
              <w:right w:val="nil"/>
            </w:tcBorders>
            <w:shd w:val="clear" w:color="000000" w:fill="F2DCDB"/>
            <w:vAlign w:val="center"/>
          </w:tcPr>
          <w:p w14:paraId="6F26C805" w14:textId="77777777" w:rsidR="00C755B1" w:rsidRDefault="00C755B1" w:rsidP="00C755B1">
            <w:pPr>
              <w:jc w:val="right"/>
              <w:rPr>
                <w:color w:val="000000"/>
                <w:sz w:val="24"/>
                <w:szCs w:val="24"/>
              </w:rPr>
            </w:pPr>
            <w:r>
              <w:rPr>
                <w:color w:val="000000"/>
              </w:rPr>
              <w:t>76</w:t>
            </w:r>
          </w:p>
        </w:tc>
        <w:tc>
          <w:tcPr>
            <w:tcW w:w="299" w:type="pct"/>
            <w:tcBorders>
              <w:top w:val="nil"/>
              <w:left w:val="double" w:sz="6" w:space="0" w:color="auto"/>
              <w:bottom w:val="single" w:sz="4" w:space="0" w:color="auto"/>
              <w:right w:val="nil"/>
            </w:tcBorders>
            <w:shd w:val="clear" w:color="000000" w:fill="F2DCDB"/>
            <w:vAlign w:val="center"/>
          </w:tcPr>
          <w:p w14:paraId="3DD46BC4" w14:textId="77777777" w:rsidR="00C755B1" w:rsidRDefault="00C755B1" w:rsidP="00C755B1">
            <w:pPr>
              <w:jc w:val="right"/>
              <w:rPr>
                <w:color w:val="000000"/>
                <w:sz w:val="24"/>
                <w:szCs w:val="24"/>
              </w:rPr>
            </w:pPr>
            <w:r>
              <w:rPr>
                <w:color w:val="000000"/>
              </w:rPr>
              <w:t>59</w:t>
            </w:r>
          </w:p>
        </w:tc>
        <w:tc>
          <w:tcPr>
            <w:tcW w:w="222" w:type="pct"/>
            <w:tcBorders>
              <w:top w:val="nil"/>
              <w:left w:val="double" w:sz="6" w:space="0" w:color="auto"/>
              <w:bottom w:val="single" w:sz="4" w:space="0" w:color="auto"/>
              <w:right w:val="nil"/>
            </w:tcBorders>
            <w:shd w:val="clear" w:color="000000" w:fill="F2DCDB"/>
            <w:vAlign w:val="center"/>
          </w:tcPr>
          <w:p w14:paraId="19371319" w14:textId="77777777" w:rsidR="00C755B1" w:rsidRDefault="00C755B1" w:rsidP="00C755B1">
            <w:pPr>
              <w:jc w:val="right"/>
              <w:rPr>
                <w:color w:val="000000"/>
                <w:sz w:val="24"/>
                <w:szCs w:val="24"/>
              </w:rPr>
            </w:pPr>
            <w:r>
              <w:rPr>
                <w:color w:val="000000"/>
              </w:rPr>
              <w:t>23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0E47833" w14:textId="77777777" w:rsidR="00C755B1" w:rsidRDefault="00C755B1" w:rsidP="00C755B1">
            <w:pPr>
              <w:jc w:val="right"/>
              <w:rPr>
                <w:color w:val="000000"/>
                <w:sz w:val="24"/>
                <w:szCs w:val="24"/>
              </w:rPr>
            </w:pPr>
            <w:r>
              <w:rPr>
                <w:color w:val="000000"/>
              </w:rPr>
              <w:t>22</w:t>
            </w:r>
          </w:p>
        </w:tc>
      </w:tr>
      <w:tr w:rsidR="00C755B1" w:rsidRPr="000A46ED" w14:paraId="25084D82"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A6D9E82" w14:textId="4F7516F9"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2.It is important to learn Maths.</w:t>
            </w:r>
          </w:p>
        </w:tc>
        <w:tc>
          <w:tcPr>
            <w:tcW w:w="255" w:type="pct"/>
            <w:tcBorders>
              <w:top w:val="nil"/>
              <w:left w:val="double" w:sz="6" w:space="0" w:color="auto"/>
              <w:bottom w:val="single" w:sz="4" w:space="0" w:color="auto"/>
              <w:right w:val="nil"/>
            </w:tcBorders>
            <w:shd w:val="clear" w:color="000000" w:fill="F2DCDB"/>
            <w:vAlign w:val="center"/>
          </w:tcPr>
          <w:p w14:paraId="3A66B632" w14:textId="77777777" w:rsidR="00C755B1" w:rsidRDefault="00C755B1" w:rsidP="00C755B1">
            <w:pPr>
              <w:jc w:val="right"/>
              <w:rPr>
                <w:color w:val="000000"/>
                <w:sz w:val="24"/>
                <w:szCs w:val="24"/>
              </w:rPr>
            </w:pPr>
            <w:r>
              <w:rPr>
                <w:color w:val="000000"/>
              </w:rPr>
              <w:t>230</w:t>
            </w:r>
          </w:p>
        </w:tc>
        <w:tc>
          <w:tcPr>
            <w:tcW w:w="256" w:type="pct"/>
            <w:tcBorders>
              <w:top w:val="nil"/>
              <w:left w:val="double" w:sz="6" w:space="0" w:color="auto"/>
              <w:bottom w:val="single" w:sz="4" w:space="0" w:color="auto"/>
              <w:right w:val="nil"/>
            </w:tcBorders>
            <w:shd w:val="clear" w:color="000000" w:fill="F2DCDB"/>
            <w:vAlign w:val="center"/>
          </w:tcPr>
          <w:p w14:paraId="11687542" w14:textId="77777777" w:rsidR="00C755B1" w:rsidRDefault="00C755B1" w:rsidP="00C755B1">
            <w:pPr>
              <w:jc w:val="right"/>
              <w:rPr>
                <w:color w:val="000000"/>
                <w:sz w:val="24"/>
                <w:szCs w:val="24"/>
              </w:rPr>
            </w:pPr>
            <w:r>
              <w:rPr>
                <w:color w:val="000000"/>
              </w:rPr>
              <w:t>271</w:t>
            </w:r>
          </w:p>
        </w:tc>
        <w:tc>
          <w:tcPr>
            <w:tcW w:w="249" w:type="pct"/>
            <w:tcBorders>
              <w:top w:val="nil"/>
              <w:left w:val="double" w:sz="6" w:space="0" w:color="auto"/>
              <w:bottom w:val="single" w:sz="4" w:space="0" w:color="auto"/>
              <w:right w:val="nil"/>
            </w:tcBorders>
            <w:shd w:val="clear" w:color="000000" w:fill="F2DCDB"/>
            <w:vAlign w:val="center"/>
          </w:tcPr>
          <w:p w14:paraId="6F671753" w14:textId="77777777" w:rsidR="00C755B1" w:rsidRDefault="00C755B1" w:rsidP="00C755B1">
            <w:pPr>
              <w:jc w:val="right"/>
              <w:rPr>
                <w:color w:val="000000"/>
                <w:sz w:val="24"/>
                <w:szCs w:val="24"/>
              </w:rPr>
            </w:pPr>
            <w:r>
              <w:rPr>
                <w:color w:val="000000"/>
              </w:rPr>
              <w:t>235</w:t>
            </w:r>
          </w:p>
        </w:tc>
        <w:tc>
          <w:tcPr>
            <w:tcW w:w="249" w:type="pct"/>
            <w:tcBorders>
              <w:top w:val="nil"/>
              <w:left w:val="double" w:sz="6" w:space="0" w:color="auto"/>
              <w:bottom w:val="single" w:sz="4" w:space="0" w:color="auto"/>
              <w:right w:val="nil"/>
            </w:tcBorders>
            <w:shd w:val="clear" w:color="000000" w:fill="F2DCDB"/>
            <w:vAlign w:val="center"/>
          </w:tcPr>
          <w:p w14:paraId="60F6CDC0" w14:textId="77777777" w:rsidR="00C755B1" w:rsidRDefault="00C755B1" w:rsidP="00C755B1">
            <w:pPr>
              <w:jc w:val="right"/>
              <w:rPr>
                <w:color w:val="000000"/>
                <w:sz w:val="24"/>
                <w:szCs w:val="24"/>
              </w:rPr>
            </w:pPr>
            <w:r>
              <w:rPr>
                <w:color w:val="000000"/>
              </w:rPr>
              <w:t>218</w:t>
            </w:r>
          </w:p>
        </w:tc>
        <w:tc>
          <w:tcPr>
            <w:tcW w:w="222" w:type="pct"/>
            <w:tcBorders>
              <w:top w:val="nil"/>
              <w:left w:val="double" w:sz="6" w:space="0" w:color="auto"/>
              <w:bottom w:val="single" w:sz="4" w:space="0" w:color="auto"/>
              <w:right w:val="nil"/>
            </w:tcBorders>
            <w:shd w:val="clear" w:color="000000" w:fill="F2DCDB"/>
            <w:vAlign w:val="center"/>
          </w:tcPr>
          <w:p w14:paraId="77402FAA" w14:textId="77777777" w:rsidR="00C755B1" w:rsidRDefault="00C755B1" w:rsidP="00C755B1">
            <w:pPr>
              <w:jc w:val="right"/>
              <w:rPr>
                <w:color w:val="000000"/>
                <w:sz w:val="24"/>
                <w:szCs w:val="24"/>
              </w:rPr>
            </w:pPr>
            <w:r>
              <w:rPr>
                <w:color w:val="000000"/>
              </w:rPr>
              <w:t>15</w:t>
            </w:r>
          </w:p>
        </w:tc>
        <w:tc>
          <w:tcPr>
            <w:tcW w:w="228" w:type="pct"/>
            <w:tcBorders>
              <w:top w:val="nil"/>
              <w:left w:val="double" w:sz="6" w:space="0" w:color="auto"/>
              <w:bottom w:val="single" w:sz="4" w:space="0" w:color="auto"/>
              <w:right w:val="nil"/>
            </w:tcBorders>
            <w:shd w:val="clear" w:color="000000" w:fill="F2DCDB"/>
            <w:vAlign w:val="center"/>
          </w:tcPr>
          <w:p w14:paraId="747182B1" w14:textId="77777777" w:rsidR="00C755B1" w:rsidRDefault="00C755B1" w:rsidP="00C755B1">
            <w:pPr>
              <w:jc w:val="right"/>
              <w:rPr>
                <w:color w:val="000000"/>
                <w:sz w:val="24"/>
                <w:szCs w:val="24"/>
              </w:rPr>
            </w:pPr>
            <w:r>
              <w:rPr>
                <w:color w:val="000000"/>
              </w:rPr>
              <w:t>22</w:t>
            </w:r>
          </w:p>
        </w:tc>
        <w:tc>
          <w:tcPr>
            <w:tcW w:w="291" w:type="pct"/>
            <w:tcBorders>
              <w:top w:val="nil"/>
              <w:left w:val="double" w:sz="6" w:space="0" w:color="auto"/>
              <w:bottom w:val="single" w:sz="4" w:space="0" w:color="auto"/>
              <w:right w:val="nil"/>
            </w:tcBorders>
            <w:shd w:val="clear" w:color="000000" w:fill="F2DCDB"/>
            <w:vAlign w:val="center"/>
          </w:tcPr>
          <w:p w14:paraId="41AFBCE8" w14:textId="77777777" w:rsidR="00C755B1" w:rsidRDefault="00C755B1" w:rsidP="00C755B1">
            <w:pPr>
              <w:jc w:val="right"/>
              <w:rPr>
                <w:color w:val="000000"/>
                <w:sz w:val="24"/>
                <w:szCs w:val="24"/>
              </w:rPr>
            </w:pPr>
            <w:r>
              <w:rPr>
                <w:color w:val="000000"/>
              </w:rPr>
              <w:t>14</w:t>
            </w:r>
          </w:p>
        </w:tc>
        <w:tc>
          <w:tcPr>
            <w:tcW w:w="299" w:type="pct"/>
            <w:tcBorders>
              <w:top w:val="nil"/>
              <w:left w:val="double" w:sz="6" w:space="0" w:color="auto"/>
              <w:bottom w:val="single" w:sz="4" w:space="0" w:color="auto"/>
              <w:right w:val="nil"/>
            </w:tcBorders>
            <w:shd w:val="clear" w:color="000000" w:fill="F2DCDB"/>
            <w:vAlign w:val="center"/>
          </w:tcPr>
          <w:p w14:paraId="0DEEECD2" w14:textId="77777777" w:rsidR="00C755B1" w:rsidRDefault="00C755B1" w:rsidP="00C755B1">
            <w:pPr>
              <w:jc w:val="right"/>
              <w:rPr>
                <w:color w:val="000000"/>
                <w:sz w:val="24"/>
                <w:szCs w:val="24"/>
              </w:rPr>
            </w:pPr>
            <w:r>
              <w:rPr>
                <w:color w:val="000000"/>
              </w:rPr>
              <w:t>4</w:t>
            </w:r>
          </w:p>
        </w:tc>
        <w:tc>
          <w:tcPr>
            <w:tcW w:w="222" w:type="pct"/>
            <w:tcBorders>
              <w:top w:val="nil"/>
              <w:left w:val="double" w:sz="6" w:space="0" w:color="auto"/>
              <w:bottom w:val="single" w:sz="4" w:space="0" w:color="auto"/>
              <w:right w:val="nil"/>
            </w:tcBorders>
            <w:shd w:val="clear" w:color="000000" w:fill="F2DCDB"/>
            <w:vAlign w:val="center"/>
          </w:tcPr>
          <w:p w14:paraId="21FFF448" w14:textId="77777777" w:rsidR="00C755B1" w:rsidRDefault="00C755B1" w:rsidP="00C755B1">
            <w:pPr>
              <w:jc w:val="right"/>
              <w:rPr>
                <w:color w:val="000000"/>
                <w:sz w:val="24"/>
                <w:szCs w:val="24"/>
              </w:rPr>
            </w:pPr>
            <w:r>
              <w:rPr>
                <w:color w:val="000000"/>
              </w:rPr>
              <w:t>6</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34B2646" w14:textId="77777777" w:rsidR="00C755B1" w:rsidRDefault="00C755B1" w:rsidP="00C755B1">
            <w:pPr>
              <w:jc w:val="right"/>
              <w:rPr>
                <w:color w:val="000000"/>
                <w:sz w:val="24"/>
                <w:szCs w:val="24"/>
              </w:rPr>
            </w:pPr>
            <w:r>
              <w:rPr>
                <w:color w:val="000000"/>
              </w:rPr>
              <w:t>3</w:t>
            </w:r>
          </w:p>
        </w:tc>
      </w:tr>
      <w:tr w:rsidR="00C755B1" w:rsidRPr="000A46ED" w14:paraId="4BB45955"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A92344A" w14:textId="59FF2BD1"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Maths skills.</w:t>
            </w:r>
          </w:p>
        </w:tc>
        <w:tc>
          <w:tcPr>
            <w:tcW w:w="255" w:type="pct"/>
            <w:tcBorders>
              <w:top w:val="nil"/>
              <w:left w:val="double" w:sz="6" w:space="0" w:color="auto"/>
              <w:bottom w:val="single" w:sz="4" w:space="0" w:color="auto"/>
              <w:right w:val="nil"/>
            </w:tcBorders>
            <w:shd w:val="clear" w:color="000000" w:fill="F2DCDB"/>
            <w:vAlign w:val="center"/>
          </w:tcPr>
          <w:p w14:paraId="65ECE055" w14:textId="77777777" w:rsidR="00C755B1" w:rsidRDefault="00C755B1" w:rsidP="00C755B1">
            <w:pPr>
              <w:jc w:val="right"/>
              <w:rPr>
                <w:color w:val="000000"/>
                <w:sz w:val="24"/>
                <w:szCs w:val="24"/>
              </w:rPr>
            </w:pPr>
            <w:r>
              <w:rPr>
                <w:color w:val="000000"/>
              </w:rPr>
              <w:t>48</w:t>
            </w:r>
          </w:p>
        </w:tc>
        <w:tc>
          <w:tcPr>
            <w:tcW w:w="256" w:type="pct"/>
            <w:tcBorders>
              <w:top w:val="nil"/>
              <w:left w:val="double" w:sz="6" w:space="0" w:color="auto"/>
              <w:bottom w:val="single" w:sz="4" w:space="0" w:color="auto"/>
              <w:right w:val="nil"/>
            </w:tcBorders>
            <w:shd w:val="clear" w:color="000000" w:fill="F2DCDB"/>
            <w:vAlign w:val="center"/>
          </w:tcPr>
          <w:p w14:paraId="4B671AD5" w14:textId="77777777" w:rsidR="00C755B1" w:rsidRDefault="00C755B1" w:rsidP="00C755B1">
            <w:pPr>
              <w:jc w:val="right"/>
              <w:rPr>
                <w:color w:val="000000"/>
                <w:sz w:val="24"/>
                <w:szCs w:val="24"/>
              </w:rPr>
            </w:pPr>
            <w:r>
              <w:rPr>
                <w:color w:val="000000"/>
              </w:rPr>
              <w:t>71</w:t>
            </w:r>
          </w:p>
        </w:tc>
        <w:tc>
          <w:tcPr>
            <w:tcW w:w="249" w:type="pct"/>
            <w:tcBorders>
              <w:top w:val="nil"/>
              <w:left w:val="double" w:sz="6" w:space="0" w:color="auto"/>
              <w:bottom w:val="single" w:sz="4" w:space="0" w:color="auto"/>
              <w:right w:val="nil"/>
            </w:tcBorders>
            <w:shd w:val="clear" w:color="000000" w:fill="F2DCDB"/>
            <w:vAlign w:val="center"/>
          </w:tcPr>
          <w:p w14:paraId="4D7D442E" w14:textId="77777777" w:rsidR="00C755B1" w:rsidRDefault="00C755B1" w:rsidP="00C755B1">
            <w:pPr>
              <w:jc w:val="right"/>
              <w:rPr>
                <w:color w:val="000000"/>
                <w:sz w:val="24"/>
                <w:szCs w:val="24"/>
              </w:rPr>
            </w:pPr>
            <w:r>
              <w:rPr>
                <w:color w:val="000000"/>
              </w:rPr>
              <w:t>207</w:t>
            </w:r>
          </w:p>
        </w:tc>
        <w:tc>
          <w:tcPr>
            <w:tcW w:w="249" w:type="pct"/>
            <w:tcBorders>
              <w:top w:val="nil"/>
              <w:left w:val="double" w:sz="6" w:space="0" w:color="auto"/>
              <w:bottom w:val="single" w:sz="4" w:space="0" w:color="auto"/>
              <w:right w:val="nil"/>
            </w:tcBorders>
            <w:shd w:val="clear" w:color="000000" w:fill="F2DCDB"/>
            <w:vAlign w:val="center"/>
          </w:tcPr>
          <w:p w14:paraId="59AD7AA4" w14:textId="77777777" w:rsidR="00C755B1" w:rsidRDefault="00C755B1" w:rsidP="00C755B1">
            <w:pPr>
              <w:jc w:val="right"/>
              <w:rPr>
                <w:color w:val="000000"/>
                <w:sz w:val="24"/>
                <w:szCs w:val="24"/>
              </w:rPr>
            </w:pPr>
            <w:r>
              <w:rPr>
                <w:color w:val="000000"/>
              </w:rPr>
              <w:t>262</w:t>
            </w:r>
          </w:p>
        </w:tc>
        <w:tc>
          <w:tcPr>
            <w:tcW w:w="222" w:type="pct"/>
            <w:tcBorders>
              <w:top w:val="nil"/>
              <w:left w:val="double" w:sz="6" w:space="0" w:color="auto"/>
              <w:bottom w:val="single" w:sz="4" w:space="0" w:color="auto"/>
              <w:right w:val="nil"/>
            </w:tcBorders>
            <w:shd w:val="clear" w:color="000000" w:fill="F2DCDB"/>
            <w:vAlign w:val="center"/>
          </w:tcPr>
          <w:p w14:paraId="6F46CEED" w14:textId="77777777" w:rsidR="00C755B1" w:rsidRDefault="00C755B1" w:rsidP="00C755B1">
            <w:pPr>
              <w:jc w:val="right"/>
              <w:rPr>
                <w:color w:val="000000"/>
                <w:sz w:val="24"/>
                <w:szCs w:val="24"/>
              </w:rPr>
            </w:pPr>
            <w:r>
              <w:rPr>
                <w:color w:val="000000"/>
              </w:rPr>
              <w:t>157</w:t>
            </w:r>
          </w:p>
        </w:tc>
        <w:tc>
          <w:tcPr>
            <w:tcW w:w="228" w:type="pct"/>
            <w:tcBorders>
              <w:top w:val="nil"/>
              <w:left w:val="double" w:sz="6" w:space="0" w:color="auto"/>
              <w:bottom w:val="single" w:sz="4" w:space="0" w:color="auto"/>
              <w:right w:val="nil"/>
            </w:tcBorders>
            <w:shd w:val="clear" w:color="000000" w:fill="F2DCDB"/>
            <w:vAlign w:val="center"/>
          </w:tcPr>
          <w:p w14:paraId="0A7D42C7" w14:textId="77777777" w:rsidR="00C755B1" w:rsidRDefault="00C755B1" w:rsidP="00C755B1">
            <w:pPr>
              <w:jc w:val="right"/>
              <w:rPr>
                <w:color w:val="000000"/>
                <w:sz w:val="24"/>
                <w:szCs w:val="24"/>
              </w:rPr>
            </w:pPr>
            <w:r>
              <w:rPr>
                <w:color w:val="000000"/>
              </w:rPr>
              <w:t>119</w:t>
            </w:r>
          </w:p>
        </w:tc>
        <w:tc>
          <w:tcPr>
            <w:tcW w:w="291" w:type="pct"/>
            <w:tcBorders>
              <w:top w:val="nil"/>
              <w:left w:val="double" w:sz="6" w:space="0" w:color="auto"/>
              <w:bottom w:val="single" w:sz="4" w:space="0" w:color="auto"/>
              <w:right w:val="nil"/>
            </w:tcBorders>
            <w:shd w:val="clear" w:color="000000" w:fill="F2DCDB"/>
            <w:vAlign w:val="center"/>
          </w:tcPr>
          <w:p w14:paraId="02777655" w14:textId="77777777" w:rsidR="00C755B1" w:rsidRDefault="00C755B1" w:rsidP="00C755B1">
            <w:pPr>
              <w:jc w:val="right"/>
              <w:rPr>
                <w:color w:val="000000"/>
                <w:sz w:val="24"/>
                <w:szCs w:val="24"/>
              </w:rPr>
            </w:pPr>
            <w:r>
              <w:rPr>
                <w:color w:val="000000"/>
              </w:rPr>
              <w:t>48</w:t>
            </w:r>
          </w:p>
        </w:tc>
        <w:tc>
          <w:tcPr>
            <w:tcW w:w="299" w:type="pct"/>
            <w:tcBorders>
              <w:top w:val="nil"/>
              <w:left w:val="double" w:sz="6" w:space="0" w:color="auto"/>
              <w:bottom w:val="single" w:sz="4" w:space="0" w:color="auto"/>
              <w:right w:val="nil"/>
            </w:tcBorders>
            <w:shd w:val="clear" w:color="000000" w:fill="F2DCDB"/>
            <w:vAlign w:val="center"/>
          </w:tcPr>
          <w:p w14:paraId="3C034A89" w14:textId="77777777" w:rsidR="00C755B1" w:rsidRDefault="00C755B1" w:rsidP="00C755B1">
            <w:pPr>
              <w:jc w:val="right"/>
              <w:rPr>
                <w:color w:val="000000"/>
                <w:sz w:val="24"/>
                <w:szCs w:val="24"/>
              </w:rPr>
            </w:pPr>
            <w:r>
              <w:rPr>
                <w:color w:val="000000"/>
              </w:rPr>
              <w:t>30</w:t>
            </w:r>
          </w:p>
        </w:tc>
        <w:tc>
          <w:tcPr>
            <w:tcW w:w="222" w:type="pct"/>
            <w:tcBorders>
              <w:top w:val="nil"/>
              <w:left w:val="double" w:sz="6" w:space="0" w:color="auto"/>
              <w:bottom w:val="single" w:sz="4" w:space="0" w:color="auto"/>
              <w:right w:val="nil"/>
            </w:tcBorders>
            <w:shd w:val="clear" w:color="000000" w:fill="F2DCDB"/>
            <w:vAlign w:val="center"/>
          </w:tcPr>
          <w:p w14:paraId="654F3154" w14:textId="77777777" w:rsidR="00C755B1" w:rsidRDefault="00C755B1" w:rsidP="00C755B1">
            <w:pPr>
              <w:jc w:val="right"/>
              <w:rPr>
                <w:color w:val="000000"/>
                <w:sz w:val="24"/>
                <w:szCs w:val="24"/>
              </w:rPr>
            </w:pPr>
            <w:r>
              <w:rPr>
                <w:color w:val="000000"/>
              </w:rPr>
              <w:t>42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A243FE7" w14:textId="77777777" w:rsidR="00C755B1" w:rsidRDefault="00C755B1" w:rsidP="00C755B1">
            <w:pPr>
              <w:jc w:val="right"/>
              <w:rPr>
                <w:color w:val="000000"/>
                <w:sz w:val="24"/>
                <w:szCs w:val="24"/>
              </w:rPr>
            </w:pPr>
            <w:r>
              <w:rPr>
                <w:color w:val="000000"/>
              </w:rPr>
              <w:t>34</w:t>
            </w:r>
          </w:p>
        </w:tc>
      </w:tr>
      <w:tr w:rsidR="00C755B1" w:rsidRPr="000A46ED" w14:paraId="13BF9F39"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0D3F89B" w14:textId="2D40D734"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learning as I get older.</w:t>
            </w:r>
          </w:p>
        </w:tc>
        <w:tc>
          <w:tcPr>
            <w:tcW w:w="255" w:type="pct"/>
            <w:tcBorders>
              <w:top w:val="nil"/>
              <w:left w:val="double" w:sz="6" w:space="0" w:color="auto"/>
              <w:bottom w:val="single" w:sz="4" w:space="0" w:color="auto"/>
              <w:right w:val="nil"/>
            </w:tcBorders>
            <w:shd w:val="clear" w:color="000000" w:fill="F2DCDB"/>
            <w:vAlign w:val="center"/>
          </w:tcPr>
          <w:p w14:paraId="3EF52D46" w14:textId="77777777" w:rsidR="00C755B1" w:rsidRDefault="00C755B1" w:rsidP="00C755B1">
            <w:pPr>
              <w:jc w:val="right"/>
              <w:rPr>
                <w:color w:val="000000"/>
                <w:sz w:val="24"/>
                <w:szCs w:val="24"/>
              </w:rPr>
            </w:pPr>
            <w:r>
              <w:rPr>
                <w:color w:val="000000"/>
              </w:rPr>
              <w:t>111</w:t>
            </w:r>
          </w:p>
        </w:tc>
        <w:tc>
          <w:tcPr>
            <w:tcW w:w="256" w:type="pct"/>
            <w:tcBorders>
              <w:top w:val="nil"/>
              <w:left w:val="double" w:sz="6" w:space="0" w:color="auto"/>
              <w:bottom w:val="single" w:sz="4" w:space="0" w:color="auto"/>
              <w:right w:val="nil"/>
            </w:tcBorders>
            <w:shd w:val="clear" w:color="000000" w:fill="F2DCDB"/>
            <w:vAlign w:val="center"/>
          </w:tcPr>
          <w:p w14:paraId="5ED69D89" w14:textId="77777777" w:rsidR="00C755B1" w:rsidRDefault="00C755B1" w:rsidP="00C755B1">
            <w:pPr>
              <w:jc w:val="right"/>
              <w:rPr>
                <w:color w:val="000000"/>
                <w:sz w:val="24"/>
                <w:szCs w:val="24"/>
              </w:rPr>
            </w:pPr>
            <w:r>
              <w:rPr>
                <w:color w:val="000000"/>
              </w:rPr>
              <w:t>128</w:t>
            </w:r>
          </w:p>
        </w:tc>
        <w:tc>
          <w:tcPr>
            <w:tcW w:w="249" w:type="pct"/>
            <w:tcBorders>
              <w:top w:val="nil"/>
              <w:left w:val="double" w:sz="6" w:space="0" w:color="auto"/>
              <w:bottom w:val="single" w:sz="4" w:space="0" w:color="auto"/>
              <w:right w:val="nil"/>
            </w:tcBorders>
            <w:shd w:val="clear" w:color="000000" w:fill="F2DCDB"/>
            <w:vAlign w:val="center"/>
          </w:tcPr>
          <w:p w14:paraId="6A667911" w14:textId="77777777" w:rsidR="00C755B1" w:rsidRDefault="00C755B1" w:rsidP="00C755B1">
            <w:pPr>
              <w:jc w:val="right"/>
              <w:rPr>
                <w:color w:val="000000"/>
                <w:sz w:val="24"/>
                <w:szCs w:val="24"/>
              </w:rPr>
            </w:pPr>
            <w:r>
              <w:rPr>
                <w:color w:val="000000"/>
              </w:rPr>
              <w:t>273</w:t>
            </w:r>
          </w:p>
        </w:tc>
        <w:tc>
          <w:tcPr>
            <w:tcW w:w="249" w:type="pct"/>
            <w:tcBorders>
              <w:top w:val="nil"/>
              <w:left w:val="double" w:sz="6" w:space="0" w:color="auto"/>
              <w:bottom w:val="single" w:sz="4" w:space="0" w:color="auto"/>
              <w:right w:val="nil"/>
            </w:tcBorders>
            <w:shd w:val="clear" w:color="000000" w:fill="F2DCDB"/>
            <w:vAlign w:val="center"/>
          </w:tcPr>
          <w:p w14:paraId="783F7B61" w14:textId="77777777" w:rsidR="00C755B1" w:rsidRDefault="00C755B1" w:rsidP="00C755B1">
            <w:pPr>
              <w:jc w:val="right"/>
              <w:rPr>
                <w:color w:val="000000"/>
                <w:sz w:val="24"/>
                <w:szCs w:val="24"/>
              </w:rPr>
            </w:pPr>
            <w:r>
              <w:rPr>
                <w:color w:val="000000"/>
              </w:rPr>
              <w:t>286</w:t>
            </w:r>
          </w:p>
        </w:tc>
        <w:tc>
          <w:tcPr>
            <w:tcW w:w="222" w:type="pct"/>
            <w:tcBorders>
              <w:top w:val="nil"/>
              <w:left w:val="double" w:sz="6" w:space="0" w:color="auto"/>
              <w:bottom w:val="single" w:sz="4" w:space="0" w:color="auto"/>
              <w:right w:val="nil"/>
            </w:tcBorders>
            <w:shd w:val="clear" w:color="000000" w:fill="F2DCDB"/>
            <w:vAlign w:val="center"/>
          </w:tcPr>
          <w:p w14:paraId="366D4242" w14:textId="77777777" w:rsidR="00C755B1" w:rsidRDefault="00C755B1" w:rsidP="00C755B1">
            <w:pPr>
              <w:jc w:val="right"/>
              <w:rPr>
                <w:color w:val="000000"/>
                <w:sz w:val="24"/>
                <w:szCs w:val="24"/>
              </w:rPr>
            </w:pPr>
            <w:r>
              <w:rPr>
                <w:color w:val="000000"/>
              </w:rPr>
              <w:t>61</w:t>
            </w:r>
          </w:p>
        </w:tc>
        <w:tc>
          <w:tcPr>
            <w:tcW w:w="228" w:type="pct"/>
            <w:tcBorders>
              <w:top w:val="nil"/>
              <w:left w:val="double" w:sz="6" w:space="0" w:color="auto"/>
              <w:bottom w:val="single" w:sz="4" w:space="0" w:color="auto"/>
              <w:right w:val="nil"/>
            </w:tcBorders>
            <w:shd w:val="clear" w:color="000000" w:fill="F2DCDB"/>
            <w:vAlign w:val="center"/>
          </w:tcPr>
          <w:p w14:paraId="1893A7EF" w14:textId="77777777" w:rsidR="00C755B1" w:rsidRDefault="00C755B1" w:rsidP="00C755B1">
            <w:pPr>
              <w:jc w:val="right"/>
              <w:rPr>
                <w:color w:val="000000"/>
                <w:sz w:val="24"/>
                <w:szCs w:val="24"/>
              </w:rPr>
            </w:pPr>
            <w:r>
              <w:rPr>
                <w:color w:val="000000"/>
              </w:rPr>
              <w:t>57</w:t>
            </w:r>
          </w:p>
        </w:tc>
        <w:tc>
          <w:tcPr>
            <w:tcW w:w="291" w:type="pct"/>
            <w:tcBorders>
              <w:top w:val="nil"/>
              <w:left w:val="double" w:sz="6" w:space="0" w:color="auto"/>
              <w:bottom w:val="single" w:sz="4" w:space="0" w:color="auto"/>
              <w:right w:val="nil"/>
            </w:tcBorders>
            <w:shd w:val="clear" w:color="000000" w:fill="F2DCDB"/>
            <w:vAlign w:val="center"/>
          </w:tcPr>
          <w:p w14:paraId="739E3A03" w14:textId="77777777" w:rsidR="00C755B1" w:rsidRDefault="00C755B1" w:rsidP="00C755B1">
            <w:pPr>
              <w:jc w:val="right"/>
              <w:rPr>
                <w:color w:val="000000"/>
                <w:sz w:val="24"/>
                <w:szCs w:val="24"/>
              </w:rPr>
            </w:pPr>
            <w:r>
              <w:rPr>
                <w:color w:val="000000"/>
              </w:rPr>
              <w:t>22</w:t>
            </w:r>
          </w:p>
        </w:tc>
        <w:tc>
          <w:tcPr>
            <w:tcW w:w="299" w:type="pct"/>
            <w:tcBorders>
              <w:top w:val="nil"/>
              <w:left w:val="double" w:sz="6" w:space="0" w:color="auto"/>
              <w:bottom w:val="single" w:sz="4" w:space="0" w:color="auto"/>
              <w:right w:val="nil"/>
            </w:tcBorders>
            <w:shd w:val="clear" w:color="000000" w:fill="F2DCDB"/>
            <w:vAlign w:val="center"/>
          </w:tcPr>
          <w:p w14:paraId="18247C27" w14:textId="77777777" w:rsidR="00C755B1" w:rsidRDefault="00C755B1" w:rsidP="00C755B1">
            <w:pPr>
              <w:jc w:val="right"/>
              <w:rPr>
                <w:color w:val="000000"/>
                <w:sz w:val="24"/>
                <w:szCs w:val="24"/>
              </w:rPr>
            </w:pPr>
            <w:r>
              <w:rPr>
                <w:color w:val="000000"/>
              </w:rPr>
              <w:t>15</w:t>
            </w:r>
          </w:p>
        </w:tc>
        <w:tc>
          <w:tcPr>
            <w:tcW w:w="222" w:type="pct"/>
            <w:tcBorders>
              <w:top w:val="nil"/>
              <w:left w:val="double" w:sz="6" w:space="0" w:color="auto"/>
              <w:bottom w:val="single" w:sz="4" w:space="0" w:color="auto"/>
              <w:right w:val="nil"/>
            </w:tcBorders>
            <w:shd w:val="clear" w:color="000000" w:fill="F2DCDB"/>
            <w:vAlign w:val="center"/>
          </w:tcPr>
          <w:p w14:paraId="4ABBAFC5" w14:textId="77777777" w:rsidR="00C755B1" w:rsidRDefault="00C755B1" w:rsidP="00C755B1">
            <w:pPr>
              <w:jc w:val="right"/>
              <w:rPr>
                <w:color w:val="000000"/>
                <w:sz w:val="24"/>
                <w:szCs w:val="24"/>
              </w:rPr>
            </w:pPr>
            <w:r>
              <w:rPr>
                <w:color w:val="000000"/>
              </w:rPr>
              <w:t>35</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D52FCF9" w14:textId="77777777" w:rsidR="00C755B1" w:rsidRDefault="00C755B1" w:rsidP="00C755B1">
            <w:pPr>
              <w:jc w:val="right"/>
              <w:rPr>
                <w:color w:val="000000"/>
                <w:sz w:val="24"/>
                <w:szCs w:val="24"/>
              </w:rPr>
            </w:pPr>
            <w:r>
              <w:rPr>
                <w:color w:val="000000"/>
              </w:rPr>
              <w:t>29</w:t>
            </w:r>
          </w:p>
        </w:tc>
      </w:tr>
      <w:tr w:rsidR="00C755B1" w:rsidRPr="000A46ED" w14:paraId="4C3711C1"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94BFB1D" w14:textId="2B8CBD69"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 My teacher expects more of me in Maths as I get older.</w:t>
            </w:r>
          </w:p>
        </w:tc>
        <w:tc>
          <w:tcPr>
            <w:tcW w:w="255" w:type="pct"/>
            <w:tcBorders>
              <w:top w:val="nil"/>
              <w:left w:val="double" w:sz="6" w:space="0" w:color="auto"/>
              <w:bottom w:val="single" w:sz="4" w:space="0" w:color="auto"/>
              <w:right w:val="nil"/>
            </w:tcBorders>
            <w:shd w:val="clear" w:color="000000" w:fill="F2DCDB"/>
            <w:vAlign w:val="center"/>
          </w:tcPr>
          <w:p w14:paraId="32ED6439" w14:textId="77777777" w:rsidR="00C755B1" w:rsidRDefault="00C755B1" w:rsidP="00C755B1">
            <w:pPr>
              <w:jc w:val="right"/>
              <w:rPr>
                <w:color w:val="000000"/>
                <w:sz w:val="24"/>
                <w:szCs w:val="24"/>
              </w:rPr>
            </w:pPr>
            <w:r>
              <w:rPr>
                <w:color w:val="000000"/>
              </w:rPr>
              <w:t>130</w:t>
            </w:r>
          </w:p>
        </w:tc>
        <w:tc>
          <w:tcPr>
            <w:tcW w:w="256" w:type="pct"/>
            <w:tcBorders>
              <w:top w:val="nil"/>
              <w:left w:val="double" w:sz="6" w:space="0" w:color="auto"/>
              <w:bottom w:val="single" w:sz="4" w:space="0" w:color="auto"/>
              <w:right w:val="nil"/>
            </w:tcBorders>
            <w:shd w:val="clear" w:color="000000" w:fill="F2DCDB"/>
            <w:vAlign w:val="center"/>
          </w:tcPr>
          <w:p w14:paraId="582AACA2" w14:textId="77777777" w:rsidR="00C755B1" w:rsidRDefault="00C755B1" w:rsidP="00C755B1">
            <w:pPr>
              <w:jc w:val="right"/>
              <w:rPr>
                <w:color w:val="000000"/>
                <w:sz w:val="24"/>
                <w:szCs w:val="24"/>
              </w:rPr>
            </w:pPr>
            <w:r>
              <w:rPr>
                <w:color w:val="000000"/>
              </w:rPr>
              <w:t>166</w:t>
            </w:r>
          </w:p>
        </w:tc>
        <w:tc>
          <w:tcPr>
            <w:tcW w:w="249" w:type="pct"/>
            <w:tcBorders>
              <w:top w:val="nil"/>
              <w:left w:val="double" w:sz="6" w:space="0" w:color="auto"/>
              <w:bottom w:val="single" w:sz="4" w:space="0" w:color="auto"/>
              <w:right w:val="nil"/>
            </w:tcBorders>
            <w:shd w:val="clear" w:color="000000" w:fill="F2DCDB"/>
            <w:vAlign w:val="center"/>
          </w:tcPr>
          <w:p w14:paraId="782D9917" w14:textId="77777777" w:rsidR="00C755B1" w:rsidRDefault="00C755B1" w:rsidP="00C755B1">
            <w:pPr>
              <w:jc w:val="right"/>
              <w:rPr>
                <w:color w:val="000000"/>
                <w:sz w:val="24"/>
                <w:szCs w:val="24"/>
              </w:rPr>
            </w:pPr>
            <w:r>
              <w:rPr>
                <w:color w:val="000000"/>
              </w:rPr>
              <w:t>292</w:t>
            </w:r>
          </w:p>
        </w:tc>
        <w:tc>
          <w:tcPr>
            <w:tcW w:w="249" w:type="pct"/>
            <w:tcBorders>
              <w:top w:val="nil"/>
              <w:left w:val="double" w:sz="6" w:space="0" w:color="auto"/>
              <w:bottom w:val="single" w:sz="4" w:space="0" w:color="auto"/>
              <w:right w:val="nil"/>
            </w:tcBorders>
            <w:shd w:val="clear" w:color="000000" w:fill="F2DCDB"/>
            <w:vAlign w:val="center"/>
          </w:tcPr>
          <w:p w14:paraId="08570A2F" w14:textId="77777777" w:rsidR="00C755B1" w:rsidRDefault="00C755B1" w:rsidP="00C755B1">
            <w:pPr>
              <w:jc w:val="right"/>
              <w:rPr>
                <w:color w:val="000000"/>
                <w:sz w:val="24"/>
                <w:szCs w:val="24"/>
              </w:rPr>
            </w:pPr>
            <w:r>
              <w:rPr>
                <w:color w:val="000000"/>
              </w:rPr>
              <w:t>282</w:t>
            </w:r>
          </w:p>
        </w:tc>
        <w:tc>
          <w:tcPr>
            <w:tcW w:w="222" w:type="pct"/>
            <w:tcBorders>
              <w:top w:val="nil"/>
              <w:left w:val="double" w:sz="6" w:space="0" w:color="auto"/>
              <w:bottom w:val="single" w:sz="4" w:space="0" w:color="auto"/>
              <w:right w:val="nil"/>
            </w:tcBorders>
            <w:shd w:val="clear" w:color="000000" w:fill="F2DCDB"/>
            <w:vAlign w:val="center"/>
          </w:tcPr>
          <w:p w14:paraId="0E2E663F" w14:textId="77777777" w:rsidR="00C755B1" w:rsidRDefault="00C755B1" w:rsidP="00C755B1">
            <w:pPr>
              <w:jc w:val="right"/>
              <w:rPr>
                <w:color w:val="000000"/>
                <w:sz w:val="24"/>
                <w:szCs w:val="24"/>
              </w:rPr>
            </w:pPr>
            <w:r>
              <w:rPr>
                <w:color w:val="000000"/>
              </w:rPr>
              <w:t>35</w:t>
            </w:r>
          </w:p>
        </w:tc>
        <w:tc>
          <w:tcPr>
            <w:tcW w:w="228" w:type="pct"/>
            <w:tcBorders>
              <w:top w:val="nil"/>
              <w:left w:val="double" w:sz="6" w:space="0" w:color="auto"/>
              <w:bottom w:val="single" w:sz="4" w:space="0" w:color="auto"/>
              <w:right w:val="nil"/>
            </w:tcBorders>
            <w:shd w:val="clear" w:color="000000" w:fill="F2DCDB"/>
            <w:vAlign w:val="center"/>
          </w:tcPr>
          <w:p w14:paraId="25154911" w14:textId="77777777" w:rsidR="00C755B1" w:rsidRDefault="00C755B1" w:rsidP="00C755B1">
            <w:pPr>
              <w:jc w:val="right"/>
              <w:rPr>
                <w:color w:val="000000"/>
                <w:sz w:val="24"/>
                <w:szCs w:val="24"/>
              </w:rPr>
            </w:pPr>
            <w:r>
              <w:rPr>
                <w:color w:val="000000"/>
              </w:rPr>
              <w:t>23</w:t>
            </w:r>
          </w:p>
        </w:tc>
        <w:tc>
          <w:tcPr>
            <w:tcW w:w="291" w:type="pct"/>
            <w:tcBorders>
              <w:top w:val="nil"/>
              <w:left w:val="double" w:sz="6" w:space="0" w:color="auto"/>
              <w:bottom w:val="single" w:sz="4" w:space="0" w:color="auto"/>
              <w:right w:val="nil"/>
            </w:tcBorders>
            <w:shd w:val="clear" w:color="000000" w:fill="F2DCDB"/>
            <w:vAlign w:val="center"/>
          </w:tcPr>
          <w:p w14:paraId="3CA0E446" w14:textId="77777777" w:rsidR="00C755B1" w:rsidRDefault="00C755B1" w:rsidP="00C755B1">
            <w:pPr>
              <w:jc w:val="right"/>
              <w:rPr>
                <w:color w:val="000000"/>
                <w:sz w:val="24"/>
                <w:szCs w:val="24"/>
              </w:rPr>
            </w:pPr>
            <w:r>
              <w:rPr>
                <w:color w:val="000000"/>
              </w:rPr>
              <w:t>14</w:t>
            </w:r>
          </w:p>
        </w:tc>
        <w:tc>
          <w:tcPr>
            <w:tcW w:w="299" w:type="pct"/>
            <w:tcBorders>
              <w:top w:val="nil"/>
              <w:left w:val="double" w:sz="6" w:space="0" w:color="auto"/>
              <w:bottom w:val="single" w:sz="4" w:space="0" w:color="auto"/>
              <w:right w:val="nil"/>
            </w:tcBorders>
            <w:shd w:val="clear" w:color="000000" w:fill="F2DCDB"/>
            <w:vAlign w:val="center"/>
          </w:tcPr>
          <w:p w14:paraId="036215C5" w14:textId="77777777" w:rsidR="00C755B1" w:rsidRDefault="00C755B1" w:rsidP="00C755B1">
            <w:pPr>
              <w:jc w:val="right"/>
              <w:rPr>
                <w:color w:val="000000"/>
                <w:sz w:val="24"/>
                <w:szCs w:val="24"/>
              </w:rPr>
            </w:pPr>
            <w:r>
              <w:rPr>
                <w:color w:val="000000"/>
              </w:rPr>
              <w:t>15</w:t>
            </w:r>
          </w:p>
        </w:tc>
        <w:tc>
          <w:tcPr>
            <w:tcW w:w="222" w:type="pct"/>
            <w:tcBorders>
              <w:top w:val="nil"/>
              <w:left w:val="double" w:sz="6" w:space="0" w:color="auto"/>
              <w:bottom w:val="single" w:sz="4" w:space="0" w:color="auto"/>
              <w:right w:val="nil"/>
            </w:tcBorders>
            <w:shd w:val="clear" w:color="000000" w:fill="F2DCDB"/>
            <w:vAlign w:val="center"/>
          </w:tcPr>
          <w:p w14:paraId="64E9CCDA" w14:textId="77777777" w:rsidR="00C755B1" w:rsidRDefault="00C755B1" w:rsidP="00C755B1">
            <w:pPr>
              <w:jc w:val="right"/>
              <w:rPr>
                <w:color w:val="000000"/>
                <w:sz w:val="24"/>
                <w:szCs w:val="24"/>
              </w:rPr>
            </w:pPr>
            <w:r>
              <w:rPr>
                <w:color w:val="000000"/>
              </w:rPr>
              <w:t>33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7864C06D" w14:textId="77777777" w:rsidR="00C755B1" w:rsidRDefault="00C755B1" w:rsidP="00C755B1">
            <w:pPr>
              <w:jc w:val="right"/>
              <w:rPr>
                <w:color w:val="000000"/>
                <w:sz w:val="24"/>
                <w:szCs w:val="24"/>
              </w:rPr>
            </w:pPr>
            <w:r>
              <w:rPr>
                <w:color w:val="000000"/>
              </w:rPr>
              <w:t>29</w:t>
            </w:r>
          </w:p>
        </w:tc>
      </w:tr>
      <w:tr w:rsidR="00C755B1" w:rsidRPr="000A46ED" w14:paraId="27623982"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7B0F233" w14:textId="0A9A5BF8"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6.y teacher tells me what I am learning in Maths and why.</w:t>
            </w:r>
          </w:p>
        </w:tc>
        <w:tc>
          <w:tcPr>
            <w:tcW w:w="255" w:type="pct"/>
            <w:tcBorders>
              <w:top w:val="nil"/>
              <w:left w:val="double" w:sz="6" w:space="0" w:color="auto"/>
              <w:bottom w:val="single" w:sz="4" w:space="0" w:color="auto"/>
              <w:right w:val="nil"/>
            </w:tcBorders>
            <w:shd w:val="clear" w:color="000000" w:fill="F2DCDB"/>
            <w:vAlign w:val="center"/>
          </w:tcPr>
          <w:p w14:paraId="5A488D9B" w14:textId="77777777" w:rsidR="00C755B1" w:rsidRDefault="00C755B1" w:rsidP="00C755B1">
            <w:pPr>
              <w:jc w:val="right"/>
              <w:rPr>
                <w:color w:val="000000"/>
                <w:sz w:val="24"/>
                <w:szCs w:val="24"/>
              </w:rPr>
            </w:pPr>
            <w:r>
              <w:rPr>
                <w:color w:val="000000"/>
              </w:rPr>
              <w:t>113</w:t>
            </w:r>
          </w:p>
        </w:tc>
        <w:tc>
          <w:tcPr>
            <w:tcW w:w="256" w:type="pct"/>
            <w:tcBorders>
              <w:top w:val="nil"/>
              <w:left w:val="double" w:sz="6" w:space="0" w:color="auto"/>
              <w:bottom w:val="single" w:sz="4" w:space="0" w:color="auto"/>
              <w:right w:val="nil"/>
            </w:tcBorders>
            <w:shd w:val="clear" w:color="000000" w:fill="F2DCDB"/>
            <w:vAlign w:val="center"/>
          </w:tcPr>
          <w:p w14:paraId="2C6D4F8C" w14:textId="77777777" w:rsidR="00C755B1" w:rsidRDefault="00C755B1" w:rsidP="00C755B1">
            <w:pPr>
              <w:jc w:val="right"/>
              <w:rPr>
                <w:color w:val="000000"/>
                <w:sz w:val="24"/>
                <w:szCs w:val="24"/>
              </w:rPr>
            </w:pPr>
            <w:r>
              <w:rPr>
                <w:color w:val="000000"/>
              </w:rPr>
              <w:t>143</w:t>
            </w:r>
          </w:p>
        </w:tc>
        <w:tc>
          <w:tcPr>
            <w:tcW w:w="249" w:type="pct"/>
            <w:tcBorders>
              <w:top w:val="nil"/>
              <w:left w:val="double" w:sz="6" w:space="0" w:color="auto"/>
              <w:bottom w:val="single" w:sz="4" w:space="0" w:color="auto"/>
              <w:right w:val="nil"/>
            </w:tcBorders>
            <w:shd w:val="clear" w:color="000000" w:fill="F2DCDB"/>
            <w:vAlign w:val="center"/>
          </w:tcPr>
          <w:p w14:paraId="78917856" w14:textId="77777777" w:rsidR="00C755B1" w:rsidRDefault="00C755B1" w:rsidP="00C755B1">
            <w:pPr>
              <w:jc w:val="right"/>
              <w:rPr>
                <w:color w:val="000000"/>
                <w:sz w:val="24"/>
                <w:szCs w:val="24"/>
              </w:rPr>
            </w:pPr>
            <w:r>
              <w:rPr>
                <w:color w:val="000000"/>
              </w:rPr>
              <w:t>253</w:t>
            </w:r>
          </w:p>
        </w:tc>
        <w:tc>
          <w:tcPr>
            <w:tcW w:w="249" w:type="pct"/>
            <w:tcBorders>
              <w:top w:val="nil"/>
              <w:left w:val="double" w:sz="6" w:space="0" w:color="auto"/>
              <w:bottom w:val="single" w:sz="4" w:space="0" w:color="auto"/>
              <w:right w:val="nil"/>
            </w:tcBorders>
            <w:shd w:val="clear" w:color="000000" w:fill="F2DCDB"/>
            <w:vAlign w:val="center"/>
          </w:tcPr>
          <w:p w14:paraId="7FC26A35" w14:textId="77777777" w:rsidR="00C755B1" w:rsidRDefault="00C755B1" w:rsidP="00C755B1">
            <w:pPr>
              <w:jc w:val="right"/>
              <w:rPr>
                <w:color w:val="000000"/>
                <w:sz w:val="24"/>
                <w:szCs w:val="24"/>
              </w:rPr>
            </w:pPr>
            <w:r>
              <w:rPr>
                <w:color w:val="000000"/>
              </w:rPr>
              <w:t>266</w:t>
            </w:r>
          </w:p>
        </w:tc>
        <w:tc>
          <w:tcPr>
            <w:tcW w:w="222" w:type="pct"/>
            <w:tcBorders>
              <w:top w:val="nil"/>
              <w:left w:val="double" w:sz="6" w:space="0" w:color="auto"/>
              <w:bottom w:val="single" w:sz="4" w:space="0" w:color="auto"/>
              <w:right w:val="nil"/>
            </w:tcBorders>
            <w:shd w:val="clear" w:color="000000" w:fill="F2DCDB"/>
            <w:vAlign w:val="center"/>
          </w:tcPr>
          <w:p w14:paraId="607173E7" w14:textId="77777777" w:rsidR="00C755B1" w:rsidRDefault="00C755B1" w:rsidP="00C755B1">
            <w:pPr>
              <w:jc w:val="right"/>
              <w:rPr>
                <w:color w:val="000000"/>
                <w:sz w:val="24"/>
                <w:szCs w:val="24"/>
              </w:rPr>
            </w:pPr>
            <w:r>
              <w:rPr>
                <w:color w:val="000000"/>
              </w:rPr>
              <w:t>86</w:t>
            </w:r>
          </w:p>
        </w:tc>
        <w:tc>
          <w:tcPr>
            <w:tcW w:w="228" w:type="pct"/>
            <w:tcBorders>
              <w:top w:val="nil"/>
              <w:left w:val="double" w:sz="6" w:space="0" w:color="auto"/>
              <w:bottom w:val="single" w:sz="4" w:space="0" w:color="auto"/>
              <w:right w:val="nil"/>
            </w:tcBorders>
            <w:shd w:val="clear" w:color="000000" w:fill="F2DCDB"/>
            <w:vAlign w:val="center"/>
          </w:tcPr>
          <w:p w14:paraId="7B786079" w14:textId="77777777" w:rsidR="00C755B1" w:rsidRDefault="00C755B1" w:rsidP="00C755B1">
            <w:pPr>
              <w:jc w:val="right"/>
              <w:rPr>
                <w:color w:val="000000"/>
                <w:sz w:val="24"/>
                <w:szCs w:val="24"/>
              </w:rPr>
            </w:pPr>
            <w:r>
              <w:rPr>
                <w:color w:val="000000"/>
              </w:rPr>
              <w:t>64</w:t>
            </w:r>
          </w:p>
        </w:tc>
        <w:tc>
          <w:tcPr>
            <w:tcW w:w="291" w:type="pct"/>
            <w:tcBorders>
              <w:top w:val="nil"/>
              <w:left w:val="double" w:sz="6" w:space="0" w:color="auto"/>
              <w:bottom w:val="single" w:sz="4" w:space="0" w:color="auto"/>
              <w:right w:val="nil"/>
            </w:tcBorders>
            <w:shd w:val="clear" w:color="000000" w:fill="F2DCDB"/>
            <w:vAlign w:val="center"/>
          </w:tcPr>
          <w:p w14:paraId="5419EFF3" w14:textId="77777777" w:rsidR="00C755B1" w:rsidRDefault="00C755B1" w:rsidP="00C755B1">
            <w:pPr>
              <w:jc w:val="right"/>
              <w:rPr>
                <w:color w:val="000000"/>
                <w:sz w:val="24"/>
                <w:szCs w:val="24"/>
              </w:rPr>
            </w:pPr>
            <w:r>
              <w:rPr>
                <w:color w:val="000000"/>
              </w:rPr>
              <w:t>31</w:t>
            </w:r>
          </w:p>
        </w:tc>
        <w:tc>
          <w:tcPr>
            <w:tcW w:w="299" w:type="pct"/>
            <w:tcBorders>
              <w:top w:val="nil"/>
              <w:left w:val="double" w:sz="6" w:space="0" w:color="auto"/>
              <w:bottom w:val="single" w:sz="4" w:space="0" w:color="auto"/>
              <w:right w:val="nil"/>
            </w:tcBorders>
            <w:shd w:val="clear" w:color="000000" w:fill="F2DCDB"/>
            <w:vAlign w:val="center"/>
          </w:tcPr>
          <w:p w14:paraId="02172FFF" w14:textId="77777777" w:rsidR="00C755B1" w:rsidRDefault="00C755B1" w:rsidP="00C755B1">
            <w:pPr>
              <w:jc w:val="right"/>
              <w:rPr>
                <w:color w:val="000000"/>
                <w:sz w:val="24"/>
                <w:szCs w:val="24"/>
              </w:rPr>
            </w:pPr>
            <w:r>
              <w:rPr>
                <w:color w:val="000000"/>
              </w:rPr>
              <w:t>34</w:t>
            </w:r>
          </w:p>
        </w:tc>
        <w:tc>
          <w:tcPr>
            <w:tcW w:w="222" w:type="pct"/>
            <w:tcBorders>
              <w:top w:val="nil"/>
              <w:left w:val="double" w:sz="6" w:space="0" w:color="auto"/>
              <w:bottom w:val="single" w:sz="4" w:space="0" w:color="auto"/>
              <w:right w:val="nil"/>
            </w:tcBorders>
            <w:shd w:val="clear" w:color="000000" w:fill="F2DCDB"/>
            <w:vAlign w:val="center"/>
          </w:tcPr>
          <w:p w14:paraId="4E9900A2" w14:textId="77777777" w:rsidR="00C755B1" w:rsidRDefault="00C755B1" w:rsidP="00C755B1">
            <w:pPr>
              <w:jc w:val="right"/>
              <w:rPr>
                <w:color w:val="000000"/>
                <w:sz w:val="24"/>
                <w:szCs w:val="24"/>
              </w:rPr>
            </w:pPr>
            <w:r>
              <w:rPr>
                <w:color w:val="000000"/>
              </w:rPr>
              <w:t>20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5EBA2D21" w14:textId="77777777" w:rsidR="00C755B1" w:rsidRDefault="00C755B1" w:rsidP="00C755B1">
            <w:pPr>
              <w:jc w:val="right"/>
              <w:rPr>
                <w:color w:val="000000"/>
                <w:sz w:val="24"/>
                <w:szCs w:val="24"/>
              </w:rPr>
            </w:pPr>
            <w:r>
              <w:rPr>
                <w:color w:val="000000"/>
              </w:rPr>
              <w:t>9</w:t>
            </w:r>
          </w:p>
        </w:tc>
      </w:tr>
      <w:tr w:rsidR="00C755B1" w:rsidRPr="000A46ED" w14:paraId="18C50147"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E4506FD" w14:textId="132EAF07"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 The activities my teachers use in Maths help me learn.</w:t>
            </w:r>
          </w:p>
        </w:tc>
        <w:tc>
          <w:tcPr>
            <w:tcW w:w="255" w:type="pct"/>
            <w:tcBorders>
              <w:top w:val="nil"/>
              <w:left w:val="double" w:sz="6" w:space="0" w:color="auto"/>
              <w:bottom w:val="single" w:sz="4" w:space="0" w:color="auto"/>
              <w:right w:val="nil"/>
            </w:tcBorders>
            <w:shd w:val="clear" w:color="000000" w:fill="F2DCDB"/>
            <w:vAlign w:val="center"/>
          </w:tcPr>
          <w:p w14:paraId="392A2527" w14:textId="77777777" w:rsidR="00C755B1" w:rsidRDefault="00C755B1" w:rsidP="00C755B1">
            <w:pPr>
              <w:jc w:val="right"/>
              <w:rPr>
                <w:color w:val="000000"/>
                <w:sz w:val="24"/>
                <w:szCs w:val="24"/>
              </w:rPr>
            </w:pPr>
            <w:r>
              <w:rPr>
                <w:color w:val="000000"/>
              </w:rPr>
              <w:t>123</w:t>
            </w:r>
          </w:p>
        </w:tc>
        <w:tc>
          <w:tcPr>
            <w:tcW w:w="256" w:type="pct"/>
            <w:tcBorders>
              <w:top w:val="nil"/>
              <w:left w:val="double" w:sz="6" w:space="0" w:color="auto"/>
              <w:bottom w:val="single" w:sz="4" w:space="0" w:color="auto"/>
              <w:right w:val="nil"/>
            </w:tcBorders>
            <w:shd w:val="clear" w:color="000000" w:fill="F2DCDB"/>
            <w:vAlign w:val="center"/>
          </w:tcPr>
          <w:p w14:paraId="20E00BC8" w14:textId="77777777" w:rsidR="00C755B1" w:rsidRDefault="00C755B1" w:rsidP="00C755B1">
            <w:pPr>
              <w:jc w:val="right"/>
              <w:rPr>
                <w:color w:val="000000"/>
                <w:sz w:val="24"/>
                <w:szCs w:val="24"/>
              </w:rPr>
            </w:pPr>
            <w:r>
              <w:rPr>
                <w:color w:val="000000"/>
              </w:rPr>
              <w:t>127</w:t>
            </w:r>
          </w:p>
        </w:tc>
        <w:tc>
          <w:tcPr>
            <w:tcW w:w="249" w:type="pct"/>
            <w:tcBorders>
              <w:top w:val="nil"/>
              <w:left w:val="double" w:sz="6" w:space="0" w:color="auto"/>
              <w:bottom w:val="single" w:sz="4" w:space="0" w:color="auto"/>
              <w:right w:val="nil"/>
            </w:tcBorders>
            <w:shd w:val="clear" w:color="000000" w:fill="F2DCDB"/>
            <w:vAlign w:val="center"/>
          </w:tcPr>
          <w:p w14:paraId="4E30BD7D" w14:textId="77777777" w:rsidR="00C755B1" w:rsidRDefault="00C755B1" w:rsidP="00C755B1">
            <w:pPr>
              <w:jc w:val="right"/>
              <w:rPr>
                <w:color w:val="000000"/>
                <w:sz w:val="24"/>
                <w:szCs w:val="24"/>
              </w:rPr>
            </w:pPr>
            <w:r>
              <w:rPr>
                <w:color w:val="000000"/>
              </w:rPr>
              <w:t>244</w:t>
            </w:r>
          </w:p>
        </w:tc>
        <w:tc>
          <w:tcPr>
            <w:tcW w:w="249" w:type="pct"/>
            <w:tcBorders>
              <w:top w:val="nil"/>
              <w:left w:val="double" w:sz="6" w:space="0" w:color="auto"/>
              <w:bottom w:val="single" w:sz="4" w:space="0" w:color="auto"/>
              <w:right w:val="nil"/>
            </w:tcBorders>
            <w:shd w:val="clear" w:color="000000" w:fill="F2DCDB"/>
            <w:vAlign w:val="center"/>
          </w:tcPr>
          <w:p w14:paraId="3EE24957" w14:textId="77777777" w:rsidR="00C755B1" w:rsidRDefault="00C755B1" w:rsidP="00C755B1">
            <w:pPr>
              <w:jc w:val="right"/>
              <w:rPr>
                <w:color w:val="000000"/>
                <w:sz w:val="24"/>
                <w:szCs w:val="24"/>
              </w:rPr>
            </w:pPr>
            <w:r>
              <w:rPr>
                <w:color w:val="000000"/>
              </w:rPr>
              <w:t>271</w:t>
            </w:r>
          </w:p>
        </w:tc>
        <w:tc>
          <w:tcPr>
            <w:tcW w:w="222" w:type="pct"/>
            <w:tcBorders>
              <w:top w:val="nil"/>
              <w:left w:val="double" w:sz="6" w:space="0" w:color="auto"/>
              <w:bottom w:val="single" w:sz="4" w:space="0" w:color="auto"/>
              <w:right w:val="nil"/>
            </w:tcBorders>
            <w:shd w:val="clear" w:color="000000" w:fill="F2DCDB"/>
            <w:vAlign w:val="center"/>
          </w:tcPr>
          <w:p w14:paraId="0A245BC9" w14:textId="77777777" w:rsidR="00C755B1" w:rsidRDefault="00C755B1" w:rsidP="00C755B1">
            <w:pPr>
              <w:jc w:val="right"/>
              <w:rPr>
                <w:color w:val="000000"/>
                <w:sz w:val="24"/>
                <w:szCs w:val="24"/>
              </w:rPr>
            </w:pPr>
            <w:r>
              <w:rPr>
                <w:color w:val="000000"/>
              </w:rPr>
              <w:t>81</w:t>
            </w:r>
          </w:p>
        </w:tc>
        <w:tc>
          <w:tcPr>
            <w:tcW w:w="228" w:type="pct"/>
            <w:tcBorders>
              <w:top w:val="nil"/>
              <w:left w:val="double" w:sz="6" w:space="0" w:color="auto"/>
              <w:bottom w:val="single" w:sz="4" w:space="0" w:color="auto"/>
              <w:right w:val="nil"/>
            </w:tcBorders>
            <w:shd w:val="clear" w:color="000000" w:fill="F2DCDB"/>
            <w:vAlign w:val="center"/>
          </w:tcPr>
          <w:p w14:paraId="2FE1E4F1" w14:textId="77777777" w:rsidR="00C755B1" w:rsidRDefault="00C755B1" w:rsidP="00C755B1">
            <w:pPr>
              <w:jc w:val="right"/>
              <w:rPr>
                <w:color w:val="000000"/>
                <w:sz w:val="24"/>
                <w:szCs w:val="24"/>
              </w:rPr>
            </w:pPr>
            <w:r>
              <w:rPr>
                <w:color w:val="000000"/>
              </w:rPr>
              <w:t>71</w:t>
            </w:r>
          </w:p>
        </w:tc>
        <w:tc>
          <w:tcPr>
            <w:tcW w:w="291" w:type="pct"/>
            <w:tcBorders>
              <w:top w:val="nil"/>
              <w:left w:val="double" w:sz="6" w:space="0" w:color="auto"/>
              <w:bottom w:val="single" w:sz="4" w:space="0" w:color="auto"/>
              <w:right w:val="nil"/>
            </w:tcBorders>
            <w:shd w:val="clear" w:color="000000" w:fill="F2DCDB"/>
            <w:vAlign w:val="center"/>
          </w:tcPr>
          <w:p w14:paraId="0818D0DD" w14:textId="77777777" w:rsidR="00C755B1" w:rsidRDefault="00C755B1" w:rsidP="00C755B1">
            <w:pPr>
              <w:jc w:val="right"/>
              <w:rPr>
                <w:color w:val="000000"/>
                <w:sz w:val="24"/>
                <w:szCs w:val="24"/>
              </w:rPr>
            </w:pPr>
            <w:r>
              <w:rPr>
                <w:color w:val="000000"/>
              </w:rPr>
              <w:t>31</w:t>
            </w:r>
          </w:p>
        </w:tc>
        <w:tc>
          <w:tcPr>
            <w:tcW w:w="299" w:type="pct"/>
            <w:tcBorders>
              <w:top w:val="nil"/>
              <w:left w:val="double" w:sz="6" w:space="0" w:color="auto"/>
              <w:bottom w:val="single" w:sz="4" w:space="0" w:color="auto"/>
              <w:right w:val="nil"/>
            </w:tcBorders>
            <w:shd w:val="clear" w:color="000000" w:fill="F2DCDB"/>
            <w:vAlign w:val="center"/>
          </w:tcPr>
          <w:p w14:paraId="3B11638F" w14:textId="77777777" w:rsidR="00C755B1" w:rsidRDefault="00C755B1" w:rsidP="00C755B1">
            <w:pPr>
              <w:jc w:val="right"/>
              <w:rPr>
                <w:color w:val="000000"/>
                <w:sz w:val="24"/>
                <w:szCs w:val="24"/>
              </w:rPr>
            </w:pPr>
            <w:r>
              <w:rPr>
                <w:color w:val="000000"/>
              </w:rPr>
              <w:t>34</w:t>
            </w:r>
          </w:p>
        </w:tc>
        <w:tc>
          <w:tcPr>
            <w:tcW w:w="222" w:type="pct"/>
            <w:tcBorders>
              <w:top w:val="nil"/>
              <w:left w:val="double" w:sz="6" w:space="0" w:color="auto"/>
              <w:bottom w:val="single" w:sz="4" w:space="0" w:color="auto"/>
              <w:right w:val="nil"/>
            </w:tcBorders>
            <w:shd w:val="clear" w:color="000000" w:fill="F2DCDB"/>
            <w:vAlign w:val="center"/>
          </w:tcPr>
          <w:p w14:paraId="25254469" w14:textId="77777777" w:rsidR="00C755B1" w:rsidRDefault="00C755B1" w:rsidP="00C755B1">
            <w:pPr>
              <w:jc w:val="right"/>
              <w:rPr>
                <w:color w:val="000000"/>
                <w:sz w:val="24"/>
                <w:szCs w:val="24"/>
              </w:rPr>
            </w:pPr>
            <w:r>
              <w:rPr>
                <w:color w:val="000000"/>
              </w:rPr>
              <w:t>23</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1BE335B" w14:textId="77777777" w:rsidR="00C755B1" w:rsidRDefault="00C755B1" w:rsidP="00C755B1">
            <w:pPr>
              <w:jc w:val="right"/>
              <w:rPr>
                <w:color w:val="000000"/>
                <w:sz w:val="24"/>
                <w:szCs w:val="24"/>
              </w:rPr>
            </w:pPr>
            <w:r>
              <w:rPr>
                <w:color w:val="000000"/>
              </w:rPr>
              <w:t>14</w:t>
            </w:r>
          </w:p>
        </w:tc>
      </w:tr>
      <w:tr w:rsidR="00C755B1" w:rsidRPr="000A46ED" w14:paraId="65DA921F"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8CEC4C0" w14:textId="00FD6CB9"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Maths.</w:t>
            </w:r>
          </w:p>
        </w:tc>
        <w:tc>
          <w:tcPr>
            <w:tcW w:w="255" w:type="pct"/>
            <w:tcBorders>
              <w:top w:val="nil"/>
              <w:left w:val="double" w:sz="6" w:space="0" w:color="auto"/>
              <w:bottom w:val="single" w:sz="4" w:space="0" w:color="auto"/>
              <w:right w:val="nil"/>
            </w:tcBorders>
            <w:shd w:val="clear" w:color="000000" w:fill="F2DCDB"/>
            <w:vAlign w:val="center"/>
          </w:tcPr>
          <w:p w14:paraId="0F5EF04A" w14:textId="77777777" w:rsidR="00C755B1" w:rsidRDefault="00C755B1" w:rsidP="00C755B1">
            <w:pPr>
              <w:jc w:val="right"/>
              <w:rPr>
                <w:color w:val="000000"/>
                <w:sz w:val="24"/>
                <w:szCs w:val="24"/>
              </w:rPr>
            </w:pPr>
            <w:r>
              <w:rPr>
                <w:color w:val="000000"/>
              </w:rPr>
              <w:t>127</w:t>
            </w:r>
          </w:p>
        </w:tc>
        <w:tc>
          <w:tcPr>
            <w:tcW w:w="256" w:type="pct"/>
            <w:tcBorders>
              <w:top w:val="nil"/>
              <w:left w:val="double" w:sz="6" w:space="0" w:color="auto"/>
              <w:bottom w:val="single" w:sz="4" w:space="0" w:color="auto"/>
              <w:right w:val="nil"/>
            </w:tcBorders>
            <w:shd w:val="clear" w:color="000000" w:fill="F2DCDB"/>
            <w:vAlign w:val="center"/>
          </w:tcPr>
          <w:p w14:paraId="483507FF" w14:textId="77777777" w:rsidR="00C755B1" w:rsidRDefault="00C755B1" w:rsidP="00C755B1">
            <w:pPr>
              <w:jc w:val="right"/>
              <w:rPr>
                <w:color w:val="000000"/>
                <w:sz w:val="24"/>
                <w:szCs w:val="24"/>
              </w:rPr>
            </w:pPr>
            <w:r>
              <w:rPr>
                <w:color w:val="000000"/>
              </w:rPr>
              <w:t>145</w:t>
            </w:r>
          </w:p>
        </w:tc>
        <w:tc>
          <w:tcPr>
            <w:tcW w:w="249" w:type="pct"/>
            <w:tcBorders>
              <w:top w:val="nil"/>
              <w:left w:val="double" w:sz="6" w:space="0" w:color="auto"/>
              <w:bottom w:val="single" w:sz="4" w:space="0" w:color="auto"/>
              <w:right w:val="nil"/>
            </w:tcBorders>
            <w:shd w:val="clear" w:color="000000" w:fill="F2DCDB"/>
            <w:vAlign w:val="center"/>
          </w:tcPr>
          <w:p w14:paraId="3580958F" w14:textId="77777777" w:rsidR="00C755B1" w:rsidRDefault="00C755B1" w:rsidP="00C755B1">
            <w:pPr>
              <w:jc w:val="right"/>
              <w:rPr>
                <w:color w:val="000000"/>
                <w:sz w:val="24"/>
                <w:szCs w:val="24"/>
              </w:rPr>
            </w:pPr>
            <w:r>
              <w:rPr>
                <w:color w:val="000000"/>
              </w:rPr>
              <w:t>213</w:t>
            </w:r>
          </w:p>
        </w:tc>
        <w:tc>
          <w:tcPr>
            <w:tcW w:w="249" w:type="pct"/>
            <w:tcBorders>
              <w:top w:val="nil"/>
              <w:left w:val="double" w:sz="6" w:space="0" w:color="auto"/>
              <w:bottom w:val="single" w:sz="4" w:space="0" w:color="auto"/>
              <w:right w:val="nil"/>
            </w:tcBorders>
            <w:shd w:val="clear" w:color="000000" w:fill="F2DCDB"/>
            <w:vAlign w:val="center"/>
          </w:tcPr>
          <w:p w14:paraId="20F65336" w14:textId="77777777" w:rsidR="00C755B1" w:rsidRDefault="00C755B1" w:rsidP="00C755B1">
            <w:pPr>
              <w:jc w:val="right"/>
              <w:rPr>
                <w:color w:val="000000"/>
                <w:sz w:val="24"/>
                <w:szCs w:val="24"/>
              </w:rPr>
            </w:pPr>
            <w:r>
              <w:rPr>
                <w:color w:val="000000"/>
              </w:rPr>
              <w:t>246</w:t>
            </w:r>
          </w:p>
        </w:tc>
        <w:tc>
          <w:tcPr>
            <w:tcW w:w="222" w:type="pct"/>
            <w:tcBorders>
              <w:top w:val="nil"/>
              <w:left w:val="double" w:sz="6" w:space="0" w:color="auto"/>
              <w:bottom w:val="single" w:sz="4" w:space="0" w:color="auto"/>
              <w:right w:val="nil"/>
            </w:tcBorders>
            <w:shd w:val="clear" w:color="000000" w:fill="F2DCDB"/>
            <w:vAlign w:val="center"/>
          </w:tcPr>
          <w:p w14:paraId="24E3044D" w14:textId="77777777" w:rsidR="00C755B1" w:rsidRDefault="00C755B1" w:rsidP="00C755B1">
            <w:pPr>
              <w:jc w:val="right"/>
              <w:rPr>
                <w:color w:val="000000"/>
                <w:sz w:val="24"/>
                <w:szCs w:val="24"/>
              </w:rPr>
            </w:pPr>
            <w:r>
              <w:rPr>
                <w:color w:val="000000"/>
              </w:rPr>
              <w:t>116</w:t>
            </w:r>
          </w:p>
        </w:tc>
        <w:tc>
          <w:tcPr>
            <w:tcW w:w="228" w:type="pct"/>
            <w:tcBorders>
              <w:top w:val="nil"/>
              <w:left w:val="double" w:sz="6" w:space="0" w:color="auto"/>
              <w:bottom w:val="single" w:sz="4" w:space="0" w:color="auto"/>
              <w:right w:val="nil"/>
            </w:tcBorders>
            <w:shd w:val="clear" w:color="000000" w:fill="F2DCDB"/>
            <w:vAlign w:val="center"/>
          </w:tcPr>
          <w:p w14:paraId="3428D4F7" w14:textId="77777777" w:rsidR="00C755B1" w:rsidRDefault="00C755B1" w:rsidP="00C755B1">
            <w:pPr>
              <w:jc w:val="right"/>
              <w:rPr>
                <w:color w:val="000000"/>
                <w:sz w:val="24"/>
                <w:szCs w:val="24"/>
              </w:rPr>
            </w:pPr>
            <w:r>
              <w:rPr>
                <w:color w:val="000000"/>
              </w:rPr>
              <w:t>79</w:t>
            </w:r>
          </w:p>
        </w:tc>
        <w:tc>
          <w:tcPr>
            <w:tcW w:w="291" w:type="pct"/>
            <w:tcBorders>
              <w:top w:val="nil"/>
              <w:left w:val="double" w:sz="6" w:space="0" w:color="auto"/>
              <w:bottom w:val="single" w:sz="4" w:space="0" w:color="auto"/>
              <w:right w:val="nil"/>
            </w:tcBorders>
            <w:shd w:val="clear" w:color="000000" w:fill="F2DCDB"/>
            <w:vAlign w:val="center"/>
          </w:tcPr>
          <w:p w14:paraId="1D7EDD27" w14:textId="77777777" w:rsidR="00C755B1" w:rsidRDefault="00C755B1" w:rsidP="00C755B1">
            <w:pPr>
              <w:jc w:val="right"/>
              <w:rPr>
                <w:color w:val="000000"/>
                <w:sz w:val="24"/>
                <w:szCs w:val="24"/>
              </w:rPr>
            </w:pPr>
            <w:r>
              <w:rPr>
                <w:color w:val="000000"/>
              </w:rPr>
              <w:t>27</w:t>
            </w:r>
          </w:p>
        </w:tc>
        <w:tc>
          <w:tcPr>
            <w:tcW w:w="299" w:type="pct"/>
            <w:tcBorders>
              <w:top w:val="nil"/>
              <w:left w:val="double" w:sz="6" w:space="0" w:color="auto"/>
              <w:bottom w:val="single" w:sz="4" w:space="0" w:color="auto"/>
              <w:right w:val="nil"/>
            </w:tcBorders>
            <w:shd w:val="clear" w:color="000000" w:fill="F2DCDB"/>
            <w:vAlign w:val="center"/>
          </w:tcPr>
          <w:p w14:paraId="26F6D758" w14:textId="77777777" w:rsidR="00C755B1" w:rsidRDefault="00C755B1" w:rsidP="00C755B1">
            <w:pPr>
              <w:jc w:val="right"/>
              <w:rPr>
                <w:color w:val="000000"/>
                <w:sz w:val="24"/>
                <w:szCs w:val="24"/>
              </w:rPr>
            </w:pPr>
            <w:r>
              <w:rPr>
                <w:color w:val="000000"/>
              </w:rPr>
              <w:t>31</w:t>
            </w:r>
          </w:p>
        </w:tc>
        <w:tc>
          <w:tcPr>
            <w:tcW w:w="222" w:type="pct"/>
            <w:tcBorders>
              <w:top w:val="nil"/>
              <w:left w:val="double" w:sz="6" w:space="0" w:color="auto"/>
              <w:bottom w:val="single" w:sz="4" w:space="0" w:color="auto"/>
              <w:right w:val="nil"/>
            </w:tcBorders>
            <w:shd w:val="clear" w:color="000000" w:fill="F2DCDB"/>
            <w:vAlign w:val="center"/>
          </w:tcPr>
          <w:p w14:paraId="66B00AF5" w14:textId="77777777" w:rsidR="00C755B1" w:rsidRDefault="00C755B1" w:rsidP="00C755B1">
            <w:pPr>
              <w:jc w:val="right"/>
              <w:rPr>
                <w:color w:val="000000"/>
                <w:sz w:val="24"/>
                <w:szCs w:val="24"/>
              </w:rPr>
            </w:pPr>
            <w:r>
              <w:rPr>
                <w:color w:val="000000"/>
              </w:rPr>
              <w:t>20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AA1377E" w14:textId="77777777" w:rsidR="00C755B1" w:rsidRDefault="00C755B1" w:rsidP="00C755B1">
            <w:pPr>
              <w:jc w:val="right"/>
              <w:rPr>
                <w:color w:val="000000"/>
                <w:sz w:val="24"/>
                <w:szCs w:val="24"/>
              </w:rPr>
            </w:pPr>
            <w:r>
              <w:rPr>
                <w:color w:val="000000"/>
              </w:rPr>
              <w:t>14</w:t>
            </w:r>
          </w:p>
        </w:tc>
      </w:tr>
      <w:tr w:rsidR="00C755B1" w:rsidRPr="000A46ED" w14:paraId="74D94F68"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0D2495B1" w14:textId="1540AC22" w:rsidR="00C755B1" w:rsidRPr="000A46ED" w:rsidRDefault="00C755B1"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Maths skills in other subjects.</w:t>
            </w:r>
          </w:p>
        </w:tc>
        <w:tc>
          <w:tcPr>
            <w:tcW w:w="255" w:type="pct"/>
            <w:tcBorders>
              <w:top w:val="nil"/>
              <w:left w:val="double" w:sz="6" w:space="0" w:color="auto"/>
              <w:bottom w:val="single" w:sz="4" w:space="0" w:color="auto"/>
              <w:right w:val="nil"/>
            </w:tcBorders>
            <w:shd w:val="clear" w:color="000000" w:fill="F2DCDB"/>
            <w:vAlign w:val="center"/>
          </w:tcPr>
          <w:p w14:paraId="4F8F6664" w14:textId="77777777" w:rsidR="00C755B1" w:rsidRDefault="00C755B1" w:rsidP="00C755B1">
            <w:pPr>
              <w:jc w:val="right"/>
              <w:rPr>
                <w:color w:val="000000"/>
                <w:sz w:val="24"/>
                <w:szCs w:val="24"/>
              </w:rPr>
            </w:pPr>
            <w:r>
              <w:rPr>
                <w:color w:val="000000"/>
              </w:rPr>
              <w:t>94</w:t>
            </w:r>
          </w:p>
        </w:tc>
        <w:tc>
          <w:tcPr>
            <w:tcW w:w="256" w:type="pct"/>
            <w:tcBorders>
              <w:top w:val="nil"/>
              <w:left w:val="double" w:sz="6" w:space="0" w:color="auto"/>
              <w:bottom w:val="single" w:sz="4" w:space="0" w:color="auto"/>
              <w:right w:val="nil"/>
            </w:tcBorders>
            <w:shd w:val="clear" w:color="000000" w:fill="F2DCDB"/>
            <w:vAlign w:val="center"/>
          </w:tcPr>
          <w:p w14:paraId="4B57E1EB" w14:textId="77777777" w:rsidR="00C755B1" w:rsidRDefault="00C755B1" w:rsidP="00C755B1">
            <w:pPr>
              <w:jc w:val="right"/>
              <w:rPr>
                <w:color w:val="000000"/>
                <w:sz w:val="24"/>
                <w:szCs w:val="24"/>
              </w:rPr>
            </w:pPr>
            <w:r>
              <w:rPr>
                <w:color w:val="000000"/>
              </w:rPr>
              <w:t>111</w:t>
            </w:r>
          </w:p>
        </w:tc>
        <w:tc>
          <w:tcPr>
            <w:tcW w:w="249" w:type="pct"/>
            <w:tcBorders>
              <w:top w:val="nil"/>
              <w:left w:val="double" w:sz="6" w:space="0" w:color="auto"/>
              <w:bottom w:val="single" w:sz="4" w:space="0" w:color="auto"/>
              <w:right w:val="nil"/>
            </w:tcBorders>
            <w:shd w:val="clear" w:color="000000" w:fill="F2DCDB"/>
            <w:vAlign w:val="center"/>
          </w:tcPr>
          <w:p w14:paraId="0582DB2D" w14:textId="77777777" w:rsidR="00C755B1" w:rsidRDefault="00C755B1" w:rsidP="00C755B1">
            <w:pPr>
              <w:jc w:val="right"/>
              <w:rPr>
                <w:color w:val="000000"/>
                <w:sz w:val="24"/>
                <w:szCs w:val="24"/>
              </w:rPr>
            </w:pPr>
            <w:r>
              <w:rPr>
                <w:color w:val="000000"/>
              </w:rPr>
              <w:t>248</w:t>
            </w:r>
          </w:p>
        </w:tc>
        <w:tc>
          <w:tcPr>
            <w:tcW w:w="249" w:type="pct"/>
            <w:tcBorders>
              <w:top w:val="nil"/>
              <w:left w:val="double" w:sz="6" w:space="0" w:color="auto"/>
              <w:bottom w:val="single" w:sz="4" w:space="0" w:color="auto"/>
              <w:right w:val="nil"/>
            </w:tcBorders>
            <w:shd w:val="clear" w:color="000000" w:fill="F2DCDB"/>
            <w:vAlign w:val="center"/>
          </w:tcPr>
          <w:p w14:paraId="081F08EB" w14:textId="77777777" w:rsidR="00C755B1" w:rsidRDefault="00C755B1" w:rsidP="00C755B1">
            <w:pPr>
              <w:jc w:val="right"/>
              <w:rPr>
                <w:color w:val="000000"/>
                <w:sz w:val="24"/>
                <w:szCs w:val="24"/>
              </w:rPr>
            </w:pPr>
            <w:r>
              <w:rPr>
                <w:color w:val="000000"/>
              </w:rPr>
              <w:t>260</w:t>
            </w:r>
          </w:p>
        </w:tc>
        <w:tc>
          <w:tcPr>
            <w:tcW w:w="222" w:type="pct"/>
            <w:tcBorders>
              <w:top w:val="nil"/>
              <w:left w:val="double" w:sz="6" w:space="0" w:color="auto"/>
              <w:bottom w:val="single" w:sz="4" w:space="0" w:color="auto"/>
              <w:right w:val="nil"/>
            </w:tcBorders>
            <w:shd w:val="clear" w:color="000000" w:fill="F2DCDB"/>
            <w:vAlign w:val="center"/>
          </w:tcPr>
          <w:p w14:paraId="29A5E25C" w14:textId="77777777" w:rsidR="00C755B1" w:rsidRDefault="00C755B1" w:rsidP="00C755B1">
            <w:pPr>
              <w:jc w:val="right"/>
              <w:rPr>
                <w:color w:val="000000"/>
                <w:sz w:val="24"/>
                <w:szCs w:val="24"/>
              </w:rPr>
            </w:pPr>
            <w:r>
              <w:rPr>
                <w:color w:val="000000"/>
              </w:rPr>
              <w:t>108</w:t>
            </w:r>
          </w:p>
        </w:tc>
        <w:tc>
          <w:tcPr>
            <w:tcW w:w="228" w:type="pct"/>
            <w:tcBorders>
              <w:top w:val="nil"/>
              <w:left w:val="double" w:sz="6" w:space="0" w:color="auto"/>
              <w:bottom w:val="single" w:sz="4" w:space="0" w:color="auto"/>
              <w:right w:val="nil"/>
            </w:tcBorders>
            <w:shd w:val="clear" w:color="000000" w:fill="F2DCDB"/>
            <w:vAlign w:val="center"/>
          </w:tcPr>
          <w:p w14:paraId="5BE9A5BB" w14:textId="77777777" w:rsidR="00C755B1" w:rsidRDefault="00C755B1" w:rsidP="00C755B1">
            <w:pPr>
              <w:jc w:val="right"/>
              <w:rPr>
                <w:color w:val="000000"/>
                <w:sz w:val="24"/>
                <w:szCs w:val="24"/>
              </w:rPr>
            </w:pPr>
            <w:r>
              <w:rPr>
                <w:color w:val="000000"/>
              </w:rPr>
              <w:t>107</w:t>
            </w:r>
          </w:p>
        </w:tc>
        <w:tc>
          <w:tcPr>
            <w:tcW w:w="291" w:type="pct"/>
            <w:tcBorders>
              <w:top w:val="nil"/>
              <w:left w:val="double" w:sz="6" w:space="0" w:color="auto"/>
              <w:bottom w:val="single" w:sz="4" w:space="0" w:color="auto"/>
              <w:right w:val="nil"/>
            </w:tcBorders>
            <w:shd w:val="clear" w:color="000000" w:fill="F2DCDB"/>
            <w:vAlign w:val="center"/>
          </w:tcPr>
          <w:p w14:paraId="2D87ED9F" w14:textId="77777777" w:rsidR="00C755B1" w:rsidRDefault="00C755B1" w:rsidP="00C755B1">
            <w:pPr>
              <w:jc w:val="right"/>
              <w:rPr>
                <w:color w:val="000000"/>
                <w:sz w:val="24"/>
                <w:szCs w:val="24"/>
              </w:rPr>
            </w:pPr>
            <w:r>
              <w:rPr>
                <w:color w:val="000000"/>
              </w:rPr>
              <w:t>28</w:t>
            </w:r>
          </w:p>
        </w:tc>
        <w:tc>
          <w:tcPr>
            <w:tcW w:w="299" w:type="pct"/>
            <w:tcBorders>
              <w:top w:val="nil"/>
              <w:left w:val="double" w:sz="6" w:space="0" w:color="auto"/>
              <w:bottom w:val="single" w:sz="4" w:space="0" w:color="auto"/>
              <w:right w:val="nil"/>
            </w:tcBorders>
            <w:shd w:val="clear" w:color="000000" w:fill="F2DCDB"/>
            <w:vAlign w:val="center"/>
          </w:tcPr>
          <w:p w14:paraId="52B3BBCF" w14:textId="77777777" w:rsidR="00C755B1" w:rsidRDefault="00C755B1" w:rsidP="00C755B1">
            <w:pPr>
              <w:jc w:val="right"/>
              <w:rPr>
                <w:color w:val="000000"/>
                <w:sz w:val="24"/>
                <w:szCs w:val="24"/>
              </w:rPr>
            </w:pPr>
            <w:r>
              <w:rPr>
                <w:color w:val="000000"/>
              </w:rPr>
              <w:t>25</w:t>
            </w:r>
          </w:p>
        </w:tc>
        <w:tc>
          <w:tcPr>
            <w:tcW w:w="222" w:type="pct"/>
            <w:tcBorders>
              <w:top w:val="nil"/>
              <w:left w:val="double" w:sz="6" w:space="0" w:color="auto"/>
              <w:bottom w:val="single" w:sz="4" w:space="0" w:color="auto"/>
              <w:right w:val="nil"/>
            </w:tcBorders>
            <w:shd w:val="clear" w:color="000000" w:fill="F2DCDB"/>
            <w:vAlign w:val="center"/>
          </w:tcPr>
          <w:p w14:paraId="5438E63D" w14:textId="77777777" w:rsidR="00C755B1" w:rsidRDefault="00C755B1" w:rsidP="00C755B1">
            <w:pPr>
              <w:jc w:val="right"/>
              <w:rPr>
                <w:color w:val="000000"/>
                <w:sz w:val="24"/>
                <w:szCs w:val="24"/>
              </w:rPr>
            </w:pPr>
            <w:r>
              <w:rPr>
                <w:color w:val="000000"/>
              </w:rPr>
              <w:t>25</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5E59D89" w14:textId="77777777" w:rsidR="00C755B1" w:rsidRDefault="00C755B1" w:rsidP="00C755B1">
            <w:pPr>
              <w:jc w:val="right"/>
              <w:rPr>
                <w:color w:val="000000"/>
                <w:sz w:val="24"/>
                <w:szCs w:val="24"/>
              </w:rPr>
            </w:pPr>
            <w:r>
              <w:rPr>
                <w:color w:val="000000"/>
              </w:rPr>
              <w:t>14</w:t>
            </w:r>
          </w:p>
        </w:tc>
      </w:tr>
      <w:tr w:rsidR="00C755B1" w:rsidRPr="000A46ED" w14:paraId="6E9D0CF5"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4FC8434A"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Maths challenges me and makes me think.</w:t>
            </w:r>
          </w:p>
        </w:tc>
        <w:tc>
          <w:tcPr>
            <w:tcW w:w="255" w:type="pct"/>
            <w:tcBorders>
              <w:top w:val="nil"/>
              <w:left w:val="double" w:sz="6" w:space="0" w:color="auto"/>
              <w:bottom w:val="single" w:sz="4" w:space="0" w:color="auto"/>
              <w:right w:val="nil"/>
            </w:tcBorders>
            <w:shd w:val="clear" w:color="000000" w:fill="F2DCDB"/>
            <w:vAlign w:val="center"/>
          </w:tcPr>
          <w:p w14:paraId="50CA471F" w14:textId="77777777" w:rsidR="00C755B1" w:rsidRDefault="00C755B1" w:rsidP="00C755B1">
            <w:pPr>
              <w:jc w:val="right"/>
              <w:rPr>
                <w:color w:val="000000"/>
                <w:sz w:val="24"/>
                <w:szCs w:val="24"/>
              </w:rPr>
            </w:pPr>
            <w:r>
              <w:rPr>
                <w:color w:val="000000"/>
              </w:rPr>
              <w:t>151</w:t>
            </w:r>
          </w:p>
        </w:tc>
        <w:tc>
          <w:tcPr>
            <w:tcW w:w="256" w:type="pct"/>
            <w:tcBorders>
              <w:top w:val="nil"/>
              <w:left w:val="double" w:sz="6" w:space="0" w:color="auto"/>
              <w:bottom w:val="single" w:sz="4" w:space="0" w:color="auto"/>
              <w:right w:val="nil"/>
            </w:tcBorders>
            <w:shd w:val="clear" w:color="000000" w:fill="F2DCDB"/>
            <w:vAlign w:val="center"/>
          </w:tcPr>
          <w:p w14:paraId="7B1756E9" w14:textId="77777777" w:rsidR="00C755B1" w:rsidRDefault="00C755B1" w:rsidP="00C755B1">
            <w:pPr>
              <w:jc w:val="right"/>
              <w:rPr>
                <w:color w:val="000000"/>
                <w:sz w:val="24"/>
                <w:szCs w:val="24"/>
              </w:rPr>
            </w:pPr>
            <w:r>
              <w:rPr>
                <w:color w:val="000000"/>
              </w:rPr>
              <w:t>147</w:t>
            </w:r>
          </w:p>
        </w:tc>
        <w:tc>
          <w:tcPr>
            <w:tcW w:w="249" w:type="pct"/>
            <w:tcBorders>
              <w:top w:val="nil"/>
              <w:left w:val="double" w:sz="6" w:space="0" w:color="auto"/>
              <w:bottom w:val="single" w:sz="4" w:space="0" w:color="auto"/>
              <w:right w:val="nil"/>
            </w:tcBorders>
            <w:shd w:val="clear" w:color="000000" w:fill="F2DCDB"/>
            <w:vAlign w:val="center"/>
          </w:tcPr>
          <w:p w14:paraId="496E2301" w14:textId="77777777" w:rsidR="00C755B1" w:rsidRDefault="00C755B1" w:rsidP="00C755B1">
            <w:pPr>
              <w:jc w:val="right"/>
              <w:rPr>
                <w:color w:val="000000"/>
                <w:sz w:val="24"/>
                <w:szCs w:val="24"/>
              </w:rPr>
            </w:pPr>
            <w:r>
              <w:rPr>
                <w:color w:val="000000"/>
              </w:rPr>
              <w:t>268</w:t>
            </w:r>
          </w:p>
        </w:tc>
        <w:tc>
          <w:tcPr>
            <w:tcW w:w="249" w:type="pct"/>
            <w:tcBorders>
              <w:top w:val="nil"/>
              <w:left w:val="double" w:sz="6" w:space="0" w:color="auto"/>
              <w:bottom w:val="single" w:sz="4" w:space="0" w:color="auto"/>
              <w:right w:val="nil"/>
            </w:tcBorders>
            <w:shd w:val="clear" w:color="000000" w:fill="F2DCDB"/>
            <w:vAlign w:val="center"/>
          </w:tcPr>
          <w:p w14:paraId="2141A8AB" w14:textId="77777777" w:rsidR="00C755B1" w:rsidRDefault="00C755B1" w:rsidP="00C755B1">
            <w:pPr>
              <w:jc w:val="right"/>
              <w:rPr>
                <w:color w:val="000000"/>
                <w:sz w:val="24"/>
                <w:szCs w:val="24"/>
              </w:rPr>
            </w:pPr>
            <w:r>
              <w:rPr>
                <w:color w:val="000000"/>
              </w:rPr>
              <w:t>292</w:t>
            </w:r>
          </w:p>
        </w:tc>
        <w:tc>
          <w:tcPr>
            <w:tcW w:w="222" w:type="pct"/>
            <w:tcBorders>
              <w:top w:val="nil"/>
              <w:left w:val="double" w:sz="6" w:space="0" w:color="auto"/>
              <w:bottom w:val="single" w:sz="4" w:space="0" w:color="auto"/>
              <w:right w:val="nil"/>
            </w:tcBorders>
            <w:shd w:val="clear" w:color="000000" w:fill="F2DCDB"/>
            <w:vAlign w:val="center"/>
          </w:tcPr>
          <w:p w14:paraId="6EF070A6" w14:textId="77777777" w:rsidR="00C755B1" w:rsidRDefault="00C755B1" w:rsidP="00C755B1">
            <w:pPr>
              <w:jc w:val="right"/>
              <w:rPr>
                <w:color w:val="000000"/>
                <w:sz w:val="24"/>
                <w:szCs w:val="24"/>
              </w:rPr>
            </w:pPr>
            <w:r>
              <w:rPr>
                <w:color w:val="000000"/>
              </w:rPr>
              <w:t>47</w:t>
            </w:r>
          </w:p>
        </w:tc>
        <w:tc>
          <w:tcPr>
            <w:tcW w:w="228" w:type="pct"/>
            <w:tcBorders>
              <w:top w:val="nil"/>
              <w:left w:val="double" w:sz="6" w:space="0" w:color="auto"/>
              <w:bottom w:val="single" w:sz="4" w:space="0" w:color="auto"/>
              <w:right w:val="nil"/>
            </w:tcBorders>
            <w:shd w:val="clear" w:color="000000" w:fill="F2DCDB"/>
            <w:vAlign w:val="center"/>
          </w:tcPr>
          <w:p w14:paraId="191E89EA" w14:textId="77777777" w:rsidR="00C755B1" w:rsidRDefault="00C755B1" w:rsidP="00C755B1">
            <w:pPr>
              <w:jc w:val="right"/>
              <w:rPr>
                <w:color w:val="000000"/>
                <w:sz w:val="24"/>
                <w:szCs w:val="24"/>
              </w:rPr>
            </w:pPr>
            <w:r>
              <w:rPr>
                <w:color w:val="000000"/>
              </w:rPr>
              <w:t>46</w:t>
            </w:r>
          </w:p>
        </w:tc>
        <w:tc>
          <w:tcPr>
            <w:tcW w:w="291" w:type="pct"/>
            <w:tcBorders>
              <w:top w:val="nil"/>
              <w:left w:val="double" w:sz="6" w:space="0" w:color="auto"/>
              <w:bottom w:val="single" w:sz="4" w:space="0" w:color="auto"/>
              <w:right w:val="nil"/>
            </w:tcBorders>
            <w:shd w:val="clear" w:color="000000" w:fill="F2DCDB"/>
            <w:vAlign w:val="center"/>
          </w:tcPr>
          <w:p w14:paraId="439DA85B" w14:textId="77777777" w:rsidR="00C755B1" w:rsidRDefault="00C755B1" w:rsidP="00C755B1">
            <w:pPr>
              <w:jc w:val="right"/>
              <w:rPr>
                <w:color w:val="000000"/>
                <w:sz w:val="24"/>
                <w:szCs w:val="24"/>
              </w:rPr>
            </w:pPr>
            <w:r>
              <w:rPr>
                <w:color w:val="000000"/>
              </w:rPr>
              <w:t>17</w:t>
            </w:r>
          </w:p>
        </w:tc>
        <w:tc>
          <w:tcPr>
            <w:tcW w:w="299" w:type="pct"/>
            <w:tcBorders>
              <w:top w:val="nil"/>
              <w:left w:val="double" w:sz="6" w:space="0" w:color="auto"/>
              <w:bottom w:val="single" w:sz="4" w:space="0" w:color="auto"/>
              <w:right w:val="nil"/>
            </w:tcBorders>
            <w:shd w:val="clear" w:color="000000" w:fill="F2DCDB"/>
            <w:vAlign w:val="center"/>
          </w:tcPr>
          <w:p w14:paraId="12507671" w14:textId="77777777" w:rsidR="00C755B1" w:rsidRDefault="00C755B1" w:rsidP="00C755B1">
            <w:pPr>
              <w:jc w:val="right"/>
              <w:rPr>
                <w:color w:val="000000"/>
                <w:sz w:val="24"/>
                <w:szCs w:val="24"/>
              </w:rPr>
            </w:pPr>
            <w:r>
              <w:rPr>
                <w:color w:val="000000"/>
              </w:rPr>
              <w:t>17</w:t>
            </w:r>
          </w:p>
        </w:tc>
        <w:tc>
          <w:tcPr>
            <w:tcW w:w="222" w:type="pct"/>
            <w:tcBorders>
              <w:top w:val="nil"/>
              <w:left w:val="double" w:sz="6" w:space="0" w:color="auto"/>
              <w:bottom w:val="single" w:sz="4" w:space="0" w:color="auto"/>
              <w:right w:val="nil"/>
            </w:tcBorders>
            <w:shd w:val="clear" w:color="000000" w:fill="F2DCDB"/>
            <w:vAlign w:val="center"/>
          </w:tcPr>
          <w:p w14:paraId="33DC7630" w14:textId="77777777" w:rsidR="00C755B1" w:rsidRDefault="00C755B1" w:rsidP="00C755B1">
            <w:pPr>
              <w:jc w:val="right"/>
              <w:rPr>
                <w:color w:val="000000"/>
                <w:sz w:val="24"/>
                <w:szCs w:val="24"/>
              </w:rPr>
            </w:pPr>
            <w:r>
              <w:rPr>
                <w:color w:val="000000"/>
              </w:rPr>
              <w:t>18</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BAEDE90" w14:textId="77777777" w:rsidR="00C755B1" w:rsidRDefault="00C755B1" w:rsidP="00C755B1">
            <w:pPr>
              <w:jc w:val="right"/>
              <w:rPr>
                <w:color w:val="000000"/>
                <w:sz w:val="24"/>
                <w:szCs w:val="24"/>
              </w:rPr>
            </w:pPr>
            <w:r>
              <w:rPr>
                <w:color w:val="000000"/>
              </w:rPr>
              <w:t>14</w:t>
            </w:r>
          </w:p>
        </w:tc>
      </w:tr>
      <w:tr w:rsidR="00C755B1" w:rsidRPr="000A46ED" w14:paraId="52C4E45F"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A06FA42"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Maths.</w:t>
            </w:r>
          </w:p>
        </w:tc>
        <w:tc>
          <w:tcPr>
            <w:tcW w:w="255" w:type="pct"/>
            <w:tcBorders>
              <w:top w:val="nil"/>
              <w:left w:val="double" w:sz="6" w:space="0" w:color="auto"/>
              <w:bottom w:val="single" w:sz="4" w:space="0" w:color="auto"/>
              <w:right w:val="nil"/>
            </w:tcBorders>
            <w:shd w:val="clear" w:color="000000" w:fill="F2DCDB"/>
            <w:vAlign w:val="center"/>
          </w:tcPr>
          <w:p w14:paraId="18BB7525" w14:textId="77777777" w:rsidR="00C755B1" w:rsidRDefault="00C755B1" w:rsidP="00C755B1">
            <w:pPr>
              <w:jc w:val="right"/>
              <w:rPr>
                <w:color w:val="000000"/>
                <w:sz w:val="24"/>
                <w:szCs w:val="24"/>
              </w:rPr>
            </w:pPr>
            <w:r>
              <w:rPr>
                <w:color w:val="000000"/>
              </w:rPr>
              <w:t>98</w:t>
            </w:r>
          </w:p>
        </w:tc>
        <w:tc>
          <w:tcPr>
            <w:tcW w:w="256" w:type="pct"/>
            <w:tcBorders>
              <w:top w:val="nil"/>
              <w:left w:val="double" w:sz="6" w:space="0" w:color="auto"/>
              <w:bottom w:val="single" w:sz="4" w:space="0" w:color="auto"/>
              <w:right w:val="nil"/>
            </w:tcBorders>
            <w:shd w:val="clear" w:color="000000" w:fill="F2DCDB"/>
            <w:vAlign w:val="center"/>
          </w:tcPr>
          <w:p w14:paraId="6A89C4A3" w14:textId="77777777" w:rsidR="00C755B1" w:rsidRDefault="00C755B1" w:rsidP="00C755B1">
            <w:pPr>
              <w:jc w:val="right"/>
              <w:rPr>
                <w:color w:val="000000"/>
                <w:sz w:val="24"/>
                <w:szCs w:val="24"/>
              </w:rPr>
            </w:pPr>
            <w:r>
              <w:rPr>
                <w:color w:val="000000"/>
              </w:rPr>
              <w:t>127</w:t>
            </w:r>
          </w:p>
        </w:tc>
        <w:tc>
          <w:tcPr>
            <w:tcW w:w="249" w:type="pct"/>
            <w:tcBorders>
              <w:top w:val="nil"/>
              <w:left w:val="double" w:sz="6" w:space="0" w:color="auto"/>
              <w:bottom w:val="single" w:sz="4" w:space="0" w:color="auto"/>
              <w:right w:val="nil"/>
            </w:tcBorders>
            <w:shd w:val="clear" w:color="000000" w:fill="F2DCDB"/>
            <w:vAlign w:val="center"/>
          </w:tcPr>
          <w:p w14:paraId="424983E5" w14:textId="77777777" w:rsidR="00C755B1" w:rsidRDefault="00C755B1" w:rsidP="00C755B1">
            <w:pPr>
              <w:jc w:val="right"/>
              <w:rPr>
                <w:color w:val="000000"/>
                <w:sz w:val="24"/>
                <w:szCs w:val="24"/>
              </w:rPr>
            </w:pPr>
            <w:r>
              <w:rPr>
                <w:color w:val="000000"/>
              </w:rPr>
              <w:t>203</w:t>
            </w:r>
          </w:p>
        </w:tc>
        <w:tc>
          <w:tcPr>
            <w:tcW w:w="249" w:type="pct"/>
            <w:tcBorders>
              <w:top w:val="nil"/>
              <w:left w:val="double" w:sz="6" w:space="0" w:color="auto"/>
              <w:bottom w:val="single" w:sz="4" w:space="0" w:color="auto"/>
              <w:right w:val="nil"/>
            </w:tcBorders>
            <w:shd w:val="clear" w:color="000000" w:fill="F2DCDB"/>
            <w:vAlign w:val="center"/>
          </w:tcPr>
          <w:p w14:paraId="1955CA80" w14:textId="77777777" w:rsidR="00C755B1" w:rsidRDefault="00C755B1" w:rsidP="00C755B1">
            <w:pPr>
              <w:jc w:val="right"/>
              <w:rPr>
                <w:color w:val="000000"/>
                <w:sz w:val="24"/>
                <w:szCs w:val="24"/>
              </w:rPr>
            </w:pPr>
            <w:r>
              <w:rPr>
                <w:color w:val="000000"/>
              </w:rPr>
              <w:t>241</w:t>
            </w:r>
          </w:p>
        </w:tc>
        <w:tc>
          <w:tcPr>
            <w:tcW w:w="222" w:type="pct"/>
            <w:tcBorders>
              <w:top w:val="nil"/>
              <w:left w:val="double" w:sz="6" w:space="0" w:color="auto"/>
              <w:bottom w:val="single" w:sz="4" w:space="0" w:color="auto"/>
              <w:right w:val="nil"/>
            </w:tcBorders>
            <w:shd w:val="clear" w:color="000000" w:fill="F2DCDB"/>
            <w:vAlign w:val="center"/>
          </w:tcPr>
          <w:p w14:paraId="0B464FF8" w14:textId="77777777" w:rsidR="00C755B1" w:rsidRDefault="00C755B1" w:rsidP="00C755B1">
            <w:pPr>
              <w:jc w:val="right"/>
              <w:rPr>
                <w:color w:val="000000"/>
                <w:sz w:val="24"/>
                <w:szCs w:val="24"/>
              </w:rPr>
            </w:pPr>
            <w:r>
              <w:rPr>
                <w:color w:val="000000"/>
              </w:rPr>
              <w:t>133</w:t>
            </w:r>
          </w:p>
        </w:tc>
        <w:tc>
          <w:tcPr>
            <w:tcW w:w="228" w:type="pct"/>
            <w:tcBorders>
              <w:top w:val="nil"/>
              <w:left w:val="double" w:sz="6" w:space="0" w:color="auto"/>
              <w:bottom w:val="single" w:sz="4" w:space="0" w:color="auto"/>
              <w:right w:val="nil"/>
            </w:tcBorders>
            <w:shd w:val="clear" w:color="000000" w:fill="F2DCDB"/>
            <w:vAlign w:val="center"/>
          </w:tcPr>
          <w:p w14:paraId="23768ACD" w14:textId="77777777" w:rsidR="00C755B1" w:rsidRDefault="00C755B1" w:rsidP="00C755B1">
            <w:pPr>
              <w:jc w:val="right"/>
              <w:rPr>
                <w:color w:val="000000"/>
                <w:sz w:val="24"/>
                <w:szCs w:val="24"/>
              </w:rPr>
            </w:pPr>
            <w:r>
              <w:rPr>
                <w:color w:val="000000"/>
              </w:rPr>
              <w:t>90</w:t>
            </w:r>
          </w:p>
        </w:tc>
        <w:tc>
          <w:tcPr>
            <w:tcW w:w="291" w:type="pct"/>
            <w:tcBorders>
              <w:top w:val="nil"/>
              <w:left w:val="double" w:sz="6" w:space="0" w:color="auto"/>
              <w:bottom w:val="single" w:sz="4" w:space="0" w:color="auto"/>
              <w:right w:val="nil"/>
            </w:tcBorders>
            <w:shd w:val="clear" w:color="000000" w:fill="F2DCDB"/>
            <w:vAlign w:val="center"/>
          </w:tcPr>
          <w:p w14:paraId="15B7ACAC" w14:textId="77777777" w:rsidR="00C755B1" w:rsidRDefault="00C755B1" w:rsidP="00C755B1">
            <w:pPr>
              <w:jc w:val="right"/>
              <w:rPr>
                <w:color w:val="000000"/>
                <w:sz w:val="24"/>
                <w:szCs w:val="24"/>
              </w:rPr>
            </w:pPr>
            <w:r>
              <w:rPr>
                <w:color w:val="000000"/>
              </w:rPr>
              <w:t>44</w:t>
            </w:r>
          </w:p>
        </w:tc>
        <w:tc>
          <w:tcPr>
            <w:tcW w:w="299" w:type="pct"/>
            <w:tcBorders>
              <w:top w:val="nil"/>
              <w:left w:val="double" w:sz="6" w:space="0" w:color="auto"/>
              <w:bottom w:val="single" w:sz="4" w:space="0" w:color="auto"/>
              <w:right w:val="nil"/>
            </w:tcBorders>
            <w:shd w:val="clear" w:color="000000" w:fill="F2DCDB"/>
            <w:vAlign w:val="center"/>
          </w:tcPr>
          <w:p w14:paraId="4267FFED" w14:textId="77777777" w:rsidR="00C755B1" w:rsidRDefault="00C755B1" w:rsidP="00C755B1">
            <w:pPr>
              <w:jc w:val="right"/>
              <w:rPr>
                <w:color w:val="000000"/>
                <w:sz w:val="24"/>
                <w:szCs w:val="24"/>
              </w:rPr>
            </w:pPr>
            <w:r>
              <w:rPr>
                <w:color w:val="000000"/>
              </w:rPr>
              <w:t>34</w:t>
            </w:r>
          </w:p>
        </w:tc>
        <w:tc>
          <w:tcPr>
            <w:tcW w:w="222" w:type="pct"/>
            <w:tcBorders>
              <w:top w:val="nil"/>
              <w:left w:val="double" w:sz="6" w:space="0" w:color="auto"/>
              <w:bottom w:val="single" w:sz="4" w:space="0" w:color="auto"/>
              <w:right w:val="nil"/>
            </w:tcBorders>
            <w:shd w:val="clear" w:color="000000" w:fill="F2DCDB"/>
            <w:vAlign w:val="center"/>
          </w:tcPr>
          <w:p w14:paraId="2AD1FED7" w14:textId="77777777" w:rsidR="00C755B1" w:rsidRDefault="00C755B1" w:rsidP="00C755B1">
            <w:pPr>
              <w:jc w:val="right"/>
              <w:rPr>
                <w:color w:val="000000"/>
                <w:sz w:val="24"/>
                <w:szCs w:val="24"/>
              </w:rPr>
            </w:pPr>
            <w:r>
              <w:rPr>
                <w:color w:val="000000"/>
              </w:rPr>
              <w:t>24</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552A4C7B" w14:textId="77777777" w:rsidR="00C755B1" w:rsidRDefault="00C755B1" w:rsidP="00C755B1">
            <w:pPr>
              <w:jc w:val="right"/>
              <w:rPr>
                <w:color w:val="000000"/>
                <w:sz w:val="24"/>
                <w:szCs w:val="24"/>
              </w:rPr>
            </w:pPr>
            <w:r>
              <w:rPr>
                <w:color w:val="000000"/>
              </w:rPr>
              <w:t>23</w:t>
            </w:r>
          </w:p>
        </w:tc>
      </w:tr>
      <w:tr w:rsidR="00C755B1" w:rsidRPr="000A46ED" w14:paraId="73F6B9CC"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679FA9C" w14:textId="77777777" w:rsidR="00C755B1" w:rsidRPr="000A46ED" w:rsidRDefault="00C755B1" w:rsidP="00C755B1">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Maths skills.</w:t>
            </w:r>
          </w:p>
        </w:tc>
        <w:tc>
          <w:tcPr>
            <w:tcW w:w="255" w:type="pct"/>
            <w:tcBorders>
              <w:top w:val="nil"/>
              <w:left w:val="double" w:sz="6" w:space="0" w:color="auto"/>
              <w:bottom w:val="single" w:sz="4" w:space="0" w:color="auto"/>
              <w:right w:val="nil"/>
            </w:tcBorders>
            <w:shd w:val="clear" w:color="000000" w:fill="F2DCDB"/>
            <w:vAlign w:val="center"/>
          </w:tcPr>
          <w:p w14:paraId="7090144D" w14:textId="77777777" w:rsidR="00C755B1" w:rsidRDefault="00C755B1" w:rsidP="00C755B1">
            <w:pPr>
              <w:jc w:val="right"/>
              <w:rPr>
                <w:color w:val="000000"/>
                <w:sz w:val="24"/>
                <w:szCs w:val="24"/>
              </w:rPr>
            </w:pPr>
            <w:r>
              <w:rPr>
                <w:color w:val="000000"/>
              </w:rPr>
              <w:t>109</w:t>
            </w:r>
          </w:p>
        </w:tc>
        <w:tc>
          <w:tcPr>
            <w:tcW w:w="256" w:type="pct"/>
            <w:tcBorders>
              <w:top w:val="nil"/>
              <w:left w:val="double" w:sz="6" w:space="0" w:color="auto"/>
              <w:bottom w:val="single" w:sz="4" w:space="0" w:color="auto"/>
              <w:right w:val="nil"/>
            </w:tcBorders>
            <w:shd w:val="clear" w:color="000000" w:fill="F2DCDB"/>
            <w:vAlign w:val="center"/>
          </w:tcPr>
          <w:p w14:paraId="6267C1CF" w14:textId="77777777" w:rsidR="00C755B1" w:rsidRDefault="00C755B1" w:rsidP="00C755B1">
            <w:pPr>
              <w:jc w:val="right"/>
              <w:rPr>
                <w:color w:val="000000"/>
                <w:sz w:val="24"/>
                <w:szCs w:val="24"/>
              </w:rPr>
            </w:pPr>
            <w:r>
              <w:rPr>
                <w:color w:val="000000"/>
              </w:rPr>
              <w:t>141</w:t>
            </w:r>
          </w:p>
        </w:tc>
        <w:tc>
          <w:tcPr>
            <w:tcW w:w="249" w:type="pct"/>
            <w:tcBorders>
              <w:top w:val="nil"/>
              <w:left w:val="double" w:sz="6" w:space="0" w:color="auto"/>
              <w:bottom w:val="single" w:sz="4" w:space="0" w:color="auto"/>
              <w:right w:val="nil"/>
            </w:tcBorders>
            <w:shd w:val="clear" w:color="000000" w:fill="F2DCDB"/>
            <w:vAlign w:val="center"/>
          </w:tcPr>
          <w:p w14:paraId="41831B82" w14:textId="77777777" w:rsidR="00C755B1" w:rsidRDefault="00C755B1" w:rsidP="00C755B1">
            <w:pPr>
              <w:jc w:val="right"/>
              <w:rPr>
                <w:color w:val="000000"/>
                <w:sz w:val="24"/>
                <w:szCs w:val="24"/>
              </w:rPr>
            </w:pPr>
            <w:r>
              <w:rPr>
                <w:color w:val="000000"/>
              </w:rPr>
              <w:t>221</w:t>
            </w:r>
          </w:p>
        </w:tc>
        <w:tc>
          <w:tcPr>
            <w:tcW w:w="249" w:type="pct"/>
            <w:tcBorders>
              <w:top w:val="nil"/>
              <w:left w:val="double" w:sz="6" w:space="0" w:color="auto"/>
              <w:bottom w:val="single" w:sz="4" w:space="0" w:color="auto"/>
              <w:right w:val="nil"/>
            </w:tcBorders>
            <w:shd w:val="clear" w:color="000000" w:fill="F2DCDB"/>
            <w:vAlign w:val="center"/>
          </w:tcPr>
          <w:p w14:paraId="5DC326FC" w14:textId="77777777" w:rsidR="00C755B1" w:rsidRDefault="00C755B1" w:rsidP="00C755B1">
            <w:pPr>
              <w:jc w:val="right"/>
              <w:rPr>
                <w:color w:val="000000"/>
                <w:sz w:val="24"/>
                <w:szCs w:val="24"/>
              </w:rPr>
            </w:pPr>
            <w:r>
              <w:rPr>
                <w:color w:val="000000"/>
              </w:rPr>
              <w:t>246</w:t>
            </w:r>
          </w:p>
        </w:tc>
        <w:tc>
          <w:tcPr>
            <w:tcW w:w="222" w:type="pct"/>
            <w:tcBorders>
              <w:top w:val="nil"/>
              <w:left w:val="double" w:sz="6" w:space="0" w:color="auto"/>
              <w:bottom w:val="single" w:sz="4" w:space="0" w:color="auto"/>
              <w:right w:val="nil"/>
            </w:tcBorders>
            <w:shd w:val="clear" w:color="000000" w:fill="F2DCDB"/>
            <w:vAlign w:val="center"/>
          </w:tcPr>
          <w:p w14:paraId="22BB8CCE" w14:textId="77777777" w:rsidR="00C755B1" w:rsidRDefault="00C755B1" w:rsidP="00C755B1">
            <w:pPr>
              <w:jc w:val="right"/>
              <w:rPr>
                <w:color w:val="000000"/>
                <w:sz w:val="24"/>
                <w:szCs w:val="24"/>
              </w:rPr>
            </w:pPr>
            <w:r>
              <w:rPr>
                <w:color w:val="000000"/>
              </w:rPr>
              <w:t>126</w:t>
            </w:r>
          </w:p>
        </w:tc>
        <w:tc>
          <w:tcPr>
            <w:tcW w:w="228" w:type="pct"/>
            <w:tcBorders>
              <w:top w:val="nil"/>
              <w:left w:val="double" w:sz="6" w:space="0" w:color="auto"/>
              <w:bottom w:val="single" w:sz="4" w:space="0" w:color="auto"/>
              <w:right w:val="nil"/>
            </w:tcBorders>
            <w:shd w:val="clear" w:color="000000" w:fill="F2DCDB"/>
            <w:vAlign w:val="center"/>
          </w:tcPr>
          <w:p w14:paraId="10158CF6" w14:textId="77777777" w:rsidR="00C755B1" w:rsidRDefault="00C755B1" w:rsidP="00C755B1">
            <w:pPr>
              <w:jc w:val="right"/>
              <w:rPr>
                <w:color w:val="000000"/>
                <w:sz w:val="24"/>
                <w:szCs w:val="24"/>
              </w:rPr>
            </w:pPr>
            <w:r>
              <w:rPr>
                <w:color w:val="000000"/>
              </w:rPr>
              <w:t>75</w:t>
            </w:r>
          </w:p>
        </w:tc>
        <w:tc>
          <w:tcPr>
            <w:tcW w:w="291" w:type="pct"/>
            <w:tcBorders>
              <w:top w:val="nil"/>
              <w:left w:val="double" w:sz="6" w:space="0" w:color="auto"/>
              <w:bottom w:val="single" w:sz="4" w:space="0" w:color="auto"/>
              <w:right w:val="nil"/>
            </w:tcBorders>
            <w:shd w:val="clear" w:color="000000" w:fill="F2DCDB"/>
            <w:vAlign w:val="center"/>
          </w:tcPr>
          <w:p w14:paraId="25CD6FD8" w14:textId="77777777" w:rsidR="00C755B1" w:rsidRDefault="00C755B1" w:rsidP="00C755B1">
            <w:pPr>
              <w:jc w:val="right"/>
              <w:rPr>
                <w:color w:val="000000"/>
                <w:sz w:val="24"/>
                <w:szCs w:val="24"/>
              </w:rPr>
            </w:pPr>
            <w:r>
              <w:rPr>
                <w:color w:val="000000"/>
              </w:rPr>
              <w:t>31</w:t>
            </w:r>
          </w:p>
        </w:tc>
        <w:tc>
          <w:tcPr>
            <w:tcW w:w="299" w:type="pct"/>
            <w:tcBorders>
              <w:top w:val="nil"/>
              <w:left w:val="double" w:sz="6" w:space="0" w:color="auto"/>
              <w:bottom w:val="single" w:sz="4" w:space="0" w:color="auto"/>
              <w:right w:val="nil"/>
            </w:tcBorders>
            <w:shd w:val="clear" w:color="000000" w:fill="F2DCDB"/>
            <w:vAlign w:val="center"/>
          </w:tcPr>
          <w:p w14:paraId="554866F7" w14:textId="77777777" w:rsidR="00C755B1" w:rsidRDefault="00C755B1" w:rsidP="00C755B1">
            <w:pPr>
              <w:jc w:val="right"/>
              <w:rPr>
                <w:color w:val="000000"/>
                <w:sz w:val="24"/>
                <w:szCs w:val="24"/>
              </w:rPr>
            </w:pPr>
            <w:r>
              <w:rPr>
                <w:color w:val="000000"/>
              </w:rPr>
              <w:t>34</w:t>
            </w:r>
          </w:p>
        </w:tc>
        <w:tc>
          <w:tcPr>
            <w:tcW w:w="222" w:type="pct"/>
            <w:tcBorders>
              <w:top w:val="nil"/>
              <w:left w:val="double" w:sz="6" w:space="0" w:color="auto"/>
              <w:bottom w:val="single" w:sz="4" w:space="0" w:color="auto"/>
              <w:right w:val="nil"/>
            </w:tcBorders>
            <w:shd w:val="clear" w:color="000000" w:fill="F2DCDB"/>
            <w:vAlign w:val="center"/>
          </w:tcPr>
          <w:p w14:paraId="55A30618" w14:textId="77777777" w:rsidR="00C755B1" w:rsidRDefault="00C755B1" w:rsidP="00C755B1">
            <w:pPr>
              <w:jc w:val="right"/>
              <w:rPr>
                <w:color w:val="000000"/>
                <w:sz w:val="24"/>
                <w:szCs w:val="24"/>
              </w:rPr>
            </w:pPr>
            <w:r>
              <w:rPr>
                <w:color w:val="000000"/>
              </w:rPr>
              <w:t>15</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6A2DA3ED" w14:textId="77777777" w:rsidR="00C755B1" w:rsidRDefault="00C755B1" w:rsidP="00C755B1">
            <w:pPr>
              <w:jc w:val="right"/>
              <w:rPr>
                <w:color w:val="000000"/>
                <w:sz w:val="24"/>
                <w:szCs w:val="24"/>
              </w:rPr>
            </w:pPr>
            <w:r>
              <w:rPr>
                <w:color w:val="000000"/>
              </w:rPr>
              <w:t>20</w:t>
            </w:r>
          </w:p>
        </w:tc>
      </w:tr>
    </w:tbl>
    <w:p w14:paraId="5B42CD3B" w14:textId="77777777" w:rsidR="005C5B3E" w:rsidRDefault="005C5B3E" w:rsidP="004910A6">
      <w:pPr>
        <w:rPr>
          <w:rFonts w:cs="Arial"/>
          <w:sz w:val="24"/>
          <w:szCs w:val="24"/>
        </w:rPr>
        <w:sectPr w:rsidR="005C5B3E" w:rsidSect="005C5B3E">
          <w:pgSz w:w="16838" w:h="11906" w:orient="landscape"/>
          <w:pgMar w:top="1418" w:right="1134" w:bottom="851" w:left="1134" w:header="709" w:footer="709" w:gutter="0"/>
          <w:cols w:space="708"/>
          <w:docGrid w:linePitch="360"/>
        </w:sectPr>
      </w:pPr>
    </w:p>
    <w:tbl>
      <w:tblPr>
        <w:tblW w:w="5000" w:type="pct"/>
        <w:tblLook w:val="04A0" w:firstRow="1" w:lastRow="0" w:firstColumn="1" w:lastColumn="0" w:noHBand="0" w:noVBand="1"/>
        <w:tblCaption w:val="Table - Literacy Year 8"/>
        <w:tblDescription w:val="Data relating to Literacy Year 8"/>
      </w:tblPr>
      <w:tblGrid>
        <w:gridCol w:w="4119"/>
        <w:gridCol w:w="551"/>
        <w:gridCol w:w="551"/>
        <w:gridCol w:w="663"/>
        <w:gridCol w:w="663"/>
        <w:gridCol w:w="551"/>
        <w:gridCol w:w="551"/>
        <w:gridCol w:w="551"/>
        <w:gridCol w:w="551"/>
        <w:gridCol w:w="551"/>
        <w:gridCol w:w="551"/>
      </w:tblGrid>
      <w:tr w:rsidR="005C5B3E" w:rsidRPr="000A46ED" w14:paraId="24454D92" w14:textId="77777777" w:rsidTr="0001238E">
        <w:trPr>
          <w:trHeight w:val="567"/>
        </w:trPr>
        <w:tc>
          <w:tcPr>
            <w:tcW w:w="2503" w:type="pct"/>
            <w:vMerge w:val="restart"/>
            <w:tcBorders>
              <w:top w:val="single" w:sz="4" w:space="0" w:color="auto"/>
              <w:left w:val="single" w:sz="4" w:space="0" w:color="auto"/>
              <w:bottom w:val="nil"/>
              <w:right w:val="nil"/>
            </w:tcBorders>
            <w:shd w:val="clear" w:color="auto" w:fill="auto"/>
            <w:noWrap/>
            <w:vAlign w:val="center"/>
            <w:hideMark/>
          </w:tcPr>
          <w:p w14:paraId="2CC82FAB" w14:textId="77777777" w:rsidR="005C5B3E" w:rsidRPr="00394D0F" w:rsidRDefault="009F25F9" w:rsidP="0001238E">
            <w:pPr>
              <w:spacing w:after="0" w:line="240" w:lineRule="auto"/>
              <w:jc w:val="center"/>
              <w:rPr>
                <w:rFonts w:ascii="Corbel" w:eastAsia="Times New Roman" w:hAnsi="Corbel" w:cs="Times New Roman"/>
                <w:b/>
                <w:bCs/>
                <w:color w:val="244061" w:themeColor="accent1" w:themeShade="80"/>
                <w:sz w:val="40"/>
                <w:szCs w:val="36"/>
                <w:lang w:eastAsia="en-AU"/>
              </w:rPr>
            </w:pPr>
            <w:r w:rsidRPr="00394D0F">
              <w:rPr>
                <w:rFonts w:ascii="Corbel" w:eastAsia="Times New Roman" w:hAnsi="Corbel" w:cs="Times New Roman"/>
                <w:b/>
                <w:bCs/>
                <w:color w:val="244061" w:themeColor="accent1" w:themeShade="80"/>
                <w:sz w:val="40"/>
                <w:szCs w:val="36"/>
                <w:lang w:eastAsia="en-AU"/>
              </w:rPr>
              <w:t>Literacy</w:t>
            </w:r>
          </w:p>
          <w:p w14:paraId="16D987CB" w14:textId="77777777" w:rsidR="005C5B3E" w:rsidRPr="000A46ED" w:rsidRDefault="005C5B3E" w:rsidP="0001238E">
            <w:pPr>
              <w:spacing w:after="0" w:line="240" w:lineRule="auto"/>
              <w:jc w:val="center"/>
              <w:rPr>
                <w:rFonts w:eastAsia="Times New Roman" w:cs="Times New Roman"/>
                <w:b/>
                <w:bCs/>
                <w:color w:val="FF0000"/>
                <w:sz w:val="36"/>
                <w:szCs w:val="36"/>
                <w:lang w:eastAsia="en-AU"/>
              </w:rPr>
            </w:pPr>
          </w:p>
        </w:tc>
        <w:tc>
          <w:tcPr>
            <w:tcW w:w="2497" w:type="pct"/>
            <w:gridSpan w:val="10"/>
            <w:tcBorders>
              <w:top w:val="double" w:sz="6" w:space="0" w:color="auto"/>
              <w:left w:val="double" w:sz="6" w:space="0" w:color="auto"/>
              <w:bottom w:val="nil"/>
              <w:right w:val="double" w:sz="6" w:space="0" w:color="000000"/>
            </w:tcBorders>
            <w:shd w:val="clear" w:color="auto" w:fill="auto"/>
            <w:noWrap/>
            <w:vAlign w:val="bottom"/>
            <w:hideMark/>
          </w:tcPr>
          <w:p w14:paraId="323B33F7" w14:textId="77777777" w:rsidR="005C5B3E" w:rsidRPr="000A46ED" w:rsidRDefault="005C5B3E" w:rsidP="0001238E">
            <w:pPr>
              <w:spacing w:after="0" w:line="240" w:lineRule="auto"/>
              <w:jc w:val="center"/>
              <w:rPr>
                <w:rFonts w:eastAsia="Times New Roman" w:cs="Times New Roman"/>
                <w:color w:val="000000"/>
                <w:sz w:val="52"/>
                <w:szCs w:val="52"/>
                <w:lang w:eastAsia="en-AU"/>
              </w:rPr>
            </w:pPr>
            <w:r>
              <w:rPr>
                <w:rFonts w:eastAsia="Times New Roman" w:cs="Times New Roman"/>
                <w:color w:val="000000"/>
                <w:sz w:val="52"/>
                <w:szCs w:val="52"/>
                <w:lang w:eastAsia="en-AU"/>
              </w:rPr>
              <w:t>Year 8</w:t>
            </w:r>
          </w:p>
        </w:tc>
      </w:tr>
      <w:tr w:rsidR="005C5B3E" w:rsidRPr="000A46ED" w14:paraId="64DE1BFD" w14:textId="77777777" w:rsidTr="00394D0F">
        <w:trPr>
          <w:trHeight w:val="276"/>
        </w:trPr>
        <w:tc>
          <w:tcPr>
            <w:tcW w:w="2503" w:type="pct"/>
            <w:vMerge/>
            <w:tcBorders>
              <w:left w:val="single" w:sz="4" w:space="0" w:color="auto"/>
              <w:right w:val="nil"/>
            </w:tcBorders>
            <w:shd w:val="clear" w:color="auto" w:fill="auto"/>
            <w:vAlign w:val="center"/>
            <w:hideMark/>
          </w:tcPr>
          <w:p w14:paraId="11BD8E6B"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511" w:type="pct"/>
            <w:gridSpan w:val="2"/>
            <w:tcBorders>
              <w:top w:val="double" w:sz="6" w:space="0" w:color="auto"/>
              <w:left w:val="double" w:sz="6" w:space="0" w:color="auto"/>
              <w:bottom w:val="single" w:sz="4" w:space="0" w:color="auto"/>
              <w:right w:val="single" w:sz="12" w:space="0" w:color="000000"/>
            </w:tcBorders>
            <w:shd w:val="clear" w:color="auto" w:fill="auto"/>
            <w:vAlign w:val="center"/>
            <w:hideMark/>
          </w:tcPr>
          <w:p w14:paraId="300D5113"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Agree</w:t>
            </w:r>
          </w:p>
        </w:tc>
        <w:tc>
          <w:tcPr>
            <w:tcW w:w="498" w:type="pct"/>
            <w:gridSpan w:val="2"/>
            <w:tcBorders>
              <w:top w:val="double" w:sz="6" w:space="0" w:color="auto"/>
              <w:left w:val="nil"/>
              <w:bottom w:val="single" w:sz="4" w:space="0" w:color="auto"/>
              <w:right w:val="single" w:sz="12" w:space="0" w:color="000000"/>
            </w:tcBorders>
            <w:shd w:val="clear" w:color="auto" w:fill="auto"/>
            <w:vAlign w:val="center"/>
            <w:hideMark/>
          </w:tcPr>
          <w:p w14:paraId="09EC143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Agree</w:t>
            </w:r>
          </w:p>
        </w:tc>
        <w:tc>
          <w:tcPr>
            <w:tcW w:w="450" w:type="pct"/>
            <w:gridSpan w:val="2"/>
            <w:tcBorders>
              <w:top w:val="double" w:sz="6" w:space="0" w:color="auto"/>
              <w:left w:val="nil"/>
              <w:bottom w:val="single" w:sz="4" w:space="0" w:color="auto"/>
              <w:right w:val="single" w:sz="12" w:space="0" w:color="000000"/>
            </w:tcBorders>
            <w:shd w:val="clear" w:color="auto" w:fill="auto"/>
            <w:vAlign w:val="center"/>
            <w:hideMark/>
          </w:tcPr>
          <w:p w14:paraId="40CFE19D"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Disagree</w:t>
            </w:r>
          </w:p>
        </w:tc>
        <w:tc>
          <w:tcPr>
            <w:tcW w:w="590" w:type="pct"/>
            <w:gridSpan w:val="2"/>
            <w:tcBorders>
              <w:top w:val="double" w:sz="6" w:space="0" w:color="auto"/>
              <w:left w:val="nil"/>
              <w:bottom w:val="single" w:sz="4" w:space="0" w:color="auto"/>
              <w:right w:val="single" w:sz="12" w:space="0" w:color="000000"/>
            </w:tcBorders>
            <w:shd w:val="clear" w:color="auto" w:fill="auto"/>
            <w:vAlign w:val="center"/>
            <w:hideMark/>
          </w:tcPr>
          <w:p w14:paraId="020F0BE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Strongly Disagree</w:t>
            </w:r>
          </w:p>
        </w:tc>
        <w:tc>
          <w:tcPr>
            <w:tcW w:w="448" w:type="pct"/>
            <w:gridSpan w:val="2"/>
            <w:tcBorders>
              <w:top w:val="double" w:sz="6" w:space="0" w:color="auto"/>
              <w:left w:val="nil"/>
              <w:bottom w:val="single" w:sz="4" w:space="0" w:color="auto"/>
              <w:right w:val="double" w:sz="6" w:space="0" w:color="000000"/>
            </w:tcBorders>
            <w:shd w:val="clear" w:color="auto" w:fill="auto"/>
            <w:vAlign w:val="center"/>
            <w:hideMark/>
          </w:tcPr>
          <w:p w14:paraId="16480B17"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Don't Know</w:t>
            </w:r>
          </w:p>
        </w:tc>
      </w:tr>
      <w:tr w:rsidR="005C5B3E" w:rsidRPr="000A46ED" w14:paraId="57BA234C" w14:textId="77777777" w:rsidTr="00394D0F">
        <w:trPr>
          <w:trHeight w:val="276"/>
        </w:trPr>
        <w:tc>
          <w:tcPr>
            <w:tcW w:w="2503" w:type="pct"/>
            <w:vMerge/>
            <w:tcBorders>
              <w:left w:val="single" w:sz="4" w:space="0" w:color="auto"/>
              <w:bottom w:val="single" w:sz="8" w:space="0" w:color="auto"/>
              <w:right w:val="nil"/>
            </w:tcBorders>
            <w:shd w:val="clear" w:color="auto" w:fill="auto"/>
            <w:vAlign w:val="center"/>
            <w:hideMark/>
          </w:tcPr>
          <w:p w14:paraId="37E4B751" w14:textId="77777777" w:rsidR="005C5B3E" w:rsidRPr="000A46ED" w:rsidRDefault="005C5B3E" w:rsidP="0001238E">
            <w:pPr>
              <w:spacing w:after="0" w:line="240" w:lineRule="auto"/>
              <w:rPr>
                <w:rFonts w:eastAsia="Times New Roman" w:cs="Times New Roman"/>
                <w:color w:val="000000"/>
                <w:sz w:val="24"/>
                <w:szCs w:val="24"/>
                <w:lang w:eastAsia="en-AU"/>
              </w:rPr>
            </w:pPr>
          </w:p>
        </w:tc>
        <w:tc>
          <w:tcPr>
            <w:tcW w:w="255" w:type="pct"/>
            <w:tcBorders>
              <w:top w:val="nil"/>
              <w:left w:val="double" w:sz="6" w:space="0" w:color="auto"/>
              <w:bottom w:val="single" w:sz="4" w:space="0" w:color="auto"/>
              <w:right w:val="single" w:sz="4" w:space="0" w:color="auto"/>
            </w:tcBorders>
            <w:shd w:val="clear" w:color="auto" w:fill="auto"/>
            <w:vAlign w:val="center"/>
            <w:hideMark/>
          </w:tcPr>
          <w:p w14:paraId="5C59624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56" w:type="pct"/>
            <w:tcBorders>
              <w:top w:val="nil"/>
              <w:left w:val="nil"/>
              <w:bottom w:val="single" w:sz="4" w:space="0" w:color="auto"/>
              <w:right w:val="single" w:sz="12" w:space="0" w:color="auto"/>
            </w:tcBorders>
            <w:shd w:val="clear" w:color="auto" w:fill="auto"/>
            <w:vAlign w:val="center"/>
            <w:hideMark/>
          </w:tcPr>
          <w:p w14:paraId="6C1D6044"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49" w:type="pct"/>
            <w:tcBorders>
              <w:top w:val="nil"/>
              <w:left w:val="nil"/>
              <w:bottom w:val="single" w:sz="4" w:space="0" w:color="auto"/>
              <w:right w:val="single" w:sz="4" w:space="0" w:color="auto"/>
            </w:tcBorders>
            <w:shd w:val="clear" w:color="auto" w:fill="auto"/>
            <w:vAlign w:val="center"/>
            <w:hideMark/>
          </w:tcPr>
          <w:p w14:paraId="3E02FC4D"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49" w:type="pct"/>
            <w:tcBorders>
              <w:top w:val="nil"/>
              <w:left w:val="nil"/>
              <w:bottom w:val="single" w:sz="4" w:space="0" w:color="auto"/>
              <w:right w:val="single" w:sz="12" w:space="0" w:color="auto"/>
            </w:tcBorders>
            <w:shd w:val="clear" w:color="auto" w:fill="auto"/>
            <w:vAlign w:val="center"/>
            <w:hideMark/>
          </w:tcPr>
          <w:p w14:paraId="1395E98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792C5B18"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8" w:type="pct"/>
            <w:tcBorders>
              <w:top w:val="nil"/>
              <w:left w:val="nil"/>
              <w:bottom w:val="single" w:sz="4" w:space="0" w:color="auto"/>
              <w:right w:val="single" w:sz="12" w:space="0" w:color="auto"/>
            </w:tcBorders>
            <w:shd w:val="clear" w:color="auto" w:fill="auto"/>
            <w:vAlign w:val="center"/>
            <w:hideMark/>
          </w:tcPr>
          <w:p w14:paraId="35AFA85F"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91" w:type="pct"/>
            <w:tcBorders>
              <w:top w:val="nil"/>
              <w:left w:val="nil"/>
              <w:bottom w:val="single" w:sz="4" w:space="0" w:color="auto"/>
              <w:right w:val="single" w:sz="4" w:space="0" w:color="auto"/>
            </w:tcBorders>
            <w:shd w:val="clear" w:color="auto" w:fill="auto"/>
            <w:vAlign w:val="center"/>
            <w:hideMark/>
          </w:tcPr>
          <w:p w14:paraId="2EDB19B5"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99" w:type="pct"/>
            <w:tcBorders>
              <w:top w:val="nil"/>
              <w:left w:val="nil"/>
              <w:bottom w:val="single" w:sz="4" w:space="0" w:color="auto"/>
              <w:right w:val="single" w:sz="12" w:space="0" w:color="auto"/>
            </w:tcBorders>
            <w:shd w:val="clear" w:color="auto" w:fill="auto"/>
            <w:vAlign w:val="center"/>
            <w:hideMark/>
          </w:tcPr>
          <w:p w14:paraId="2675FC63"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c>
          <w:tcPr>
            <w:tcW w:w="222" w:type="pct"/>
            <w:tcBorders>
              <w:top w:val="nil"/>
              <w:left w:val="nil"/>
              <w:bottom w:val="single" w:sz="4" w:space="0" w:color="auto"/>
              <w:right w:val="single" w:sz="4" w:space="0" w:color="auto"/>
            </w:tcBorders>
            <w:shd w:val="clear" w:color="auto" w:fill="auto"/>
            <w:vAlign w:val="center"/>
            <w:hideMark/>
          </w:tcPr>
          <w:p w14:paraId="17602E52"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Girls</w:t>
            </w:r>
          </w:p>
        </w:tc>
        <w:tc>
          <w:tcPr>
            <w:tcW w:w="226" w:type="pct"/>
            <w:tcBorders>
              <w:top w:val="nil"/>
              <w:left w:val="nil"/>
              <w:bottom w:val="single" w:sz="4" w:space="0" w:color="auto"/>
              <w:right w:val="double" w:sz="6" w:space="0" w:color="auto"/>
            </w:tcBorders>
            <w:shd w:val="clear" w:color="auto" w:fill="auto"/>
            <w:vAlign w:val="center"/>
            <w:hideMark/>
          </w:tcPr>
          <w:p w14:paraId="5FDDB6C9" w14:textId="77777777" w:rsidR="005C5B3E" w:rsidRPr="000A46ED" w:rsidRDefault="005C5B3E" w:rsidP="0001238E">
            <w:pPr>
              <w:spacing w:after="0" w:line="240" w:lineRule="auto"/>
              <w:jc w:val="center"/>
              <w:rPr>
                <w:rFonts w:eastAsia="Times New Roman" w:cs="Times New Roman"/>
                <w:b/>
                <w:bCs/>
                <w:color w:val="000000"/>
                <w:sz w:val="16"/>
                <w:szCs w:val="16"/>
                <w:lang w:eastAsia="en-AU"/>
              </w:rPr>
            </w:pPr>
            <w:r w:rsidRPr="000A46ED">
              <w:rPr>
                <w:rFonts w:eastAsia="Times New Roman" w:cs="Times New Roman"/>
                <w:b/>
                <w:bCs/>
                <w:color w:val="000000"/>
                <w:sz w:val="16"/>
                <w:szCs w:val="16"/>
                <w:lang w:eastAsia="en-AU"/>
              </w:rPr>
              <w:t>Boys</w:t>
            </w:r>
          </w:p>
        </w:tc>
      </w:tr>
      <w:tr w:rsidR="00394D0F" w:rsidRPr="000A46ED" w14:paraId="59E1939A"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AE8F221" w14:textId="6D184D4C"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 I enjoy reading.</w:t>
            </w:r>
          </w:p>
        </w:tc>
        <w:tc>
          <w:tcPr>
            <w:tcW w:w="255" w:type="pct"/>
            <w:tcBorders>
              <w:top w:val="nil"/>
              <w:left w:val="double" w:sz="6" w:space="0" w:color="auto"/>
              <w:bottom w:val="single" w:sz="4" w:space="0" w:color="auto"/>
              <w:right w:val="nil"/>
            </w:tcBorders>
            <w:shd w:val="clear" w:color="000000" w:fill="F2DCDB"/>
            <w:vAlign w:val="center"/>
          </w:tcPr>
          <w:p w14:paraId="759D9575" w14:textId="77777777" w:rsidR="00394D0F" w:rsidRDefault="00394D0F">
            <w:pPr>
              <w:jc w:val="right"/>
              <w:rPr>
                <w:color w:val="000000"/>
                <w:sz w:val="24"/>
                <w:szCs w:val="24"/>
              </w:rPr>
            </w:pPr>
            <w:r>
              <w:rPr>
                <w:color w:val="000000"/>
              </w:rPr>
              <w:t>450</w:t>
            </w:r>
          </w:p>
        </w:tc>
        <w:tc>
          <w:tcPr>
            <w:tcW w:w="256" w:type="pct"/>
            <w:tcBorders>
              <w:top w:val="nil"/>
              <w:left w:val="double" w:sz="6" w:space="0" w:color="auto"/>
              <w:bottom w:val="single" w:sz="4" w:space="0" w:color="auto"/>
              <w:right w:val="nil"/>
            </w:tcBorders>
            <w:shd w:val="clear" w:color="000000" w:fill="F2DCDB"/>
            <w:vAlign w:val="center"/>
          </w:tcPr>
          <w:p w14:paraId="397B8F8F" w14:textId="77777777" w:rsidR="00394D0F" w:rsidRDefault="00394D0F">
            <w:pPr>
              <w:jc w:val="right"/>
              <w:rPr>
                <w:color w:val="000000"/>
                <w:sz w:val="24"/>
                <w:szCs w:val="24"/>
              </w:rPr>
            </w:pPr>
            <w:r>
              <w:rPr>
                <w:color w:val="000000"/>
              </w:rPr>
              <w:t>273</w:t>
            </w:r>
          </w:p>
        </w:tc>
        <w:tc>
          <w:tcPr>
            <w:tcW w:w="249" w:type="pct"/>
            <w:tcBorders>
              <w:top w:val="nil"/>
              <w:left w:val="double" w:sz="6" w:space="0" w:color="auto"/>
              <w:bottom w:val="single" w:sz="4" w:space="0" w:color="auto"/>
              <w:right w:val="nil"/>
            </w:tcBorders>
            <w:shd w:val="clear" w:color="000000" w:fill="F2DCDB"/>
            <w:vAlign w:val="center"/>
          </w:tcPr>
          <w:p w14:paraId="543F23B6" w14:textId="77777777" w:rsidR="00394D0F" w:rsidRDefault="00394D0F">
            <w:pPr>
              <w:jc w:val="right"/>
              <w:rPr>
                <w:color w:val="000000"/>
                <w:sz w:val="24"/>
                <w:szCs w:val="24"/>
              </w:rPr>
            </w:pPr>
            <w:r>
              <w:rPr>
                <w:color w:val="000000"/>
              </w:rPr>
              <w:t>817</w:t>
            </w:r>
          </w:p>
        </w:tc>
        <w:tc>
          <w:tcPr>
            <w:tcW w:w="249" w:type="pct"/>
            <w:tcBorders>
              <w:top w:val="nil"/>
              <w:left w:val="double" w:sz="6" w:space="0" w:color="auto"/>
              <w:bottom w:val="single" w:sz="4" w:space="0" w:color="auto"/>
              <w:right w:val="nil"/>
            </w:tcBorders>
            <w:shd w:val="clear" w:color="000000" w:fill="F2DCDB"/>
            <w:vAlign w:val="center"/>
          </w:tcPr>
          <w:p w14:paraId="1549D0E4" w14:textId="77777777" w:rsidR="00394D0F" w:rsidRDefault="00394D0F">
            <w:pPr>
              <w:jc w:val="right"/>
              <w:rPr>
                <w:color w:val="000000"/>
                <w:sz w:val="24"/>
                <w:szCs w:val="24"/>
              </w:rPr>
            </w:pPr>
            <w:r>
              <w:rPr>
                <w:color w:val="000000"/>
              </w:rPr>
              <w:t>853</w:t>
            </w:r>
          </w:p>
        </w:tc>
        <w:tc>
          <w:tcPr>
            <w:tcW w:w="222" w:type="pct"/>
            <w:tcBorders>
              <w:top w:val="nil"/>
              <w:left w:val="double" w:sz="6" w:space="0" w:color="auto"/>
              <w:bottom w:val="single" w:sz="4" w:space="0" w:color="auto"/>
              <w:right w:val="nil"/>
            </w:tcBorders>
            <w:shd w:val="clear" w:color="000000" w:fill="F2DCDB"/>
            <w:vAlign w:val="center"/>
          </w:tcPr>
          <w:p w14:paraId="4BDF7127" w14:textId="77777777" w:rsidR="00394D0F" w:rsidRDefault="00394D0F">
            <w:pPr>
              <w:jc w:val="right"/>
              <w:rPr>
                <w:color w:val="000000"/>
                <w:sz w:val="24"/>
                <w:szCs w:val="24"/>
              </w:rPr>
            </w:pPr>
            <w:r>
              <w:rPr>
                <w:color w:val="000000"/>
              </w:rPr>
              <w:t>324</w:t>
            </w:r>
          </w:p>
        </w:tc>
        <w:tc>
          <w:tcPr>
            <w:tcW w:w="228" w:type="pct"/>
            <w:tcBorders>
              <w:top w:val="nil"/>
              <w:left w:val="double" w:sz="6" w:space="0" w:color="auto"/>
              <w:bottom w:val="single" w:sz="4" w:space="0" w:color="auto"/>
              <w:right w:val="nil"/>
            </w:tcBorders>
            <w:shd w:val="clear" w:color="000000" w:fill="F2DCDB"/>
            <w:vAlign w:val="center"/>
          </w:tcPr>
          <w:p w14:paraId="5604B318" w14:textId="77777777" w:rsidR="00394D0F" w:rsidRDefault="00394D0F">
            <w:pPr>
              <w:jc w:val="right"/>
              <w:rPr>
                <w:color w:val="000000"/>
                <w:sz w:val="24"/>
                <w:szCs w:val="24"/>
              </w:rPr>
            </w:pPr>
            <w:r>
              <w:rPr>
                <w:color w:val="000000"/>
              </w:rPr>
              <w:t>461</w:t>
            </w:r>
          </w:p>
        </w:tc>
        <w:tc>
          <w:tcPr>
            <w:tcW w:w="291" w:type="pct"/>
            <w:tcBorders>
              <w:top w:val="nil"/>
              <w:left w:val="double" w:sz="6" w:space="0" w:color="auto"/>
              <w:bottom w:val="single" w:sz="4" w:space="0" w:color="auto"/>
              <w:right w:val="nil"/>
            </w:tcBorders>
            <w:shd w:val="clear" w:color="000000" w:fill="F2DCDB"/>
            <w:vAlign w:val="center"/>
          </w:tcPr>
          <w:p w14:paraId="0D5775F7" w14:textId="77777777" w:rsidR="00394D0F" w:rsidRDefault="00394D0F">
            <w:pPr>
              <w:jc w:val="right"/>
              <w:rPr>
                <w:color w:val="000000"/>
                <w:sz w:val="24"/>
                <w:szCs w:val="24"/>
              </w:rPr>
            </w:pPr>
            <w:r>
              <w:rPr>
                <w:color w:val="000000"/>
              </w:rPr>
              <w:t>159</w:t>
            </w:r>
          </w:p>
        </w:tc>
        <w:tc>
          <w:tcPr>
            <w:tcW w:w="299" w:type="pct"/>
            <w:tcBorders>
              <w:top w:val="nil"/>
              <w:left w:val="double" w:sz="6" w:space="0" w:color="auto"/>
              <w:bottom w:val="single" w:sz="4" w:space="0" w:color="auto"/>
              <w:right w:val="nil"/>
            </w:tcBorders>
            <w:shd w:val="clear" w:color="000000" w:fill="F2DCDB"/>
            <w:vAlign w:val="center"/>
          </w:tcPr>
          <w:p w14:paraId="6F553AD3" w14:textId="77777777" w:rsidR="00394D0F" w:rsidRDefault="00394D0F">
            <w:pPr>
              <w:jc w:val="right"/>
              <w:rPr>
                <w:color w:val="000000"/>
                <w:sz w:val="24"/>
                <w:szCs w:val="24"/>
              </w:rPr>
            </w:pPr>
            <w:r>
              <w:rPr>
                <w:color w:val="000000"/>
              </w:rPr>
              <w:t>215</w:t>
            </w:r>
          </w:p>
        </w:tc>
        <w:tc>
          <w:tcPr>
            <w:tcW w:w="222" w:type="pct"/>
            <w:tcBorders>
              <w:top w:val="nil"/>
              <w:left w:val="double" w:sz="6" w:space="0" w:color="auto"/>
              <w:bottom w:val="single" w:sz="4" w:space="0" w:color="auto"/>
              <w:right w:val="nil"/>
            </w:tcBorders>
            <w:shd w:val="clear" w:color="000000" w:fill="F2DCDB"/>
            <w:vAlign w:val="center"/>
          </w:tcPr>
          <w:p w14:paraId="33BEB667" w14:textId="77777777" w:rsidR="00394D0F" w:rsidRDefault="00394D0F">
            <w:pPr>
              <w:jc w:val="right"/>
              <w:rPr>
                <w:color w:val="000000"/>
                <w:sz w:val="24"/>
                <w:szCs w:val="24"/>
              </w:rPr>
            </w:pPr>
            <w:r>
              <w:rPr>
                <w:color w:val="000000"/>
              </w:rPr>
              <w:t>78</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66849BC" w14:textId="77777777" w:rsidR="00394D0F" w:rsidRDefault="00394D0F">
            <w:pPr>
              <w:jc w:val="right"/>
              <w:rPr>
                <w:color w:val="000000"/>
                <w:sz w:val="24"/>
                <w:szCs w:val="24"/>
              </w:rPr>
            </w:pPr>
            <w:r>
              <w:rPr>
                <w:color w:val="000000"/>
              </w:rPr>
              <w:t>74</w:t>
            </w:r>
          </w:p>
        </w:tc>
      </w:tr>
      <w:tr w:rsidR="00394D0F" w:rsidRPr="000A46ED" w14:paraId="3A61E231"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DE860C6" w14:textId="585A43BF"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2. It is important to learn to read and to understand what you are reading.</w:t>
            </w:r>
          </w:p>
        </w:tc>
        <w:tc>
          <w:tcPr>
            <w:tcW w:w="255" w:type="pct"/>
            <w:tcBorders>
              <w:top w:val="nil"/>
              <w:left w:val="double" w:sz="6" w:space="0" w:color="auto"/>
              <w:bottom w:val="single" w:sz="4" w:space="0" w:color="auto"/>
              <w:right w:val="nil"/>
            </w:tcBorders>
            <w:shd w:val="clear" w:color="000000" w:fill="F2DCDB"/>
            <w:vAlign w:val="center"/>
          </w:tcPr>
          <w:p w14:paraId="16D56001" w14:textId="77777777" w:rsidR="00394D0F" w:rsidRDefault="00394D0F">
            <w:pPr>
              <w:jc w:val="right"/>
              <w:rPr>
                <w:color w:val="000000"/>
                <w:sz w:val="24"/>
                <w:szCs w:val="24"/>
              </w:rPr>
            </w:pPr>
            <w:r>
              <w:rPr>
                <w:color w:val="000000"/>
              </w:rPr>
              <w:t>793</w:t>
            </w:r>
          </w:p>
        </w:tc>
        <w:tc>
          <w:tcPr>
            <w:tcW w:w="256" w:type="pct"/>
            <w:tcBorders>
              <w:top w:val="nil"/>
              <w:left w:val="double" w:sz="6" w:space="0" w:color="auto"/>
              <w:bottom w:val="single" w:sz="4" w:space="0" w:color="auto"/>
              <w:right w:val="nil"/>
            </w:tcBorders>
            <w:shd w:val="clear" w:color="000000" w:fill="F2DCDB"/>
            <w:vAlign w:val="center"/>
          </w:tcPr>
          <w:p w14:paraId="12D0B233" w14:textId="77777777" w:rsidR="00394D0F" w:rsidRDefault="00394D0F">
            <w:pPr>
              <w:jc w:val="right"/>
              <w:rPr>
                <w:color w:val="000000"/>
                <w:sz w:val="24"/>
                <w:szCs w:val="24"/>
              </w:rPr>
            </w:pPr>
            <w:r>
              <w:rPr>
                <w:color w:val="000000"/>
              </w:rPr>
              <w:t>704</w:t>
            </w:r>
          </w:p>
        </w:tc>
        <w:tc>
          <w:tcPr>
            <w:tcW w:w="249" w:type="pct"/>
            <w:tcBorders>
              <w:top w:val="nil"/>
              <w:left w:val="double" w:sz="6" w:space="0" w:color="auto"/>
              <w:bottom w:val="single" w:sz="4" w:space="0" w:color="auto"/>
              <w:right w:val="nil"/>
            </w:tcBorders>
            <w:shd w:val="clear" w:color="000000" w:fill="F2DCDB"/>
            <w:vAlign w:val="center"/>
          </w:tcPr>
          <w:p w14:paraId="6B510BF7" w14:textId="77777777" w:rsidR="00394D0F" w:rsidRDefault="00394D0F">
            <w:pPr>
              <w:jc w:val="right"/>
              <w:rPr>
                <w:color w:val="000000"/>
                <w:sz w:val="24"/>
                <w:szCs w:val="24"/>
              </w:rPr>
            </w:pPr>
            <w:r>
              <w:rPr>
                <w:color w:val="000000"/>
              </w:rPr>
              <w:t>914</w:t>
            </w:r>
          </w:p>
        </w:tc>
        <w:tc>
          <w:tcPr>
            <w:tcW w:w="249" w:type="pct"/>
            <w:tcBorders>
              <w:top w:val="nil"/>
              <w:left w:val="double" w:sz="6" w:space="0" w:color="auto"/>
              <w:bottom w:val="single" w:sz="4" w:space="0" w:color="auto"/>
              <w:right w:val="nil"/>
            </w:tcBorders>
            <w:shd w:val="clear" w:color="000000" w:fill="F2DCDB"/>
            <w:vAlign w:val="center"/>
          </w:tcPr>
          <w:p w14:paraId="1F4500D6" w14:textId="77777777" w:rsidR="00394D0F" w:rsidRDefault="00394D0F">
            <w:pPr>
              <w:jc w:val="right"/>
              <w:rPr>
                <w:color w:val="000000"/>
                <w:sz w:val="24"/>
                <w:szCs w:val="24"/>
              </w:rPr>
            </w:pPr>
            <w:r>
              <w:rPr>
                <w:color w:val="000000"/>
              </w:rPr>
              <w:t>1036</w:t>
            </w:r>
          </w:p>
        </w:tc>
        <w:tc>
          <w:tcPr>
            <w:tcW w:w="222" w:type="pct"/>
            <w:tcBorders>
              <w:top w:val="nil"/>
              <w:left w:val="double" w:sz="6" w:space="0" w:color="auto"/>
              <w:bottom w:val="single" w:sz="4" w:space="0" w:color="auto"/>
              <w:right w:val="nil"/>
            </w:tcBorders>
            <w:shd w:val="clear" w:color="000000" w:fill="F2DCDB"/>
            <w:vAlign w:val="center"/>
          </w:tcPr>
          <w:p w14:paraId="353DE031" w14:textId="77777777" w:rsidR="00394D0F" w:rsidRDefault="00394D0F">
            <w:pPr>
              <w:jc w:val="right"/>
              <w:rPr>
                <w:color w:val="000000"/>
                <w:sz w:val="24"/>
                <w:szCs w:val="24"/>
              </w:rPr>
            </w:pPr>
            <w:r>
              <w:rPr>
                <w:color w:val="000000"/>
              </w:rPr>
              <w:t>59</w:t>
            </w:r>
          </w:p>
        </w:tc>
        <w:tc>
          <w:tcPr>
            <w:tcW w:w="228" w:type="pct"/>
            <w:tcBorders>
              <w:top w:val="nil"/>
              <w:left w:val="double" w:sz="6" w:space="0" w:color="auto"/>
              <w:bottom w:val="single" w:sz="4" w:space="0" w:color="auto"/>
              <w:right w:val="nil"/>
            </w:tcBorders>
            <w:shd w:val="clear" w:color="000000" w:fill="F2DCDB"/>
            <w:vAlign w:val="center"/>
          </w:tcPr>
          <w:p w14:paraId="21CE9876" w14:textId="77777777" w:rsidR="00394D0F" w:rsidRDefault="00394D0F">
            <w:pPr>
              <w:jc w:val="right"/>
              <w:rPr>
                <w:color w:val="000000"/>
                <w:sz w:val="24"/>
                <w:szCs w:val="24"/>
              </w:rPr>
            </w:pPr>
            <w:r>
              <w:rPr>
                <w:color w:val="000000"/>
              </w:rPr>
              <w:t>81</w:t>
            </w:r>
          </w:p>
        </w:tc>
        <w:tc>
          <w:tcPr>
            <w:tcW w:w="291" w:type="pct"/>
            <w:tcBorders>
              <w:top w:val="nil"/>
              <w:left w:val="double" w:sz="6" w:space="0" w:color="auto"/>
              <w:bottom w:val="single" w:sz="4" w:space="0" w:color="auto"/>
              <w:right w:val="nil"/>
            </w:tcBorders>
            <w:shd w:val="clear" w:color="000000" w:fill="F2DCDB"/>
            <w:vAlign w:val="center"/>
          </w:tcPr>
          <w:p w14:paraId="0DBBA67C" w14:textId="77777777" w:rsidR="00394D0F" w:rsidRDefault="00394D0F">
            <w:pPr>
              <w:jc w:val="right"/>
              <w:rPr>
                <w:color w:val="000000"/>
                <w:sz w:val="24"/>
                <w:szCs w:val="24"/>
              </w:rPr>
            </w:pPr>
            <w:r>
              <w:rPr>
                <w:color w:val="000000"/>
              </w:rPr>
              <w:t>26</w:t>
            </w:r>
          </w:p>
        </w:tc>
        <w:tc>
          <w:tcPr>
            <w:tcW w:w="299" w:type="pct"/>
            <w:tcBorders>
              <w:top w:val="nil"/>
              <w:left w:val="double" w:sz="6" w:space="0" w:color="auto"/>
              <w:bottom w:val="single" w:sz="4" w:space="0" w:color="auto"/>
              <w:right w:val="nil"/>
            </w:tcBorders>
            <w:shd w:val="clear" w:color="000000" w:fill="F2DCDB"/>
            <w:vAlign w:val="center"/>
          </w:tcPr>
          <w:p w14:paraId="72EE9EB0" w14:textId="77777777" w:rsidR="00394D0F" w:rsidRDefault="00394D0F">
            <w:pPr>
              <w:jc w:val="right"/>
              <w:rPr>
                <w:color w:val="000000"/>
                <w:sz w:val="24"/>
                <w:szCs w:val="24"/>
              </w:rPr>
            </w:pPr>
            <w:r>
              <w:rPr>
                <w:color w:val="000000"/>
              </w:rPr>
              <w:t>22</w:t>
            </w:r>
          </w:p>
        </w:tc>
        <w:tc>
          <w:tcPr>
            <w:tcW w:w="222" w:type="pct"/>
            <w:tcBorders>
              <w:top w:val="nil"/>
              <w:left w:val="double" w:sz="6" w:space="0" w:color="auto"/>
              <w:bottom w:val="single" w:sz="4" w:space="0" w:color="auto"/>
              <w:right w:val="nil"/>
            </w:tcBorders>
            <w:shd w:val="clear" w:color="000000" w:fill="F2DCDB"/>
            <w:vAlign w:val="center"/>
          </w:tcPr>
          <w:p w14:paraId="474AB641" w14:textId="77777777" w:rsidR="00394D0F" w:rsidRDefault="00394D0F">
            <w:pPr>
              <w:jc w:val="right"/>
              <w:rPr>
                <w:color w:val="000000"/>
                <w:sz w:val="24"/>
                <w:szCs w:val="24"/>
              </w:rPr>
            </w:pPr>
            <w:r>
              <w:rPr>
                <w:color w:val="000000"/>
              </w:rPr>
              <w:t>36</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83EC03F" w14:textId="77777777" w:rsidR="00394D0F" w:rsidRDefault="00394D0F">
            <w:pPr>
              <w:jc w:val="right"/>
              <w:rPr>
                <w:color w:val="000000"/>
                <w:sz w:val="24"/>
                <w:szCs w:val="24"/>
              </w:rPr>
            </w:pPr>
            <w:r>
              <w:rPr>
                <w:color w:val="000000"/>
              </w:rPr>
              <w:t>32</w:t>
            </w:r>
          </w:p>
        </w:tc>
      </w:tr>
      <w:tr w:rsidR="00394D0F" w:rsidRPr="000A46ED" w14:paraId="05EAAA6A"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582F3935" w14:textId="19E5E476"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3. I have good reading skills.</w:t>
            </w:r>
          </w:p>
        </w:tc>
        <w:tc>
          <w:tcPr>
            <w:tcW w:w="255" w:type="pct"/>
            <w:tcBorders>
              <w:top w:val="nil"/>
              <w:left w:val="double" w:sz="6" w:space="0" w:color="auto"/>
              <w:bottom w:val="single" w:sz="4" w:space="0" w:color="auto"/>
              <w:right w:val="nil"/>
            </w:tcBorders>
            <w:shd w:val="clear" w:color="000000" w:fill="F2DCDB"/>
            <w:vAlign w:val="center"/>
          </w:tcPr>
          <w:p w14:paraId="26B28411" w14:textId="77777777" w:rsidR="00394D0F" w:rsidRDefault="00394D0F">
            <w:pPr>
              <w:jc w:val="right"/>
              <w:rPr>
                <w:color w:val="000000"/>
                <w:sz w:val="24"/>
                <w:szCs w:val="24"/>
              </w:rPr>
            </w:pPr>
            <w:r>
              <w:rPr>
                <w:color w:val="000000"/>
              </w:rPr>
              <w:t>370</w:t>
            </w:r>
          </w:p>
        </w:tc>
        <w:tc>
          <w:tcPr>
            <w:tcW w:w="256" w:type="pct"/>
            <w:tcBorders>
              <w:top w:val="nil"/>
              <w:left w:val="double" w:sz="6" w:space="0" w:color="auto"/>
              <w:bottom w:val="single" w:sz="4" w:space="0" w:color="auto"/>
              <w:right w:val="nil"/>
            </w:tcBorders>
            <w:shd w:val="clear" w:color="000000" w:fill="F2DCDB"/>
            <w:vAlign w:val="center"/>
          </w:tcPr>
          <w:p w14:paraId="2981438A" w14:textId="77777777" w:rsidR="00394D0F" w:rsidRDefault="00394D0F">
            <w:pPr>
              <w:jc w:val="right"/>
              <w:rPr>
                <w:color w:val="000000"/>
                <w:sz w:val="24"/>
                <w:szCs w:val="24"/>
              </w:rPr>
            </w:pPr>
            <w:r>
              <w:rPr>
                <w:color w:val="000000"/>
              </w:rPr>
              <w:t>362</w:t>
            </w:r>
          </w:p>
        </w:tc>
        <w:tc>
          <w:tcPr>
            <w:tcW w:w="249" w:type="pct"/>
            <w:tcBorders>
              <w:top w:val="nil"/>
              <w:left w:val="double" w:sz="6" w:space="0" w:color="auto"/>
              <w:bottom w:val="single" w:sz="4" w:space="0" w:color="auto"/>
              <w:right w:val="nil"/>
            </w:tcBorders>
            <w:shd w:val="clear" w:color="000000" w:fill="F2DCDB"/>
            <w:vAlign w:val="center"/>
          </w:tcPr>
          <w:p w14:paraId="5F08C3EC" w14:textId="77777777" w:rsidR="00394D0F" w:rsidRDefault="00394D0F">
            <w:pPr>
              <w:jc w:val="right"/>
              <w:rPr>
                <w:color w:val="000000"/>
                <w:sz w:val="24"/>
                <w:szCs w:val="24"/>
              </w:rPr>
            </w:pPr>
            <w:r>
              <w:rPr>
                <w:color w:val="000000"/>
              </w:rPr>
              <w:t>963</w:t>
            </w:r>
          </w:p>
        </w:tc>
        <w:tc>
          <w:tcPr>
            <w:tcW w:w="249" w:type="pct"/>
            <w:tcBorders>
              <w:top w:val="nil"/>
              <w:left w:val="double" w:sz="6" w:space="0" w:color="auto"/>
              <w:bottom w:val="single" w:sz="4" w:space="0" w:color="auto"/>
              <w:right w:val="nil"/>
            </w:tcBorders>
            <w:shd w:val="clear" w:color="000000" w:fill="F2DCDB"/>
            <w:vAlign w:val="center"/>
          </w:tcPr>
          <w:p w14:paraId="6E5116D0" w14:textId="77777777" w:rsidR="00394D0F" w:rsidRDefault="00394D0F">
            <w:pPr>
              <w:jc w:val="right"/>
              <w:rPr>
                <w:color w:val="000000"/>
                <w:sz w:val="24"/>
                <w:szCs w:val="24"/>
              </w:rPr>
            </w:pPr>
            <w:r>
              <w:rPr>
                <w:color w:val="000000"/>
              </w:rPr>
              <w:t>994</w:t>
            </w:r>
          </w:p>
        </w:tc>
        <w:tc>
          <w:tcPr>
            <w:tcW w:w="222" w:type="pct"/>
            <w:tcBorders>
              <w:top w:val="nil"/>
              <w:left w:val="double" w:sz="6" w:space="0" w:color="auto"/>
              <w:bottom w:val="single" w:sz="4" w:space="0" w:color="auto"/>
              <w:right w:val="nil"/>
            </w:tcBorders>
            <w:shd w:val="clear" w:color="000000" w:fill="F2DCDB"/>
            <w:vAlign w:val="center"/>
          </w:tcPr>
          <w:p w14:paraId="37E520D9" w14:textId="77777777" w:rsidR="00394D0F" w:rsidRDefault="00394D0F">
            <w:pPr>
              <w:jc w:val="right"/>
              <w:rPr>
                <w:color w:val="000000"/>
                <w:sz w:val="24"/>
                <w:szCs w:val="24"/>
              </w:rPr>
            </w:pPr>
            <w:r>
              <w:rPr>
                <w:color w:val="000000"/>
              </w:rPr>
              <w:t>275</w:t>
            </w:r>
          </w:p>
        </w:tc>
        <w:tc>
          <w:tcPr>
            <w:tcW w:w="228" w:type="pct"/>
            <w:tcBorders>
              <w:top w:val="nil"/>
              <w:left w:val="double" w:sz="6" w:space="0" w:color="auto"/>
              <w:bottom w:val="single" w:sz="4" w:space="0" w:color="auto"/>
              <w:right w:val="nil"/>
            </w:tcBorders>
            <w:shd w:val="clear" w:color="000000" w:fill="F2DCDB"/>
            <w:vAlign w:val="center"/>
          </w:tcPr>
          <w:p w14:paraId="6C2A0543" w14:textId="77777777" w:rsidR="00394D0F" w:rsidRDefault="00394D0F">
            <w:pPr>
              <w:jc w:val="right"/>
              <w:rPr>
                <w:color w:val="000000"/>
                <w:sz w:val="24"/>
                <w:szCs w:val="24"/>
              </w:rPr>
            </w:pPr>
            <w:r>
              <w:rPr>
                <w:color w:val="000000"/>
              </w:rPr>
              <w:t>319</w:t>
            </w:r>
          </w:p>
        </w:tc>
        <w:tc>
          <w:tcPr>
            <w:tcW w:w="291" w:type="pct"/>
            <w:tcBorders>
              <w:top w:val="nil"/>
              <w:left w:val="double" w:sz="6" w:space="0" w:color="auto"/>
              <w:bottom w:val="single" w:sz="4" w:space="0" w:color="auto"/>
              <w:right w:val="nil"/>
            </w:tcBorders>
            <w:shd w:val="clear" w:color="000000" w:fill="F2DCDB"/>
            <w:vAlign w:val="center"/>
          </w:tcPr>
          <w:p w14:paraId="2318D2C7" w14:textId="77777777" w:rsidR="00394D0F" w:rsidRDefault="00394D0F">
            <w:pPr>
              <w:jc w:val="right"/>
              <w:rPr>
                <w:color w:val="000000"/>
                <w:sz w:val="24"/>
                <w:szCs w:val="24"/>
              </w:rPr>
            </w:pPr>
            <w:r>
              <w:rPr>
                <w:color w:val="000000"/>
              </w:rPr>
              <w:t>77</w:t>
            </w:r>
          </w:p>
        </w:tc>
        <w:tc>
          <w:tcPr>
            <w:tcW w:w="299" w:type="pct"/>
            <w:tcBorders>
              <w:top w:val="nil"/>
              <w:left w:val="double" w:sz="6" w:space="0" w:color="auto"/>
              <w:bottom w:val="single" w:sz="4" w:space="0" w:color="auto"/>
              <w:right w:val="nil"/>
            </w:tcBorders>
            <w:shd w:val="clear" w:color="000000" w:fill="F2DCDB"/>
            <w:vAlign w:val="center"/>
          </w:tcPr>
          <w:p w14:paraId="0A5AE474" w14:textId="77777777" w:rsidR="00394D0F" w:rsidRDefault="00394D0F">
            <w:pPr>
              <w:jc w:val="right"/>
              <w:rPr>
                <w:color w:val="000000"/>
                <w:sz w:val="24"/>
                <w:szCs w:val="24"/>
              </w:rPr>
            </w:pPr>
            <w:r>
              <w:rPr>
                <w:color w:val="000000"/>
              </w:rPr>
              <w:t>89</w:t>
            </w:r>
          </w:p>
        </w:tc>
        <w:tc>
          <w:tcPr>
            <w:tcW w:w="222" w:type="pct"/>
            <w:tcBorders>
              <w:top w:val="nil"/>
              <w:left w:val="double" w:sz="6" w:space="0" w:color="auto"/>
              <w:bottom w:val="single" w:sz="4" w:space="0" w:color="auto"/>
              <w:right w:val="nil"/>
            </w:tcBorders>
            <w:shd w:val="clear" w:color="000000" w:fill="F2DCDB"/>
            <w:vAlign w:val="center"/>
          </w:tcPr>
          <w:p w14:paraId="5BFAE68B" w14:textId="77777777" w:rsidR="00394D0F" w:rsidRDefault="00394D0F">
            <w:pPr>
              <w:jc w:val="right"/>
              <w:rPr>
                <w:color w:val="000000"/>
                <w:sz w:val="24"/>
                <w:szCs w:val="24"/>
              </w:rPr>
            </w:pPr>
            <w:r>
              <w:rPr>
                <w:color w:val="000000"/>
              </w:rPr>
              <w:t>142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36B495F" w14:textId="77777777" w:rsidR="00394D0F" w:rsidRDefault="00394D0F">
            <w:pPr>
              <w:jc w:val="right"/>
              <w:rPr>
                <w:color w:val="000000"/>
                <w:sz w:val="24"/>
                <w:szCs w:val="24"/>
              </w:rPr>
            </w:pPr>
            <w:r>
              <w:rPr>
                <w:color w:val="000000"/>
              </w:rPr>
              <w:t>112</w:t>
            </w:r>
          </w:p>
        </w:tc>
      </w:tr>
      <w:tr w:rsidR="00394D0F" w:rsidRPr="000A46ED" w14:paraId="2610EFB4"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6986360" w14:textId="237A2FD4"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4. I take more pride in my learning as I get older.</w:t>
            </w:r>
          </w:p>
        </w:tc>
        <w:tc>
          <w:tcPr>
            <w:tcW w:w="255" w:type="pct"/>
            <w:tcBorders>
              <w:top w:val="nil"/>
              <w:left w:val="double" w:sz="6" w:space="0" w:color="auto"/>
              <w:bottom w:val="single" w:sz="4" w:space="0" w:color="auto"/>
              <w:right w:val="nil"/>
            </w:tcBorders>
            <w:shd w:val="clear" w:color="000000" w:fill="F2DCDB"/>
            <w:vAlign w:val="center"/>
          </w:tcPr>
          <w:p w14:paraId="6F291C8F" w14:textId="77777777" w:rsidR="00394D0F" w:rsidRDefault="00394D0F">
            <w:pPr>
              <w:jc w:val="right"/>
              <w:rPr>
                <w:color w:val="000000"/>
                <w:sz w:val="24"/>
                <w:szCs w:val="24"/>
              </w:rPr>
            </w:pPr>
            <w:r>
              <w:rPr>
                <w:color w:val="000000"/>
              </w:rPr>
              <w:t>419</w:t>
            </w:r>
          </w:p>
        </w:tc>
        <w:tc>
          <w:tcPr>
            <w:tcW w:w="256" w:type="pct"/>
            <w:tcBorders>
              <w:top w:val="nil"/>
              <w:left w:val="double" w:sz="6" w:space="0" w:color="auto"/>
              <w:bottom w:val="single" w:sz="4" w:space="0" w:color="auto"/>
              <w:right w:val="nil"/>
            </w:tcBorders>
            <w:shd w:val="clear" w:color="000000" w:fill="F2DCDB"/>
            <w:vAlign w:val="center"/>
          </w:tcPr>
          <w:p w14:paraId="17398D1E" w14:textId="77777777" w:rsidR="00394D0F" w:rsidRDefault="00394D0F">
            <w:pPr>
              <w:jc w:val="right"/>
              <w:rPr>
                <w:color w:val="000000"/>
                <w:sz w:val="24"/>
                <w:szCs w:val="24"/>
              </w:rPr>
            </w:pPr>
            <w:r>
              <w:rPr>
                <w:color w:val="000000"/>
              </w:rPr>
              <w:t>434</w:t>
            </w:r>
          </w:p>
        </w:tc>
        <w:tc>
          <w:tcPr>
            <w:tcW w:w="249" w:type="pct"/>
            <w:tcBorders>
              <w:top w:val="nil"/>
              <w:left w:val="double" w:sz="6" w:space="0" w:color="auto"/>
              <w:bottom w:val="single" w:sz="4" w:space="0" w:color="auto"/>
              <w:right w:val="nil"/>
            </w:tcBorders>
            <w:shd w:val="clear" w:color="000000" w:fill="F2DCDB"/>
            <w:vAlign w:val="center"/>
          </w:tcPr>
          <w:p w14:paraId="15E7726C" w14:textId="77777777" w:rsidR="00394D0F" w:rsidRDefault="00394D0F">
            <w:pPr>
              <w:jc w:val="right"/>
              <w:rPr>
                <w:color w:val="000000"/>
                <w:sz w:val="24"/>
                <w:szCs w:val="24"/>
              </w:rPr>
            </w:pPr>
            <w:r>
              <w:rPr>
                <w:color w:val="000000"/>
              </w:rPr>
              <w:t>1045</w:t>
            </w:r>
          </w:p>
        </w:tc>
        <w:tc>
          <w:tcPr>
            <w:tcW w:w="249" w:type="pct"/>
            <w:tcBorders>
              <w:top w:val="nil"/>
              <w:left w:val="double" w:sz="6" w:space="0" w:color="auto"/>
              <w:bottom w:val="single" w:sz="4" w:space="0" w:color="auto"/>
              <w:right w:val="nil"/>
            </w:tcBorders>
            <w:shd w:val="clear" w:color="000000" w:fill="F2DCDB"/>
            <w:vAlign w:val="center"/>
          </w:tcPr>
          <w:p w14:paraId="6B1D4763" w14:textId="77777777" w:rsidR="00394D0F" w:rsidRDefault="00394D0F">
            <w:pPr>
              <w:jc w:val="right"/>
              <w:rPr>
                <w:color w:val="000000"/>
                <w:sz w:val="24"/>
                <w:szCs w:val="24"/>
              </w:rPr>
            </w:pPr>
            <w:r>
              <w:rPr>
                <w:color w:val="000000"/>
              </w:rPr>
              <w:t>1058</w:t>
            </w:r>
          </w:p>
        </w:tc>
        <w:tc>
          <w:tcPr>
            <w:tcW w:w="222" w:type="pct"/>
            <w:tcBorders>
              <w:top w:val="nil"/>
              <w:left w:val="double" w:sz="6" w:space="0" w:color="auto"/>
              <w:bottom w:val="single" w:sz="4" w:space="0" w:color="auto"/>
              <w:right w:val="nil"/>
            </w:tcBorders>
            <w:shd w:val="clear" w:color="000000" w:fill="F2DCDB"/>
            <w:vAlign w:val="center"/>
          </w:tcPr>
          <w:p w14:paraId="5D489CF8" w14:textId="77777777" w:rsidR="00394D0F" w:rsidRDefault="00394D0F">
            <w:pPr>
              <w:jc w:val="right"/>
              <w:rPr>
                <w:color w:val="000000"/>
                <w:sz w:val="24"/>
                <w:szCs w:val="24"/>
              </w:rPr>
            </w:pPr>
            <w:r>
              <w:rPr>
                <w:color w:val="000000"/>
              </w:rPr>
              <w:t>183</w:t>
            </w:r>
          </w:p>
        </w:tc>
        <w:tc>
          <w:tcPr>
            <w:tcW w:w="228" w:type="pct"/>
            <w:tcBorders>
              <w:top w:val="nil"/>
              <w:left w:val="double" w:sz="6" w:space="0" w:color="auto"/>
              <w:bottom w:val="single" w:sz="4" w:space="0" w:color="auto"/>
              <w:right w:val="nil"/>
            </w:tcBorders>
            <w:shd w:val="clear" w:color="000000" w:fill="F2DCDB"/>
            <w:vAlign w:val="center"/>
          </w:tcPr>
          <w:p w14:paraId="45BAC79C" w14:textId="77777777" w:rsidR="00394D0F" w:rsidRDefault="00394D0F">
            <w:pPr>
              <w:jc w:val="right"/>
              <w:rPr>
                <w:color w:val="000000"/>
                <w:sz w:val="24"/>
                <w:szCs w:val="24"/>
              </w:rPr>
            </w:pPr>
            <w:r>
              <w:rPr>
                <w:color w:val="000000"/>
              </w:rPr>
              <w:t>222</w:t>
            </w:r>
          </w:p>
        </w:tc>
        <w:tc>
          <w:tcPr>
            <w:tcW w:w="291" w:type="pct"/>
            <w:tcBorders>
              <w:top w:val="nil"/>
              <w:left w:val="double" w:sz="6" w:space="0" w:color="auto"/>
              <w:bottom w:val="single" w:sz="4" w:space="0" w:color="auto"/>
              <w:right w:val="nil"/>
            </w:tcBorders>
            <w:shd w:val="clear" w:color="000000" w:fill="F2DCDB"/>
            <w:vAlign w:val="center"/>
          </w:tcPr>
          <w:p w14:paraId="29888CA1" w14:textId="77777777" w:rsidR="00394D0F" w:rsidRDefault="00394D0F">
            <w:pPr>
              <w:jc w:val="right"/>
              <w:rPr>
                <w:color w:val="000000"/>
                <w:sz w:val="24"/>
                <w:szCs w:val="24"/>
              </w:rPr>
            </w:pPr>
            <w:r>
              <w:rPr>
                <w:color w:val="000000"/>
              </w:rPr>
              <w:t>52</w:t>
            </w:r>
          </w:p>
        </w:tc>
        <w:tc>
          <w:tcPr>
            <w:tcW w:w="299" w:type="pct"/>
            <w:tcBorders>
              <w:top w:val="nil"/>
              <w:left w:val="double" w:sz="6" w:space="0" w:color="auto"/>
              <w:bottom w:val="single" w:sz="4" w:space="0" w:color="auto"/>
              <w:right w:val="nil"/>
            </w:tcBorders>
            <w:shd w:val="clear" w:color="000000" w:fill="F2DCDB"/>
            <w:vAlign w:val="center"/>
          </w:tcPr>
          <w:p w14:paraId="7687D7F9" w14:textId="77777777" w:rsidR="00394D0F" w:rsidRDefault="00394D0F">
            <w:pPr>
              <w:jc w:val="right"/>
              <w:rPr>
                <w:color w:val="000000"/>
                <w:sz w:val="24"/>
                <w:szCs w:val="24"/>
              </w:rPr>
            </w:pPr>
            <w:r>
              <w:rPr>
                <w:color w:val="000000"/>
              </w:rPr>
              <w:t>56</w:t>
            </w:r>
          </w:p>
        </w:tc>
        <w:tc>
          <w:tcPr>
            <w:tcW w:w="222" w:type="pct"/>
            <w:tcBorders>
              <w:top w:val="nil"/>
              <w:left w:val="double" w:sz="6" w:space="0" w:color="auto"/>
              <w:bottom w:val="single" w:sz="4" w:space="0" w:color="auto"/>
              <w:right w:val="nil"/>
            </w:tcBorders>
            <w:shd w:val="clear" w:color="000000" w:fill="F2DCDB"/>
            <w:vAlign w:val="center"/>
          </w:tcPr>
          <w:p w14:paraId="54756357" w14:textId="77777777" w:rsidR="00394D0F" w:rsidRDefault="00394D0F">
            <w:pPr>
              <w:jc w:val="right"/>
              <w:rPr>
                <w:color w:val="000000"/>
                <w:sz w:val="24"/>
                <w:szCs w:val="24"/>
              </w:rPr>
            </w:pPr>
            <w:r>
              <w:rPr>
                <w:color w:val="000000"/>
              </w:rPr>
              <w:t>127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670F26C" w14:textId="77777777" w:rsidR="00394D0F" w:rsidRDefault="00394D0F">
            <w:pPr>
              <w:jc w:val="right"/>
              <w:rPr>
                <w:color w:val="000000"/>
                <w:sz w:val="24"/>
                <w:szCs w:val="24"/>
              </w:rPr>
            </w:pPr>
            <w:r>
              <w:rPr>
                <w:color w:val="000000"/>
              </w:rPr>
              <w:t>105</w:t>
            </w:r>
          </w:p>
        </w:tc>
      </w:tr>
      <w:tr w:rsidR="00394D0F" w:rsidRPr="000A46ED" w14:paraId="5421A77A"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72C89764" w14:textId="21898AE5"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5. My teacher expects more of me in reading as I get older.</w:t>
            </w:r>
          </w:p>
        </w:tc>
        <w:tc>
          <w:tcPr>
            <w:tcW w:w="255" w:type="pct"/>
            <w:tcBorders>
              <w:top w:val="nil"/>
              <w:left w:val="double" w:sz="6" w:space="0" w:color="auto"/>
              <w:bottom w:val="single" w:sz="4" w:space="0" w:color="auto"/>
              <w:right w:val="nil"/>
            </w:tcBorders>
            <w:shd w:val="clear" w:color="000000" w:fill="F2DCDB"/>
            <w:vAlign w:val="center"/>
          </w:tcPr>
          <w:p w14:paraId="1464D0B7" w14:textId="77777777" w:rsidR="00394D0F" w:rsidRDefault="00394D0F">
            <w:pPr>
              <w:jc w:val="right"/>
              <w:rPr>
                <w:color w:val="000000"/>
                <w:sz w:val="24"/>
                <w:szCs w:val="24"/>
              </w:rPr>
            </w:pPr>
            <w:r>
              <w:rPr>
                <w:color w:val="000000"/>
              </w:rPr>
              <w:t>470</w:t>
            </w:r>
          </w:p>
        </w:tc>
        <w:tc>
          <w:tcPr>
            <w:tcW w:w="256" w:type="pct"/>
            <w:tcBorders>
              <w:top w:val="nil"/>
              <w:left w:val="double" w:sz="6" w:space="0" w:color="auto"/>
              <w:bottom w:val="single" w:sz="4" w:space="0" w:color="auto"/>
              <w:right w:val="nil"/>
            </w:tcBorders>
            <w:shd w:val="clear" w:color="000000" w:fill="F2DCDB"/>
            <w:vAlign w:val="center"/>
          </w:tcPr>
          <w:p w14:paraId="7AA7B9D8" w14:textId="77777777" w:rsidR="00394D0F" w:rsidRDefault="00394D0F">
            <w:pPr>
              <w:jc w:val="right"/>
              <w:rPr>
                <w:color w:val="000000"/>
                <w:sz w:val="24"/>
                <w:szCs w:val="24"/>
              </w:rPr>
            </w:pPr>
            <w:r>
              <w:rPr>
                <w:color w:val="000000"/>
              </w:rPr>
              <w:t>536</w:t>
            </w:r>
          </w:p>
        </w:tc>
        <w:tc>
          <w:tcPr>
            <w:tcW w:w="249" w:type="pct"/>
            <w:tcBorders>
              <w:top w:val="nil"/>
              <w:left w:val="double" w:sz="6" w:space="0" w:color="auto"/>
              <w:bottom w:val="single" w:sz="4" w:space="0" w:color="auto"/>
              <w:right w:val="nil"/>
            </w:tcBorders>
            <w:shd w:val="clear" w:color="000000" w:fill="F2DCDB"/>
            <w:vAlign w:val="center"/>
          </w:tcPr>
          <w:p w14:paraId="0F918A9C" w14:textId="77777777" w:rsidR="00394D0F" w:rsidRDefault="00394D0F">
            <w:pPr>
              <w:jc w:val="right"/>
              <w:rPr>
                <w:color w:val="000000"/>
                <w:sz w:val="24"/>
                <w:szCs w:val="24"/>
              </w:rPr>
            </w:pPr>
            <w:r>
              <w:rPr>
                <w:color w:val="000000"/>
              </w:rPr>
              <w:t>965</w:t>
            </w:r>
          </w:p>
        </w:tc>
        <w:tc>
          <w:tcPr>
            <w:tcW w:w="249" w:type="pct"/>
            <w:tcBorders>
              <w:top w:val="nil"/>
              <w:left w:val="double" w:sz="6" w:space="0" w:color="auto"/>
              <w:bottom w:val="single" w:sz="4" w:space="0" w:color="auto"/>
              <w:right w:val="nil"/>
            </w:tcBorders>
            <w:shd w:val="clear" w:color="000000" w:fill="F2DCDB"/>
            <w:vAlign w:val="center"/>
          </w:tcPr>
          <w:p w14:paraId="5D7F2EF4" w14:textId="77777777" w:rsidR="00394D0F" w:rsidRDefault="00394D0F">
            <w:pPr>
              <w:jc w:val="right"/>
              <w:rPr>
                <w:color w:val="000000"/>
                <w:sz w:val="24"/>
                <w:szCs w:val="24"/>
              </w:rPr>
            </w:pPr>
            <w:r>
              <w:rPr>
                <w:color w:val="000000"/>
              </w:rPr>
              <w:t>988</w:t>
            </w:r>
          </w:p>
        </w:tc>
        <w:tc>
          <w:tcPr>
            <w:tcW w:w="222" w:type="pct"/>
            <w:tcBorders>
              <w:top w:val="nil"/>
              <w:left w:val="double" w:sz="6" w:space="0" w:color="auto"/>
              <w:bottom w:val="single" w:sz="4" w:space="0" w:color="auto"/>
              <w:right w:val="nil"/>
            </w:tcBorders>
            <w:shd w:val="clear" w:color="000000" w:fill="F2DCDB"/>
            <w:vAlign w:val="center"/>
          </w:tcPr>
          <w:p w14:paraId="73392DE4" w14:textId="77777777" w:rsidR="00394D0F" w:rsidRDefault="00394D0F">
            <w:pPr>
              <w:jc w:val="right"/>
              <w:rPr>
                <w:color w:val="000000"/>
                <w:sz w:val="24"/>
                <w:szCs w:val="24"/>
              </w:rPr>
            </w:pPr>
            <w:r>
              <w:rPr>
                <w:color w:val="000000"/>
              </w:rPr>
              <w:t>180</w:t>
            </w:r>
          </w:p>
        </w:tc>
        <w:tc>
          <w:tcPr>
            <w:tcW w:w="228" w:type="pct"/>
            <w:tcBorders>
              <w:top w:val="nil"/>
              <w:left w:val="double" w:sz="6" w:space="0" w:color="auto"/>
              <w:bottom w:val="single" w:sz="4" w:space="0" w:color="auto"/>
              <w:right w:val="nil"/>
            </w:tcBorders>
            <w:shd w:val="clear" w:color="000000" w:fill="F2DCDB"/>
            <w:vAlign w:val="center"/>
          </w:tcPr>
          <w:p w14:paraId="73A26934" w14:textId="77777777" w:rsidR="00394D0F" w:rsidRDefault="00394D0F">
            <w:pPr>
              <w:jc w:val="right"/>
              <w:rPr>
                <w:color w:val="000000"/>
                <w:sz w:val="24"/>
                <w:szCs w:val="24"/>
              </w:rPr>
            </w:pPr>
            <w:r>
              <w:rPr>
                <w:color w:val="000000"/>
              </w:rPr>
              <w:t>153</w:t>
            </w:r>
          </w:p>
        </w:tc>
        <w:tc>
          <w:tcPr>
            <w:tcW w:w="291" w:type="pct"/>
            <w:tcBorders>
              <w:top w:val="nil"/>
              <w:left w:val="double" w:sz="6" w:space="0" w:color="auto"/>
              <w:bottom w:val="single" w:sz="4" w:space="0" w:color="auto"/>
              <w:right w:val="nil"/>
            </w:tcBorders>
            <w:shd w:val="clear" w:color="000000" w:fill="F2DCDB"/>
            <w:vAlign w:val="center"/>
          </w:tcPr>
          <w:p w14:paraId="38AAE6F4" w14:textId="77777777" w:rsidR="00394D0F" w:rsidRDefault="00394D0F">
            <w:pPr>
              <w:jc w:val="right"/>
              <w:rPr>
                <w:color w:val="000000"/>
                <w:sz w:val="24"/>
                <w:szCs w:val="24"/>
              </w:rPr>
            </w:pPr>
            <w:r>
              <w:rPr>
                <w:color w:val="000000"/>
              </w:rPr>
              <w:t>29</w:t>
            </w:r>
          </w:p>
        </w:tc>
        <w:tc>
          <w:tcPr>
            <w:tcW w:w="299" w:type="pct"/>
            <w:tcBorders>
              <w:top w:val="nil"/>
              <w:left w:val="double" w:sz="6" w:space="0" w:color="auto"/>
              <w:bottom w:val="single" w:sz="4" w:space="0" w:color="auto"/>
              <w:right w:val="nil"/>
            </w:tcBorders>
            <w:shd w:val="clear" w:color="000000" w:fill="F2DCDB"/>
            <w:vAlign w:val="center"/>
          </w:tcPr>
          <w:p w14:paraId="0F6AEA3F" w14:textId="77777777" w:rsidR="00394D0F" w:rsidRDefault="00394D0F">
            <w:pPr>
              <w:jc w:val="right"/>
              <w:rPr>
                <w:color w:val="000000"/>
                <w:sz w:val="24"/>
                <w:szCs w:val="24"/>
              </w:rPr>
            </w:pPr>
            <w:r>
              <w:rPr>
                <w:color w:val="000000"/>
              </w:rPr>
              <w:t>41</w:t>
            </w:r>
          </w:p>
        </w:tc>
        <w:tc>
          <w:tcPr>
            <w:tcW w:w="222" w:type="pct"/>
            <w:tcBorders>
              <w:top w:val="nil"/>
              <w:left w:val="double" w:sz="6" w:space="0" w:color="auto"/>
              <w:bottom w:val="single" w:sz="4" w:space="0" w:color="auto"/>
              <w:right w:val="nil"/>
            </w:tcBorders>
            <w:shd w:val="clear" w:color="000000" w:fill="F2DCDB"/>
            <w:vAlign w:val="center"/>
          </w:tcPr>
          <w:p w14:paraId="13A930EE" w14:textId="77777777" w:rsidR="00394D0F" w:rsidRDefault="00394D0F">
            <w:pPr>
              <w:jc w:val="right"/>
              <w:rPr>
                <w:color w:val="000000"/>
                <w:sz w:val="24"/>
                <w:szCs w:val="24"/>
              </w:rPr>
            </w:pPr>
            <w:r>
              <w:rPr>
                <w:color w:val="000000"/>
              </w:rPr>
              <w:t>181</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5CC6DD38" w14:textId="77777777" w:rsidR="00394D0F" w:rsidRDefault="00394D0F">
            <w:pPr>
              <w:jc w:val="right"/>
              <w:rPr>
                <w:color w:val="000000"/>
                <w:sz w:val="24"/>
                <w:szCs w:val="24"/>
              </w:rPr>
            </w:pPr>
            <w:r>
              <w:rPr>
                <w:color w:val="000000"/>
              </w:rPr>
              <w:t>156</w:t>
            </w:r>
          </w:p>
        </w:tc>
      </w:tr>
      <w:tr w:rsidR="00394D0F" w:rsidRPr="000A46ED" w14:paraId="444F8755"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2A22D002" w14:textId="34A2337B"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6. My teacher tells me what I am learning in reading and why.</w:t>
            </w:r>
          </w:p>
        </w:tc>
        <w:tc>
          <w:tcPr>
            <w:tcW w:w="255" w:type="pct"/>
            <w:tcBorders>
              <w:top w:val="nil"/>
              <w:left w:val="double" w:sz="6" w:space="0" w:color="auto"/>
              <w:bottom w:val="single" w:sz="4" w:space="0" w:color="auto"/>
              <w:right w:val="nil"/>
            </w:tcBorders>
            <w:shd w:val="clear" w:color="000000" w:fill="F2DCDB"/>
            <w:vAlign w:val="center"/>
          </w:tcPr>
          <w:p w14:paraId="1492AAA8" w14:textId="77777777" w:rsidR="00394D0F" w:rsidRDefault="00394D0F">
            <w:pPr>
              <w:jc w:val="right"/>
              <w:rPr>
                <w:color w:val="000000"/>
                <w:sz w:val="24"/>
                <w:szCs w:val="24"/>
              </w:rPr>
            </w:pPr>
            <w:r>
              <w:rPr>
                <w:color w:val="000000"/>
              </w:rPr>
              <w:t>361</w:t>
            </w:r>
          </w:p>
        </w:tc>
        <w:tc>
          <w:tcPr>
            <w:tcW w:w="256" w:type="pct"/>
            <w:tcBorders>
              <w:top w:val="nil"/>
              <w:left w:val="double" w:sz="6" w:space="0" w:color="auto"/>
              <w:bottom w:val="single" w:sz="4" w:space="0" w:color="auto"/>
              <w:right w:val="nil"/>
            </w:tcBorders>
            <w:shd w:val="clear" w:color="000000" w:fill="F2DCDB"/>
            <w:vAlign w:val="center"/>
          </w:tcPr>
          <w:p w14:paraId="59A99EE9" w14:textId="77777777" w:rsidR="00394D0F" w:rsidRDefault="00394D0F">
            <w:pPr>
              <w:jc w:val="right"/>
              <w:rPr>
                <w:color w:val="000000"/>
                <w:sz w:val="24"/>
                <w:szCs w:val="24"/>
              </w:rPr>
            </w:pPr>
            <w:r>
              <w:rPr>
                <w:color w:val="000000"/>
              </w:rPr>
              <w:t>361</w:t>
            </w:r>
          </w:p>
        </w:tc>
        <w:tc>
          <w:tcPr>
            <w:tcW w:w="249" w:type="pct"/>
            <w:tcBorders>
              <w:top w:val="nil"/>
              <w:left w:val="double" w:sz="6" w:space="0" w:color="auto"/>
              <w:bottom w:val="single" w:sz="4" w:space="0" w:color="auto"/>
              <w:right w:val="nil"/>
            </w:tcBorders>
            <w:shd w:val="clear" w:color="000000" w:fill="F2DCDB"/>
            <w:vAlign w:val="center"/>
          </w:tcPr>
          <w:p w14:paraId="5B422D1B" w14:textId="77777777" w:rsidR="00394D0F" w:rsidRDefault="00394D0F">
            <w:pPr>
              <w:jc w:val="right"/>
              <w:rPr>
                <w:color w:val="000000"/>
                <w:sz w:val="24"/>
                <w:szCs w:val="24"/>
              </w:rPr>
            </w:pPr>
            <w:r>
              <w:rPr>
                <w:color w:val="000000"/>
              </w:rPr>
              <w:t>939</w:t>
            </w:r>
          </w:p>
        </w:tc>
        <w:tc>
          <w:tcPr>
            <w:tcW w:w="249" w:type="pct"/>
            <w:tcBorders>
              <w:top w:val="nil"/>
              <w:left w:val="double" w:sz="6" w:space="0" w:color="auto"/>
              <w:bottom w:val="single" w:sz="4" w:space="0" w:color="auto"/>
              <w:right w:val="nil"/>
            </w:tcBorders>
            <w:shd w:val="clear" w:color="000000" w:fill="F2DCDB"/>
            <w:vAlign w:val="center"/>
          </w:tcPr>
          <w:p w14:paraId="14C94432" w14:textId="77777777" w:rsidR="00394D0F" w:rsidRDefault="00394D0F">
            <w:pPr>
              <w:jc w:val="right"/>
              <w:rPr>
                <w:color w:val="000000"/>
                <w:sz w:val="24"/>
                <w:szCs w:val="24"/>
              </w:rPr>
            </w:pPr>
            <w:r>
              <w:rPr>
                <w:color w:val="000000"/>
              </w:rPr>
              <w:t>982</w:t>
            </w:r>
          </w:p>
        </w:tc>
        <w:tc>
          <w:tcPr>
            <w:tcW w:w="222" w:type="pct"/>
            <w:tcBorders>
              <w:top w:val="nil"/>
              <w:left w:val="double" w:sz="6" w:space="0" w:color="auto"/>
              <w:bottom w:val="single" w:sz="4" w:space="0" w:color="auto"/>
              <w:right w:val="nil"/>
            </w:tcBorders>
            <w:shd w:val="clear" w:color="000000" w:fill="F2DCDB"/>
            <w:vAlign w:val="center"/>
          </w:tcPr>
          <w:p w14:paraId="0849EE69" w14:textId="77777777" w:rsidR="00394D0F" w:rsidRDefault="00394D0F">
            <w:pPr>
              <w:jc w:val="right"/>
              <w:rPr>
                <w:color w:val="000000"/>
                <w:sz w:val="24"/>
                <w:szCs w:val="24"/>
              </w:rPr>
            </w:pPr>
            <w:r>
              <w:rPr>
                <w:color w:val="000000"/>
              </w:rPr>
              <w:t>294</w:t>
            </w:r>
          </w:p>
        </w:tc>
        <w:tc>
          <w:tcPr>
            <w:tcW w:w="228" w:type="pct"/>
            <w:tcBorders>
              <w:top w:val="nil"/>
              <w:left w:val="double" w:sz="6" w:space="0" w:color="auto"/>
              <w:bottom w:val="single" w:sz="4" w:space="0" w:color="auto"/>
              <w:right w:val="nil"/>
            </w:tcBorders>
            <w:shd w:val="clear" w:color="000000" w:fill="F2DCDB"/>
            <w:vAlign w:val="center"/>
          </w:tcPr>
          <w:p w14:paraId="174BE71F" w14:textId="77777777" w:rsidR="00394D0F" w:rsidRDefault="00394D0F">
            <w:pPr>
              <w:jc w:val="right"/>
              <w:rPr>
                <w:color w:val="000000"/>
                <w:sz w:val="24"/>
                <w:szCs w:val="24"/>
              </w:rPr>
            </w:pPr>
            <w:r>
              <w:rPr>
                <w:color w:val="000000"/>
              </w:rPr>
              <w:t>318</w:t>
            </w:r>
          </w:p>
        </w:tc>
        <w:tc>
          <w:tcPr>
            <w:tcW w:w="291" w:type="pct"/>
            <w:tcBorders>
              <w:top w:val="nil"/>
              <w:left w:val="double" w:sz="6" w:space="0" w:color="auto"/>
              <w:bottom w:val="single" w:sz="4" w:space="0" w:color="auto"/>
              <w:right w:val="nil"/>
            </w:tcBorders>
            <w:shd w:val="clear" w:color="000000" w:fill="F2DCDB"/>
            <w:vAlign w:val="center"/>
          </w:tcPr>
          <w:p w14:paraId="55EE53D9" w14:textId="77777777" w:rsidR="00394D0F" w:rsidRDefault="00394D0F">
            <w:pPr>
              <w:jc w:val="right"/>
              <w:rPr>
                <w:color w:val="000000"/>
                <w:sz w:val="24"/>
                <w:szCs w:val="24"/>
              </w:rPr>
            </w:pPr>
            <w:r>
              <w:rPr>
                <w:color w:val="000000"/>
              </w:rPr>
              <w:t>83</w:t>
            </w:r>
          </w:p>
        </w:tc>
        <w:tc>
          <w:tcPr>
            <w:tcW w:w="299" w:type="pct"/>
            <w:tcBorders>
              <w:top w:val="nil"/>
              <w:left w:val="double" w:sz="6" w:space="0" w:color="auto"/>
              <w:bottom w:val="single" w:sz="4" w:space="0" w:color="auto"/>
              <w:right w:val="nil"/>
            </w:tcBorders>
            <w:shd w:val="clear" w:color="000000" w:fill="F2DCDB"/>
            <w:vAlign w:val="center"/>
          </w:tcPr>
          <w:p w14:paraId="33137F87" w14:textId="77777777" w:rsidR="00394D0F" w:rsidRDefault="00394D0F">
            <w:pPr>
              <w:jc w:val="right"/>
              <w:rPr>
                <w:color w:val="000000"/>
                <w:sz w:val="24"/>
                <w:szCs w:val="24"/>
              </w:rPr>
            </w:pPr>
            <w:r>
              <w:rPr>
                <w:color w:val="000000"/>
              </w:rPr>
              <w:t>96</w:t>
            </w:r>
          </w:p>
        </w:tc>
        <w:tc>
          <w:tcPr>
            <w:tcW w:w="222" w:type="pct"/>
            <w:tcBorders>
              <w:top w:val="nil"/>
              <w:left w:val="double" w:sz="6" w:space="0" w:color="auto"/>
              <w:bottom w:val="single" w:sz="4" w:space="0" w:color="auto"/>
              <w:right w:val="nil"/>
            </w:tcBorders>
            <w:shd w:val="clear" w:color="000000" w:fill="F2DCDB"/>
            <w:vAlign w:val="center"/>
          </w:tcPr>
          <w:p w14:paraId="0E1033C4" w14:textId="77777777" w:rsidR="00394D0F" w:rsidRDefault="00394D0F">
            <w:pPr>
              <w:jc w:val="right"/>
              <w:rPr>
                <w:color w:val="000000"/>
                <w:sz w:val="24"/>
                <w:szCs w:val="24"/>
              </w:rPr>
            </w:pPr>
            <w:r>
              <w:rPr>
                <w:color w:val="000000"/>
              </w:rPr>
              <w:t>150</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E9E91E4" w14:textId="77777777" w:rsidR="00394D0F" w:rsidRDefault="00394D0F">
            <w:pPr>
              <w:jc w:val="right"/>
              <w:rPr>
                <w:color w:val="000000"/>
                <w:sz w:val="24"/>
                <w:szCs w:val="24"/>
              </w:rPr>
            </w:pPr>
            <w:r>
              <w:rPr>
                <w:color w:val="000000"/>
              </w:rPr>
              <w:t>116</w:t>
            </w:r>
          </w:p>
        </w:tc>
      </w:tr>
      <w:tr w:rsidR="00394D0F" w:rsidRPr="000A46ED" w14:paraId="7A62E6F5"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A07A7DD" w14:textId="4D9DC9AD"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7. The activities my teachers use in reading help me learn.</w:t>
            </w:r>
          </w:p>
        </w:tc>
        <w:tc>
          <w:tcPr>
            <w:tcW w:w="255" w:type="pct"/>
            <w:tcBorders>
              <w:top w:val="nil"/>
              <w:left w:val="double" w:sz="6" w:space="0" w:color="auto"/>
              <w:bottom w:val="single" w:sz="4" w:space="0" w:color="auto"/>
              <w:right w:val="nil"/>
            </w:tcBorders>
            <w:shd w:val="clear" w:color="000000" w:fill="F2DCDB"/>
            <w:vAlign w:val="center"/>
          </w:tcPr>
          <w:p w14:paraId="52BF96E9" w14:textId="77777777" w:rsidR="00394D0F" w:rsidRDefault="00394D0F">
            <w:pPr>
              <w:jc w:val="right"/>
              <w:rPr>
                <w:color w:val="000000"/>
                <w:sz w:val="24"/>
                <w:szCs w:val="24"/>
              </w:rPr>
            </w:pPr>
            <w:r>
              <w:rPr>
                <w:color w:val="000000"/>
              </w:rPr>
              <w:t>349</w:t>
            </w:r>
          </w:p>
        </w:tc>
        <w:tc>
          <w:tcPr>
            <w:tcW w:w="256" w:type="pct"/>
            <w:tcBorders>
              <w:top w:val="nil"/>
              <w:left w:val="double" w:sz="6" w:space="0" w:color="auto"/>
              <w:bottom w:val="single" w:sz="4" w:space="0" w:color="auto"/>
              <w:right w:val="nil"/>
            </w:tcBorders>
            <w:shd w:val="clear" w:color="000000" w:fill="F2DCDB"/>
            <w:vAlign w:val="center"/>
          </w:tcPr>
          <w:p w14:paraId="1B0D4961" w14:textId="77777777" w:rsidR="00394D0F" w:rsidRDefault="00394D0F">
            <w:pPr>
              <w:jc w:val="right"/>
              <w:rPr>
                <w:color w:val="000000"/>
                <w:sz w:val="24"/>
                <w:szCs w:val="24"/>
              </w:rPr>
            </w:pPr>
            <w:r>
              <w:rPr>
                <w:color w:val="000000"/>
              </w:rPr>
              <w:t>346</w:t>
            </w:r>
          </w:p>
        </w:tc>
        <w:tc>
          <w:tcPr>
            <w:tcW w:w="249" w:type="pct"/>
            <w:tcBorders>
              <w:top w:val="nil"/>
              <w:left w:val="double" w:sz="6" w:space="0" w:color="auto"/>
              <w:bottom w:val="single" w:sz="4" w:space="0" w:color="auto"/>
              <w:right w:val="nil"/>
            </w:tcBorders>
            <w:shd w:val="clear" w:color="000000" w:fill="F2DCDB"/>
            <w:vAlign w:val="center"/>
          </w:tcPr>
          <w:p w14:paraId="67C4D4D2" w14:textId="77777777" w:rsidR="00394D0F" w:rsidRDefault="00394D0F">
            <w:pPr>
              <w:jc w:val="right"/>
              <w:rPr>
                <w:color w:val="000000"/>
                <w:sz w:val="24"/>
                <w:szCs w:val="24"/>
              </w:rPr>
            </w:pPr>
            <w:r>
              <w:rPr>
                <w:color w:val="000000"/>
              </w:rPr>
              <w:t>940</w:t>
            </w:r>
          </w:p>
        </w:tc>
        <w:tc>
          <w:tcPr>
            <w:tcW w:w="249" w:type="pct"/>
            <w:tcBorders>
              <w:top w:val="nil"/>
              <w:left w:val="double" w:sz="6" w:space="0" w:color="auto"/>
              <w:bottom w:val="single" w:sz="4" w:space="0" w:color="auto"/>
              <w:right w:val="nil"/>
            </w:tcBorders>
            <w:shd w:val="clear" w:color="000000" w:fill="F2DCDB"/>
            <w:vAlign w:val="center"/>
          </w:tcPr>
          <w:p w14:paraId="05255A2E" w14:textId="77777777" w:rsidR="00394D0F" w:rsidRDefault="00394D0F">
            <w:pPr>
              <w:jc w:val="right"/>
              <w:rPr>
                <w:color w:val="000000"/>
                <w:sz w:val="24"/>
                <w:szCs w:val="24"/>
              </w:rPr>
            </w:pPr>
            <w:r>
              <w:rPr>
                <w:color w:val="000000"/>
              </w:rPr>
              <w:t>1006</w:t>
            </w:r>
          </w:p>
        </w:tc>
        <w:tc>
          <w:tcPr>
            <w:tcW w:w="222" w:type="pct"/>
            <w:tcBorders>
              <w:top w:val="nil"/>
              <w:left w:val="double" w:sz="6" w:space="0" w:color="auto"/>
              <w:bottom w:val="single" w:sz="4" w:space="0" w:color="auto"/>
              <w:right w:val="nil"/>
            </w:tcBorders>
            <w:shd w:val="clear" w:color="000000" w:fill="F2DCDB"/>
            <w:vAlign w:val="center"/>
          </w:tcPr>
          <w:p w14:paraId="05013AAE" w14:textId="77777777" w:rsidR="00394D0F" w:rsidRDefault="00394D0F">
            <w:pPr>
              <w:jc w:val="right"/>
              <w:rPr>
                <w:color w:val="000000"/>
                <w:sz w:val="24"/>
                <w:szCs w:val="24"/>
              </w:rPr>
            </w:pPr>
            <w:r>
              <w:rPr>
                <w:color w:val="000000"/>
              </w:rPr>
              <w:t>318</w:t>
            </w:r>
          </w:p>
        </w:tc>
        <w:tc>
          <w:tcPr>
            <w:tcW w:w="228" w:type="pct"/>
            <w:tcBorders>
              <w:top w:val="nil"/>
              <w:left w:val="double" w:sz="6" w:space="0" w:color="auto"/>
              <w:bottom w:val="single" w:sz="4" w:space="0" w:color="auto"/>
              <w:right w:val="nil"/>
            </w:tcBorders>
            <w:shd w:val="clear" w:color="000000" w:fill="F2DCDB"/>
            <w:vAlign w:val="center"/>
          </w:tcPr>
          <w:p w14:paraId="1B34DFE2" w14:textId="77777777" w:rsidR="00394D0F" w:rsidRDefault="00394D0F">
            <w:pPr>
              <w:jc w:val="right"/>
              <w:rPr>
                <w:color w:val="000000"/>
                <w:sz w:val="24"/>
                <w:szCs w:val="24"/>
              </w:rPr>
            </w:pPr>
            <w:r>
              <w:rPr>
                <w:color w:val="000000"/>
              </w:rPr>
              <w:t>306</w:t>
            </w:r>
          </w:p>
        </w:tc>
        <w:tc>
          <w:tcPr>
            <w:tcW w:w="291" w:type="pct"/>
            <w:tcBorders>
              <w:top w:val="nil"/>
              <w:left w:val="double" w:sz="6" w:space="0" w:color="auto"/>
              <w:bottom w:val="single" w:sz="4" w:space="0" w:color="auto"/>
              <w:right w:val="nil"/>
            </w:tcBorders>
            <w:shd w:val="clear" w:color="000000" w:fill="F2DCDB"/>
            <w:vAlign w:val="center"/>
          </w:tcPr>
          <w:p w14:paraId="567D9D31" w14:textId="77777777" w:rsidR="00394D0F" w:rsidRDefault="00394D0F">
            <w:pPr>
              <w:jc w:val="right"/>
              <w:rPr>
                <w:color w:val="000000"/>
                <w:sz w:val="24"/>
                <w:szCs w:val="24"/>
              </w:rPr>
            </w:pPr>
            <w:r>
              <w:rPr>
                <w:color w:val="000000"/>
              </w:rPr>
              <w:t>81</w:t>
            </w:r>
          </w:p>
        </w:tc>
        <w:tc>
          <w:tcPr>
            <w:tcW w:w="299" w:type="pct"/>
            <w:tcBorders>
              <w:top w:val="nil"/>
              <w:left w:val="double" w:sz="6" w:space="0" w:color="auto"/>
              <w:bottom w:val="single" w:sz="4" w:space="0" w:color="auto"/>
              <w:right w:val="nil"/>
            </w:tcBorders>
            <w:shd w:val="clear" w:color="000000" w:fill="F2DCDB"/>
            <w:vAlign w:val="center"/>
          </w:tcPr>
          <w:p w14:paraId="2C045491" w14:textId="77777777" w:rsidR="00394D0F" w:rsidRDefault="00394D0F">
            <w:pPr>
              <w:jc w:val="right"/>
              <w:rPr>
                <w:color w:val="000000"/>
                <w:sz w:val="24"/>
                <w:szCs w:val="24"/>
              </w:rPr>
            </w:pPr>
            <w:r>
              <w:rPr>
                <w:color w:val="000000"/>
              </w:rPr>
              <w:t>100</w:t>
            </w:r>
          </w:p>
        </w:tc>
        <w:tc>
          <w:tcPr>
            <w:tcW w:w="222" w:type="pct"/>
            <w:tcBorders>
              <w:top w:val="nil"/>
              <w:left w:val="double" w:sz="6" w:space="0" w:color="auto"/>
              <w:bottom w:val="single" w:sz="4" w:space="0" w:color="auto"/>
              <w:right w:val="nil"/>
            </w:tcBorders>
            <w:shd w:val="clear" w:color="000000" w:fill="F2DCDB"/>
            <w:vAlign w:val="center"/>
          </w:tcPr>
          <w:p w14:paraId="3D2D0A81" w14:textId="77777777" w:rsidR="00394D0F" w:rsidRDefault="00394D0F">
            <w:pPr>
              <w:jc w:val="right"/>
              <w:rPr>
                <w:color w:val="000000"/>
                <w:sz w:val="24"/>
                <w:szCs w:val="24"/>
              </w:rPr>
            </w:pPr>
            <w:r>
              <w:rPr>
                <w:color w:val="000000"/>
              </w:rPr>
              <w:t>139</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03F8C9D0" w14:textId="77777777" w:rsidR="00394D0F" w:rsidRDefault="00394D0F">
            <w:pPr>
              <w:jc w:val="right"/>
              <w:rPr>
                <w:color w:val="000000"/>
                <w:sz w:val="24"/>
                <w:szCs w:val="24"/>
              </w:rPr>
            </w:pPr>
            <w:r>
              <w:rPr>
                <w:color w:val="000000"/>
              </w:rPr>
              <w:t>116</w:t>
            </w:r>
          </w:p>
        </w:tc>
      </w:tr>
      <w:tr w:rsidR="00394D0F" w:rsidRPr="000A46ED" w14:paraId="60F434F2"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F434043" w14:textId="394EE371"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8. My teachers find new ways to help me understand what I read.</w:t>
            </w:r>
          </w:p>
        </w:tc>
        <w:tc>
          <w:tcPr>
            <w:tcW w:w="255" w:type="pct"/>
            <w:tcBorders>
              <w:top w:val="nil"/>
              <w:left w:val="double" w:sz="6" w:space="0" w:color="auto"/>
              <w:bottom w:val="single" w:sz="4" w:space="0" w:color="auto"/>
              <w:right w:val="nil"/>
            </w:tcBorders>
            <w:shd w:val="clear" w:color="000000" w:fill="F2DCDB"/>
            <w:vAlign w:val="center"/>
          </w:tcPr>
          <w:p w14:paraId="12051C8A" w14:textId="77777777" w:rsidR="00394D0F" w:rsidRDefault="00394D0F">
            <w:pPr>
              <w:jc w:val="right"/>
              <w:rPr>
                <w:color w:val="000000"/>
                <w:sz w:val="24"/>
                <w:szCs w:val="24"/>
              </w:rPr>
            </w:pPr>
            <w:r>
              <w:rPr>
                <w:color w:val="000000"/>
              </w:rPr>
              <w:t>335</w:t>
            </w:r>
          </w:p>
        </w:tc>
        <w:tc>
          <w:tcPr>
            <w:tcW w:w="256" w:type="pct"/>
            <w:tcBorders>
              <w:top w:val="nil"/>
              <w:left w:val="double" w:sz="6" w:space="0" w:color="auto"/>
              <w:bottom w:val="single" w:sz="4" w:space="0" w:color="auto"/>
              <w:right w:val="nil"/>
            </w:tcBorders>
            <w:shd w:val="clear" w:color="000000" w:fill="F2DCDB"/>
            <w:vAlign w:val="center"/>
          </w:tcPr>
          <w:p w14:paraId="69249792" w14:textId="77777777" w:rsidR="00394D0F" w:rsidRDefault="00394D0F">
            <w:pPr>
              <w:jc w:val="right"/>
              <w:rPr>
                <w:color w:val="000000"/>
                <w:sz w:val="24"/>
                <w:szCs w:val="24"/>
              </w:rPr>
            </w:pPr>
            <w:r>
              <w:rPr>
                <w:color w:val="000000"/>
              </w:rPr>
              <w:t>347</w:t>
            </w:r>
          </w:p>
        </w:tc>
        <w:tc>
          <w:tcPr>
            <w:tcW w:w="249" w:type="pct"/>
            <w:tcBorders>
              <w:top w:val="nil"/>
              <w:left w:val="double" w:sz="6" w:space="0" w:color="auto"/>
              <w:bottom w:val="single" w:sz="4" w:space="0" w:color="auto"/>
              <w:right w:val="nil"/>
            </w:tcBorders>
            <w:shd w:val="clear" w:color="000000" w:fill="F2DCDB"/>
            <w:vAlign w:val="center"/>
          </w:tcPr>
          <w:p w14:paraId="3BD7BA25" w14:textId="77777777" w:rsidR="00394D0F" w:rsidRDefault="00394D0F">
            <w:pPr>
              <w:jc w:val="right"/>
              <w:rPr>
                <w:color w:val="000000"/>
                <w:sz w:val="24"/>
                <w:szCs w:val="24"/>
              </w:rPr>
            </w:pPr>
            <w:r>
              <w:rPr>
                <w:color w:val="000000"/>
              </w:rPr>
              <w:t>910</w:t>
            </w:r>
          </w:p>
        </w:tc>
        <w:tc>
          <w:tcPr>
            <w:tcW w:w="249" w:type="pct"/>
            <w:tcBorders>
              <w:top w:val="nil"/>
              <w:left w:val="double" w:sz="6" w:space="0" w:color="auto"/>
              <w:bottom w:val="single" w:sz="4" w:space="0" w:color="auto"/>
              <w:right w:val="nil"/>
            </w:tcBorders>
            <w:shd w:val="clear" w:color="000000" w:fill="F2DCDB"/>
            <w:vAlign w:val="center"/>
          </w:tcPr>
          <w:p w14:paraId="5E0CEBD1" w14:textId="77777777" w:rsidR="00394D0F" w:rsidRDefault="00394D0F">
            <w:pPr>
              <w:jc w:val="right"/>
              <w:rPr>
                <w:color w:val="000000"/>
                <w:sz w:val="24"/>
                <w:szCs w:val="24"/>
              </w:rPr>
            </w:pPr>
            <w:r>
              <w:rPr>
                <w:color w:val="000000"/>
              </w:rPr>
              <w:t>952</w:t>
            </w:r>
          </w:p>
        </w:tc>
        <w:tc>
          <w:tcPr>
            <w:tcW w:w="222" w:type="pct"/>
            <w:tcBorders>
              <w:top w:val="nil"/>
              <w:left w:val="double" w:sz="6" w:space="0" w:color="auto"/>
              <w:bottom w:val="single" w:sz="4" w:space="0" w:color="auto"/>
              <w:right w:val="nil"/>
            </w:tcBorders>
            <w:shd w:val="clear" w:color="000000" w:fill="F2DCDB"/>
            <w:vAlign w:val="center"/>
          </w:tcPr>
          <w:p w14:paraId="30BF8A9E" w14:textId="77777777" w:rsidR="00394D0F" w:rsidRDefault="00394D0F">
            <w:pPr>
              <w:jc w:val="right"/>
              <w:rPr>
                <w:color w:val="000000"/>
                <w:sz w:val="24"/>
                <w:szCs w:val="24"/>
              </w:rPr>
            </w:pPr>
            <w:r>
              <w:rPr>
                <w:color w:val="000000"/>
              </w:rPr>
              <w:t>363</w:t>
            </w:r>
          </w:p>
        </w:tc>
        <w:tc>
          <w:tcPr>
            <w:tcW w:w="228" w:type="pct"/>
            <w:tcBorders>
              <w:top w:val="nil"/>
              <w:left w:val="double" w:sz="6" w:space="0" w:color="auto"/>
              <w:bottom w:val="single" w:sz="4" w:space="0" w:color="auto"/>
              <w:right w:val="nil"/>
            </w:tcBorders>
            <w:shd w:val="clear" w:color="000000" w:fill="F2DCDB"/>
            <w:vAlign w:val="center"/>
          </w:tcPr>
          <w:p w14:paraId="3F359322" w14:textId="77777777" w:rsidR="00394D0F" w:rsidRDefault="00394D0F">
            <w:pPr>
              <w:jc w:val="right"/>
              <w:rPr>
                <w:color w:val="000000"/>
                <w:sz w:val="24"/>
                <w:szCs w:val="24"/>
              </w:rPr>
            </w:pPr>
            <w:r>
              <w:rPr>
                <w:color w:val="000000"/>
              </w:rPr>
              <w:t>368</w:t>
            </w:r>
          </w:p>
        </w:tc>
        <w:tc>
          <w:tcPr>
            <w:tcW w:w="291" w:type="pct"/>
            <w:tcBorders>
              <w:top w:val="nil"/>
              <w:left w:val="double" w:sz="6" w:space="0" w:color="auto"/>
              <w:bottom w:val="single" w:sz="4" w:space="0" w:color="auto"/>
              <w:right w:val="nil"/>
            </w:tcBorders>
            <w:shd w:val="clear" w:color="000000" w:fill="F2DCDB"/>
            <w:vAlign w:val="center"/>
          </w:tcPr>
          <w:p w14:paraId="055A60FD" w14:textId="77777777" w:rsidR="00394D0F" w:rsidRDefault="00394D0F">
            <w:pPr>
              <w:jc w:val="right"/>
              <w:rPr>
                <w:color w:val="000000"/>
                <w:sz w:val="24"/>
                <w:szCs w:val="24"/>
              </w:rPr>
            </w:pPr>
            <w:r>
              <w:rPr>
                <w:color w:val="000000"/>
              </w:rPr>
              <w:t>99</w:t>
            </w:r>
          </w:p>
        </w:tc>
        <w:tc>
          <w:tcPr>
            <w:tcW w:w="299" w:type="pct"/>
            <w:tcBorders>
              <w:top w:val="nil"/>
              <w:left w:val="double" w:sz="6" w:space="0" w:color="auto"/>
              <w:bottom w:val="single" w:sz="4" w:space="0" w:color="auto"/>
              <w:right w:val="nil"/>
            </w:tcBorders>
            <w:shd w:val="clear" w:color="000000" w:fill="F2DCDB"/>
            <w:vAlign w:val="center"/>
          </w:tcPr>
          <w:p w14:paraId="77477105" w14:textId="77777777" w:rsidR="00394D0F" w:rsidRDefault="00394D0F">
            <w:pPr>
              <w:jc w:val="right"/>
              <w:rPr>
                <w:color w:val="000000"/>
                <w:sz w:val="24"/>
                <w:szCs w:val="24"/>
              </w:rPr>
            </w:pPr>
            <w:r>
              <w:rPr>
                <w:color w:val="000000"/>
              </w:rPr>
              <w:t>90</w:t>
            </w:r>
          </w:p>
        </w:tc>
        <w:tc>
          <w:tcPr>
            <w:tcW w:w="222" w:type="pct"/>
            <w:tcBorders>
              <w:top w:val="nil"/>
              <w:left w:val="double" w:sz="6" w:space="0" w:color="auto"/>
              <w:bottom w:val="single" w:sz="4" w:space="0" w:color="auto"/>
              <w:right w:val="nil"/>
            </w:tcBorders>
            <w:shd w:val="clear" w:color="000000" w:fill="F2DCDB"/>
            <w:vAlign w:val="center"/>
          </w:tcPr>
          <w:p w14:paraId="0AC7C5FB" w14:textId="77777777" w:rsidR="00394D0F" w:rsidRDefault="00394D0F">
            <w:pPr>
              <w:jc w:val="right"/>
              <w:rPr>
                <w:color w:val="000000"/>
                <w:sz w:val="24"/>
                <w:szCs w:val="24"/>
              </w:rPr>
            </w:pPr>
            <w:r>
              <w:rPr>
                <w:color w:val="000000"/>
              </w:rPr>
              <w:t>118</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2D02D6B9" w14:textId="77777777" w:rsidR="00394D0F" w:rsidRDefault="00394D0F">
            <w:pPr>
              <w:jc w:val="right"/>
              <w:rPr>
                <w:color w:val="000000"/>
                <w:sz w:val="24"/>
                <w:szCs w:val="24"/>
              </w:rPr>
            </w:pPr>
            <w:r>
              <w:rPr>
                <w:color w:val="000000"/>
              </w:rPr>
              <w:t>119</w:t>
            </w:r>
          </w:p>
        </w:tc>
      </w:tr>
      <w:tr w:rsidR="00394D0F" w:rsidRPr="000A46ED" w14:paraId="57989762"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3A01B88" w14:textId="2278279D" w:rsidR="00394D0F" w:rsidRPr="000A46ED" w:rsidRDefault="00394D0F" w:rsidP="00FD1B5B">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9. I use my reading skills in all subjects.</w:t>
            </w:r>
          </w:p>
        </w:tc>
        <w:tc>
          <w:tcPr>
            <w:tcW w:w="255" w:type="pct"/>
            <w:tcBorders>
              <w:top w:val="nil"/>
              <w:left w:val="double" w:sz="6" w:space="0" w:color="auto"/>
              <w:bottom w:val="single" w:sz="4" w:space="0" w:color="auto"/>
              <w:right w:val="nil"/>
            </w:tcBorders>
            <w:shd w:val="clear" w:color="000000" w:fill="F2DCDB"/>
            <w:vAlign w:val="center"/>
          </w:tcPr>
          <w:p w14:paraId="004CEE4D" w14:textId="77777777" w:rsidR="00394D0F" w:rsidRDefault="00394D0F">
            <w:pPr>
              <w:jc w:val="right"/>
              <w:rPr>
                <w:color w:val="000000"/>
                <w:sz w:val="24"/>
                <w:szCs w:val="24"/>
              </w:rPr>
            </w:pPr>
            <w:r>
              <w:rPr>
                <w:color w:val="000000"/>
              </w:rPr>
              <w:t>582</w:t>
            </w:r>
          </w:p>
        </w:tc>
        <w:tc>
          <w:tcPr>
            <w:tcW w:w="256" w:type="pct"/>
            <w:tcBorders>
              <w:top w:val="nil"/>
              <w:left w:val="double" w:sz="6" w:space="0" w:color="auto"/>
              <w:bottom w:val="single" w:sz="4" w:space="0" w:color="auto"/>
              <w:right w:val="nil"/>
            </w:tcBorders>
            <w:shd w:val="clear" w:color="000000" w:fill="F2DCDB"/>
            <w:vAlign w:val="center"/>
          </w:tcPr>
          <w:p w14:paraId="225EB4CD" w14:textId="77777777" w:rsidR="00394D0F" w:rsidRDefault="00394D0F">
            <w:pPr>
              <w:jc w:val="right"/>
              <w:rPr>
                <w:color w:val="000000"/>
                <w:sz w:val="24"/>
                <w:szCs w:val="24"/>
              </w:rPr>
            </w:pPr>
            <w:r>
              <w:rPr>
                <w:color w:val="000000"/>
              </w:rPr>
              <w:t>548</w:t>
            </w:r>
          </w:p>
        </w:tc>
        <w:tc>
          <w:tcPr>
            <w:tcW w:w="249" w:type="pct"/>
            <w:tcBorders>
              <w:top w:val="nil"/>
              <w:left w:val="double" w:sz="6" w:space="0" w:color="auto"/>
              <w:bottom w:val="single" w:sz="4" w:space="0" w:color="auto"/>
              <w:right w:val="nil"/>
            </w:tcBorders>
            <w:shd w:val="clear" w:color="000000" w:fill="F2DCDB"/>
            <w:vAlign w:val="center"/>
          </w:tcPr>
          <w:p w14:paraId="264AD220" w14:textId="77777777" w:rsidR="00394D0F" w:rsidRDefault="00394D0F">
            <w:pPr>
              <w:jc w:val="right"/>
              <w:rPr>
                <w:color w:val="000000"/>
                <w:sz w:val="24"/>
                <w:szCs w:val="24"/>
              </w:rPr>
            </w:pPr>
            <w:r>
              <w:rPr>
                <w:color w:val="000000"/>
              </w:rPr>
              <w:t>860</w:t>
            </w:r>
          </w:p>
        </w:tc>
        <w:tc>
          <w:tcPr>
            <w:tcW w:w="249" w:type="pct"/>
            <w:tcBorders>
              <w:top w:val="nil"/>
              <w:left w:val="double" w:sz="6" w:space="0" w:color="auto"/>
              <w:bottom w:val="single" w:sz="4" w:space="0" w:color="auto"/>
              <w:right w:val="nil"/>
            </w:tcBorders>
            <w:shd w:val="clear" w:color="000000" w:fill="F2DCDB"/>
            <w:vAlign w:val="center"/>
          </w:tcPr>
          <w:p w14:paraId="1F6BD996" w14:textId="77777777" w:rsidR="00394D0F" w:rsidRDefault="00394D0F">
            <w:pPr>
              <w:jc w:val="right"/>
              <w:rPr>
                <w:color w:val="000000"/>
                <w:sz w:val="24"/>
                <w:szCs w:val="24"/>
              </w:rPr>
            </w:pPr>
            <w:r>
              <w:rPr>
                <w:color w:val="000000"/>
              </w:rPr>
              <w:t>867</w:t>
            </w:r>
          </w:p>
        </w:tc>
        <w:tc>
          <w:tcPr>
            <w:tcW w:w="222" w:type="pct"/>
            <w:tcBorders>
              <w:top w:val="nil"/>
              <w:left w:val="double" w:sz="6" w:space="0" w:color="auto"/>
              <w:bottom w:val="single" w:sz="4" w:space="0" w:color="auto"/>
              <w:right w:val="nil"/>
            </w:tcBorders>
            <w:shd w:val="clear" w:color="000000" w:fill="F2DCDB"/>
            <w:vAlign w:val="center"/>
          </w:tcPr>
          <w:p w14:paraId="07871FAB" w14:textId="77777777" w:rsidR="00394D0F" w:rsidRDefault="00394D0F">
            <w:pPr>
              <w:jc w:val="right"/>
              <w:rPr>
                <w:color w:val="000000"/>
                <w:sz w:val="24"/>
                <w:szCs w:val="24"/>
              </w:rPr>
            </w:pPr>
            <w:r>
              <w:rPr>
                <w:color w:val="000000"/>
              </w:rPr>
              <w:t>240</w:t>
            </w:r>
          </w:p>
        </w:tc>
        <w:tc>
          <w:tcPr>
            <w:tcW w:w="228" w:type="pct"/>
            <w:tcBorders>
              <w:top w:val="nil"/>
              <w:left w:val="double" w:sz="6" w:space="0" w:color="auto"/>
              <w:bottom w:val="single" w:sz="4" w:space="0" w:color="auto"/>
              <w:right w:val="nil"/>
            </w:tcBorders>
            <w:shd w:val="clear" w:color="000000" w:fill="F2DCDB"/>
            <w:vAlign w:val="center"/>
          </w:tcPr>
          <w:p w14:paraId="65D6A43B" w14:textId="77777777" w:rsidR="00394D0F" w:rsidRDefault="00394D0F">
            <w:pPr>
              <w:jc w:val="right"/>
              <w:rPr>
                <w:color w:val="000000"/>
                <w:sz w:val="24"/>
                <w:szCs w:val="24"/>
              </w:rPr>
            </w:pPr>
            <w:r>
              <w:rPr>
                <w:color w:val="000000"/>
              </w:rPr>
              <w:t>311</w:t>
            </w:r>
          </w:p>
        </w:tc>
        <w:tc>
          <w:tcPr>
            <w:tcW w:w="291" w:type="pct"/>
            <w:tcBorders>
              <w:top w:val="nil"/>
              <w:left w:val="double" w:sz="6" w:space="0" w:color="auto"/>
              <w:bottom w:val="single" w:sz="4" w:space="0" w:color="auto"/>
              <w:right w:val="nil"/>
            </w:tcBorders>
            <w:shd w:val="clear" w:color="000000" w:fill="F2DCDB"/>
            <w:vAlign w:val="center"/>
          </w:tcPr>
          <w:p w14:paraId="766765B7" w14:textId="77777777" w:rsidR="00394D0F" w:rsidRDefault="00394D0F">
            <w:pPr>
              <w:jc w:val="right"/>
              <w:rPr>
                <w:color w:val="000000"/>
                <w:sz w:val="24"/>
                <w:szCs w:val="24"/>
              </w:rPr>
            </w:pPr>
            <w:r>
              <w:rPr>
                <w:color w:val="000000"/>
              </w:rPr>
              <w:t>68</w:t>
            </w:r>
          </w:p>
        </w:tc>
        <w:tc>
          <w:tcPr>
            <w:tcW w:w="299" w:type="pct"/>
            <w:tcBorders>
              <w:top w:val="nil"/>
              <w:left w:val="double" w:sz="6" w:space="0" w:color="auto"/>
              <w:bottom w:val="single" w:sz="4" w:space="0" w:color="auto"/>
              <w:right w:val="nil"/>
            </w:tcBorders>
            <w:shd w:val="clear" w:color="000000" w:fill="F2DCDB"/>
            <w:vAlign w:val="center"/>
          </w:tcPr>
          <w:p w14:paraId="77B6081A" w14:textId="77777777" w:rsidR="00394D0F" w:rsidRDefault="00394D0F">
            <w:pPr>
              <w:jc w:val="right"/>
              <w:rPr>
                <w:color w:val="000000"/>
                <w:sz w:val="24"/>
                <w:szCs w:val="24"/>
              </w:rPr>
            </w:pPr>
            <w:r>
              <w:rPr>
                <w:color w:val="000000"/>
              </w:rPr>
              <w:t>81</w:t>
            </w:r>
          </w:p>
        </w:tc>
        <w:tc>
          <w:tcPr>
            <w:tcW w:w="222" w:type="pct"/>
            <w:tcBorders>
              <w:top w:val="nil"/>
              <w:left w:val="double" w:sz="6" w:space="0" w:color="auto"/>
              <w:bottom w:val="single" w:sz="4" w:space="0" w:color="auto"/>
              <w:right w:val="nil"/>
            </w:tcBorders>
            <w:shd w:val="clear" w:color="000000" w:fill="F2DCDB"/>
            <w:vAlign w:val="center"/>
          </w:tcPr>
          <w:p w14:paraId="1D61B992" w14:textId="77777777" w:rsidR="00394D0F" w:rsidRDefault="00394D0F">
            <w:pPr>
              <w:jc w:val="right"/>
              <w:rPr>
                <w:color w:val="000000"/>
                <w:sz w:val="24"/>
                <w:szCs w:val="24"/>
              </w:rPr>
            </w:pPr>
            <w:r>
              <w:rPr>
                <w:color w:val="000000"/>
              </w:rPr>
              <w:t>77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918CDB6" w14:textId="77777777" w:rsidR="00394D0F" w:rsidRDefault="00394D0F">
            <w:pPr>
              <w:jc w:val="right"/>
              <w:rPr>
                <w:color w:val="000000"/>
                <w:sz w:val="24"/>
                <w:szCs w:val="24"/>
              </w:rPr>
            </w:pPr>
            <w:r>
              <w:rPr>
                <w:color w:val="000000"/>
              </w:rPr>
              <w:t>68</w:t>
            </w:r>
          </w:p>
        </w:tc>
      </w:tr>
      <w:tr w:rsidR="00394D0F" w:rsidRPr="000A46ED" w14:paraId="076EB83F"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13F46365"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10.  The work we do in reading challenges me and makes me think.</w:t>
            </w:r>
          </w:p>
        </w:tc>
        <w:tc>
          <w:tcPr>
            <w:tcW w:w="255" w:type="pct"/>
            <w:tcBorders>
              <w:top w:val="nil"/>
              <w:left w:val="double" w:sz="6" w:space="0" w:color="auto"/>
              <w:bottom w:val="single" w:sz="4" w:space="0" w:color="auto"/>
              <w:right w:val="nil"/>
            </w:tcBorders>
            <w:shd w:val="clear" w:color="000000" w:fill="F2DCDB"/>
            <w:vAlign w:val="center"/>
          </w:tcPr>
          <w:p w14:paraId="2195D689" w14:textId="77777777" w:rsidR="00394D0F" w:rsidRDefault="00394D0F">
            <w:pPr>
              <w:jc w:val="right"/>
              <w:rPr>
                <w:color w:val="000000"/>
                <w:sz w:val="24"/>
                <w:szCs w:val="24"/>
              </w:rPr>
            </w:pPr>
            <w:r>
              <w:rPr>
                <w:color w:val="000000"/>
              </w:rPr>
              <w:t>316</w:t>
            </w:r>
          </w:p>
        </w:tc>
        <w:tc>
          <w:tcPr>
            <w:tcW w:w="256" w:type="pct"/>
            <w:tcBorders>
              <w:top w:val="nil"/>
              <w:left w:val="double" w:sz="6" w:space="0" w:color="auto"/>
              <w:bottom w:val="single" w:sz="4" w:space="0" w:color="auto"/>
              <w:right w:val="nil"/>
            </w:tcBorders>
            <w:shd w:val="clear" w:color="000000" w:fill="F2DCDB"/>
            <w:vAlign w:val="center"/>
          </w:tcPr>
          <w:p w14:paraId="0C540C21" w14:textId="77777777" w:rsidR="00394D0F" w:rsidRDefault="00394D0F">
            <w:pPr>
              <w:jc w:val="right"/>
              <w:rPr>
                <w:color w:val="000000"/>
                <w:sz w:val="24"/>
                <w:szCs w:val="24"/>
              </w:rPr>
            </w:pPr>
            <w:r>
              <w:rPr>
                <w:color w:val="000000"/>
              </w:rPr>
              <w:t>307</w:t>
            </w:r>
          </w:p>
        </w:tc>
        <w:tc>
          <w:tcPr>
            <w:tcW w:w="249" w:type="pct"/>
            <w:tcBorders>
              <w:top w:val="nil"/>
              <w:left w:val="double" w:sz="6" w:space="0" w:color="auto"/>
              <w:bottom w:val="single" w:sz="4" w:space="0" w:color="auto"/>
              <w:right w:val="nil"/>
            </w:tcBorders>
            <w:shd w:val="clear" w:color="000000" w:fill="F2DCDB"/>
            <w:vAlign w:val="center"/>
          </w:tcPr>
          <w:p w14:paraId="0F6216F9" w14:textId="77777777" w:rsidR="00394D0F" w:rsidRDefault="00394D0F">
            <w:pPr>
              <w:jc w:val="right"/>
              <w:rPr>
                <w:color w:val="000000"/>
                <w:sz w:val="24"/>
                <w:szCs w:val="24"/>
              </w:rPr>
            </w:pPr>
            <w:r>
              <w:rPr>
                <w:color w:val="000000"/>
              </w:rPr>
              <w:t>938</w:t>
            </w:r>
          </w:p>
        </w:tc>
        <w:tc>
          <w:tcPr>
            <w:tcW w:w="249" w:type="pct"/>
            <w:tcBorders>
              <w:top w:val="nil"/>
              <w:left w:val="double" w:sz="6" w:space="0" w:color="auto"/>
              <w:bottom w:val="single" w:sz="4" w:space="0" w:color="auto"/>
              <w:right w:val="nil"/>
            </w:tcBorders>
            <w:shd w:val="clear" w:color="000000" w:fill="F2DCDB"/>
            <w:vAlign w:val="center"/>
          </w:tcPr>
          <w:p w14:paraId="4117FEC9" w14:textId="77777777" w:rsidR="00394D0F" w:rsidRDefault="00394D0F">
            <w:pPr>
              <w:jc w:val="right"/>
              <w:rPr>
                <w:color w:val="000000"/>
                <w:sz w:val="24"/>
                <w:szCs w:val="24"/>
              </w:rPr>
            </w:pPr>
            <w:r>
              <w:rPr>
                <w:color w:val="000000"/>
              </w:rPr>
              <w:t>996</w:t>
            </w:r>
          </w:p>
        </w:tc>
        <w:tc>
          <w:tcPr>
            <w:tcW w:w="222" w:type="pct"/>
            <w:tcBorders>
              <w:top w:val="nil"/>
              <w:left w:val="double" w:sz="6" w:space="0" w:color="auto"/>
              <w:bottom w:val="single" w:sz="4" w:space="0" w:color="auto"/>
              <w:right w:val="nil"/>
            </w:tcBorders>
            <w:shd w:val="clear" w:color="000000" w:fill="F2DCDB"/>
            <w:vAlign w:val="center"/>
          </w:tcPr>
          <w:p w14:paraId="509644ED" w14:textId="77777777" w:rsidR="00394D0F" w:rsidRDefault="00394D0F">
            <w:pPr>
              <w:jc w:val="right"/>
              <w:rPr>
                <w:color w:val="000000"/>
                <w:sz w:val="24"/>
                <w:szCs w:val="24"/>
              </w:rPr>
            </w:pPr>
            <w:r>
              <w:rPr>
                <w:color w:val="000000"/>
              </w:rPr>
              <w:t>355</w:t>
            </w:r>
          </w:p>
        </w:tc>
        <w:tc>
          <w:tcPr>
            <w:tcW w:w="228" w:type="pct"/>
            <w:tcBorders>
              <w:top w:val="nil"/>
              <w:left w:val="double" w:sz="6" w:space="0" w:color="auto"/>
              <w:bottom w:val="single" w:sz="4" w:space="0" w:color="auto"/>
              <w:right w:val="nil"/>
            </w:tcBorders>
            <w:shd w:val="clear" w:color="000000" w:fill="F2DCDB"/>
            <w:vAlign w:val="center"/>
          </w:tcPr>
          <w:p w14:paraId="2FDF251F" w14:textId="77777777" w:rsidR="00394D0F" w:rsidRDefault="00394D0F">
            <w:pPr>
              <w:jc w:val="right"/>
              <w:rPr>
                <w:color w:val="000000"/>
                <w:sz w:val="24"/>
                <w:szCs w:val="24"/>
              </w:rPr>
            </w:pPr>
            <w:r>
              <w:rPr>
                <w:color w:val="000000"/>
              </w:rPr>
              <w:t>381</w:t>
            </w:r>
          </w:p>
        </w:tc>
        <w:tc>
          <w:tcPr>
            <w:tcW w:w="291" w:type="pct"/>
            <w:tcBorders>
              <w:top w:val="nil"/>
              <w:left w:val="double" w:sz="6" w:space="0" w:color="auto"/>
              <w:bottom w:val="single" w:sz="4" w:space="0" w:color="auto"/>
              <w:right w:val="nil"/>
            </w:tcBorders>
            <w:shd w:val="clear" w:color="000000" w:fill="F2DCDB"/>
            <w:vAlign w:val="center"/>
          </w:tcPr>
          <w:p w14:paraId="1E9FD4C1" w14:textId="77777777" w:rsidR="00394D0F" w:rsidRDefault="00394D0F">
            <w:pPr>
              <w:jc w:val="right"/>
              <w:rPr>
                <w:color w:val="000000"/>
                <w:sz w:val="24"/>
                <w:szCs w:val="24"/>
              </w:rPr>
            </w:pPr>
            <w:r>
              <w:rPr>
                <w:color w:val="000000"/>
              </w:rPr>
              <w:t>86</w:t>
            </w:r>
          </w:p>
        </w:tc>
        <w:tc>
          <w:tcPr>
            <w:tcW w:w="299" w:type="pct"/>
            <w:tcBorders>
              <w:top w:val="nil"/>
              <w:left w:val="double" w:sz="6" w:space="0" w:color="auto"/>
              <w:bottom w:val="single" w:sz="4" w:space="0" w:color="auto"/>
              <w:right w:val="nil"/>
            </w:tcBorders>
            <w:shd w:val="clear" w:color="000000" w:fill="F2DCDB"/>
            <w:vAlign w:val="center"/>
          </w:tcPr>
          <w:p w14:paraId="74B1B651" w14:textId="77777777" w:rsidR="00394D0F" w:rsidRDefault="00394D0F">
            <w:pPr>
              <w:jc w:val="right"/>
              <w:rPr>
                <w:color w:val="000000"/>
                <w:sz w:val="24"/>
                <w:szCs w:val="24"/>
              </w:rPr>
            </w:pPr>
            <w:r>
              <w:rPr>
                <w:color w:val="000000"/>
              </w:rPr>
              <w:t>98</w:t>
            </w:r>
          </w:p>
        </w:tc>
        <w:tc>
          <w:tcPr>
            <w:tcW w:w="222" w:type="pct"/>
            <w:tcBorders>
              <w:top w:val="nil"/>
              <w:left w:val="double" w:sz="6" w:space="0" w:color="auto"/>
              <w:bottom w:val="single" w:sz="4" w:space="0" w:color="auto"/>
              <w:right w:val="nil"/>
            </w:tcBorders>
            <w:shd w:val="clear" w:color="000000" w:fill="F2DCDB"/>
            <w:vAlign w:val="center"/>
          </w:tcPr>
          <w:p w14:paraId="60AC4932" w14:textId="77777777" w:rsidR="00394D0F" w:rsidRDefault="00394D0F">
            <w:pPr>
              <w:jc w:val="right"/>
              <w:rPr>
                <w:color w:val="000000"/>
                <w:sz w:val="24"/>
                <w:szCs w:val="24"/>
              </w:rPr>
            </w:pPr>
            <w:r>
              <w:rPr>
                <w:color w:val="000000"/>
              </w:rPr>
              <w:t>132</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4C80E219" w14:textId="77777777" w:rsidR="00394D0F" w:rsidRDefault="00394D0F">
            <w:pPr>
              <w:jc w:val="right"/>
              <w:rPr>
                <w:color w:val="000000"/>
                <w:sz w:val="24"/>
                <w:szCs w:val="24"/>
              </w:rPr>
            </w:pPr>
            <w:r>
              <w:rPr>
                <w:color w:val="000000"/>
              </w:rPr>
              <w:t>94</w:t>
            </w:r>
          </w:p>
        </w:tc>
      </w:tr>
      <w:tr w:rsidR="00394D0F" w:rsidRPr="000A46ED" w14:paraId="0D7F45C4"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3D9EF039"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11.  My teacher tells me what I am doing well in reading.</w:t>
            </w:r>
          </w:p>
        </w:tc>
        <w:tc>
          <w:tcPr>
            <w:tcW w:w="255" w:type="pct"/>
            <w:tcBorders>
              <w:top w:val="nil"/>
              <w:left w:val="double" w:sz="6" w:space="0" w:color="auto"/>
              <w:bottom w:val="single" w:sz="4" w:space="0" w:color="auto"/>
              <w:right w:val="nil"/>
            </w:tcBorders>
            <w:shd w:val="clear" w:color="000000" w:fill="F2DCDB"/>
            <w:vAlign w:val="center"/>
          </w:tcPr>
          <w:p w14:paraId="1572A269" w14:textId="77777777" w:rsidR="00394D0F" w:rsidRDefault="00394D0F">
            <w:pPr>
              <w:jc w:val="right"/>
              <w:rPr>
                <w:color w:val="000000"/>
                <w:sz w:val="24"/>
                <w:szCs w:val="24"/>
              </w:rPr>
            </w:pPr>
            <w:r>
              <w:rPr>
                <w:color w:val="000000"/>
              </w:rPr>
              <w:t>258</w:t>
            </w:r>
          </w:p>
        </w:tc>
        <w:tc>
          <w:tcPr>
            <w:tcW w:w="256" w:type="pct"/>
            <w:tcBorders>
              <w:top w:val="nil"/>
              <w:left w:val="double" w:sz="6" w:space="0" w:color="auto"/>
              <w:bottom w:val="single" w:sz="4" w:space="0" w:color="auto"/>
              <w:right w:val="nil"/>
            </w:tcBorders>
            <w:shd w:val="clear" w:color="000000" w:fill="F2DCDB"/>
            <w:vAlign w:val="center"/>
          </w:tcPr>
          <w:p w14:paraId="69CD589B" w14:textId="77777777" w:rsidR="00394D0F" w:rsidRDefault="00394D0F">
            <w:pPr>
              <w:jc w:val="right"/>
              <w:rPr>
                <w:color w:val="000000"/>
                <w:sz w:val="24"/>
                <w:szCs w:val="24"/>
              </w:rPr>
            </w:pPr>
            <w:r>
              <w:rPr>
                <w:color w:val="000000"/>
              </w:rPr>
              <w:t>296</w:t>
            </w:r>
          </w:p>
        </w:tc>
        <w:tc>
          <w:tcPr>
            <w:tcW w:w="249" w:type="pct"/>
            <w:tcBorders>
              <w:top w:val="nil"/>
              <w:left w:val="double" w:sz="6" w:space="0" w:color="auto"/>
              <w:bottom w:val="single" w:sz="4" w:space="0" w:color="auto"/>
              <w:right w:val="nil"/>
            </w:tcBorders>
            <w:shd w:val="clear" w:color="000000" w:fill="F2DCDB"/>
            <w:vAlign w:val="center"/>
          </w:tcPr>
          <w:p w14:paraId="05CD1092" w14:textId="77777777" w:rsidR="00394D0F" w:rsidRDefault="00394D0F">
            <w:pPr>
              <w:jc w:val="right"/>
              <w:rPr>
                <w:color w:val="000000"/>
                <w:sz w:val="24"/>
                <w:szCs w:val="24"/>
              </w:rPr>
            </w:pPr>
            <w:r>
              <w:rPr>
                <w:color w:val="000000"/>
              </w:rPr>
              <w:t>754</w:t>
            </w:r>
          </w:p>
        </w:tc>
        <w:tc>
          <w:tcPr>
            <w:tcW w:w="249" w:type="pct"/>
            <w:tcBorders>
              <w:top w:val="nil"/>
              <w:left w:val="double" w:sz="6" w:space="0" w:color="auto"/>
              <w:bottom w:val="single" w:sz="4" w:space="0" w:color="auto"/>
              <w:right w:val="nil"/>
            </w:tcBorders>
            <w:shd w:val="clear" w:color="000000" w:fill="F2DCDB"/>
            <w:vAlign w:val="center"/>
          </w:tcPr>
          <w:p w14:paraId="270177D9" w14:textId="77777777" w:rsidR="00394D0F" w:rsidRDefault="00394D0F">
            <w:pPr>
              <w:jc w:val="right"/>
              <w:rPr>
                <w:color w:val="000000"/>
                <w:sz w:val="24"/>
                <w:szCs w:val="24"/>
              </w:rPr>
            </w:pPr>
            <w:r>
              <w:rPr>
                <w:color w:val="000000"/>
              </w:rPr>
              <w:t>887</w:t>
            </w:r>
          </w:p>
        </w:tc>
        <w:tc>
          <w:tcPr>
            <w:tcW w:w="222" w:type="pct"/>
            <w:tcBorders>
              <w:top w:val="nil"/>
              <w:left w:val="double" w:sz="6" w:space="0" w:color="auto"/>
              <w:bottom w:val="single" w:sz="4" w:space="0" w:color="auto"/>
              <w:right w:val="nil"/>
            </w:tcBorders>
            <w:shd w:val="clear" w:color="000000" w:fill="F2DCDB"/>
            <w:vAlign w:val="center"/>
          </w:tcPr>
          <w:p w14:paraId="7E5F8C41" w14:textId="77777777" w:rsidR="00394D0F" w:rsidRDefault="00394D0F">
            <w:pPr>
              <w:jc w:val="right"/>
              <w:rPr>
                <w:color w:val="000000"/>
                <w:sz w:val="24"/>
                <w:szCs w:val="24"/>
              </w:rPr>
            </w:pPr>
            <w:r>
              <w:rPr>
                <w:color w:val="000000"/>
              </w:rPr>
              <w:t>495</w:t>
            </w:r>
          </w:p>
        </w:tc>
        <w:tc>
          <w:tcPr>
            <w:tcW w:w="228" w:type="pct"/>
            <w:tcBorders>
              <w:top w:val="nil"/>
              <w:left w:val="double" w:sz="6" w:space="0" w:color="auto"/>
              <w:bottom w:val="single" w:sz="4" w:space="0" w:color="auto"/>
              <w:right w:val="nil"/>
            </w:tcBorders>
            <w:shd w:val="clear" w:color="000000" w:fill="F2DCDB"/>
            <w:vAlign w:val="center"/>
          </w:tcPr>
          <w:p w14:paraId="3294A44F" w14:textId="77777777" w:rsidR="00394D0F" w:rsidRDefault="00394D0F">
            <w:pPr>
              <w:jc w:val="right"/>
              <w:rPr>
                <w:color w:val="000000"/>
                <w:sz w:val="24"/>
                <w:szCs w:val="24"/>
              </w:rPr>
            </w:pPr>
            <w:r>
              <w:rPr>
                <w:color w:val="000000"/>
              </w:rPr>
              <w:t>433</w:t>
            </w:r>
          </w:p>
        </w:tc>
        <w:tc>
          <w:tcPr>
            <w:tcW w:w="291" w:type="pct"/>
            <w:tcBorders>
              <w:top w:val="nil"/>
              <w:left w:val="double" w:sz="6" w:space="0" w:color="auto"/>
              <w:bottom w:val="single" w:sz="4" w:space="0" w:color="auto"/>
              <w:right w:val="nil"/>
            </w:tcBorders>
            <w:shd w:val="clear" w:color="000000" w:fill="F2DCDB"/>
            <w:vAlign w:val="center"/>
          </w:tcPr>
          <w:p w14:paraId="0B702692" w14:textId="77777777" w:rsidR="00394D0F" w:rsidRDefault="00394D0F">
            <w:pPr>
              <w:jc w:val="right"/>
              <w:rPr>
                <w:color w:val="000000"/>
                <w:sz w:val="24"/>
                <w:szCs w:val="24"/>
              </w:rPr>
            </w:pPr>
            <w:r>
              <w:rPr>
                <w:color w:val="000000"/>
              </w:rPr>
              <w:t>152</w:t>
            </w:r>
          </w:p>
        </w:tc>
        <w:tc>
          <w:tcPr>
            <w:tcW w:w="299" w:type="pct"/>
            <w:tcBorders>
              <w:top w:val="nil"/>
              <w:left w:val="double" w:sz="6" w:space="0" w:color="auto"/>
              <w:bottom w:val="single" w:sz="4" w:space="0" w:color="auto"/>
              <w:right w:val="nil"/>
            </w:tcBorders>
            <w:shd w:val="clear" w:color="000000" w:fill="F2DCDB"/>
            <w:vAlign w:val="center"/>
          </w:tcPr>
          <w:p w14:paraId="68846788" w14:textId="77777777" w:rsidR="00394D0F" w:rsidRDefault="00394D0F">
            <w:pPr>
              <w:jc w:val="right"/>
              <w:rPr>
                <w:color w:val="000000"/>
                <w:sz w:val="24"/>
                <w:szCs w:val="24"/>
              </w:rPr>
            </w:pPr>
            <w:r>
              <w:rPr>
                <w:color w:val="000000"/>
              </w:rPr>
              <w:t>146</w:t>
            </w:r>
          </w:p>
        </w:tc>
        <w:tc>
          <w:tcPr>
            <w:tcW w:w="222" w:type="pct"/>
            <w:tcBorders>
              <w:top w:val="nil"/>
              <w:left w:val="double" w:sz="6" w:space="0" w:color="auto"/>
              <w:bottom w:val="single" w:sz="4" w:space="0" w:color="auto"/>
              <w:right w:val="nil"/>
            </w:tcBorders>
            <w:shd w:val="clear" w:color="000000" w:fill="F2DCDB"/>
            <w:vAlign w:val="center"/>
          </w:tcPr>
          <w:p w14:paraId="3A84CAF6" w14:textId="77777777" w:rsidR="00394D0F" w:rsidRDefault="00394D0F">
            <w:pPr>
              <w:jc w:val="right"/>
              <w:rPr>
                <w:color w:val="000000"/>
                <w:sz w:val="24"/>
                <w:szCs w:val="24"/>
              </w:rPr>
            </w:pPr>
            <w:r>
              <w:rPr>
                <w:color w:val="000000"/>
              </w:rPr>
              <w:t>168</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136B1131" w14:textId="77777777" w:rsidR="00394D0F" w:rsidRDefault="00394D0F">
            <w:pPr>
              <w:jc w:val="right"/>
              <w:rPr>
                <w:color w:val="000000"/>
                <w:sz w:val="24"/>
                <w:szCs w:val="24"/>
              </w:rPr>
            </w:pPr>
            <w:r>
              <w:rPr>
                <w:color w:val="000000"/>
              </w:rPr>
              <w:t>113</w:t>
            </w:r>
          </w:p>
        </w:tc>
      </w:tr>
      <w:tr w:rsidR="00394D0F" w:rsidRPr="000A46ED" w14:paraId="65FF8C0D" w14:textId="77777777" w:rsidTr="00394D0F">
        <w:trPr>
          <w:trHeight w:val="454"/>
        </w:trPr>
        <w:tc>
          <w:tcPr>
            <w:tcW w:w="2503" w:type="pct"/>
            <w:tcBorders>
              <w:top w:val="nil"/>
              <w:left w:val="single" w:sz="8" w:space="0" w:color="auto"/>
              <w:bottom w:val="single" w:sz="8" w:space="0" w:color="auto"/>
              <w:right w:val="nil"/>
            </w:tcBorders>
            <w:shd w:val="clear" w:color="auto" w:fill="auto"/>
            <w:vAlign w:val="center"/>
            <w:hideMark/>
          </w:tcPr>
          <w:p w14:paraId="66A4362F" w14:textId="77777777" w:rsidR="00394D0F" w:rsidRPr="000A46ED" w:rsidRDefault="00394D0F" w:rsidP="0001238E">
            <w:pPr>
              <w:spacing w:after="0" w:line="240" w:lineRule="auto"/>
              <w:ind w:firstLineChars="200" w:firstLine="360"/>
              <w:rPr>
                <w:rFonts w:eastAsia="Times New Roman" w:cs="Times New Roman"/>
                <w:color w:val="000000"/>
                <w:sz w:val="18"/>
                <w:szCs w:val="18"/>
                <w:lang w:eastAsia="en-AU"/>
              </w:rPr>
            </w:pPr>
            <w:r w:rsidRPr="000A46ED">
              <w:rPr>
                <w:rFonts w:eastAsia="Times New Roman" w:cs="Times New Roman"/>
                <w:color w:val="000000"/>
                <w:sz w:val="18"/>
                <w:szCs w:val="18"/>
                <w:lang w:eastAsia="en-AU"/>
              </w:rPr>
              <w:t>12.  My teacher tells me what I need to do to improve my reading skills.</w:t>
            </w:r>
          </w:p>
        </w:tc>
        <w:tc>
          <w:tcPr>
            <w:tcW w:w="255" w:type="pct"/>
            <w:tcBorders>
              <w:top w:val="nil"/>
              <w:left w:val="double" w:sz="6" w:space="0" w:color="auto"/>
              <w:bottom w:val="single" w:sz="4" w:space="0" w:color="auto"/>
              <w:right w:val="nil"/>
            </w:tcBorders>
            <w:shd w:val="clear" w:color="000000" w:fill="F2DCDB"/>
            <w:vAlign w:val="center"/>
          </w:tcPr>
          <w:p w14:paraId="44BF9BF0" w14:textId="77777777" w:rsidR="00394D0F" w:rsidRDefault="00394D0F">
            <w:pPr>
              <w:jc w:val="right"/>
              <w:rPr>
                <w:color w:val="000000"/>
                <w:sz w:val="24"/>
                <w:szCs w:val="24"/>
              </w:rPr>
            </w:pPr>
            <w:r>
              <w:rPr>
                <w:color w:val="000000"/>
              </w:rPr>
              <w:t>296</w:t>
            </w:r>
          </w:p>
        </w:tc>
        <w:tc>
          <w:tcPr>
            <w:tcW w:w="256" w:type="pct"/>
            <w:tcBorders>
              <w:top w:val="nil"/>
              <w:left w:val="double" w:sz="6" w:space="0" w:color="auto"/>
              <w:bottom w:val="single" w:sz="4" w:space="0" w:color="auto"/>
              <w:right w:val="nil"/>
            </w:tcBorders>
            <w:shd w:val="clear" w:color="000000" w:fill="F2DCDB"/>
            <w:vAlign w:val="center"/>
          </w:tcPr>
          <w:p w14:paraId="05CE317D" w14:textId="77777777" w:rsidR="00394D0F" w:rsidRDefault="00394D0F">
            <w:pPr>
              <w:jc w:val="right"/>
              <w:rPr>
                <w:color w:val="000000"/>
                <w:sz w:val="24"/>
                <w:szCs w:val="24"/>
              </w:rPr>
            </w:pPr>
            <w:r>
              <w:rPr>
                <w:color w:val="000000"/>
              </w:rPr>
              <w:t>370</w:t>
            </w:r>
          </w:p>
        </w:tc>
        <w:tc>
          <w:tcPr>
            <w:tcW w:w="249" w:type="pct"/>
            <w:tcBorders>
              <w:top w:val="nil"/>
              <w:left w:val="double" w:sz="6" w:space="0" w:color="auto"/>
              <w:bottom w:val="single" w:sz="4" w:space="0" w:color="auto"/>
              <w:right w:val="nil"/>
            </w:tcBorders>
            <w:shd w:val="clear" w:color="000000" w:fill="F2DCDB"/>
            <w:vAlign w:val="center"/>
          </w:tcPr>
          <w:p w14:paraId="524D4015" w14:textId="77777777" w:rsidR="00394D0F" w:rsidRDefault="00394D0F">
            <w:pPr>
              <w:jc w:val="right"/>
              <w:rPr>
                <w:color w:val="000000"/>
                <w:sz w:val="24"/>
                <w:szCs w:val="24"/>
              </w:rPr>
            </w:pPr>
            <w:r>
              <w:rPr>
                <w:color w:val="000000"/>
              </w:rPr>
              <w:t>789</w:t>
            </w:r>
          </w:p>
        </w:tc>
        <w:tc>
          <w:tcPr>
            <w:tcW w:w="249" w:type="pct"/>
            <w:tcBorders>
              <w:top w:val="nil"/>
              <w:left w:val="double" w:sz="6" w:space="0" w:color="auto"/>
              <w:bottom w:val="single" w:sz="4" w:space="0" w:color="auto"/>
              <w:right w:val="nil"/>
            </w:tcBorders>
            <w:shd w:val="clear" w:color="000000" w:fill="F2DCDB"/>
            <w:vAlign w:val="center"/>
          </w:tcPr>
          <w:p w14:paraId="78A03DE4" w14:textId="77777777" w:rsidR="00394D0F" w:rsidRDefault="00394D0F">
            <w:pPr>
              <w:jc w:val="right"/>
              <w:rPr>
                <w:color w:val="000000"/>
                <w:sz w:val="24"/>
                <w:szCs w:val="24"/>
              </w:rPr>
            </w:pPr>
            <w:r>
              <w:rPr>
                <w:color w:val="000000"/>
              </w:rPr>
              <w:t>843</w:t>
            </w:r>
          </w:p>
        </w:tc>
        <w:tc>
          <w:tcPr>
            <w:tcW w:w="222" w:type="pct"/>
            <w:tcBorders>
              <w:top w:val="nil"/>
              <w:left w:val="double" w:sz="6" w:space="0" w:color="auto"/>
              <w:bottom w:val="single" w:sz="4" w:space="0" w:color="auto"/>
              <w:right w:val="nil"/>
            </w:tcBorders>
            <w:shd w:val="clear" w:color="000000" w:fill="F2DCDB"/>
            <w:vAlign w:val="center"/>
          </w:tcPr>
          <w:p w14:paraId="367352FB" w14:textId="77777777" w:rsidR="00394D0F" w:rsidRDefault="00394D0F">
            <w:pPr>
              <w:jc w:val="right"/>
              <w:rPr>
                <w:color w:val="000000"/>
                <w:sz w:val="24"/>
                <w:szCs w:val="24"/>
              </w:rPr>
            </w:pPr>
            <w:r>
              <w:rPr>
                <w:color w:val="000000"/>
              </w:rPr>
              <w:t>454</w:t>
            </w:r>
          </w:p>
        </w:tc>
        <w:tc>
          <w:tcPr>
            <w:tcW w:w="228" w:type="pct"/>
            <w:tcBorders>
              <w:top w:val="nil"/>
              <w:left w:val="double" w:sz="6" w:space="0" w:color="auto"/>
              <w:bottom w:val="single" w:sz="4" w:space="0" w:color="auto"/>
              <w:right w:val="nil"/>
            </w:tcBorders>
            <w:shd w:val="clear" w:color="000000" w:fill="F2DCDB"/>
            <w:vAlign w:val="center"/>
          </w:tcPr>
          <w:p w14:paraId="01434A78" w14:textId="77777777" w:rsidR="00394D0F" w:rsidRDefault="00394D0F">
            <w:pPr>
              <w:jc w:val="right"/>
              <w:rPr>
                <w:color w:val="000000"/>
                <w:sz w:val="24"/>
                <w:szCs w:val="24"/>
              </w:rPr>
            </w:pPr>
            <w:r>
              <w:rPr>
                <w:color w:val="000000"/>
              </w:rPr>
              <w:t>418</w:t>
            </w:r>
          </w:p>
        </w:tc>
        <w:tc>
          <w:tcPr>
            <w:tcW w:w="291" w:type="pct"/>
            <w:tcBorders>
              <w:top w:val="nil"/>
              <w:left w:val="double" w:sz="6" w:space="0" w:color="auto"/>
              <w:bottom w:val="single" w:sz="4" w:space="0" w:color="auto"/>
              <w:right w:val="nil"/>
            </w:tcBorders>
            <w:shd w:val="clear" w:color="000000" w:fill="F2DCDB"/>
            <w:vAlign w:val="center"/>
          </w:tcPr>
          <w:p w14:paraId="0D8C848F" w14:textId="77777777" w:rsidR="00394D0F" w:rsidRDefault="00394D0F">
            <w:pPr>
              <w:jc w:val="right"/>
              <w:rPr>
                <w:color w:val="000000"/>
                <w:sz w:val="24"/>
                <w:szCs w:val="24"/>
              </w:rPr>
            </w:pPr>
            <w:r>
              <w:rPr>
                <w:color w:val="000000"/>
              </w:rPr>
              <w:t>152</w:t>
            </w:r>
          </w:p>
        </w:tc>
        <w:tc>
          <w:tcPr>
            <w:tcW w:w="299" w:type="pct"/>
            <w:tcBorders>
              <w:top w:val="nil"/>
              <w:left w:val="double" w:sz="6" w:space="0" w:color="auto"/>
              <w:bottom w:val="single" w:sz="4" w:space="0" w:color="auto"/>
              <w:right w:val="nil"/>
            </w:tcBorders>
            <w:shd w:val="clear" w:color="000000" w:fill="F2DCDB"/>
            <w:vAlign w:val="center"/>
          </w:tcPr>
          <w:p w14:paraId="62C626CF" w14:textId="77777777" w:rsidR="00394D0F" w:rsidRDefault="00394D0F">
            <w:pPr>
              <w:jc w:val="right"/>
              <w:rPr>
                <w:color w:val="000000"/>
                <w:sz w:val="24"/>
                <w:szCs w:val="24"/>
              </w:rPr>
            </w:pPr>
            <w:r>
              <w:rPr>
                <w:color w:val="000000"/>
              </w:rPr>
              <w:t>140</w:t>
            </w:r>
          </w:p>
        </w:tc>
        <w:tc>
          <w:tcPr>
            <w:tcW w:w="222" w:type="pct"/>
            <w:tcBorders>
              <w:top w:val="nil"/>
              <w:left w:val="double" w:sz="6" w:space="0" w:color="auto"/>
              <w:bottom w:val="single" w:sz="4" w:space="0" w:color="auto"/>
              <w:right w:val="nil"/>
            </w:tcBorders>
            <w:shd w:val="clear" w:color="000000" w:fill="F2DCDB"/>
            <w:vAlign w:val="center"/>
          </w:tcPr>
          <w:p w14:paraId="66CBB5C4" w14:textId="77777777" w:rsidR="00394D0F" w:rsidRDefault="00394D0F">
            <w:pPr>
              <w:jc w:val="right"/>
              <w:rPr>
                <w:color w:val="000000"/>
                <w:sz w:val="24"/>
                <w:szCs w:val="24"/>
              </w:rPr>
            </w:pPr>
            <w:r>
              <w:rPr>
                <w:color w:val="000000"/>
              </w:rPr>
              <w:t>137</w:t>
            </w:r>
          </w:p>
        </w:tc>
        <w:tc>
          <w:tcPr>
            <w:tcW w:w="226" w:type="pct"/>
            <w:tcBorders>
              <w:top w:val="nil"/>
              <w:left w:val="single" w:sz="4" w:space="0" w:color="auto"/>
              <w:bottom w:val="single" w:sz="4" w:space="0" w:color="auto"/>
              <w:right w:val="single" w:sz="4" w:space="0" w:color="auto"/>
            </w:tcBorders>
            <w:shd w:val="clear" w:color="000000" w:fill="F2DCDB"/>
            <w:vAlign w:val="center"/>
          </w:tcPr>
          <w:p w14:paraId="30090B34" w14:textId="77777777" w:rsidR="00394D0F" w:rsidRDefault="00394D0F">
            <w:pPr>
              <w:jc w:val="right"/>
              <w:rPr>
                <w:color w:val="000000"/>
                <w:sz w:val="24"/>
                <w:szCs w:val="24"/>
              </w:rPr>
            </w:pPr>
            <w:r>
              <w:rPr>
                <w:color w:val="000000"/>
              </w:rPr>
              <w:t>105</w:t>
            </w:r>
          </w:p>
        </w:tc>
      </w:tr>
    </w:tbl>
    <w:p w14:paraId="5807743F" w14:textId="77777777" w:rsidR="00D525BA" w:rsidRPr="004E7532" w:rsidRDefault="00D525BA" w:rsidP="00824EA6">
      <w:pPr>
        <w:rPr>
          <w:rFonts w:cs="Arial"/>
          <w:sz w:val="24"/>
          <w:szCs w:val="24"/>
        </w:rPr>
      </w:pPr>
    </w:p>
    <w:sectPr w:rsidR="00D525BA" w:rsidRPr="004E7532" w:rsidSect="001827B6">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4311D" w14:textId="77777777" w:rsidR="00FB6DBD" w:rsidRDefault="00FB6DBD" w:rsidP="00A415D5">
      <w:pPr>
        <w:spacing w:after="0" w:line="240" w:lineRule="auto"/>
      </w:pPr>
      <w:r>
        <w:separator/>
      </w:r>
    </w:p>
  </w:endnote>
  <w:endnote w:type="continuationSeparator" w:id="0">
    <w:p w14:paraId="198316A9" w14:textId="77777777" w:rsidR="00FB6DBD" w:rsidRDefault="00FB6DBD" w:rsidP="00A41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135136"/>
      <w:docPartObj>
        <w:docPartGallery w:val="Page Numbers (Bottom of Page)"/>
        <w:docPartUnique/>
      </w:docPartObj>
    </w:sdtPr>
    <w:sdtEndPr>
      <w:rPr>
        <w:color w:val="808080" w:themeColor="background1" w:themeShade="80"/>
        <w:spacing w:val="60"/>
      </w:rPr>
    </w:sdtEndPr>
    <w:sdtContent>
      <w:p w14:paraId="35A5E001" w14:textId="59A822CE" w:rsidR="00FB6DBD" w:rsidRDefault="00FB6DBD" w:rsidP="009231B2">
        <w:pPr>
          <w:pBdr>
            <w:top w:val="single" w:sz="4" w:space="1" w:color="D9D9D9" w:themeColor="background1" w:themeShade="D9"/>
          </w:pBdr>
          <w:jc w:val="right"/>
        </w:pPr>
        <w:r>
          <w:fldChar w:fldCharType="begin"/>
        </w:r>
        <w:r>
          <w:instrText xml:space="preserve"> PAGE   \* MERGEFORMAT </w:instrText>
        </w:r>
        <w:r>
          <w:fldChar w:fldCharType="separate"/>
        </w:r>
        <w:r w:rsidR="006D51AE">
          <w:rPr>
            <w:noProof/>
          </w:rPr>
          <w:t>1</w:t>
        </w:r>
        <w:r>
          <w:rPr>
            <w:noProof/>
          </w:rPr>
          <w:fldChar w:fldCharType="end"/>
        </w:r>
        <w:r>
          <w:t xml:space="preserve"> | </w:t>
        </w:r>
        <w:r>
          <w:rPr>
            <w:color w:val="808080" w:themeColor="background1" w:themeShade="80"/>
            <w:spacing w:val="60"/>
          </w:rPr>
          <w:t>Page</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B1E815" w14:textId="77777777" w:rsidR="00FB6DBD" w:rsidRDefault="00FB6DBD" w:rsidP="00A415D5">
      <w:pPr>
        <w:spacing w:after="0" w:line="240" w:lineRule="auto"/>
      </w:pPr>
      <w:r>
        <w:separator/>
      </w:r>
    </w:p>
  </w:footnote>
  <w:footnote w:type="continuationSeparator" w:id="0">
    <w:p w14:paraId="1DFC4C92" w14:textId="77777777" w:rsidR="00FB6DBD" w:rsidRDefault="00FB6DBD" w:rsidP="00A415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7BC"/>
    <w:multiLevelType w:val="hybridMultilevel"/>
    <w:tmpl w:val="B9F479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34F1281"/>
    <w:multiLevelType w:val="hybridMultilevel"/>
    <w:tmpl w:val="349A6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39C2D68"/>
    <w:multiLevelType w:val="hybridMultilevel"/>
    <w:tmpl w:val="2332941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963AD0"/>
    <w:multiLevelType w:val="hybridMultilevel"/>
    <w:tmpl w:val="DCF8B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BCF34E1"/>
    <w:multiLevelType w:val="hybridMultilevel"/>
    <w:tmpl w:val="CD724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261347A"/>
    <w:multiLevelType w:val="hybridMultilevel"/>
    <w:tmpl w:val="CDA023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2FF7935"/>
    <w:multiLevelType w:val="hybridMultilevel"/>
    <w:tmpl w:val="844A7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9D77E3"/>
    <w:multiLevelType w:val="hybridMultilevel"/>
    <w:tmpl w:val="2FEE2C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C668B3"/>
    <w:multiLevelType w:val="hybridMultilevel"/>
    <w:tmpl w:val="BA8C1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6C51BAC"/>
    <w:multiLevelType w:val="hybridMultilevel"/>
    <w:tmpl w:val="959E5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291966FC"/>
    <w:multiLevelType w:val="hybridMultilevel"/>
    <w:tmpl w:val="21FE86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A2E5744"/>
    <w:multiLevelType w:val="hybridMultilevel"/>
    <w:tmpl w:val="14123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A4E28DC"/>
    <w:multiLevelType w:val="hybridMultilevel"/>
    <w:tmpl w:val="8C9CB4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F340901"/>
    <w:multiLevelType w:val="hybridMultilevel"/>
    <w:tmpl w:val="3C6411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0D35AB6"/>
    <w:multiLevelType w:val="hybridMultilevel"/>
    <w:tmpl w:val="9E1627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9F36E7D"/>
    <w:multiLevelType w:val="hybridMultilevel"/>
    <w:tmpl w:val="FE1C04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370750F"/>
    <w:multiLevelType w:val="hybridMultilevel"/>
    <w:tmpl w:val="3C04E9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5A20CB0"/>
    <w:multiLevelType w:val="hybridMultilevel"/>
    <w:tmpl w:val="C102E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739265A"/>
    <w:multiLevelType w:val="hybridMultilevel"/>
    <w:tmpl w:val="2EFE2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E6406CA"/>
    <w:multiLevelType w:val="hybridMultilevel"/>
    <w:tmpl w:val="6C58E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9166F7F"/>
    <w:multiLevelType w:val="hybridMultilevel"/>
    <w:tmpl w:val="70B432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9EF72E9"/>
    <w:multiLevelType w:val="hybridMultilevel"/>
    <w:tmpl w:val="61EC16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AE37EB2"/>
    <w:multiLevelType w:val="hybridMultilevel"/>
    <w:tmpl w:val="74AA3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FA05AA0"/>
    <w:multiLevelType w:val="hybridMultilevel"/>
    <w:tmpl w:val="02FE2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0BE1275"/>
    <w:multiLevelType w:val="hybridMultilevel"/>
    <w:tmpl w:val="985ED6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8C2357"/>
    <w:multiLevelType w:val="hybridMultilevel"/>
    <w:tmpl w:val="DE12F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D5A55F4"/>
    <w:multiLevelType w:val="hybridMultilevel"/>
    <w:tmpl w:val="99247D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28A6E46"/>
    <w:multiLevelType w:val="hybridMultilevel"/>
    <w:tmpl w:val="85B870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2E225CC"/>
    <w:multiLevelType w:val="hybridMultilevel"/>
    <w:tmpl w:val="30827B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8854AAC"/>
    <w:multiLevelType w:val="hybridMultilevel"/>
    <w:tmpl w:val="991427AC"/>
    <w:lvl w:ilvl="0" w:tplc="321E3746">
      <w:start w:val="1"/>
      <w:numFmt w:val="decimal"/>
      <w:pStyle w:val="Normalnumbered"/>
      <w:lvlText w:val="%1."/>
      <w:lvlJc w:val="left"/>
      <w:pPr>
        <w:tabs>
          <w:tab w:val="num" w:pos="567"/>
        </w:tabs>
        <w:ind w:left="567" w:hanging="567"/>
      </w:pPr>
    </w:lvl>
    <w:lvl w:ilvl="1" w:tplc="C87E0398">
      <w:start w:val="1"/>
      <w:numFmt w:val="lowerLetter"/>
      <w:lvlText w:val="%2."/>
      <w:lvlJc w:val="left"/>
      <w:pPr>
        <w:tabs>
          <w:tab w:val="num" w:pos="1353"/>
        </w:tabs>
        <w:ind w:left="1353" w:hanging="360"/>
      </w:pPr>
    </w:lvl>
    <w:lvl w:ilvl="2" w:tplc="678E179E">
      <w:start w:val="1"/>
      <w:numFmt w:val="lowerRoman"/>
      <w:lvlText w:val="%3."/>
      <w:lvlJc w:val="right"/>
      <w:pPr>
        <w:tabs>
          <w:tab w:val="num" w:pos="2160"/>
        </w:tabs>
        <w:ind w:left="2160" w:hanging="180"/>
      </w:pPr>
      <w:rPr>
        <w:rFonts w:ascii="Corbel" w:eastAsia="Times New Roman" w:hAnsi="Corbel" w:cs="Times New Roman"/>
      </w:rPr>
    </w:lvl>
    <w:lvl w:ilvl="3" w:tplc="35160454">
      <w:start w:val="1"/>
      <w:numFmt w:val="decimal"/>
      <w:lvlText w:val="%4."/>
      <w:lvlJc w:val="left"/>
      <w:pPr>
        <w:tabs>
          <w:tab w:val="num" w:pos="2880"/>
        </w:tabs>
        <w:ind w:left="2880" w:hanging="360"/>
      </w:pPr>
    </w:lvl>
    <w:lvl w:ilvl="4" w:tplc="8AB6F54C">
      <w:start w:val="1"/>
      <w:numFmt w:val="lowerLetter"/>
      <w:lvlText w:val="%5."/>
      <w:lvlJc w:val="left"/>
      <w:pPr>
        <w:tabs>
          <w:tab w:val="num" w:pos="3600"/>
        </w:tabs>
        <w:ind w:left="3600" w:hanging="360"/>
      </w:pPr>
    </w:lvl>
    <w:lvl w:ilvl="5" w:tplc="F5F2FDEC">
      <w:start w:val="1"/>
      <w:numFmt w:val="lowerRoman"/>
      <w:lvlText w:val="%6."/>
      <w:lvlJc w:val="right"/>
      <w:pPr>
        <w:tabs>
          <w:tab w:val="num" w:pos="4320"/>
        </w:tabs>
        <w:ind w:left="4320" w:hanging="180"/>
      </w:pPr>
    </w:lvl>
    <w:lvl w:ilvl="6" w:tplc="02B4158A">
      <w:start w:val="1"/>
      <w:numFmt w:val="decimal"/>
      <w:lvlText w:val="%7."/>
      <w:lvlJc w:val="left"/>
      <w:pPr>
        <w:tabs>
          <w:tab w:val="num" w:pos="5040"/>
        </w:tabs>
        <w:ind w:left="5040" w:hanging="360"/>
      </w:pPr>
    </w:lvl>
    <w:lvl w:ilvl="7" w:tplc="CD888952">
      <w:start w:val="1"/>
      <w:numFmt w:val="lowerLetter"/>
      <w:lvlText w:val="%8."/>
      <w:lvlJc w:val="left"/>
      <w:pPr>
        <w:tabs>
          <w:tab w:val="num" w:pos="5760"/>
        </w:tabs>
        <w:ind w:left="5760" w:hanging="360"/>
      </w:pPr>
    </w:lvl>
    <w:lvl w:ilvl="8" w:tplc="8E1AFD42">
      <w:start w:val="1"/>
      <w:numFmt w:val="lowerRoman"/>
      <w:lvlText w:val="%9."/>
      <w:lvlJc w:val="right"/>
      <w:pPr>
        <w:tabs>
          <w:tab w:val="num" w:pos="6480"/>
        </w:tabs>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num>
  <w:num w:numId="4">
    <w:abstractNumId w:val="25"/>
  </w:num>
  <w:num w:numId="5">
    <w:abstractNumId w:val="28"/>
  </w:num>
  <w:num w:numId="6">
    <w:abstractNumId w:val="15"/>
  </w:num>
  <w:num w:numId="7">
    <w:abstractNumId w:val="18"/>
  </w:num>
  <w:num w:numId="8">
    <w:abstractNumId w:val="13"/>
  </w:num>
  <w:num w:numId="9">
    <w:abstractNumId w:val="24"/>
  </w:num>
  <w:num w:numId="10">
    <w:abstractNumId w:val="9"/>
  </w:num>
  <w:num w:numId="11">
    <w:abstractNumId w:val="23"/>
  </w:num>
  <w:num w:numId="12">
    <w:abstractNumId w:val="10"/>
  </w:num>
  <w:num w:numId="13">
    <w:abstractNumId w:val="5"/>
  </w:num>
  <w:num w:numId="14">
    <w:abstractNumId w:val="14"/>
  </w:num>
  <w:num w:numId="15">
    <w:abstractNumId w:val="6"/>
  </w:num>
  <w:num w:numId="16">
    <w:abstractNumId w:val="17"/>
  </w:num>
  <w:num w:numId="17">
    <w:abstractNumId w:val="3"/>
  </w:num>
  <w:num w:numId="18">
    <w:abstractNumId w:val="27"/>
  </w:num>
  <w:num w:numId="19">
    <w:abstractNumId w:val="1"/>
  </w:num>
  <w:num w:numId="20">
    <w:abstractNumId w:val="22"/>
  </w:num>
  <w:num w:numId="21">
    <w:abstractNumId w:val="26"/>
  </w:num>
  <w:num w:numId="22">
    <w:abstractNumId w:val="12"/>
  </w:num>
  <w:num w:numId="23">
    <w:abstractNumId w:val="21"/>
  </w:num>
  <w:num w:numId="24">
    <w:abstractNumId w:val="16"/>
  </w:num>
  <w:num w:numId="25">
    <w:abstractNumId w:val="0"/>
  </w:num>
  <w:num w:numId="26">
    <w:abstractNumId w:val="8"/>
  </w:num>
  <w:num w:numId="27">
    <w:abstractNumId w:val="7"/>
  </w:num>
  <w:num w:numId="28">
    <w:abstractNumId w:val="4"/>
  </w:num>
  <w:num w:numId="29">
    <w:abstractNumId w:val="19"/>
  </w:num>
  <w:num w:numId="30">
    <w:abstractNumId w:val="2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278"/>
    <w:rsid w:val="00001CB4"/>
    <w:rsid w:val="000035DE"/>
    <w:rsid w:val="00007162"/>
    <w:rsid w:val="00007C2C"/>
    <w:rsid w:val="0001238E"/>
    <w:rsid w:val="000147E7"/>
    <w:rsid w:val="00014DB5"/>
    <w:rsid w:val="00017371"/>
    <w:rsid w:val="000173E6"/>
    <w:rsid w:val="0001749C"/>
    <w:rsid w:val="000248E3"/>
    <w:rsid w:val="000249F3"/>
    <w:rsid w:val="000260D5"/>
    <w:rsid w:val="000314F4"/>
    <w:rsid w:val="00033DF1"/>
    <w:rsid w:val="0003595D"/>
    <w:rsid w:val="00040E16"/>
    <w:rsid w:val="000420B7"/>
    <w:rsid w:val="00044DFC"/>
    <w:rsid w:val="00050844"/>
    <w:rsid w:val="00055831"/>
    <w:rsid w:val="00062533"/>
    <w:rsid w:val="000627EC"/>
    <w:rsid w:val="000637E0"/>
    <w:rsid w:val="00064000"/>
    <w:rsid w:val="00064D81"/>
    <w:rsid w:val="00066056"/>
    <w:rsid w:val="00070C07"/>
    <w:rsid w:val="000738A9"/>
    <w:rsid w:val="00075615"/>
    <w:rsid w:val="00077168"/>
    <w:rsid w:val="000779C8"/>
    <w:rsid w:val="00081F4E"/>
    <w:rsid w:val="000831AB"/>
    <w:rsid w:val="00083AA2"/>
    <w:rsid w:val="00084E8A"/>
    <w:rsid w:val="000850C2"/>
    <w:rsid w:val="00086E86"/>
    <w:rsid w:val="00087873"/>
    <w:rsid w:val="000931C7"/>
    <w:rsid w:val="00093744"/>
    <w:rsid w:val="00093960"/>
    <w:rsid w:val="00093D23"/>
    <w:rsid w:val="000A075F"/>
    <w:rsid w:val="000A2C00"/>
    <w:rsid w:val="000A3BCB"/>
    <w:rsid w:val="000A46ED"/>
    <w:rsid w:val="000A4B2F"/>
    <w:rsid w:val="000A63DD"/>
    <w:rsid w:val="000A66EB"/>
    <w:rsid w:val="000A6CCB"/>
    <w:rsid w:val="000B021D"/>
    <w:rsid w:val="000B0BB5"/>
    <w:rsid w:val="000B3D70"/>
    <w:rsid w:val="000B602A"/>
    <w:rsid w:val="000C2A43"/>
    <w:rsid w:val="000C3439"/>
    <w:rsid w:val="000C5DA6"/>
    <w:rsid w:val="000C7BFB"/>
    <w:rsid w:val="000C7E5B"/>
    <w:rsid w:val="000D00E5"/>
    <w:rsid w:val="000D219D"/>
    <w:rsid w:val="000D4468"/>
    <w:rsid w:val="000D5E9A"/>
    <w:rsid w:val="000E2681"/>
    <w:rsid w:val="000E3535"/>
    <w:rsid w:val="000E5BE2"/>
    <w:rsid w:val="000E6145"/>
    <w:rsid w:val="000F1D79"/>
    <w:rsid w:val="000F6DF4"/>
    <w:rsid w:val="000F7813"/>
    <w:rsid w:val="000F7CDD"/>
    <w:rsid w:val="00100750"/>
    <w:rsid w:val="00103CF4"/>
    <w:rsid w:val="00104347"/>
    <w:rsid w:val="00105DA2"/>
    <w:rsid w:val="00107BB9"/>
    <w:rsid w:val="001142FE"/>
    <w:rsid w:val="001158A8"/>
    <w:rsid w:val="00120A97"/>
    <w:rsid w:val="00120C44"/>
    <w:rsid w:val="00122946"/>
    <w:rsid w:val="0012415E"/>
    <w:rsid w:val="00124812"/>
    <w:rsid w:val="001260BF"/>
    <w:rsid w:val="00132F61"/>
    <w:rsid w:val="001336AB"/>
    <w:rsid w:val="00134342"/>
    <w:rsid w:val="001358E3"/>
    <w:rsid w:val="001367E0"/>
    <w:rsid w:val="001405C7"/>
    <w:rsid w:val="00140751"/>
    <w:rsid w:val="001426F4"/>
    <w:rsid w:val="00142788"/>
    <w:rsid w:val="00142F55"/>
    <w:rsid w:val="0014388D"/>
    <w:rsid w:val="00144434"/>
    <w:rsid w:val="00145BC4"/>
    <w:rsid w:val="00150758"/>
    <w:rsid w:val="001522F6"/>
    <w:rsid w:val="00161C0F"/>
    <w:rsid w:val="0016698E"/>
    <w:rsid w:val="00176000"/>
    <w:rsid w:val="00176FAB"/>
    <w:rsid w:val="00177C27"/>
    <w:rsid w:val="00180362"/>
    <w:rsid w:val="0018155E"/>
    <w:rsid w:val="00182582"/>
    <w:rsid w:val="001827B6"/>
    <w:rsid w:val="001837A1"/>
    <w:rsid w:val="0019020A"/>
    <w:rsid w:val="00190D6F"/>
    <w:rsid w:val="00192CDF"/>
    <w:rsid w:val="00195A6B"/>
    <w:rsid w:val="001965AF"/>
    <w:rsid w:val="001A0F5F"/>
    <w:rsid w:val="001A463B"/>
    <w:rsid w:val="001A4BDC"/>
    <w:rsid w:val="001A6957"/>
    <w:rsid w:val="001A6B5A"/>
    <w:rsid w:val="001A6BA2"/>
    <w:rsid w:val="001A7C96"/>
    <w:rsid w:val="001B4678"/>
    <w:rsid w:val="001B5BF6"/>
    <w:rsid w:val="001C07D8"/>
    <w:rsid w:val="001C28DA"/>
    <w:rsid w:val="001C2F5D"/>
    <w:rsid w:val="001C7F06"/>
    <w:rsid w:val="001D3761"/>
    <w:rsid w:val="001D5363"/>
    <w:rsid w:val="001D5B45"/>
    <w:rsid w:val="001E21C6"/>
    <w:rsid w:val="001E2C72"/>
    <w:rsid w:val="001E6863"/>
    <w:rsid w:val="001E7494"/>
    <w:rsid w:val="001F0177"/>
    <w:rsid w:val="001F5A47"/>
    <w:rsid w:val="00201C0D"/>
    <w:rsid w:val="00201E14"/>
    <w:rsid w:val="00201EDF"/>
    <w:rsid w:val="00205433"/>
    <w:rsid w:val="0021088F"/>
    <w:rsid w:val="00210C94"/>
    <w:rsid w:val="0021115F"/>
    <w:rsid w:val="00213951"/>
    <w:rsid w:val="00213EFC"/>
    <w:rsid w:val="002143D1"/>
    <w:rsid w:val="00214D04"/>
    <w:rsid w:val="0023096F"/>
    <w:rsid w:val="00232C93"/>
    <w:rsid w:val="00233D63"/>
    <w:rsid w:val="002403C6"/>
    <w:rsid w:val="00240C75"/>
    <w:rsid w:val="00240D23"/>
    <w:rsid w:val="0024155A"/>
    <w:rsid w:val="00242EFE"/>
    <w:rsid w:val="00244765"/>
    <w:rsid w:val="0024505E"/>
    <w:rsid w:val="00246431"/>
    <w:rsid w:val="002465DC"/>
    <w:rsid w:val="00253C6F"/>
    <w:rsid w:val="00254432"/>
    <w:rsid w:val="00254C36"/>
    <w:rsid w:val="002636F1"/>
    <w:rsid w:val="00266040"/>
    <w:rsid w:val="00266CE0"/>
    <w:rsid w:val="00270AD5"/>
    <w:rsid w:val="00273C5E"/>
    <w:rsid w:val="00273D45"/>
    <w:rsid w:val="00274B9F"/>
    <w:rsid w:val="002774FE"/>
    <w:rsid w:val="00282CBF"/>
    <w:rsid w:val="00284C9C"/>
    <w:rsid w:val="00285206"/>
    <w:rsid w:val="00291A98"/>
    <w:rsid w:val="0029229C"/>
    <w:rsid w:val="00292847"/>
    <w:rsid w:val="00295FE3"/>
    <w:rsid w:val="0029656A"/>
    <w:rsid w:val="002A21BA"/>
    <w:rsid w:val="002A7E64"/>
    <w:rsid w:val="002B22A9"/>
    <w:rsid w:val="002B4B35"/>
    <w:rsid w:val="002B5791"/>
    <w:rsid w:val="002B64EF"/>
    <w:rsid w:val="002C42CF"/>
    <w:rsid w:val="002C472C"/>
    <w:rsid w:val="002C5BE3"/>
    <w:rsid w:val="002C64FF"/>
    <w:rsid w:val="002C6D11"/>
    <w:rsid w:val="002C759A"/>
    <w:rsid w:val="002D1338"/>
    <w:rsid w:val="002D2451"/>
    <w:rsid w:val="002D47B9"/>
    <w:rsid w:val="002D4CCE"/>
    <w:rsid w:val="002E51D5"/>
    <w:rsid w:val="002E6051"/>
    <w:rsid w:val="002E6ED5"/>
    <w:rsid w:val="002F08FF"/>
    <w:rsid w:val="002F0925"/>
    <w:rsid w:val="002F11C2"/>
    <w:rsid w:val="002F3394"/>
    <w:rsid w:val="002F5571"/>
    <w:rsid w:val="002F6868"/>
    <w:rsid w:val="002F6DF5"/>
    <w:rsid w:val="00300C4B"/>
    <w:rsid w:val="00302275"/>
    <w:rsid w:val="0030333E"/>
    <w:rsid w:val="00305949"/>
    <w:rsid w:val="0030785B"/>
    <w:rsid w:val="003117BA"/>
    <w:rsid w:val="003125F5"/>
    <w:rsid w:val="0031306E"/>
    <w:rsid w:val="003135DA"/>
    <w:rsid w:val="00313849"/>
    <w:rsid w:val="00313A3E"/>
    <w:rsid w:val="00317331"/>
    <w:rsid w:val="00322B2B"/>
    <w:rsid w:val="00322CBA"/>
    <w:rsid w:val="003244C5"/>
    <w:rsid w:val="003252CF"/>
    <w:rsid w:val="00326D88"/>
    <w:rsid w:val="00327E37"/>
    <w:rsid w:val="00332108"/>
    <w:rsid w:val="00333B83"/>
    <w:rsid w:val="003343B4"/>
    <w:rsid w:val="00335025"/>
    <w:rsid w:val="00335321"/>
    <w:rsid w:val="00335885"/>
    <w:rsid w:val="003358B6"/>
    <w:rsid w:val="0033623C"/>
    <w:rsid w:val="00340432"/>
    <w:rsid w:val="003407EA"/>
    <w:rsid w:val="00340AC5"/>
    <w:rsid w:val="003469F9"/>
    <w:rsid w:val="00346F20"/>
    <w:rsid w:val="00347B1B"/>
    <w:rsid w:val="00351265"/>
    <w:rsid w:val="003520E1"/>
    <w:rsid w:val="0035355F"/>
    <w:rsid w:val="0035395F"/>
    <w:rsid w:val="003617C4"/>
    <w:rsid w:val="00371327"/>
    <w:rsid w:val="00373503"/>
    <w:rsid w:val="0037359A"/>
    <w:rsid w:val="00376C31"/>
    <w:rsid w:val="00376D75"/>
    <w:rsid w:val="00377A6D"/>
    <w:rsid w:val="003800AE"/>
    <w:rsid w:val="00380838"/>
    <w:rsid w:val="00383E82"/>
    <w:rsid w:val="00385E0D"/>
    <w:rsid w:val="003867BD"/>
    <w:rsid w:val="003874BF"/>
    <w:rsid w:val="00387F56"/>
    <w:rsid w:val="00392976"/>
    <w:rsid w:val="00392C42"/>
    <w:rsid w:val="00394D0F"/>
    <w:rsid w:val="00396942"/>
    <w:rsid w:val="00396D8F"/>
    <w:rsid w:val="003A05A7"/>
    <w:rsid w:val="003A10D7"/>
    <w:rsid w:val="003A225A"/>
    <w:rsid w:val="003A61AB"/>
    <w:rsid w:val="003B16C8"/>
    <w:rsid w:val="003B38FD"/>
    <w:rsid w:val="003B59CF"/>
    <w:rsid w:val="003C418E"/>
    <w:rsid w:val="003C6B11"/>
    <w:rsid w:val="003C75CE"/>
    <w:rsid w:val="003D3E1E"/>
    <w:rsid w:val="003E1312"/>
    <w:rsid w:val="003E5352"/>
    <w:rsid w:val="003E5D4F"/>
    <w:rsid w:val="003E71F1"/>
    <w:rsid w:val="003F268D"/>
    <w:rsid w:val="003F6907"/>
    <w:rsid w:val="003F6D47"/>
    <w:rsid w:val="00402F9D"/>
    <w:rsid w:val="00403F5B"/>
    <w:rsid w:val="00405FE4"/>
    <w:rsid w:val="00413109"/>
    <w:rsid w:val="004133FB"/>
    <w:rsid w:val="00414909"/>
    <w:rsid w:val="004159FA"/>
    <w:rsid w:val="00416E0F"/>
    <w:rsid w:val="0042155D"/>
    <w:rsid w:val="00421601"/>
    <w:rsid w:val="00422518"/>
    <w:rsid w:val="00423B2D"/>
    <w:rsid w:val="00424337"/>
    <w:rsid w:val="00426515"/>
    <w:rsid w:val="00430559"/>
    <w:rsid w:val="00435CE1"/>
    <w:rsid w:val="004361BE"/>
    <w:rsid w:val="00442A59"/>
    <w:rsid w:val="00442F91"/>
    <w:rsid w:val="00444791"/>
    <w:rsid w:val="00444AB2"/>
    <w:rsid w:val="00446482"/>
    <w:rsid w:val="004464B9"/>
    <w:rsid w:val="00447E51"/>
    <w:rsid w:val="00450CD4"/>
    <w:rsid w:val="00452FF9"/>
    <w:rsid w:val="004552DA"/>
    <w:rsid w:val="00457718"/>
    <w:rsid w:val="00462754"/>
    <w:rsid w:val="004662E7"/>
    <w:rsid w:val="004704BD"/>
    <w:rsid w:val="00470936"/>
    <w:rsid w:val="00470BE4"/>
    <w:rsid w:val="0047496F"/>
    <w:rsid w:val="00475079"/>
    <w:rsid w:val="004754A0"/>
    <w:rsid w:val="004847F1"/>
    <w:rsid w:val="004910A6"/>
    <w:rsid w:val="0049548E"/>
    <w:rsid w:val="00495677"/>
    <w:rsid w:val="004A07D9"/>
    <w:rsid w:val="004A1EF6"/>
    <w:rsid w:val="004A22E3"/>
    <w:rsid w:val="004A2C3D"/>
    <w:rsid w:val="004A495F"/>
    <w:rsid w:val="004A5A89"/>
    <w:rsid w:val="004A60D0"/>
    <w:rsid w:val="004B187F"/>
    <w:rsid w:val="004B21DB"/>
    <w:rsid w:val="004B224C"/>
    <w:rsid w:val="004B2AA2"/>
    <w:rsid w:val="004B2CE9"/>
    <w:rsid w:val="004B34CF"/>
    <w:rsid w:val="004B4D4B"/>
    <w:rsid w:val="004B637D"/>
    <w:rsid w:val="004C0E90"/>
    <w:rsid w:val="004C32C7"/>
    <w:rsid w:val="004C4EAD"/>
    <w:rsid w:val="004C79C4"/>
    <w:rsid w:val="004D1B87"/>
    <w:rsid w:val="004D1C18"/>
    <w:rsid w:val="004D29CF"/>
    <w:rsid w:val="004D7CFC"/>
    <w:rsid w:val="004E4557"/>
    <w:rsid w:val="004E7532"/>
    <w:rsid w:val="004F1108"/>
    <w:rsid w:val="004F2FDC"/>
    <w:rsid w:val="004F66D0"/>
    <w:rsid w:val="004F69F8"/>
    <w:rsid w:val="004F70F8"/>
    <w:rsid w:val="004F779A"/>
    <w:rsid w:val="004F7B18"/>
    <w:rsid w:val="00501BC4"/>
    <w:rsid w:val="005022DC"/>
    <w:rsid w:val="00505547"/>
    <w:rsid w:val="00507E0F"/>
    <w:rsid w:val="00510021"/>
    <w:rsid w:val="005101F6"/>
    <w:rsid w:val="00512AE1"/>
    <w:rsid w:val="00513F07"/>
    <w:rsid w:val="0052454A"/>
    <w:rsid w:val="00524B8C"/>
    <w:rsid w:val="00525E8A"/>
    <w:rsid w:val="0052665E"/>
    <w:rsid w:val="005274D2"/>
    <w:rsid w:val="005346C2"/>
    <w:rsid w:val="00536DA0"/>
    <w:rsid w:val="005370E3"/>
    <w:rsid w:val="00540972"/>
    <w:rsid w:val="005409CF"/>
    <w:rsid w:val="00542AA5"/>
    <w:rsid w:val="00544325"/>
    <w:rsid w:val="00545D38"/>
    <w:rsid w:val="00546F20"/>
    <w:rsid w:val="00551888"/>
    <w:rsid w:val="00552BEC"/>
    <w:rsid w:val="00553568"/>
    <w:rsid w:val="00553A41"/>
    <w:rsid w:val="00554324"/>
    <w:rsid w:val="005602B5"/>
    <w:rsid w:val="0056137A"/>
    <w:rsid w:val="0056156B"/>
    <w:rsid w:val="00562DFD"/>
    <w:rsid w:val="005644D6"/>
    <w:rsid w:val="0056505D"/>
    <w:rsid w:val="00565F2C"/>
    <w:rsid w:val="005676BD"/>
    <w:rsid w:val="00567A3E"/>
    <w:rsid w:val="0057124B"/>
    <w:rsid w:val="00574D1F"/>
    <w:rsid w:val="00574FE4"/>
    <w:rsid w:val="00575C33"/>
    <w:rsid w:val="00576CDE"/>
    <w:rsid w:val="00576FA6"/>
    <w:rsid w:val="0058104F"/>
    <w:rsid w:val="005876F2"/>
    <w:rsid w:val="005876F9"/>
    <w:rsid w:val="00595C1F"/>
    <w:rsid w:val="005971EB"/>
    <w:rsid w:val="005A0FCB"/>
    <w:rsid w:val="005A2A22"/>
    <w:rsid w:val="005A3BA7"/>
    <w:rsid w:val="005A4716"/>
    <w:rsid w:val="005A77F6"/>
    <w:rsid w:val="005B1763"/>
    <w:rsid w:val="005B468C"/>
    <w:rsid w:val="005B79C3"/>
    <w:rsid w:val="005C5B3E"/>
    <w:rsid w:val="005C727B"/>
    <w:rsid w:val="005D012F"/>
    <w:rsid w:val="005D4575"/>
    <w:rsid w:val="005D729B"/>
    <w:rsid w:val="005D7839"/>
    <w:rsid w:val="005E20A4"/>
    <w:rsid w:val="005E2B66"/>
    <w:rsid w:val="005F0FA4"/>
    <w:rsid w:val="005F311D"/>
    <w:rsid w:val="005F3275"/>
    <w:rsid w:val="005F5067"/>
    <w:rsid w:val="005F6ECE"/>
    <w:rsid w:val="00600F8A"/>
    <w:rsid w:val="00601450"/>
    <w:rsid w:val="00610458"/>
    <w:rsid w:val="00612775"/>
    <w:rsid w:val="00615812"/>
    <w:rsid w:val="00615CC6"/>
    <w:rsid w:val="00616488"/>
    <w:rsid w:val="00620352"/>
    <w:rsid w:val="00621953"/>
    <w:rsid w:val="00622EE8"/>
    <w:rsid w:val="0062712F"/>
    <w:rsid w:val="006314D5"/>
    <w:rsid w:val="00633650"/>
    <w:rsid w:val="006344BC"/>
    <w:rsid w:val="00636F9A"/>
    <w:rsid w:val="00640624"/>
    <w:rsid w:val="00641288"/>
    <w:rsid w:val="00641459"/>
    <w:rsid w:val="00641D3D"/>
    <w:rsid w:val="0064283A"/>
    <w:rsid w:val="00643DF8"/>
    <w:rsid w:val="00645530"/>
    <w:rsid w:val="006455B4"/>
    <w:rsid w:val="00647AD0"/>
    <w:rsid w:val="00650296"/>
    <w:rsid w:val="0065181E"/>
    <w:rsid w:val="00651FBE"/>
    <w:rsid w:val="00652CEB"/>
    <w:rsid w:val="006549DF"/>
    <w:rsid w:val="0065537F"/>
    <w:rsid w:val="00656F92"/>
    <w:rsid w:val="0066084A"/>
    <w:rsid w:val="0066193A"/>
    <w:rsid w:val="006635AF"/>
    <w:rsid w:val="00663678"/>
    <w:rsid w:val="00666A87"/>
    <w:rsid w:val="006716B4"/>
    <w:rsid w:val="006779FD"/>
    <w:rsid w:val="00681442"/>
    <w:rsid w:val="00684500"/>
    <w:rsid w:val="0068477C"/>
    <w:rsid w:val="00684E84"/>
    <w:rsid w:val="0068625B"/>
    <w:rsid w:val="00687F9D"/>
    <w:rsid w:val="00694D1C"/>
    <w:rsid w:val="006972A7"/>
    <w:rsid w:val="006A209D"/>
    <w:rsid w:val="006A325E"/>
    <w:rsid w:val="006A5B16"/>
    <w:rsid w:val="006A5FF8"/>
    <w:rsid w:val="006A63B5"/>
    <w:rsid w:val="006A6A01"/>
    <w:rsid w:val="006B00DB"/>
    <w:rsid w:val="006B07C1"/>
    <w:rsid w:val="006B0CE3"/>
    <w:rsid w:val="006B18F6"/>
    <w:rsid w:val="006B467B"/>
    <w:rsid w:val="006B4951"/>
    <w:rsid w:val="006B5EEA"/>
    <w:rsid w:val="006B6442"/>
    <w:rsid w:val="006B6902"/>
    <w:rsid w:val="006B7014"/>
    <w:rsid w:val="006C28DE"/>
    <w:rsid w:val="006C602A"/>
    <w:rsid w:val="006C674F"/>
    <w:rsid w:val="006C6987"/>
    <w:rsid w:val="006C69DE"/>
    <w:rsid w:val="006C6CED"/>
    <w:rsid w:val="006D000C"/>
    <w:rsid w:val="006D0C38"/>
    <w:rsid w:val="006D1B14"/>
    <w:rsid w:val="006D1ED2"/>
    <w:rsid w:val="006D51AE"/>
    <w:rsid w:val="006D736C"/>
    <w:rsid w:val="006D79FA"/>
    <w:rsid w:val="006E2530"/>
    <w:rsid w:val="006E3E29"/>
    <w:rsid w:val="006E40DB"/>
    <w:rsid w:val="006E6D87"/>
    <w:rsid w:val="006F1133"/>
    <w:rsid w:val="006F1FE3"/>
    <w:rsid w:val="006F2474"/>
    <w:rsid w:val="006F71D0"/>
    <w:rsid w:val="006F736C"/>
    <w:rsid w:val="006F7D1C"/>
    <w:rsid w:val="007006E4"/>
    <w:rsid w:val="0070266C"/>
    <w:rsid w:val="00705EBB"/>
    <w:rsid w:val="0070766C"/>
    <w:rsid w:val="00707DE9"/>
    <w:rsid w:val="0071051A"/>
    <w:rsid w:val="00710C90"/>
    <w:rsid w:val="0071107E"/>
    <w:rsid w:val="00711884"/>
    <w:rsid w:val="007119A3"/>
    <w:rsid w:val="00712AA1"/>
    <w:rsid w:val="00712EF8"/>
    <w:rsid w:val="00712FB2"/>
    <w:rsid w:val="007137BC"/>
    <w:rsid w:val="007147F4"/>
    <w:rsid w:val="00720685"/>
    <w:rsid w:val="00720752"/>
    <w:rsid w:val="00722CA6"/>
    <w:rsid w:val="00725513"/>
    <w:rsid w:val="00725A8C"/>
    <w:rsid w:val="00726862"/>
    <w:rsid w:val="00726E73"/>
    <w:rsid w:val="00727CED"/>
    <w:rsid w:val="00727FF1"/>
    <w:rsid w:val="007301EC"/>
    <w:rsid w:val="00730D12"/>
    <w:rsid w:val="00731D25"/>
    <w:rsid w:val="007343D2"/>
    <w:rsid w:val="00734F2A"/>
    <w:rsid w:val="0073655D"/>
    <w:rsid w:val="00740D28"/>
    <w:rsid w:val="007417EA"/>
    <w:rsid w:val="00743A36"/>
    <w:rsid w:val="00743CB0"/>
    <w:rsid w:val="00744F4F"/>
    <w:rsid w:val="00745B07"/>
    <w:rsid w:val="007463E6"/>
    <w:rsid w:val="007465CA"/>
    <w:rsid w:val="007517D9"/>
    <w:rsid w:val="007549AF"/>
    <w:rsid w:val="00755807"/>
    <w:rsid w:val="00755F1F"/>
    <w:rsid w:val="00756507"/>
    <w:rsid w:val="0075667B"/>
    <w:rsid w:val="00756999"/>
    <w:rsid w:val="00756C4F"/>
    <w:rsid w:val="007570BD"/>
    <w:rsid w:val="00760CE1"/>
    <w:rsid w:val="00761040"/>
    <w:rsid w:val="0076138F"/>
    <w:rsid w:val="00761B55"/>
    <w:rsid w:val="00761BCC"/>
    <w:rsid w:val="007629DA"/>
    <w:rsid w:val="007629F7"/>
    <w:rsid w:val="00762EB2"/>
    <w:rsid w:val="00771B25"/>
    <w:rsid w:val="00774E37"/>
    <w:rsid w:val="00775580"/>
    <w:rsid w:val="00776010"/>
    <w:rsid w:val="00781EE3"/>
    <w:rsid w:val="00782311"/>
    <w:rsid w:val="0078270C"/>
    <w:rsid w:val="00783948"/>
    <w:rsid w:val="00784413"/>
    <w:rsid w:val="007863C6"/>
    <w:rsid w:val="0079427B"/>
    <w:rsid w:val="0079572C"/>
    <w:rsid w:val="007A2819"/>
    <w:rsid w:val="007A28D3"/>
    <w:rsid w:val="007A32A5"/>
    <w:rsid w:val="007A43C5"/>
    <w:rsid w:val="007A5298"/>
    <w:rsid w:val="007A6150"/>
    <w:rsid w:val="007A7A75"/>
    <w:rsid w:val="007B0A20"/>
    <w:rsid w:val="007B56E5"/>
    <w:rsid w:val="007B7082"/>
    <w:rsid w:val="007B7BD1"/>
    <w:rsid w:val="007C4963"/>
    <w:rsid w:val="007C50C3"/>
    <w:rsid w:val="007C5D7F"/>
    <w:rsid w:val="007D0719"/>
    <w:rsid w:val="007D2C59"/>
    <w:rsid w:val="007D393A"/>
    <w:rsid w:val="007D65E1"/>
    <w:rsid w:val="007D6ECE"/>
    <w:rsid w:val="007D7E46"/>
    <w:rsid w:val="007E1DB3"/>
    <w:rsid w:val="007E216F"/>
    <w:rsid w:val="007E25F4"/>
    <w:rsid w:val="007E340F"/>
    <w:rsid w:val="007E3EFE"/>
    <w:rsid w:val="007E4532"/>
    <w:rsid w:val="007E57F4"/>
    <w:rsid w:val="007E692F"/>
    <w:rsid w:val="007F0182"/>
    <w:rsid w:val="007F05E9"/>
    <w:rsid w:val="007F6C12"/>
    <w:rsid w:val="007F70B3"/>
    <w:rsid w:val="007F7410"/>
    <w:rsid w:val="007F746B"/>
    <w:rsid w:val="007F7A49"/>
    <w:rsid w:val="0080066B"/>
    <w:rsid w:val="00800815"/>
    <w:rsid w:val="00801B00"/>
    <w:rsid w:val="00801BB9"/>
    <w:rsid w:val="008078CA"/>
    <w:rsid w:val="008126E6"/>
    <w:rsid w:val="00812983"/>
    <w:rsid w:val="00812EB9"/>
    <w:rsid w:val="0081488C"/>
    <w:rsid w:val="008153EE"/>
    <w:rsid w:val="008179EB"/>
    <w:rsid w:val="00824377"/>
    <w:rsid w:val="008245DB"/>
    <w:rsid w:val="00824EA6"/>
    <w:rsid w:val="0082618D"/>
    <w:rsid w:val="008308AC"/>
    <w:rsid w:val="0083196F"/>
    <w:rsid w:val="00832C2E"/>
    <w:rsid w:val="00834389"/>
    <w:rsid w:val="00834C0D"/>
    <w:rsid w:val="00834C83"/>
    <w:rsid w:val="00841E5A"/>
    <w:rsid w:val="008421B2"/>
    <w:rsid w:val="008430B5"/>
    <w:rsid w:val="0084424B"/>
    <w:rsid w:val="00844576"/>
    <w:rsid w:val="008479ED"/>
    <w:rsid w:val="00847A64"/>
    <w:rsid w:val="0085021C"/>
    <w:rsid w:val="00850CD9"/>
    <w:rsid w:val="00851667"/>
    <w:rsid w:val="008520B1"/>
    <w:rsid w:val="00852E3D"/>
    <w:rsid w:val="00853616"/>
    <w:rsid w:val="00854133"/>
    <w:rsid w:val="00854C35"/>
    <w:rsid w:val="00854F65"/>
    <w:rsid w:val="008560D0"/>
    <w:rsid w:val="00856BE1"/>
    <w:rsid w:val="0085744C"/>
    <w:rsid w:val="0086194F"/>
    <w:rsid w:val="0086299E"/>
    <w:rsid w:val="00864082"/>
    <w:rsid w:val="00866A44"/>
    <w:rsid w:val="00866C86"/>
    <w:rsid w:val="00870409"/>
    <w:rsid w:val="008704E5"/>
    <w:rsid w:val="00873DD3"/>
    <w:rsid w:val="0087402C"/>
    <w:rsid w:val="00875EF7"/>
    <w:rsid w:val="00876D46"/>
    <w:rsid w:val="00877EE8"/>
    <w:rsid w:val="00881AD8"/>
    <w:rsid w:val="008826A5"/>
    <w:rsid w:val="00885852"/>
    <w:rsid w:val="00887685"/>
    <w:rsid w:val="00890954"/>
    <w:rsid w:val="0089130F"/>
    <w:rsid w:val="0089209B"/>
    <w:rsid w:val="00892F35"/>
    <w:rsid w:val="0089575B"/>
    <w:rsid w:val="008A32C2"/>
    <w:rsid w:val="008A52B9"/>
    <w:rsid w:val="008A7DFE"/>
    <w:rsid w:val="008A7EA7"/>
    <w:rsid w:val="008B1678"/>
    <w:rsid w:val="008B188D"/>
    <w:rsid w:val="008B4188"/>
    <w:rsid w:val="008B4DAE"/>
    <w:rsid w:val="008C2649"/>
    <w:rsid w:val="008D25BE"/>
    <w:rsid w:val="008D3741"/>
    <w:rsid w:val="008D4788"/>
    <w:rsid w:val="008D51AA"/>
    <w:rsid w:val="008D52A4"/>
    <w:rsid w:val="008D5972"/>
    <w:rsid w:val="008D60CB"/>
    <w:rsid w:val="008E1F24"/>
    <w:rsid w:val="008E4D5A"/>
    <w:rsid w:val="008F04DD"/>
    <w:rsid w:val="008F3000"/>
    <w:rsid w:val="008F4C02"/>
    <w:rsid w:val="008F522F"/>
    <w:rsid w:val="008F687F"/>
    <w:rsid w:val="00906CA5"/>
    <w:rsid w:val="0090707B"/>
    <w:rsid w:val="00907941"/>
    <w:rsid w:val="009116F3"/>
    <w:rsid w:val="0091636E"/>
    <w:rsid w:val="00916D09"/>
    <w:rsid w:val="00917771"/>
    <w:rsid w:val="00917966"/>
    <w:rsid w:val="00917A51"/>
    <w:rsid w:val="00917AAB"/>
    <w:rsid w:val="00920822"/>
    <w:rsid w:val="00921194"/>
    <w:rsid w:val="00922A5B"/>
    <w:rsid w:val="00922B6F"/>
    <w:rsid w:val="009231B2"/>
    <w:rsid w:val="00923A3B"/>
    <w:rsid w:val="0092480D"/>
    <w:rsid w:val="00926E94"/>
    <w:rsid w:val="00927B55"/>
    <w:rsid w:val="009301A4"/>
    <w:rsid w:val="00931D3B"/>
    <w:rsid w:val="00932045"/>
    <w:rsid w:val="00941B94"/>
    <w:rsid w:val="00942C6E"/>
    <w:rsid w:val="009459C0"/>
    <w:rsid w:val="00953DEC"/>
    <w:rsid w:val="00953F0D"/>
    <w:rsid w:val="00955215"/>
    <w:rsid w:val="00957369"/>
    <w:rsid w:val="00957882"/>
    <w:rsid w:val="0096275D"/>
    <w:rsid w:val="00962B37"/>
    <w:rsid w:val="00965426"/>
    <w:rsid w:val="009668D2"/>
    <w:rsid w:val="00970012"/>
    <w:rsid w:val="00974F99"/>
    <w:rsid w:val="00976B25"/>
    <w:rsid w:val="00976B6E"/>
    <w:rsid w:val="00977BD7"/>
    <w:rsid w:val="00980D9D"/>
    <w:rsid w:val="00981612"/>
    <w:rsid w:val="009845C1"/>
    <w:rsid w:val="00985097"/>
    <w:rsid w:val="0099175F"/>
    <w:rsid w:val="00991869"/>
    <w:rsid w:val="00993DED"/>
    <w:rsid w:val="00994A69"/>
    <w:rsid w:val="0099554E"/>
    <w:rsid w:val="00995557"/>
    <w:rsid w:val="00996AF7"/>
    <w:rsid w:val="00996D97"/>
    <w:rsid w:val="00996E3A"/>
    <w:rsid w:val="0099714B"/>
    <w:rsid w:val="009A027D"/>
    <w:rsid w:val="009A0658"/>
    <w:rsid w:val="009A5516"/>
    <w:rsid w:val="009A62B2"/>
    <w:rsid w:val="009A7706"/>
    <w:rsid w:val="009A797E"/>
    <w:rsid w:val="009B0E90"/>
    <w:rsid w:val="009B2CAE"/>
    <w:rsid w:val="009B326E"/>
    <w:rsid w:val="009B5445"/>
    <w:rsid w:val="009B57FA"/>
    <w:rsid w:val="009B58C3"/>
    <w:rsid w:val="009B665B"/>
    <w:rsid w:val="009B68A3"/>
    <w:rsid w:val="009B72B4"/>
    <w:rsid w:val="009B7F57"/>
    <w:rsid w:val="009C0466"/>
    <w:rsid w:val="009C0860"/>
    <w:rsid w:val="009C0AA1"/>
    <w:rsid w:val="009C1F02"/>
    <w:rsid w:val="009C1FC7"/>
    <w:rsid w:val="009C2930"/>
    <w:rsid w:val="009D2392"/>
    <w:rsid w:val="009D5096"/>
    <w:rsid w:val="009D6464"/>
    <w:rsid w:val="009E3B76"/>
    <w:rsid w:val="009E697E"/>
    <w:rsid w:val="009F25F9"/>
    <w:rsid w:val="009F31A0"/>
    <w:rsid w:val="009F6A17"/>
    <w:rsid w:val="00A01D76"/>
    <w:rsid w:val="00A0207E"/>
    <w:rsid w:val="00A03228"/>
    <w:rsid w:val="00A0333A"/>
    <w:rsid w:val="00A04C48"/>
    <w:rsid w:val="00A07D7A"/>
    <w:rsid w:val="00A104AF"/>
    <w:rsid w:val="00A20E01"/>
    <w:rsid w:val="00A21D07"/>
    <w:rsid w:val="00A24353"/>
    <w:rsid w:val="00A25E2C"/>
    <w:rsid w:val="00A26807"/>
    <w:rsid w:val="00A31DEF"/>
    <w:rsid w:val="00A33356"/>
    <w:rsid w:val="00A35DFA"/>
    <w:rsid w:val="00A35FE8"/>
    <w:rsid w:val="00A36915"/>
    <w:rsid w:val="00A36C71"/>
    <w:rsid w:val="00A415D5"/>
    <w:rsid w:val="00A42708"/>
    <w:rsid w:val="00A42B19"/>
    <w:rsid w:val="00A5128E"/>
    <w:rsid w:val="00A514C1"/>
    <w:rsid w:val="00A5150A"/>
    <w:rsid w:val="00A525FA"/>
    <w:rsid w:val="00A549CE"/>
    <w:rsid w:val="00A6160B"/>
    <w:rsid w:val="00A620BF"/>
    <w:rsid w:val="00A641B4"/>
    <w:rsid w:val="00A66E1B"/>
    <w:rsid w:val="00A67E42"/>
    <w:rsid w:val="00A74755"/>
    <w:rsid w:val="00A75E30"/>
    <w:rsid w:val="00A82DF6"/>
    <w:rsid w:val="00A86B5C"/>
    <w:rsid w:val="00A87560"/>
    <w:rsid w:val="00A87F19"/>
    <w:rsid w:val="00A901C9"/>
    <w:rsid w:val="00A914BA"/>
    <w:rsid w:val="00A93EDE"/>
    <w:rsid w:val="00A95B90"/>
    <w:rsid w:val="00AA0CDF"/>
    <w:rsid w:val="00AA1022"/>
    <w:rsid w:val="00AA21BA"/>
    <w:rsid w:val="00AA5B40"/>
    <w:rsid w:val="00AA6EE1"/>
    <w:rsid w:val="00AB14B2"/>
    <w:rsid w:val="00AB37BC"/>
    <w:rsid w:val="00AB5566"/>
    <w:rsid w:val="00AB5962"/>
    <w:rsid w:val="00AB720F"/>
    <w:rsid w:val="00AC0AFA"/>
    <w:rsid w:val="00AC1E0B"/>
    <w:rsid w:val="00AC387A"/>
    <w:rsid w:val="00AC4AA0"/>
    <w:rsid w:val="00AC5429"/>
    <w:rsid w:val="00AC54B0"/>
    <w:rsid w:val="00AC6641"/>
    <w:rsid w:val="00AC67B8"/>
    <w:rsid w:val="00AC67E9"/>
    <w:rsid w:val="00AC6DE8"/>
    <w:rsid w:val="00AD28FE"/>
    <w:rsid w:val="00AD2CF7"/>
    <w:rsid w:val="00AD2E42"/>
    <w:rsid w:val="00AD3A70"/>
    <w:rsid w:val="00AD3ABF"/>
    <w:rsid w:val="00AD5085"/>
    <w:rsid w:val="00AD52DD"/>
    <w:rsid w:val="00AD6E08"/>
    <w:rsid w:val="00AF67B6"/>
    <w:rsid w:val="00AF685B"/>
    <w:rsid w:val="00B00920"/>
    <w:rsid w:val="00B031D6"/>
    <w:rsid w:val="00B04119"/>
    <w:rsid w:val="00B0418B"/>
    <w:rsid w:val="00B06F7F"/>
    <w:rsid w:val="00B075E7"/>
    <w:rsid w:val="00B078EF"/>
    <w:rsid w:val="00B10AB9"/>
    <w:rsid w:val="00B12969"/>
    <w:rsid w:val="00B134CD"/>
    <w:rsid w:val="00B152AC"/>
    <w:rsid w:val="00B1547C"/>
    <w:rsid w:val="00B20D72"/>
    <w:rsid w:val="00B23035"/>
    <w:rsid w:val="00B23244"/>
    <w:rsid w:val="00B2653E"/>
    <w:rsid w:val="00B31306"/>
    <w:rsid w:val="00B31619"/>
    <w:rsid w:val="00B32615"/>
    <w:rsid w:val="00B33A6C"/>
    <w:rsid w:val="00B356F6"/>
    <w:rsid w:val="00B36EE5"/>
    <w:rsid w:val="00B3702C"/>
    <w:rsid w:val="00B3777B"/>
    <w:rsid w:val="00B4015A"/>
    <w:rsid w:val="00B41DDA"/>
    <w:rsid w:val="00B41E84"/>
    <w:rsid w:val="00B420A1"/>
    <w:rsid w:val="00B43250"/>
    <w:rsid w:val="00B459F7"/>
    <w:rsid w:val="00B4742D"/>
    <w:rsid w:val="00B5268C"/>
    <w:rsid w:val="00B5458E"/>
    <w:rsid w:val="00B54E33"/>
    <w:rsid w:val="00B56FAB"/>
    <w:rsid w:val="00B570E3"/>
    <w:rsid w:val="00B60C40"/>
    <w:rsid w:val="00B61CE2"/>
    <w:rsid w:val="00B6224E"/>
    <w:rsid w:val="00B72070"/>
    <w:rsid w:val="00B72149"/>
    <w:rsid w:val="00B722BA"/>
    <w:rsid w:val="00B74072"/>
    <w:rsid w:val="00B742C1"/>
    <w:rsid w:val="00B76C9D"/>
    <w:rsid w:val="00B832D9"/>
    <w:rsid w:val="00B85249"/>
    <w:rsid w:val="00B87973"/>
    <w:rsid w:val="00BA09C0"/>
    <w:rsid w:val="00BA107A"/>
    <w:rsid w:val="00BA15DF"/>
    <w:rsid w:val="00BA42B7"/>
    <w:rsid w:val="00BA4474"/>
    <w:rsid w:val="00BA52B1"/>
    <w:rsid w:val="00BA63BC"/>
    <w:rsid w:val="00BA7CB9"/>
    <w:rsid w:val="00BB1170"/>
    <w:rsid w:val="00BB2036"/>
    <w:rsid w:val="00BB2CEF"/>
    <w:rsid w:val="00BB4589"/>
    <w:rsid w:val="00BB4AF7"/>
    <w:rsid w:val="00BB6293"/>
    <w:rsid w:val="00BB766F"/>
    <w:rsid w:val="00BC380C"/>
    <w:rsid w:val="00BC3B2C"/>
    <w:rsid w:val="00BC3DCB"/>
    <w:rsid w:val="00BC4740"/>
    <w:rsid w:val="00BC671D"/>
    <w:rsid w:val="00BC6A45"/>
    <w:rsid w:val="00BD015D"/>
    <w:rsid w:val="00BD2CCE"/>
    <w:rsid w:val="00BD53F6"/>
    <w:rsid w:val="00BE040E"/>
    <w:rsid w:val="00BE1975"/>
    <w:rsid w:val="00BE24B5"/>
    <w:rsid w:val="00BE35EB"/>
    <w:rsid w:val="00BE6330"/>
    <w:rsid w:val="00BF3682"/>
    <w:rsid w:val="00BF46E6"/>
    <w:rsid w:val="00BF5661"/>
    <w:rsid w:val="00C01BC2"/>
    <w:rsid w:val="00C03FFD"/>
    <w:rsid w:val="00C06913"/>
    <w:rsid w:val="00C10C30"/>
    <w:rsid w:val="00C123BA"/>
    <w:rsid w:val="00C1364B"/>
    <w:rsid w:val="00C1461F"/>
    <w:rsid w:val="00C175CF"/>
    <w:rsid w:val="00C21FC8"/>
    <w:rsid w:val="00C22B9A"/>
    <w:rsid w:val="00C231CC"/>
    <w:rsid w:val="00C23E5A"/>
    <w:rsid w:val="00C24BFD"/>
    <w:rsid w:val="00C25575"/>
    <w:rsid w:val="00C25ED8"/>
    <w:rsid w:val="00C2780A"/>
    <w:rsid w:val="00C308E3"/>
    <w:rsid w:val="00C33058"/>
    <w:rsid w:val="00C416B4"/>
    <w:rsid w:val="00C4215F"/>
    <w:rsid w:val="00C43CAC"/>
    <w:rsid w:val="00C43F91"/>
    <w:rsid w:val="00C44787"/>
    <w:rsid w:val="00C46A0B"/>
    <w:rsid w:val="00C47D0C"/>
    <w:rsid w:val="00C47D64"/>
    <w:rsid w:val="00C47EC5"/>
    <w:rsid w:val="00C47F9E"/>
    <w:rsid w:val="00C504E2"/>
    <w:rsid w:val="00C52E60"/>
    <w:rsid w:val="00C540A1"/>
    <w:rsid w:val="00C5537D"/>
    <w:rsid w:val="00C5593E"/>
    <w:rsid w:val="00C61809"/>
    <w:rsid w:val="00C634DB"/>
    <w:rsid w:val="00C635BB"/>
    <w:rsid w:val="00C63FD6"/>
    <w:rsid w:val="00C671FB"/>
    <w:rsid w:val="00C67FF4"/>
    <w:rsid w:val="00C704EA"/>
    <w:rsid w:val="00C714BC"/>
    <w:rsid w:val="00C715DD"/>
    <w:rsid w:val="00C72D01"/>
    <w:rsid w:val="00C72E38"/>
    <w:rsid w:val="00C731B0"/>
    <w:rsid w:val="00C74236"/>
    <w:rsid w:val="00C755B1"/>
    <w:rsid w:val="00C77D7F"/>
    <w:rsid w:val="00C77F07"/>
    <w:rsid w:val="00C811F9"/>
    <w:rsid w:val="00C83BAF"/>
    <w:rsid w:val="00C8747B"/>
    <w:rsid w:val="00C90B90"/>
    <w:rsid w:val="00C931EF"/>
    <w:rsid w:val="00C947E2"/>
    <w:rsid w:val="00C952B9"/>
    <w:rsid w:val="00CA255D"/>
    <w:rsid w:val="00CA4042"/>
    <w:rsid w:val="00CA490B"/>
    <w:rsid w:val="00CA6000"/>
    <w:rsid w:val="00CA716A"/>
    <w:rsid w:val="00CB406C"/>
    <w:rsid w:val="00CB5931"/>
    <w:rsid w:val="00CB6329"/>
    <w:rsid w:val="00CC23D3"/>
    <w:rsid w:val="00CD1F8E"/>
    <w:rsid w:val="00CD2BAF"/>
    <w:rsid w:val="00CD3596"/>
    <w:rsid w:val="00CD43A8"/>
    <w:rsid w:val="00CD5956"/>
    <w:rsid w:val="00CD5CEA"/>
    <w:rsid w:val="00CD6397"/>
    <w:rsid w:val="00CD761C"/>
    <w:rsid w:val="00CD7CD7"/>
    <w:rsid w:val="00CE11E7"/>
    <w:rsid w:val="00CE30DD"/>
    <w:rsid w:val="00CE3A09"/>
    <w:rsid w:val="00CE3BA4"/>
    <w:rsid w:val="00CE590F"/>
    <w:rsid w:val="00CE5A4B"/>
    <w:rsid w:val="00CF14A8"/>
    <w:rsid w:val="00CF1F9F"/>
    <w:rsid w:val="00CF467D"/>
    <w:rsid w:val="00CF4C55"/>
    <w:rsid w:val="00CF6880"/>
    <w:rsid w:val="00CF7429"/>
    <w:rsid w:val="00D00BA5"/>
    <w:rsid w:val="00D02A83"/>
    <w:rsid w:val="00D03868"/>
    <w:rsid w:val="00D03A23"/>
    <w:rsid w:val="00D141FA"/>
    <w:rsid w:val="00D15A71"/>
    <w:rsid w:val="00D1625D"/>
    <w:rsid w:val="00D17FBE"/>
    <w:rsid w:val="00D2182F"/>
    <w:rsid w:val="00D21B07"/>
    <w:rsid w:val="00D21F50"/>
    <w:rsid w:val="00D23AEB"/>
    <w:rsid w:val="00D2473E"/>
    <w:rsid w:val="00D30FD4"/>
    <w:rsid w:val="00D321A1"/>
    <w:rsid w:val="00D34BDC"/>
    <w:rsid w:val="00D37D14"/>
    <w:rsid w:val="00D40617"/>
    <w:rsid w:val="00D40D78"/>
    <w:rsid w:val="00D41B61"/>
    <w:rsid w:val="00D43CFC"/>
    <w:rsid w:val="00D446F2"/>
    <w:rsid w:val="00D460A2"/>
    <w:rsid w:val="00D46B44"/>
    <w:rsid w:val="00D50D64"/>
    <w:rsid w:val="00D50E3D"/>
    <w:rsid w:val="00D523A1"/>
    <w:rsid w:val="00D525BA"/>
    <w:rsid w:val="00D52E06"/>
    <w:rsid w:val="00D54CEE"/>
    <w:rsid w:val="00D54E49"/>
    <w:rsid w:val="00D57ECD"/>
    <w:rsid w:val="00D60445"/>
    <w:rsid w:val="00D60998"/>
    <w:rsid w:val="00D6121F"/>
    <w:rsid w:val="00D61472"/>
    <w:rsid w:val="00D636F9"/>
    <w:rsid w:val="00D63DB3"/>
    <w:rsid w:val="00D66879"/>
    <w:rsid w:val="00D679B0"/>
    <w:rsid w:val="00D729E9"/>
    <w:rsid w:val="00D73CA9"/>
    <w:rsid w:val="00D74488"/>
    <w:rsid w:val="00D74874"/>
    <w:rsid w:val="00D7558C"/>
    <w:rsid w:val="00D75F5F"/>
    <w:rsid w:val="00D76213"/>
    <w:rsid w:val="00D77706"/>
    <w:rsid w:val="00D8369D"/>
    <w:rsid w:val="00D83F94"/>
    <w:rsid w:val="00D84E78"/>
    <w:rsid w:val="00D938D3"/>
    <w:rsid w:val="00D94093"/>
    <w:rsid w:val="00D9474E"/>
    <w:rsid w:val="00D96CEA"/>
    <w:rsid w:val="00DA161B"/>
    <w:rsid w:val="00DA48A1"/>
    <w:rsid w:val="00DA4BFD"/>
    <w:rsid w:val="00DB152C"/>
    <w:rsid w:val="00DB19CD"/>
    <w:rsid w:val="00DB2784"/>
    <w:rsid w:val="00DB5308"/>
    <w:rsid w:val="00DC2900"/>
    <w:rsid w:val="00DC37A7"/>
    <w:rsid w:val="00DC7F04"/>
    <w:rsid w:val="00DD3B0A"/>
    <w:rsid w:val="00DD3D82"/>
    <w:rsid w:val="00DD4C79"/>
    <w:rsid w:val="00DD4FB7"/>
    <w:rsid w:val="00DF2EE4"/>
    <w:rsid w:val="00DF467C"/>
    <w:rsid w:val="00DF4E56"/>
    <w:rsid w:val="00E000A0"/>
    <w:rsid w:val="00E01290"/>
    <w:rsid w:val="00E0296C"/>
    <w:rsid w:val="00E036B4"/>
    <w:rsid w:val="00E042E4"/>
    <w:rsid w:val="00E050E6"/>
    <w:rsid w:val="00E05F37"/>
    <w:rsid w:val="00E07211"/>
    <w:rsid w:val="00E11607"/>
    <w:rsid w:val="00E11B53"/>
    <w:rsid w:val="00E142FF"/>
    <w:rsid w:val="00E14955"/>
    <w:rsid w:val="00E22278"/>
    <w:rsid w:val="00E22424"/>
    <w:rsid w:val="00E25183"/>
    <w:rsid w:val="00E33190"/>
    <w:rsid w:val="00E3512D"/>
    <w:rsid w:val="00E3571D"/>
    <w:rsid w:val="00E37535"/>
    <w:rsid w:val="00E40033"/>
    <w:rsid w:val="00E41DD4"/>
    <w:rsid w:val="00E42364"/>
    <w:rsid w:val="00E4335B"/>
    <w:rsid w:val="00E443C2"/>
    <w:rsid w:val="00E44441"/>
    <w:rsid w:val="00E47BCA"/>
    <w:rsid w:val="00E52E3E"/>
    <w:rsid w:val="00E54114"/>
    <w:rsid w:val="00E543C6"/>
    <w:rsid w:val="00E56502"/>
    <w:rsid w:val="00E566A6"/>
    <w:rsid w:val="00E6362D"/>
    <w:rsid w:val="00E6419C"/>
    <w:rsid w:val="00E64964"/>
    <w:rsid w:val="00E6737B"/>
    <w:rsid w:val="00E67590"/>
    <w:rsid w:val="00E716E2"/>
    <w:rsid w:val="00E75DE9"/>
    <w:rsid w:val="00E76DC6"/>
    <w:rsid w:val="00E80EEF"/>
    <w:rsid w:val="00E8321E"/>
    <w:rsid w:val="00E85EB7"/>
    <w:rsid w:val="00E86974"/>
    <w:rsid w:val="00E9183D"/>
    <w:rsid w:val="00E91CF6"/>
    <w:rsid w:val="00E935F4"/>
    <w:rsid w:val="00E94F18"/>
    <w:rsid w:val="00EA0662"/>
    <w:rsid w:val="00EA0AF6"/>
    <w:rsid w:val="00EA1B30"/>
    <w:rsid w:val="00EA249C"/>
    <w:rsid w:val="00EA2F7E"/>
    <w:rsid w:val="00EA32A0"/>
    <w:rsid w:val="00EA43B8"/>
    <w:rsid w:val="00EA44F5"/>
    <w:rsid w:val="00EA455E"/>
    <w:rsid w:val="00EA51A2"/>
    <w:rsid w:val="00EA5C53"/>
    <w:rsid w:val="00EA5F94"/>
    <w:rsid w:val="00EA79B1"/>
    <w:rsid w:val="00EB154F"/>
    <w:rsid w:val="00EB3155"/>
    <w:rsid w:val="00EB7CEC"/>
    <w:rsid w:val="00EC000B"/>
    <w:rsid w:val="00EC0665"/>
    <w:rsid w:val="00EC535C"/>
    <w:rsid w:val="00EC58CD"/>
    <w:rsid w:val="00EC7988"/>
    <w:rsid w:val="00ED1B35"/>
    <w:rsid w:val="00ED6ECD"/>
    <w:rsid w:val="00ED724A"/>
    <w:rsid w:val="00ED75AE"/>
    <w:rsid w:val="00EE07F6"/>
    <w:rsid w:val="00EE216E"/>
    <w:rsid w:val="00EE621A"/>
    <w:rsid w:val="00EE6A40"/>
    <w:rsid w:val="00EE712A"/>
    <w:rsid w:val="00EE7F3D"/>
    <w:rsid w:val="00EF0125"/>
    <w:rsid w:val="00EF28AC"/>
    <w:rsid w:val="00EF411B"/>
    <w:rsid w:val="00EF5CC6"/>
    <w:rsid w:val="00F00619"/>
    <w:rsid w:val="00F05292"/>
    <w:rsid w:val="00F06623"/>
    <w:rsid w:val="00F110FF"/>
    <w:rsid w:val="00F111FB"/>
    <w:rsid w:val="00F13146"/>
    <w:rsid w:val="00F158B3"/>
    <w:rsid w:val="00F16A57"/>
    <w:rsid w:val="00F171B0"/>
    <w:rsid w:val="00F20537"/>
    <w:rsid w:val="00F205DF"/>
    <w:rsid w:val="00F207FE"/>
    <w:rsid w:val="00F2251C"/>
    <w:rsid w:val="00F2264F"/>
    <w:rsid w:val="00F22701"/>
    <w:rsid w:val="00F24835"/>
    <w:rsid w:val="00F24E50"/>
    <w:rsid w:val="00F24E6A"/>
    <w:rsid w:val="00F25E9C"/>
    <w:rsid w:val="00F2743B"/>
    <w:rsid w:val="00F3598E"/>
    <w:rsid w:val="00F35C33"/>
    <w:rsid w:val="00F40294"/>
    <w:rsid w:val="00F418EC"/>
    <w:rsid w:val="00F514AC"/>
    <w:rsid w:val="00F51795"/>
    <w:rsid w:val="00F51FC2"/>
    <w:rsid w:val="00F5224C"/>
    <w:rsid w:val="00F52988"/>
    <w:rsid w:val="00F548F3"/>
    <w:rsid w:val="00F55DBB"/>
    <w:rsid w:val="00F56FA7"/>
    <w:rsid w:val="00F60B84"/>
    <w:rsid w:val="00F62E6C"/>
    <w:rsid w:val="00F63709"/>
    <w:rsid w:val="00F6425B"/>
    <w:rsid w:val="00F64AC4"/>
    <w:rsid w:val="00F7087A"/>
    <w:rsid w:val="00F714FE"/>
    <w:rsid w:val="00F71777"/>
    <w:rsid w:val="00F74475"/>
    <w:rsid w:val="00F77180"/>
    <w:rsid w:val="00F77C70"/>
    <w:rsid w:val="00F835D8"/>
    <w:rsid w:val="00F8677B"/>
    <w:rsid w:val="00F91685"/>
    <w:rsid w:val="00F92362"/>
    <w:rsid w:val="00F94CF4"/>
    <w:rsid w:val="00F96EEA"/>
    <w:rsid w:val="00FA35CB"/>
    <w:rsid w:val="00FA49BE"/>
    <w:rsid w:val="00FA6640"/>
    <w:rsid w:val="00FA6927"/>
    <w:rsid w:val="00FA7790"/>
    <w:rsid w:val="00FB0434"/>
    <w:rsid w:val="00FB0A58"/>
    <w:rsid w:val="00FB2474"/>
    <w:rsid w:val="00FB40A3"/>
    <w:rsid w:val="00FB6607"/>
    <w:rsid w:val="00FB6A9C"/>
    <w:rsid w:val="00FB6DBD"/>
    <w:rsid w:val="00FC0DF0"/>
    <w:rsid w:val="00FC30BA"/>
    <w:rsid w:val="00FC3560"/>
    <w:rsid w:val="00FD068E"/>
    <w:rsid w:val="00FD18CB"/>
    <w:rsid w:val="00FD1B5B"/>
    <w:rsid w:val="00FD1EC6"/>
    <w:rsid w:val="00FD25C7"/>
    <w:rsid w:val="00FE07F6"/>
    <w:rsid w:val="00FE1990"/>
    <w:rsid w:val="00FE3EBD"/>
    <w:rsid w:val="00FE4B8C"/>
    <w:rsid w:val="00FE4F95"/>
    <w:rsid w:val="00FE5B68"/>
    <w:rsid w:val="00FE7098"/>
    <w:rsid w:val="00FF0C61"/>
    <w:rsid w:val="00FF2FB6"/>
    <w:rsid w:val="00FF4C11"/>
    <w:rsid w:val="00FF5699"/>
    <w:rsid w:val="00FF5902"/>
    <w:rsid w:val="00FF6E29"/>
    <w:rsid w:val="00FF6F2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31DD8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E3"/>
    <w:rPr>
      <w:rFonts w:ascii="Calibri" w:hAnsi="Calibri"/>
    </w:rPr>
  </w:style>
  <w:style w:type="paragraph" w:styleId="Heading1">
    <w:name w:val="heading 1"/>
    <w:aliases w:val="Title 1"/>
    <w:basedOn w:val="Normal"/>
    <w:next w:val="Normal"/>
    <w:link w:val="Heading1Char"/>
    <w:uiPriority w:val="9"/>
    <w:qFormat/>
    <w:rsid w:val="00781EE3"/>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aliases w:val="Headings"/>
    <w:basedOn w:val="Normal"/>
    <w:next w:val="Normal"/>
    <w:link w:val="Heading2Char"/>
    <w:uiPriority w:val="9"/>
    <w:unhideWhenUsed/>
    <w:qFormat/>
    <w:rsid w:val="00781EE3"/>
    <w:pPr>
      <w:keepNext/>
      <w:keepLines/>
      <w:spacing w:before="200" w:after="0"/>
      <w:outlineLvl w:val="1"/>
    </w:pPr>
    <w:rPr>
      <w:rFonts w:eastAsiaTheme="majorEastAsia" w:cstheme="majorBidi"/>
      <w:b/>
      <w:bCs/>
      <w:color w:val="4F81BD" w:themeColor="accent1"/>
      <w:sz w:val="24"/>
      <w:szCs w:val="26"/>
    </w:rPr>
  </w:style>
  <w:style w:type="paragraph" w:styleId="Heading3">
    <w:name w:val="heading 3"/>
    <w:aliases w:val="Subheading"/>
    <w:basedOn w:val="Normal"/>
    <w:next w:val="Normal"/>
    <w:link w:val="Heading3Char"/>
    <w:uiPriority w:val="9"/>
    <w:unhideWhenUsed/>
    <w:qFormat/>
    <w:rsid w:val="00781EE3"/>
    <w:pPr>
      <w:keepNext/>
      <w:spacing w:before="240" w:after="240" w:line="240" w:lineRule="auto"/>
      <w:outlineLvl w:val="2"/>
    </w:pPr>
    <w:rPr>
      <w:rFonts w:eastAsia="Times New Roman" w:cs="Times New Roman"/>
      <w:i/>
      <w:color w:val="3D4B67"/>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BCC"/>
    <w:pPr>
      <w:ind w:left="720"/>
      <w:contextualSpacing/>
    </w:pPr>
  </w:style>
  <w:style w:type="table" w:styleId="TableGrid">
    <w:name w:val="Table Grid"/>
    <w:basedOn w:val="TableNormal"/>
    <w:uiPriority w:val="59"/>
    <w:rsid w:val="00D02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1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5D5"/>
  </w:style>
  <w:style w:type="paragraph" w:styleId="Footer">
    <w:name w:val="footer"/>
    <w:basedOn w:val="Normal"/>
    <w:link w:val="FooterChar"/>
    <w:uiPriority w:val="99"/>
    <w:unhideWhenUsed/>
    <w:rsid w:val="00A41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5D5"/>
  </w:style>
  <w:style w:type="character" w:styleId="Hyperlink">
    <w:name w:val="Hyperlink"/>
    <w:basedOn w:val="DefaultParagraphFont"/>
    <w:uiPriority w:val="99"/>
    <w:unhideWhenUsed/>
    <w:rsid w:val="00841E5A"/>
    <w:rPr>
      <w:color w:val="0000FF" w:themeColor="hyperlink"/>
      <w:u w:val="single"/>
    </w:rPr>
  </w:style>
  <w:style w:type="paragraph" w:styleId="BalloonText">
    <w:name w:val="Balloon Text"/>
    <w:basedOn w:val="Normal"/>
    <w:link w:val="BalloonTextChar"/>
    <w:uiPriority w:val="99"/>
    <w:semiHidden/>
    <w:unhideWhenUsed/>
    <w:rsid w:val="008D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72"/>
    <w:rPr>
      <w:rFonts w:ascii="Tahoma" w:hAnsi="Tahoma" w:cs="Tahoma"/>
      <w:sz w:val="16"/>
      <w:szCs w:val="16"/>
    </w:rPr>
  </w:style>
  <w:style w:type="character" w:customStyle="1" w:styleId="Heading3Char">
    <w:name w:val="Heading 3 Char"/>
    <w:aliases w:val="Subheading Char"/>
    <w:basedOn w:val="DefaultParagraphFont"/>
    <w:link w:val="Heading3"/>
    <w:uiPriority w:val="9"/>
    <w:rsid w:val="00781EE3"/>
    <w:rPr>
      <w:rFonts w:ascii="Calibri" w:eastAsia="Times New Roman" w:hAnsi="Calibri" w:cs="Times New Roman"/>
      <w:i/>
      <w:color w:val="3D4B67"/>
      <w:sz w:val="24"/>
      <w:szCs w:val="20"/>
      <w:lang w:eastAsia="en-AU"/>
    </w:rPr>
  </w:style>
  <w:style w:type="paragraph" w:customStyle="1" w:styleId="Normalnumbered">
    <w:name w:val="Normal numbered"/>
    <w:basedOn w:val="Normal"/>
    <w:rsid w:val="0035355F"/>
    <w:pPr>
      <w:numPr>
        <w:numId w:val="1"/>
      </w:numPr>
      <w:spacing w:after="0" w:line="240" w:lineRule="auto"/>
    </w:pPr>
    <w:rPr>
      <w:rFonts w:ascii="Corbel" w:eastAsia="Times New Roman" w:hAnsi="Corbel" w:cs="Times New Roman"/>
      <w:color w:val="000000"/>
      <w:sz w:val="23"/>
      <w:szCs w:val="24"/>
      <w:lang w:eastAsia="en-AU"/>
    </w:rPr>
  </w:style>
  <w:style w:type="paragraph" w:styleId="Title">
    <w:name w:val="Title"/>
    <w:basedOn w:val="Normal"/>
    <w:next w:val="Subtitle"/>
    <w:link w:val="TitleChar"/>
    <w:uiPriority w:val="10"/>
    <w:qFormat/>
    <w:rsid w:val="00985097"/>
    <w:pPr>
      <w:spacing w:after="0" w:line="240" w:lineRule="auto"/>
    </w:pPr>
    <w:rPr>
      <w:rFonts w:ascii="Corbel" w:eastAsia="Times New Roman" w:hAnsi="Corbel" w:cs="Times New Roman"/>
      <w:color w:val="3D4B67"/>
      <w:sz w:val="72"/>
      <w:szCs w:val="48"/>
      <w:lang w:eastAsia="ja-JP"/>
    </w:rPr>
  </w:style>
  <w:style w:type="character" w:customStyle="1" w:styleId="TitleChar">
    <w:name w:val="Title Char"/>
    <w:basedOn w:val="DefaultParagraphFont"/>
    <w:link w:val="Title"/>
    <w:uiPriority w:val="10"/>
    <w:rsid w:val="00985097"/>
    <w:rPr>
      <w:rFonts w:ascii="Corbel" w:eastAsia="Times New Roman" w:hAnsi="Corbel" w:cs="Times New Roman"/>
      <w:color w:val="3D4B67"/>
      <w:sz w:val="72"/>
      <w:szCs w:val="48"/>
      <w:lang w:eastAsia="ja-JP"/>
    </w:rPr>
  </w:style>
  <w:style w:type="paragraph" w:styleId="Subtitle">
    <w:name w:val="Subtitle"/>
    <w:basedOn w:val="Normal"/>
    <w:next w:val="Normal"/>
    <w:link w:val="SubtitleChar"/>
    <w:uiPriority w:val="11"/>
    <w:qFormat/>
    <w:rsid w:val="009850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5097"/>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82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7B6"/>
    <w:rPr>
      <w:sz w:val="20"/>
      <w:szCs w:val="20"/>
    </w:rPr>
  </w:style>
  <w:style w:type="character" w:styleId="FootnoteReference">
    <w:name w:val="footnote reference"/>
    <w:basedOn w:val="DefaultParagraphFont"/>
    <w:uiPriority w:val="99"/>
    <w:semiHidden/>
    <w:unhideWhenUsed/>
    <w:rsid w:val="001827B6"/>
    <w:rPr>
      <w:vertAlign w:val="superscript"/>
    </w:rPr>
  </w:style>
  <w:style w:type="table" w:customStyle="1" w:styleId="TableGrid1">
    <w:name w:val="Table Grid1"/>
    <w:basedOn w:val="TableNormal"/>
    <w:next w:val="TableGrid"/>
    <w:rsid w:val="007E3EFE"/>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C2F5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405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05C7"/>
    <w:rPr>
      <w:sz w:val="20"/>
      <w:szCs w:val="20"/>
    </w:rPr>
  </w:style>
  <w:style w:type="character" w:styleId="EndnoteReference">
    <w:name w:val="endnote reference"/>
    <w:basedOn w:val="DefaultParagraphFont"/>
    <w:uiPriority w:val="99"/>
    <w:semiHidden/>
    <w:unhideWhenUsed/>
    <w:rsid w:val="001405C7"/>
    <w:rPr>
      <w:vertAlign w:val="superscript"/>
    </w:rPr>
  </w:style>
  <w:style w:type="character" w:styleId="CommentReference">
    <w:name w:val="annotation reference"/>
    <w:basedOn w:val="DefaultParagraphFont"/>
    <w:uiPriority w:val="99"/>
    <w:semiHidden/>
    <w:unhideWhenUsed/>
    <w:rsid w:val="00D61472"/>
    <w:rPr>
      <w:sz w:val="16"/>
      <w:szCs w:val="16"/>
    </w:rPr>
  </w:style>
  <w:style w:type="paragraph" w:styleId="CommentText">
    <w:name w:val="annotation text"/>
    <w:basedOn w:val="Normal"/>
    <w:link w:val="CommentTextChar"/>
    <w:uiPriority w:val="99"/>
    <w:semiHidden/>
    <w:unhideWhenUsed/>
    <w:rsid w:val="00D61472"/>
    <w:pPr>
      <w:spacing w:line="240" w:lineRule="auto"/>
    </w:pPr>
    <w:rPr>
      <w:sz w:val="20"/>
      <w:szCs w:val="20"/>
    </w:rPr>
  </w:style>
  <w:style w:type="character" w:customStyle="1" w:styleId="CommentTextChar">
    <w:name w:val="Comment Text Char"/>
    <w:basedOn w:val="DefaultParagraphFont"/>
    <w:link w:val="CommentText"/>
    <w:uiPriority w:val="99"/>
    <w:semiHidden/>
    <w:rsid w:val="00D61472"/>
    <w:rPr>
      <w:sz w:val="20"/>
      <w:szCs w:val="20"/>
    </w:rPr>
  </w:style>
  <w:style w:type="paragraph" w:styleId="CommentSubject">
    <w:name w:val="annotation subject"/>
    <w:basedOn w:val="CommentText"/>
    <w:next w:val="CommentText"/>
    <w:link w:val="CommentSubjectChar"/>
    <w:uiPriority w:val="99"/>
    <w:semiHidden/>
    <w:unhideWhenUsed/>
    <w:rsid w:val="00D61472"/>
    <w:rPr>
      <w:b/>
      <w:bCs/>
    </w:rPr>
  </w:style>
  <w:style w:type="character" w:customStyle="1" w:styleId="CommentSubjectChar">
    <w:name w:val="Comment Subject Char"/>
    <w:basedOn w:val="CommentTextChar"/>
    <w:link w:val="CommentSubject"/>
    <w:uiPriority w:val="99"/>
    <w:semiHidden/>
    <w:rsid w:val="00D61472"/>
    <w:rPr>
      <w:b/>
      <w:bCs/>
      <w:sz w:val="20"/>
      <w:szCs w:val="20"/>
    </w:rPr>
  </w:style>
  <w:style w:type="table" w:customStyle="1" w:styleId="TableGrid3">
    <w:name w:val="Table Grid3"/>
    <w:basedOn w:val="TableNormal"/>
    <w:next w:val="TableGrid"/>
    <w:uiPriority w:val="59"/>
    <w:rsid w:val="003F6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45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45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45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45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E7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42F91"/>
    <w:pPr>
      <w:spacing w:after="0" w:line="240" w:lineRule="auto"/>
    </w:pPr>
  </w:style>
  <w:style w:type="paragraph" w:customStyle="1" w:styleId="Default">
    <w:name w:val="Default"/>
    <w:rsid w:val="00442F91"/>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rsid w:val="00442F91"/>
    <w:rPr>
      <w:rFonts w:ascii="Calibri" w:eastAsia="Calibri" w:hAnsi="Calibri" w:cs="Calibri"/>
      <w:color w:val="000000"/>
      <w:szCs w:val="24"/>
      <w:lang w:val="en-US" w:eastAsia="ja-JP"/>
    </w:rPr>
  </w:style>
  <w:style w:type="table" w:customStyle="1" w:styleId="TableGrid9">
    <w:name w:val="Table Grid9"/>
    <w:basedOn w:val="TableNormal"/>
    <w:next w:val="TableGrid"/>
    <w:uiPriority w:val="59"/>
    <w:rsid w:val="00214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716B4"/>
    <w:rPr>
      <w:color w:val="800080"/>
      <w:u w:val="single"/>
    </w:rPr>
  </w:style>
  <w:style w:type="paragraph" w:customStyle="1" w:styleId="xl66">
    <w:name w:val="xl66"/>
    <w:basedOn w:val="Normal"/>
    <w:rsid w:val="006716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716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716B4"/>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69">
    <w:name w:val="xl69"/>
    <w:basedOn w:val="Normal"/>
    <w:rsid w:val="006716B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716B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716B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72">
    <w:name w:val="xl72"/>
    <w:basedOn w:val="Normal"/>
    <w:rsid w:val="006716B4"/>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716B4"/>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74">
    <w:name w:val="xl74"/>
    <w:basedOn w:val="Normal"/>
    <w:rsid w:val="006716B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716B4"/>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76">
    <w:name w:val="xl76"/>
    <w:basedOn w:val="Normal"/>
    <w:rsid w:val="006716B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7">
    <w:name w:val="xl77"/>
    <w:basedOn w:val="Normal"/>
    <w:rsid w:val="006716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8">
    <w:name w:val="xl78"/>
    <w:basedOn w:val="Normal"/>
    <w:rsid w:val="006716B4"/>
    <w:pPr>
      <w:spacing w:before="100" w:beforeAutospacing="1" w:after="100" w:afterAutospacing="1" w:line="240" w:lineRule="auto"/>
    </w:pPr>
    <w:rPr>
      <w:rFonts w:ascii="Times New Roman" w:eastAsia="Times New Roman" w:hAnsi="Times New Roman" w:cs="Times New Roman"/>
      <w:sz w:val="36"/>
      <w:szCs w:val="36"/>
      <w:lang w:eastAsia="en-AU"/>
    </w:rPr>
  </w:style>
  <w:style w:type="paragraph" w:customStyle="1" w:styleId="xl79">
    <w:name w:val="xl79"/>
    <w:basedOn w:val="Normal"/>
    <w:rsid w:val="006716B4"/>
    <w:pPr>
      <w:spacing w:before="100" w:beforeAutospacing="1" w:after="100" w:afterAutospacing="1" w:line="240" w:lineRule="auto"/>
    </w:pPr>
    <w:rPr>
      <w:rFonts w:ascii="Times New Roman" w:eastAsia="Times New Roman" w:hAnsi="Times New Roman" w:cs="Times New Roman"/>
      <w:color w:val="00B050"/>
      <w:sz w:val="36"/>
      <w:szCs w:val="36"/>
      <w:lang w:eastAsia="en-AU"/>
    </w:rPr>
  </w:style>
  <w:style w:type="paragraph" w:customStyle="1" w:styleId="xl80">
    <w:name w:val="xl80"/>
    <w:basedOn w:val="Normal"/>
    <w:rsid w:val="006716B4"/>
    <w:pPr>
      <w:spacing w:before="100" w:beforeAutospacing="1" w:after="100" w:afterAutospacing="1" w:line="240" w:lineRule="auto"/>
    </w:pPr>
    <w:rPr>
      <w:rFonts w:ascii="Times New Roman" w:eastAsia="Times New Roman" w:hAnsi="Times New Roman" w:cs="Times New Roman"/>
      <w:color w:val="FF0000"/>
      <w:sz w:val="36"/>
      <w:szCs w:val="36"/>
      <w:lang w:eastAsia="en-AU"/>
    </w:rPr>
  </w:style>
  <w:style w:type="paragraph" w:customStyle="1" w:styleId="xl81">
    <w:name w:val="xl81"/>
    <w:basedOn w:val="Normal"/>
    <w:rsid w:val="006716B4"/>
    <w:pPr>
      <w:spacing w:before="100" w:beforeAutospacing="1" w:after="100" w:afterAutospacing="1" w:line="240" w:lineRule="auto"/>
    </w:pPr>
    <w:rPr>
      <w:rFonts w:ascii="Times New Roman" w:eastAsia="Times New Roman" w:hAnsi="Times New Roman" w:cs="Times New Roman"/>
      <w:color w:val="FF0000"/>
      <w:sz w:val="36"/>
      <w:szCs w:val="36"/>
      <w:lang w:eastAsia="en-AU"/>
    </w:rPr>
  </w:style>
  <w:style w:type="paragraph" w:customStyle="1" w:styleId="xl82">
    <w:name w:val="xl82"/>
    <w:basedOn w:val="Normal"/>
    <w:rsid w:val="006716B4"/>
    <w:pPr>
      <w:spacing w:before="100" w:beforeAutospacing="1" w:after="100" w:afterAutospacing="1" w:line="240" w:lineRule="auto"/>
    </w:pPr>
    <w:rPr>
      <w:rFonts w:ascii="Times New Roman" w:eastAsia="Times New Roman" w:hAnsi="Times New Roman" w:cs="Times New Roman"/>
      <w:color w:val="00B050"/>
      <w:sz w:val="24"/>
      <w:szCs w:val="24"/>
      <w:lang w:eastAsia="en-AU"/>
    </w:rPr>
  </w:style>
  <w:style w:type="paragraph" w:customStyle="1" w:styleId="xl83">
    <w:name w:val="xl83"/>
    <w:basedOn w:val="Normal"/>
    <w:rsid w:val="006716B4"/>
    <w:pPr>
      <w:spacing w:before="100" w:beforeAutospacing="1" w:after="100" w:afterAutospacing="1" w:line="240" w:lineRule="auto"/>
    </w:pPr>
    <w:rPr>
      <w:rFonts w:ascii="Times New Roman" w:eastAsia="Times New Roman" w:hAnsi="Times New Roman" w:cs="Times New Roman"/>
      <w:color w:val="00B050"/>
      <w:sz w:val="24"/>
      <w:szCs w:val="24"/>
      <w:lang w:eastAsia="en-AU"/>
    </w:rPr>
  </w:style>
  <w:style w:type="paragraph" w:customStyle="1" w:styleId="xl84">
    <w:name w:val="xl84"/>
    <w:basedOn w:val="Normal"/>
    <w:rsid w:val="006716B4"/>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xl85">
    <w:name w:val="xl85"/>
    <w:basedOn w:val="Normal"/>
    <w:rsid w:val="006716B4"/>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xl86">
    <w:name w:val="xl86"/>
    <w:basedOn w:val="Normal"/>
    <w:rsid w:val="00107BB9"/>
    <w:pPr>
      <w:spacing w:before="100" w:beforeAutospacing="1" w:after="100" w:afterAutospacing="1" w:line="240" w:lineRule="auto"/>
    </w:pPr>
    <w:rPr>
      <w:rFonts w:ascii="Times New Roman" w:eastAsia="Times New Roman" w:hAnsi="Times New Roman" w:cs="Times New Roman"/>
      <w:sz w:val="18"/>
      <w:szCs w:val="18"/>
      <w:lang w:eastAsia="en-AU"/>
    </w:rPr>
  </w:style>
  <w:style w:type="paragraph" w:customStyle="1" w:styleId="xl87">
    <w:name w:val="xl87"/>
    <w:basedOn w:val="Normal"/>
    <w:rsid w:val="00107BB9"/>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n-AU"/>
    </w:rPr>
  </w:style>
  <w:style w:type="paragraph" w:customStyle="1" w:styleId="xl88">
    <w:name w:val="xl88"/>
    <w:basedOn w:val="Normal"/>
    <w:rsid w:val="00107BB9"/>
    <w:pP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en-AU"/>
    </w:rPr>
  </w:style>
  <w:style w:type="paragraph" w:customStyle="1" w:styleId="xl89">
    <w:name w:val="xl89"/>
    <w:basedOn w:val="Normal"/>
    <w:rsid w:val="00107BB9"/>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n-AU"/>
    </w:rPr>
  </w:style>
  <w:style w:type="character" w:customStyle="1" w:styleId="Heading1Char">
    <w:name w:val="Heading 1 Char"/>
    <w:aliases w:val="Title 1 Char"/>
    <w:basedOn w:val="DefaultParagraphFont"/>
    <w:link w:val="Heading1"/>
    <w:uiPriority w:val="9"/>
    <w:rsid w:val="00781EE3"/>
    <w:rPr>
      <w:rFonts w:ascii="Calibri" w:eastAsiaTheme="majorEastAsia" w:hAnsi="Calibr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64AC4"/>
    <w:pPr>
      <w:outlineLvl w:val="9"/>
    </w:pPr>
    <w:rPr>
      <w:lang w:val="en-US" w:eastAsia="ja-JP"/>
    </w:rPr>
  </w:style>
  <w:style w:type="paragraph" w:styleId="TOC3">
    <w:name w:val="toc 3"/>
    <w:basedOn w:val="Normal"/>
    <w:next w:val="Normal"/>
    <w:autoRedefine/>
    <w:uiPriority w:val="39"/>
    <w:unhideWhenUsed/>
    <w:rsid w:val="00F64AC4"/>
    <w:pPr>
      <w:spacing w:after="100"/>
      <w:ind w:left="440"/>
    </w:pPr>
  </w:style>
  <w:style w:type="character" w:customStyle="1" w:styleId="Heading2Char">
    <w:name w:val="Heading 2 Char"/>
    <w:aliases w:val="Headings Char"/>
    <w:basedOn w:val="DefaultParagraphFont"/>
    <w:link w:val="Heading2"/>
    <w:uiPriority w:val="9"/>
    <w:rsid w:val="00781EE3"/>
    <w:rPr>
      <w:rFonts w:ascii="Calibri" w:eastAsiaTheme="majorEastAsia" w:hAnsi="Calibri" w:cstheme="majorBidi"/>
      <w:b/>
      <w:bCs/>
      <w:color w:val="4F81BD" w:themeColor="accent1"/>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EE3"/>
    <w:rPr>
      <w:rFonts w:ascii="Calibri" w:hAnsi="Calibri"/>
    </w:rPr>
  </w:style>
  <w:style w:type="paragraph" w:styleId="Heading1">
    <w:name w:val="heading 1"/>
    <w:aliases w:val="Title 1"/>
    <w:basedOn w:val="Normal"/>
    <w:next w:val="Normal"/>
    <w:link w:val="Heading1Char"/>
    <w:uiPriority w:val="9"/>
    <w:qFormat/>
    <w:rsid w:val="00781EE3"/>
    <w:pPr>
      <w:keepNext/>
      <w:keepLines/>
      <w:spacing w:before="480" w:after="0"/>
      <w:outlineLvl w:val="0"/>
    </w:pPr>
    <w:rPr>
      <w:rFonts w:eastAsiaTheme="majorEastAsia" w:cstheme="majorBidi"/>
      <w:b/>
      <w:bCs/>
      <w:color w:val="365F91" w:themeColor="accent1" w:themeShade="BF"/>
      <w:sz w:val="28"/>
      <w:szCs w:val="28"/>
    </w:rPr>
  </w:style>
  <w:style w:type="paragraph" w:styleId="Heading2">
    <w:name w:val="heading 2"/>
    <w:aliases w:val="Headings"/>
    <w:basedOn w:val="Normal"/>
    <w:next w:val="Normal"/>
    <w:link w:val="Heading2Char"/>
    <w:uiPriority w:val="9"/>
    <w:unhideWhenUsed/>
    <w:qFormat/>
    <w:rsid w:val="00781EE3"/>
    <w:pPr>
      <w:keepNext/>
      <w:keepLines/>
      <w:spacing w:before="200" w:after="0"/>
      <w:outlineLvl w:val="1"/>
    </w:pPr>
    <w:rPr>
      <w:rFonts w:eastAsiaTheme="majorEastAsia" w:cstheme="majorBidi"/>
      <w:b/>
      <w:bCs/>
      <w:color w:val="4F81BD" w:themeColor="accent1"/>
      <w:sz w:val="24"/>
      <w:szCs w:val="26"/>
    </w:rPr>
  </w:style>
  <w:style w:type="paragraph" w:styleId="Heading3">
    <w:name w:val="heading 3"/>
    <w:aliases w:val="Subheading"/>
    <w:basedOn w:val="Normal"/>
    <w:next w:val="Normal"/>
    <w:link w:val="Heading3Char"/>
    <w:uiPriority w:val="9"/>
    <w:unhideWhenUsed/>
    <w:qFormat/>
    <w:rsid w:val="00781EE3"/>
    <w:pPr>
      <w:keepNext/>
      <w:spacing w:before="240" w:after="240" w:line="240" w:lineRule="auto"/>
      <w:outlineLvl w:val="2"/>
    </w:pPr>
    <w:rPr>
      <w:rFonts w:eastAsia="Times New Roman" w:cs="Times New Roman"/>
      <w:i/>
      <w:color w:val="3D4B67"/>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BCC"/>
    <w:pPr>
      <w:ind w:left="720"/>
      <w:contextualSpacing/>
    </w:pPr>
  </w:style>
  <w:style w:type="table" w:styleId="TableGrid">
    <w:name w:val="Table Grid"/>
    <w:basedOn w:val="TableNormal"/>
    <w:uiPriority w:val="59"/>
    <w:rsid w:val="00D02A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415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5D5"/>
  </w:style>
  <w:style w:type="paragraph" w:styleId="Footer">
    <w:name w:val="footer"/>
    <w:basedOn w:val="Normal"/>
    <w:link w:val="FooterChar"/>
    <w:uiPriority w:val="99"/>
    <w:unhideWhenUsed/>
    <w:rsid w:val="00A415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5D5"/>
  </w:style>
  <w:style w:type="character" w:styleId="Hyperlink">
    <w:name w:val="Hyperlink"/>
    <w:basedOn w:val="DefaultParagraphFont"/>
    <w:uiPriority w:val="99"/>
    <w:unhideWhenUsed/>
    <w:rsid w:val="00841E5A"/>
    <w:rPr>
      <w:color w:val="0000FF" w:themeColor="hyperlink"/>
      <w:u w:val="single"/>
    </w:rPr>
  </w:style>
  <w:style w:type="paragraph" w:styleId="BalloonText">
    <w:name w:val="Balloon Text"/>
    <w:basedOn w:val="Normal"/>
    <w:link w:val="BalloonTextChar"/>
    <w:uiPriority w:val="99"/>
    <w:semiHidden/>
    <w:unhideWhenUsed/>
    <w:rsid w:val="008D59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972"/>
    <w:rPr>
      <w:rFonts w:ascii="Tahoma" w:hAnsi="Tahoma" w:cs="Tahoma"/>
      <w:sz w:val="16"/>
      <w:szCs w:val="16"/>
    </w:rPr>
  </w:style>
  <w:style w:type="character" w:customStyle="1" w:styleId="Heading3Char">
    <w:name w:val="Heading 3 Char"/>
    <w:aliases w:val="Subheading Char"/>
    <w:basedOn w:val="DefaultParagraphFont"/>
    <w:link w:val="Heading3"/>
    <w:uiPriority w:val="9"/>
    <w:rsid w:val="00781EE3"/>
    <w:rPr>
      <w:rFonts w:ascii="Calibri" w:eastAsia="Times New Roman" w:hAnsi="Calibri" w:cs="Times New Roman"/>
      <w:i/>
      <w:color w:val="3D4B67"/>
      <w:sz w:val="24"/>
      <w:szCs w:val="20"/>
      <w:lang w:eastAsia="en-AU"/>
    </w:rPr>
  </w:style>
  <w:style w:type="paragraph" w:customStyle="1" w:styleId="Normalnumbered">
    <w:name w:val="Normal numbered"/>
    <w:basedOn w:val="Normal"/>
    <w:rsid w:val="0035355F"/>
    <w:pPr>
      <w:numPr>
        <w:numId w:val="1"/>
      </w:numPr>
      <w:spacing w:after="0" w:line="240" w:lineRule="auto"/>
    </w:pPr>
    <w:rPr>
      <w:rFonts w:ascii="Corbel" w:eastAsia="Times New Roman" w:hAnsi="Corbel" w:cs="Times New Roman"/>
      <w:color w:val="000000"/>
      <w:sz w:val="23"/>
      <w:szCs w:val="24"/>
      <w:lang w:eastAsia="en-AU"/>
    </w:rPr>
  </w:style>
  <w:style w:type="paragraph" w:styleId="Title">
    <w:name w:val="Title"/>
    <w:basedOn w:val="Normal"/>
    <w:next w:val="Subtitle"/>
    <w:link w:val="TitleChar"/>
    <w:uiPriority w:val="10"/>
    <w:qFormat/>
    <w:rsid w:val="00985097"/>
    <w:pPr>
      <w:spacing w:after="0" w:line="240" w:lineRule="auto"/>
    </w:pPr>
    <w:rPr>
      <w:rFonts w:ascii="Corbel" w:eastAsia="Times New Roman" w:hAnsi="Corbel" w:cs="Times New Roman"/>
      <w:color w:val="3D4B67"/>
      <w:sz w:val="72"/>
      <w:szCs w:val="48"/>
      <w:lang w:eastAsia="ja-JP"/>
    </w:rPr>
  </w:style>
  <w:style w:type="character" w:customStyle="1" w:styleId="TitleChar">
    <w:name w:val="Title Char"/>
    <w:basedOn w:val="DefaultParagraphFont"/>
    <w:link w:val="Title"/>
    <w:uiPriority w:val="10"/>
    <w:rsid w:val="00985097"/>
    <w:rPr>
      <w:rFonts w:ascii="Corbel" w:eastAsia="Times New Roman" w:hAnsi="Corbel" w:cs="Times New Roman"/>
      <w:color w:val="3D4B67"/>
      <w:sz w:val="72"/>
      <w:szCs w:val="48"/>
      <w:lang w:eastAsia="ja-JP"/>
    </w:rPr>
  </w:style>
  <w:style w:type="paragraph" w:styleId="Subtitle">
    <w:name w:val="Subtitle"/>
    <w:basedOn w:val="Normal"/>
    <w:next w:val="Normal"/>
    <w:link w:val="SubtitleChar"/>
    <w:uiPriority w:val="11"/>
    <w:qFormat/>
    <w:rsid w:val="00985097"/>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985097"/>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uiPriority w:val="99"/>
    <w:semiHidden/>
    <w:unhideWhenUsed/>
    <w:rsid w:val="001827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27B6"/>
    <w:rPr>
      <w:sz w:val="20"/>
      <w:szCs w:val="20"/>
    </w:rPr>
  </w:style>
  <w:style w:type="character" w:styleId="FootnoteReference">
    <w:name w:val="footnote reference"/>
    <w:basedOn w:val="DefaultParagraphFont"/>
    <w:uiPriority w:val="99"/>
    <w:semiHidden/>
    <w:unhideWhenUsed/>
    <w:rsid w:val="001827B6"/>
    <w:rPr>
      <w:vertAlign w:val="superscript"/>
    </w:rPr>
  </w:style>
  <w:style w:type="table" w:customStyle="1" w:styleId="TableGrid1">
    <w:name w:val="Table Grid1"/>
    <w:basedOn w:val="TableNormal"/>
    <w:next w:val="TableGrid"/>
    <w:rsid w:val="007E3EFE"/>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rsid w:val="001C2F5D"/>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1405C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05C7"/>
    <w:rPr>
      <w:sz w:val="20"/>
      <w:szCs w:val="20"/>
    </w:rPr>
  </w:style>
  <w:style w:type="character" w:styleId="EndnoteReference">
    <w:name w:val="endnote reference"/>
    <w:basedOn w:val="DefaultParagraphFont"/>
    <w:uiPriority w:val="99"/>
    <w:semiHidden/>
    <w:unhideWhenUsed/>
    <w:rsid w:val="001405C7"/>
    <w:rPr>
      <w:vertAlign w:val="superscript"/>
    </w:rPr>
  </w:style>
  <w:style w:type="character" w:styleId="CommentReference">
    <w:name w:val="annotation reference"/>
    <w:basedOn w:val="DefaultParagraphFont"/>
    <w:uiPriority w:val="99"/>
    <w:semiHidden/>
    <w:unhideWhenUsed/>
    <w:rsid w:val="00D61472"/>
    <w:rPr>
      <w:sz w:val="16"/>
      <w:szCs w:val="16"/>
    </w:rPr>
  </w:style>
  <w:style w:type="paragraph" w:styleId="CommentText">
    <w:name w:val="annotation text"/>
    <w:basedOn w:val="Normal"/>
    <w:link w:val="CommentTextChar"/>
    <w:uiPriority w:val="99"/>
    <w:semiHidden/>
    <w:unhideWhenUsed/>
    <w:rsid w:val="00D61472"/>
    <w:pPr>
      <w:spacing w:line="240" w:lineRule="auto"/>
    </w:pPr>
    <w:rPr>
      <w:sz w:val="20"/>
      <w:szCs w:val="20"/>
    </w:rPr>
  </w:style>
  <w:style w:type="character" w:customStyle="1" w:styleId="CommentTextChar">
    <w:name w:val="Comment Text Char"/>
    <w:basedOn w:val="DefaultParagraphFont"/>
    <w:link w:val="CommentText"/>
    <w:uiPriority w:val="99"/>
    <w:semiHidden/>
    <w:rsid w:val="00D61472"/>
    <w:rPr>
      <w:sz w:val="20"/>
      <w:szCs w:val="20"/>
    </w:rPr>
  </w:style>
  <w:style w:type="paragraph" w:styleId="CommentSubject">
    <w:name w:val="annotation subject"/>
    <w:basedOn w:val="CommentText"/>
    <w:next w:val="CommentText"/>
    <w:link w:val="CommentSubjectChar"/>
    <w:uiPriority w:val="99"/>
    <w:semiHidden/>
    <w:unhideWhenUsed/>
    <w:rsid w:val="00D61472"/>
    <w:rPr>
      <w:b/>
      <w:bCs/>
    </w:rPr>
  </w:style>
  <w:style w:type="character" w:customStyle="1" w:styleId="CommentSubjectChar">
    <w:name w:val="Comment Subject Char"/>
    <w:basedOn w:val="CommentTextChar"/>
    <w:link w:val="CommentSubject"/>
    <w:uiPriority w:val="99"/>
    <w:semiHidden/>
    <w:rsid w:val="00D61472"/>
    <w:rPr>
      <w:b/>
      <w:bCs/>
      <w:sz w:val="20"/>
      <w:szCs w:val="20"/>
    </w:rPr>
  </w:style>
  <w:style w:type="table" w:customStyle="1" w:styleId="TableGrid3">
    <w:name w:val="Table Grid3"/>
    <w:basedOn w:val="TableNormal"/>
    <w:next w:val="TableGrid"/>
    <w:uiPriority w:val="59"/>
    <w:rsid w:val="003F6D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245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245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245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2450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E75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442F91"/>
    <w:pPr>
      <w:spacing w:after="0" w:line="240" w:lineRule="auto"/>
    </w:pPr>
  </w:style>
  <w:style w:type="paragraph" w:customStyle="1" w:styleId="Default">
    <w:name w:val="Default"/>
    <w:rsid w:val="00442F91"/>
    <w:pPr>
      <w:autoSpaceDE w:val="0"/>
      <w:autoSpaceDN w:val="0"/>
      <w:adjustRightInd w:val="0"/>
      <w:spacing w:after="0" w:line="240" w:lineRule="auto"/>
    </w:pPr>
    <w:rPr>
      <w:rFonts w:ascii="Calibri" w:hAnsi="Calibri" w:cs="Calibri"/>
      <w:color w:val="000000"/>
      <w:sz w:val="24"/>
      <w:szCs w:val="24"/>
    </w:rPr>
  </w:style>
  <w:style w:type="paragraph" w:customStyle="1" w:styleId="Normal1">
    <w:name w:val="Normal1"/>
    <w:rsid w:val="00442F91"/>
    <w:rPr>
      <w:rFonts w:ascii="Calibri" w:eastAsia="Calibri" w:hAnsi="Calibri" w:cs="Calibri"/>
      <w:color w:val="000000"/>
      <w:szCs w:val="24"/>
      <w:lang w:val="en-US" w:eastAsia="ja-JP"/>
    </w:rPr>
  </w:style>
  <w:style w:type="table" w:customStyle="1" w:styleId="TableGrid9">
    <w:name w:val="Table Grid9"/>
    <w:basedOn w:val="TableNormal"/>
    <w:next w:val="TableGrid"/>
    <w:uiPriority w:val="59"/>
    <w:rsid w:val="00214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6716B4"/>
    <w:rPr>
      <w:color w:val="800080"/>
      <w:u w:val="single"/>
    </w:rPr>
  </w:style>
  <w:style w:type="paragraph" w:customStyle="1" w:styleId="xl66">
    <w:name w:val="xl66"/>
    <w:basedOn w:val="Normal"/>
    <w:rsid w:val="006716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7">
    <w:name w:val="xl67"/>
    <w:basedOn w:val="Normal"/>
    <w:rsid w:val="006716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68">
    <w:name w:val="xl68"/>
    <w:basedOn w:val="Normal"/>
    <w:rsid w:val="006716B4"/>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69">
    <w:name w:val="xl69"/>
    <w:basedOn w:val="Normal"/>
    <w:rsid w:val="006716B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0">
    <w:name w:val="xl70"/>
    <w:basedOn w:val="Normal"/>
    <w:rsid w:val="006716B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1">
    <w:name w:val="xl71"/>
    <w:basedOn w:val="Normal"/>
    <w:rsid w:val="006716B4"/>
    <w:pPr>
      <w:shd w:val="clear" w:color="000000" w:fill="FFFFFF"/>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72">
    <w:name w:val="xl72"/>
    <w:basedOn w:val="Normal"/>
    <w:rsid w:val="006716B4"/>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3">
    <w:name w:val="xl73"/>
    <w:basedOn w:val="Normal"/>
    <w:rsid w:val="006716B4"/>
    <w:pP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74">
    <w:name w:val="xl74"/>
    <w:basedOn w:val="Normal"/>
    <w:rsid w:val="006716B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6716B4"/>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n-AU"/>
    </w:rPr>
  </w:style>
  <w:style w:type="paragraph" w:customStyle="1" w:styleId="xl76">
    <w:name w:val="xl76"/>
    <w:basedOn w:val="Normal"/>
    <w:rsid w:val="006716B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7">
    <w:name w:val="xl77"/>
    <w:basedOn w:val="Normal"/>
    <w:rsid w:val="006716B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xl78">
    <w:name w:val="xl78"/>
    <w:basedOn w:val="Normal"/>
    <w:rsid w:val="006716B4"/>
    <w:pPr>
      <w:spacing w:before="100" w:beforeAutospacing="1" w:after="100" w:afterAutospacing="1" w:line="240" w:lineRule="auto"/>
    </w:pPr>
    <w:rPr>
      <w:rFonts w:ascii="Times New Roman" w:eastAsia="Times New Roman" w:hAnsi="Times New Roman" w:cs="Times New Roman"/>
      <w:sz w:val="36"/>
      <w:szCs w:val="36"/>
      <w:lang w:eastAsia="en-AU"/>
    </w:rPr>
  </w:style>
  <w:style w:type="paragraph" w:customStyle="1" w:styleId="xl79">
    <w:name w:val="xl79"/>
    <w:basedOn w:val="Normal"/>
    <w:rsid w:val="006716B4"/>
    <w:pPr>
      <w:spacing w:before="100" w:beforeAutospacing="1" w:after="100" w:afterAutospacing="1" w:line="240" w:lineRule="auto"/>
    </w:pPr>
    <w:rPr>
      <w:rFonts w:ascii="Times New Roman" w:eastAsia="Times New Roman" w:hAnsi="Times New Roman" w:cs="Times New Roman"/>
      <w:color w:val="00B050"/>
      <w:sz w:val="36"/>
      <w:szCs w:val="36"/>
      <w:lang w:eastAsia="en-AU"/>
    </w:rPr>
  </w:style>
  <w:style w:type="paragraph" w:customStyle="1" w:styleId="xl80">
    <w:name w:val="xl80"/>
    <w:basedOn w:val="Normal"/>
    <w:rsid w:val="006716B4"/>
    <w:pPr>
      <w:spacing w:before="100" w:beforeAutospacing="1" w:after="100" w:afterAutospacing="1" w:line="240" w:lineRule="auto"/>
    </w:pPr>
    <w:rPr>
      <w:rFonts w:ascii="Times New Roman" w:eastAsia="Times New Roman" w:hAnsi="Times New Roman" w:cs="Times New Roman"/>
      <w:color w:val="FF0000"/>
      <w:sz w:val="36"/>
      <w:szCs w:val="36"/>
      <w:lang w:eastAsia="en-AU"/>
    </w:rPr>
  </w:style>
  <w:style w:type="paragraph" w:customStyle="1" w:styleId="xl81">
    <w:name w:val="xl81"/>
    <w:basedOn w:val="Normal"/>
    <w:rsid w:val="006716B4"/>
    <w:pPr>
      <w:spacing w:before="100" w:beforeAutospacing="1" w:after="100" w:afterAutospacing="1" w:line="240" w:lineRule="auto"/>
    </w:pPr>
    <w:rPr>
      <w:rFonts w:ascii="Times New Roman" w:eastAsia="Times New Roman" w:hAnsi="Times New Roman" w:cs="Times New Roman"/>
      <w:color w:val="FF0000"/>
      <w:sz w:val="36"/>
      <w:szCs w:val="36"/>
      <w:lang w:eastAsia="en-AU"/>
    </w:rPr>
  </w:style>
  <w:style w:type="paragraph" w:customStyle="1" w:styleId="xl82">
    <w:name w:val="xl82"/>
    <w:basedOn w:val="Normal"/>
    <w:rsid w:val="006716B4"/>
    <w:pPr>
      <w:spacing w:before="100" w:beforeAutospacing="1" w:after="100" w:afterAutospacing="1" w:line="240" w:lineRule="auto"/>
    </w:pPr>
    <w:rPr>
      <w:rFonts w:ascii="Times New Roman" w:eastAsia="Times New Roman" w:hAnsi="Times New Roman" w:cs="Times New Roman"/>
      <w:color w:val="00B050"/>
      <w:sz w:val="24"/>
      <w:szCs w:val="24"/>
      <w:lang w:eastAsia="en-AU"/>
    </w:rPr>
  </w:style>
  <w:style w:type="paragraph" w:customStyle="1" w:styleId="xl83">
    <w:name w:val="xl83"/>
    <w:basedOn w:val="Normal"/>
    <w:rsid w:val="006716B4"/>
    <w:pPr>
      <w:spacing w:before="100" w:beforeAutospacing="1" w:after="100" w:afterAutospacing="1" w:line="240" w:lineRule="auto"/>
    </w:pPr>
    <w:rPr>
      <w:rFonts w:ascii="Times New Roman" w:eastAsia="Times New Roman" w:hAnsi="Times New Roman" w:cs="Times New Roman"/>
      <w:color w:val="00B050"/>
      <w:sz w:val="24"/>
      <w:szCs w:val="24"/>
      <w:lang w:eastAsia="en-AU"/>
    </w:rPr>
  </w:style>
  <w:style w:type="paragraph" w:customStyle="1" w:styleId="xl84">
    <w:name w:val="xl84"/>
    <w:basedOn w:val="Normal"/>
    <w:rsid w:val="006716B4"/>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xl85">
    <w:name w:val="xl85"/>
    <w:basedOn w:val="Normal"/>
    <w:rsid w:val="006716B4"/>
    <w:pPr>
      <w:spacing w:before="100" w:beforeAutospacing="1" w:after="100" w:afterAutospacing="1" w:line="240" w:lineRule="auto"/>
    </w:pPr>
    <w:rPr>
      <w:rFonts w:ascii="Times New Roman" w:eastAsia="Times New Roman" w:hAnsi="Times New Roman" w:cs="Times New Roman"/>
      <w:color w:val="FF0000"/>
      <w:sz w:val="24"/>
      <w:szCs w:val="24"/>
      <w:lang w:eastAsia="en-AU"/>
    </w:rPr>
  </w:style>
  <w:style w:type="paragraph" w:customStyle="1" w:styleId="xl86">
    <w:name w:val="xl86"/>
    <w:basedOn w:val="Normal"/>
    <w:rsid w:val="00107BB9"/>
    <w:pPr>
      <w:spacing w:before="100" w:beforeAutospacing="1" w:after="100" w:afterAutospacing="1" w:line="240" w:lineRule="auto"/>
    </w:pPr>
    <w:rPr>
      <w:rFonts w:ascii="Times New Roman" w:eastAsia="Times New Roman" w:hAnsi="Times New Roman" w:cs="Times New Roman"/>
      <w:sz w:val="18"/>
      <w:szCs w:val="18"/>
      <w:lang w:eastAsia="en-AU"/>
    </w:rPr>
  </w:style>
  <w:style w:type="paragraph" w:customStyle="1" w:styleId="xl87">
    <w:name w:val="xl87"/>
    <w:basedOn w:val="Normal"/>
    <w:rsid w:val="00107BB9"/>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n-AU"/>
    </w:rPr>
  </w:style>
  <w:style w:type="paragraph" w:customStyle="1" w:styleId="xl88">
    <w:name w:val="xl88"/>
    <w:basedOn w:val="Normal"/>
    <w:rsid w:val="00107BB9"/>
    <w:pPr>
      <w:shd w:val="clear" w:color="000000" w:fill="FFFFFF"/>
      <w:spacing w:before="100" w:beforeAutospacing="1" w:after="100" w:afterAutospacing="1" w:line="240" w:lineRule="auto"/>
      <w:jc w:val="right"/>
    </w:pPr>
    <w:rPr>
      <w:rFonts w:ascii="Times New Roman" w:eastAsia="Times New Roman" w:hAnsi="Times New Roman" w:cs="Times New Roman"/>
      <w:sz w:val="18"/>
      <w:szCs w:val="18"/>
      <w:lang w:eastAsia="en-AU"/>
    </w:rPr>
  </w:style>
  <w:style w:type="paragraph" w:customStyle="1" w:styleId="xl89">
    <w:name w:val="xl89"/>
    <w:basedOn w:val="Normal"/>
    <w:rsid w:val="00107BB9"/>
    <w:pPr>
      <w:shd w:val="clear" w:color="000000" w:fill="FFFFFF"/>
      <w:spacing w:before="100" w:beforeAutospacing="1" w:after="100" w:afterAutospacing="1" w:line="240" w:lineRule="auto"/>
    </w:pPr>
    <w:rPr>
      <w:rFonts w:ascii="Times New Roman" w:eastAsia="Times New Roman" w:hAnsi="Times New Roman" w:cs="Times New Roman"/>
      <w:sz w:val="18"/>
      <w:szCs w:val="18"/>
      <w:lang w:eastAsia="en-AU"/>
    </w:rPr>
  </w:style>
  <w:style w:type="character" w:customStyle="1" w:styleId="Heading1Char">
    <w:name w:val="Heading 1 Char"/>
    <w:aliases w:val="Title 1 Char"/>
    <w:basedOn w:val="DefaultParagraphFont"/>
    <w:link w:val="Heading1"/>
    <w:uiPriority w:val="9"/>
    <w:rsid w:val="00781EE3"/>
    <w:rPr>
      <w:rFonts w:ascii="Calibri" w:eastAsiaTheme="majorEastAsia" w:hAnsi="Calibr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64AC4"/>
    <w:pPr>
      <w:outlineLvl w:val="9"/>
    </w:pPr>
    <w:rPr>
      <w:lang w:val="en-US" w:eastAsia="ja-JP"/>
    </w:rPr>
  </w:style>
  <w:style w:type="paragraph" w:styleId="TOC3">
    <w:name w:val="toc 3"/>
    <w:basedOn w:val="Normal"/>
    <w:next w:val="Normal"/>
    <w:autoRedefine/>
    <w:uiPriority w:val="39"/>
    <w:unhideWhenUsed/>
    <w:rsid w:val="00F64AC4"/>
    <w:pPr>
      <w:spacing w:after="100"/>
      <w:ind w:left="440"/>
    </w:pPr>
  </w:style>
  <w:style w:type="character" w:customStyle="1" w:styleId="Heading2Char">
    <w:name w:val="Heading 2 Char"/>
    <w:aliases w:val="Headings Char"/>
    <w:basedOn w:val="DefaultParagraphFont"/>
    <w:link w:val="Heading2"/>
    <w:uiPriority w:val="9"/>
    <w:rsid w:val="00781EE3"/>
    <w:rPr>
      <w:rFonts w:ascii="Calibri" w:eastAsiaTheme="majorEastAsia" w:hAnsi="Calibri" w:cstheme="majorBidi"/>
      <w:b/>
      <w:bCs/>
      <w:color w:val="4F81BD" w:themeColor="accent1"/>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822">
      <w:bodyDiv w:val="1"/>
      <w:marLeft w:val="0"/>
      <w:marRight w:val="0"/>
      <w:marTop w:val="0"/>
      <w:marBottom w:val="0"/>
      <w:divBdr>
        <w:top w:val="none" w:sz="0" w:space="0" w:color="auto"/>
        <w:left w:val="none" w:sz="0" w:space="0" w:color="auto"/>
        <w:bottom w:val="none" w:sz="0" w:space="0" w:color="auto"/>
        <w:right w:val="none" w:sz="0" w:space="0" w:color="auto"/>
      </w:divBdr>
    </w:div>
    <w:div w:id="16126866">
      <w:bodyDiv w:val="1"/>
      <w:marLeft w:val="0"/>
      <w:marRight w:val="0"/>
      <w:marTop w:val="0"/>
      <w:marBottom w:val="0"/>
      <w:divBdr>
        <w:top w:val="none" w:sz="0" w:space="0" w:color="auto"/>
        <w:left w:val="none" w:sz="0" w:space="0" w:color="auto"/>
        <w:bottom w:val="none" w:sz="0" w:space="0" w:color="auto"/>
        <w:right w:val="none" w:sz="0" w:space="0" w:color="auto"/>
      </w:divBdr>
    </w:div>
    <w:div w:id="23290095">
      <w:bodyDiv w:val="1"/>
      <w:marLeft w:val="0"/>
      <w:marRight w:val="0"/>
      <w:marTop w:val="0"/>
      <w:marBottom w:val="0"/>
      <w:divBdr>
        <w:top w:val="none" w:sz="0" w:space="0" w:color="auto"/>
        <w:left w:val="none" w:sz="0" w:space="0" w:color="auto"/>
        <w:bottom w:val="none" w:sz="0" w:space="0" w:color="auto"/>
        <w:right w:val="none" w:sz="0" w:space="0" w:color="auto"/>
      </w:divBdr>
    </w:div>
    <w:div w:id="74401212">
      <w:bodyDiv w:val="1"/>
      <w:marLeft w:val="0"/>
      <w:marRight w:val="0"/>
      <w:marTop w:val="0"/>
      <w:marBottom w:val="0"/>
      <w:divBdr>
        <w:top w:val="none" w:sz="0" w:space="0" w:color="auto"/>
        <w:left w:val="none" w:sz="0" w:space="0" w:color="auto"/>
        <w:bottom w:val="none" w:sz="0" w:space="0" w:color="auto"/>
        <w:right w:val="none" w:sz="0" w:space="0" w:color="auto"/>
      </w:divBdr>
    </w:div>
    <w:div w:id="91439011">
      <w:bodyDiv w:val="1"/>
      <w:marLeft w:val="0"/>
      <w:marRight w:val="0"/>
      <w:marTop w:val="0"/>
      <w:marBottom w:val="0"/>
      <w:divBdr>
        <w:top w:val="none" w:sz="0" w:space="0" w:color="auto"/>
        <w:left w:val="none" w:sz="0" w:space="0" w:color="auto"/>
        <w:bottom w:val="none" w:sz="0" w:space="0" w:color="auto"/>
        <w:right w:val="none" w:sz="0" w:space="0" w:color="auto"/>
      </w:divBdr>
    </w:div>
    <w:div w:id="91979759">
      <w:bodyDiv w:val="1"/>
      <w:marLeft w:val="0"/>
      <w:marRight w:val="0"/>
      <w:marTop w:val="0"/>
      <w:marBottom w:val="0"/>
      <w:divBdr>
        <w:top w:val="none" w:sz="0" w:space="0" w:color="auto"/>
        <w:left w:val="none" w:sz="0" w:space="0" w:color="auto"/>
        <w:bottom w:val="none" w:sz="0" w:space="0" w:color="auto"/>
        <w:right w:val="none" w:sz="0" w:space="0" w:color="auto"/>
      </w:divBdr>
    </w:div>
    <w:div w:id="103812810">
      <w:bodyDiv w:val="1"/>
      <w:marLeft w:val="0"/>
      <w:marRight w:val="0"/>
      <w:marTop w:val="0"/>
      <w:marBottom w:val="0"/>
      <w:divBdr>
        <w:top w:val="none" w:sz="0" w:space="0" w:color="auto"/>
        <w:left w:val="none" w:sz="0" w:space="0" w:color="auto"/>
        <w:bottom w:val="none" w:sz="0" w:space="0" w:color="auto"/>
        <w:right w:val="none" w:sz="0" w:space="0" w:color="auto"/>
      </w:divBdr>
    </w:div>
    <w:div w:id="116217452">
      <w:bodyDiv w:val="1"/>
      <w:marLeft w:val="0"/>
      <w:marRight w:val="0"/>
      <w:marTop w:val="0"/>
      <w:marBottom w:val="0"/>
      <w:divBdr>
        <w:top w:val="none" w:sz="0" w:space="0" w:color="auto"/>
        <w:left w:val="none" w:sz="0" w:space="0" w:color="auto"/>
        <w:bottom w:val="none" w:sz="0" w:space="0" w:color="auto"/>
        <w:right w:val="none" w:sz="0" w:space="0" w:color="auto"/>
      </w:divBdr>
    </w:div>
    <w:div w:id="146629512">
      <w:bodyDiv w:val="1"/>
      <w:marLeft w:val="0"/>
      <w:marRight w:val="0"/>
      <w:marTop w:val="0"/>
      <w:marBottom w:val="0"/>
      <w:divBdr>
        <w:top w:val="none" w:sz="0" w:space="0" w:color="auto"/>
        <w:left w:val="none" w:sz="0" w:space="0" w:color="auto"/>
        <w:bottom w:val="none" w:sz="0" w:space="0" w:color="auto"/>
        <w:right w:val="none" w:sz="0" w:space="0" w:color="auto"/>
      </w:divBdr>
    </w:div>
    <w:div w:id="189419283">
      <w:bodyDiv w:val="1"/>
      <w:marLeft w:val="0"/>
      <w:marRight w:val="0"/>
      <w:marTop w:val="0"/>
      <w:marBottom w:val="0"/>
      <w:divBdr>
        <w:top w:val="none" w:sz="0" w:space="0" w:color="auto"/>
        <w:left w:val="none" w:sz="0" w:space="0" w:color="auto"/>
        <w:bottom w:val="none" w:sz="0" w:space="0" w:color="auto"/>
        <w:right w:val="none" w:sz="0" w:space="0" w:color="auto"/>
      </w:divBdr>
    </w:div>
    <w:div w:id="280844558">
      <w:bodyDiv w:val="1"/>
      <w:marLeft w:val="0"/>
      <w:marRight w:val="0"/>
      <w:marTop w:val="0"/>
      <w:marBottom w:val="0"/>
      <w:divBdr>
        <w:top w:val="none" w:sz="0" w:space="0" w:color="auto"/>
        <w:left w:val="none" w:sz="0" w:space="0" w:color="auto"/>
        <w:bottom w:val="none" w:sz="0" w:space="0" w:color="auto"/>
        <w:right w:val="none" w:sz="0" w:space="0" w:color="auto"/>
      </w:divBdr>
    </w:div>
    <w:div w:id="287669418">
      <w:bodyDiv w:val="1"/>
      <w:marLeft w:val="0"/>
      <w:marRight w:val="0"/>
      <w:marTop w:val="0"/>
      <w:marBottom w:val="0"/>
      <w:divBdr>
        <w:top w:val="none" w:sz="0" w:space="0" w:color="auto"/>
        <w:left w:val="none" w:sz="0" w:space="0" w:color="auto"/>
        <w:bottom w:val="none" w:sz="0" w:space="0" w:color="auto"/>
        <w:right w:val="none" w:sz="0" w:space="0" w:color="auto"/>
      </w:divBdr>
    </w:div>
    <w:div w:id="303699105">
      <w:bodyDiv w:val="1"/>
      <w:marLeft w:val="0"/>
      <w:marRight w:val="0"/>
      <w:marTop w:val="0"/>
      <w:marBottom w:val="0"/>
      <w:divBdr>
        <w:top w:val="none" w:sz="0" w:space="0" w:color="auto"/>
        <w:left w:val="none" w:sz="0" w:space="0" w:color="auto"/>
        <w:bottom w:val="none" w:sz="0" w:space="0" w:color="auto"/>
        <w:right w:val="none" w:sz="0" w:space="0" w:color="auto"/>
      </w:divBdr>
    </w:div>
    <w:div w:id="307133737">
      <w:bodyDiv w:val="1"/>
      <w:marLeft w:val="0"/>
      <w:marRight w:val="0"/>
      <w:marTop w:val="0"/>
      <w:marBottom w:val="0"/>
      <w:divBdr>
        <w:top w:val="none" w:sz="0" w:space="0" w:color="auto"/>
        <w:left w:val="none" w:sz="0" w:space="0" w:color="auto"/>
        <w:bottom w:val="none" w:sz="0" w:space="0" w:color="auto"/>
        <w:right w:val="none" w:sz="0" w:space="0" w:color="auto"/>
      </w:divBdr>
    </w:div>
    <w:div w:id="309403885">
      <w:bodyDiv w:val="1"/>
      <w:marLeft w:val="0"/>
      <w:marRight w:val="0"/>
      <w:marTop w:val="0"/>
      <w:marBottom w:val="0"/>
      <w:divBdr>
        <w:top w:val="none" w:sz="0" w:space="0" w:color="auto"/>
        <w:left w:val="none" w:sz="0" w:space="0" w:color="auto"/>
        <w:bottom w:val="none" w:sz="0" w:space="0" w:color="auto"/>
        <w:right w:val="none" w:sz="0" w:space="0" w:color="auto"/>
      </w:divBdr>
    </w:div>
    <w:div w:id="360864036">
      <w:bodyDiv w:val="1"/>
      <w:marLeft w:val="0"/>
      <w:marRight w:val="0"/>
      <w:marTop w:val="0"/>
      <w:marBottom w:val="0"/>
      <w:divBdr>
        <w:top w:val="none" w:sz="0" w:space="0" w:color="auto"/>
        <w:left w:val="none" w:sz="0" w:space="0" w:color="auto"/>
        <w:bottom w:val="none" w:sz="0" w:space="0" w:color="auto"/>
        <w:right w:val="none" w:sz="0" w:space="0" w:color="auto"/>
      </w:divBdr>
    </w:div>
    <w:div w:id="443034748">
      <w:bodyDiv w:val="1"/>
      <w:marLeft w:val="0"/>
      <w:marRight w:val="0"/>
      <w:marTop w:val="0"/>
      <w:marBottom w:val="0"/>
      <w:divBdr>
        <w:top w:val="none" w:sz="0" w:space="0" w:color="auto"/>
        <w:left w:val="none" w:sz="0" w:space="0" w:color="auto"/>
        <w:bottom w:val="none" w:sz="0" w:space="0" w:color="auto"/>
        <w:right w:val="none" w:sz="0" w:space="0" w:color="auto"/>
      </w:divBdr>
    </w:div>
    <w:div w:id="445780627">
      <w:bodyDiv w:val="1"/>
      <w:marLeft w:val="0"/>
      <w:marRight w:val="0"/>
      <w:marTop w:val="0"/>
      <w:marBottom w:val="0"/>
      <w:divBdr>
        <w:top w:val="none" w:sz="0" w:space="0" w:color="auto"/>
        <w:left w:val="none" w:sz="0" w:space="0" w:color="auto"/>
        <w:bottom w:val="none" w:sz="0" w:space="0" w:color="auto"/>
        <w:right w:val="none" w:sz="0" w:space="0" w:color="auto"/>
      </w:divBdr>
    </w:div>
    <w:div w:id="530730367">
      <w:bodyDiv w:val="1"/>
      <w:marLeft w:val="0"/>
      <w:marRight w:val="0"/>
      <w:marTop w:val="0"/>
      <w:marBottom w:val="0"/>
      <w:divBdr>
        <w:top w:val="none" w:sz="0" w:space="0" w:color="auto"/>
        <w:left w:val="none" w:sz="0" w:space="0" w:color="auto"/>
        <w:bottom w:val="none" w:sz="0" w:space="0" w:color="auto"/>
        <w:right w:val="none" w:sz="0" w:space="0" w:color="auto"/>
      </w:divBdr>
    </w:div>
    <w:div w:id="640767420">
      <w:bodyDiv w:val="1"/>
      <w:marLeft w:val="0"/>
      <w:marRight w:val="0"/>
      <w:marTop w:val="0"/>
      <w:marBottom w:val="0"/>
      <w:divBdr>
        <w:top w:val="none" w:sz="0" w:space="0" w:color="auto"/>
        <w:left w:val="none" w:sz="0" w:space="0" w:color="auto"/>
        <w:bottom w:val="none" w:sz="0" w:space="0" w:color="auto"/>
        <w:right w:val="none" w:sz="0" w:space="0" w:color="auto"/>
      </w:divBdr>
    </w:div>
    <w:div w:id="640772581">
      <w:bodyDiv w:val="1"/>
      <w:marLeft w:val="0"/>
      <w:marRight w:val="0"/>
      <w:marTop w:val="0"/>
      <w:marBottom w:val="0"/>
      <w:divBdr>
        <w:top w:val="none" w:sz="0" w:space="0" w:color="auto"/>
        <w:left w:val="none" w:sz="0" w:space="0" w:color="auto"/>
        <w:bottom w:val="none" w:sz="0" w:space="0" w:color="auto"/>
        <w:right w:val="none" w:sz="0" w:space="0" w:color="auto"/>
      </w:divBdr>
    </w:div>
    <w:div w:id="650526829">
      <w:bodyDiv w:val="1"/>
      <w:marLeft w:val="0"/>
      <w:marRight w:val="0"/>
      <w:marTop w:val="0"/>
      <w:marBottom w:val="0"/>
      <w:divBdr>
        <w:top w:val="none" w:sz="0" w:space="0" w:color="auto"/>
        <w:left w:val="none" w:sz="0" w:space="0" w:color="auto"/>
        <w:bottom w:val="none" w:sz="0" w:space="0" w:color="auto"/>
        <w:right w:val="none" w:sz="0" w:space="0" w:color="auto"/>
      </w:divBdr>
    </w:div>
    <w:div w:id="669212664">
      <w:bodyDiv w:val="1"/>
      <w:marLeft w:val="0"/>
      <w:marRight w:val="0"/>
      <w:marTop w:val="0"/>
      <w:marBottom w:val="0"/>
      <w:divBdr>
        <w:top w:val="none" w:sz="0" w:space="0" w:color="auto"/>
        <w:left w:val="none" w:sz="0" w:space="0" w:color="auto"/>
        <w:bottom w:val="none" w:sz="0" w:space="0" w:color="auto"/>
        <w:right w:val="none" w:sz="0" w:space="0" w:color="auto"/>
      </w:divBdr>
    </w:div>
    <w:div w:id="676033623">
      <w:bodyDiv w:val="1"/>
      <w:marLeft w:val="0"/>
      <w:marRight w:val="0"/>
      <w:marTop w:val="0"/>
      <w:marBottom w:val="0"/>
      <w:divBdr>
        <w:top w:val="none" w:sz="0" w:space="0" w:color="auto"/>
        <w:left w:val="none" w:sz="0" w:space="0" w:color="auto"/>
        <w:bottom w:val="none" w:sz="0" w:space="0" w:color="auto"/>
        <w:right w:val="none" w:sz="0" w:space="0" w:color="auto"/>
      </w:divBdr>
    </w:div>
    <w:div w:id="836655343">
      <w:bodyDiv w:val="1"/>
      <w:marLeft w:val="0"/>
      <w:marRight w:val="0"/>
      <w:marTop w:val="0"/>
      <w:marBottom w:val="0"/>
      <w:divBdr>
        <w:top w:val="none" w:sz="0" w:space="0" w:color="auto"/>
        <w:left w:val="none" w:sz="0" w:space="0" w:color="auto"/>
        <w:bottom w:val="none" w:sz="0" w:space="0" w:color="auto"/>
        <w:right w:val="none" w:sz="0" w:space="0" w:color="auto"/>
      </w:divBdr>
    </w:div>
    <w:div w:id="844321317">
      <w:bodyDiv w:val="1"/>
      <w:marLeft w:val="0"/>
      <w:marRight w:val="0"/>
      <w:marTop w:val="0"/>
      <w:marBottom w:val="0"/>
      <w:divBdr>
        <w:top w:val="none" w:sz="0" w:space="0" w:color="auto"/>
        <w:left w:val="none" w:sz="0" w:space="0" w:color="auto"/>
        <w:bottom w:val="none" w:sz="0" w:space="0" w:color="auto"/>
        <w:right w:val="none" w:sz="0" w:space="0" w:color="auto"/>
      </w:divBdr>
    </w:div>
    <w:div w:id="927693030">
      <w:bodyDiv w:val="1"/>
      <w:marLeft w:val="0"/>
      <w:marRight w:val="0"/>
      <w:marTop w:val="0"/>
      <w:marBottom w:val="0"/>
      <w:divBdr>
        <w:top w:val="none" w:sz="0" w:space="0" w:color="auto"/>
        <w:left w:val="none" w:sz="0" w:space="0" w:color="auto"/>
        <w:bottom w:val="none" w:sz="0" w:space="0" w:color="auto"/>
        <w:right w:val="none" w:sz="0" w:space="0" w:color="auto"/>
      </w:divBdr>
    </w:div>
    <w:div w:id="940188935">
      <w:bodyDiv w:val="1"/>
      <w:marLeft w:val="0"/>
      <w:marRight w:val="0"/>
      <w:marTop w:val="0"/>
      <w:marBottom w:val="0"/>
      <w:divBdr>
        <w:top w:val="none" w:sz="0" w:space="0" w:color="auto"/>
        <w:left w:val="none" w:sz="0" w:space="0" w:color="auto"/>
        <w:bottom w:val="none" w:sz="0" w:space="0" w:color="auto"/>
        <w:right w:val="none" w:sz="0" w:space="0" w:color="auto"/>
      </w:divBdr>
    </w:div>
    <w:div w:id="1036081795">
      <w:bodyDiv w:val="1"/>
      <w:marLeft w:val="0"/>
      <w:marRight w:val="0"/>
      <w:marTop w:val="0"/>
      <w:marBottom w:val="0"/>
      <w:divBdr>
        <w:top w:val="none" w:sz="0" w:space="0" w:color="auto"/>
        <w:left w:val="none" w:sz="0" w:space="0" w:color="auto"/>
        <w:bottom w:val="none" w:sz="0" w:space="0" w:color="auto"/>
        <w:right w:val="none" w:sz="0" w:space="0" w:color="auto"/>
      </w:divBdr>
    </w:div>
    <w:div w:id="1126852130">
      <w:bodyDiv w:val="1"/>
      <w:marLeft w:val="0"/>
      <w:marRight w:val="0"/>
      <w:marTop w:val="0"/>
      <w:marBottom w:val="0"/>
      <w:divBdr>
        <w:top w:val="none" w:sz="0" w:space="0" w:color="auto"/>
        <w:left w:val="none" w:sz="0" w:space="0" w:color="auto"/>
        <w:bottom w:val="none" w:sz="0" w:space="0" w:color="auto"/>
        <w:right w:val="none" w:sz="0" w:space="0" w:color="auto"/>
      </w:divBdr>
    </w:div>
    <w:div w:id="1159266841">
      <w:bodyDiv w:val="1"/>
      <w:marLeft w:val="0"/>
      <w:marRight w:val="0"/>
      <w:marTop w:val="0"/>
      <w:marBottom w:val="0"/>
      <w:divBdr>
        <w:top w:val="none" w:sz="0" w:space="0" w:color="auto"/>
        <w:left w:val="none" w:sz="0" w:space="0" w:color="auto"/>
        <w:bottom w:val="none" w:sz="0" w:space="0" w:color="auto"/>
        <w:right w:val="none" w:sz="0" w:space="0" w:color="auto"/>
      </w:divBdr>
    </w:div>
    <w:div w:id="1195341833">
      <w:bodyDiv w:val="1"/>
      <w:marLeft w:val="0"/>
      <w:marRight w:val="0"/>
      <w:marTop w:val="0"/>
      <w:marBottom w:val="0"/>
      <w:divBdr>
        <w:top w:val="none" w:sz="0" w:space="0" w:color="auto"/>
        <w:left w:val="none" w:sz="0" w:space="0" w:color="auto"/>
        <w:bottom w:val="none" w:sz="0" w:space="0" w:color="auto"/>
        <w:right w:val="none" w:sz="0" w:space="0" w:color="auto"/>
      </w:divBdr>
    </w:div>
    <w:div w:id="1218516917">
      <w:bodyDiv w:val="1"/>
      <w:marLeft w:val="0"/>
      <w:marRight w:val="0"/>
      <w:marTop w:val="0"/>
      <w:marBottom w:val="0"/>
      <w:divBdr>
        <w:top w:val="none" w:sz="0" w:space="0" w:color="auto"/>
        <w:left w:val="none" w:sz="0" w:space="0" w:color="auto"/>
        <w:bottom w:val="none" w:sz="0" w:space="0" w:color="auto"/>
        <w:right w:val="none" w:sz="0" w:space="0" w:color="auto"/>
      </w:divBdr>
    </w:div>
    <w:div w:id="1242106021">
      <w:bodyDiv w:val="1"/>
      <w:marLeft w:val="0"/>
      <w:marRight w:val="0"/>
      <w:marTop w:val="0"/>
      <w:marBottom w:val="0"/>
      <w:divBdr>
        <w:top w:val="none" w:sz="0" w:space="0" w:color="auto"/>
        <w:left w:val="none" w:sz="0" w:space="0" w:color="auto"/>
        <w:bottom w:val="none" w:sz="0" w:space="0" w:color="auto"/>
        <w:right w:val="none" w:sz="0" w:space="0" w:color="auto"/>
      </w:divBdr>
    </w:div>
    <w:div w:id="1286738046">
      <w:bodyDiv w:val="1"/>
      <w:marLeft w:val="0"/>
      <w:marRight w:val="0"/>
      <w:marTop w:val="0"/>
      <w:marBottom w:val="0"/>
      <w:divBdr>
        <w:top w:val="none" w:sz="0" w:space="0" w:color="auto"/>
        <w:left w:val="none" w:sz="0" w:space="0" w:color="auto"/>
        <w:bottom w:val="none" w:sz="0" w:space="0" w:color="auto"/>
        <w:right w:val="none" w:sz="0" w:space="0" w:color="auto"/>
      </w:divBdr>
    </w:div>
    <w:div w:id="1320771884">
      <w:bodyDiv w:val="1"/>
      <w:marLeft w:val="0"/>
      <w:marRight w:val="0"/>
      <w:marTop w:val="0"/>
      <w:marBottom w:val="0"/>
      <w:divBdr>
        <w:top w:val="none" w:sz="0" w:space="0" w:color="auto"/>
        <w:left w:val="none" w:sz="0" w:space="0" w:color="auto"/>
        <w:bottom w:val="none" w:sz="0" w:space="0" w:color="auto"/>
        <w:right w:val="none" w:sz="0" w:space="0" w:color="auto"/>
      </w:divBdr>
    </w:div>
    <w:div w:id="1401752327">
      <w:bodyDiv w:val="1"/>
      <w:marLeft w:val="0"/>
      <w:marRight w:val="0"/>
      <w:marTop w:val="0"/>
      <w:marBottom w:val="0"/>
      <w:divBdr>
        <w:top w:val="none" w:sz="0" w:space="0" w:color="auto"/>
        <w:left w:val="none" w:sz="0" w:space="0" w:color="auto"/>
        <w:bottom w:val="none" w:sz="0" w:space="0" w:color="auto"/>
        <w:right w:val="none" w:sz="0" w:space="0" w:color="auto"/>
      </w:divBdr>
    </w:div>
    <w:div w:id="1474757486">
      <w:bodyDiv w:val="1"/>
      <w:marLeft w:val="0"/>
      <w:marRight w:val="0"/>
      <w:marTop w:val="0"/>
      <w:marBottom w:val="0"/>
      <w:divBdr>
        <w:top w:val="none" w:sz="0" w:space="0" w:color="auto"/>
        <w:left w:val="none" w:sz="0" w:space="0" w:color="auto"/>
        <w:bottom w:val="none" w:sz="0" w:space="0" w:color="auto"/>
        <w:right w:val="none" w:sz="0" w:space="0" w:color="auto"/>
      </w:divBdr>
    </w:div>
    <w:div w:id="1490634585">
      <w:bodyDiv w:val="1"/>
      <w:marLeft w:val="0"/>
      <w:marRight w:val="0"/>
      <w:marTop w:val="0"/>
      <w:marBottom w:val="0"/>
      <w:divBdr>
        <w:top w:val="none" w:sz="0" w:space="0" w:color="auto"/>
        <w:left w:val="none" w:sz="0" w:space="0" w:color="auto"/>
        <w:bottom w:val="none" w:sz="0" w:space="0" w:color="auto"/>
        <w:right w:val="none" w:sz="0" w:space="0" w:color="auto"/>
      </w:divBdr>
    </w:div>
    <w:div w:id="1537501267">
      <w:bodyDiv w:val="1"/>
      <w:marLeft w:val="0"/>
      <w:marRight w:val="0"/>
      <w:marTop w:val="0"/>
      <w:marBottom w:val="0"/>
      <w:divBdr>
        <w:top w:val="none" w:sz="0" w:space="0" w:color="auto"/>
        <w:left w:val="none" w:sz="0" w:space="0" w:color="auto"/>
        <w:bottom w:val="none" w:sz="0" w:space="0" w:color="auto"/>
        <w:right w:val="none" w:sz="0" w:space="0" w:color="auto"/>
      </w:divBdr>
    </w:div>
    <w:div w:id="1579438042">
      <w:bodyDiv w:val="1"/>
      <w:marLeft w:val="0"/>
      <w:marRight w:val="0"/>
      <w:marTop w:val="0"/>
      <w:marBottom w:val="0"/>
      <w:divBdr>
        <w:top w:val="none" w:sz="0" w:space="0" w:color="auto"/>
        <w:left w:val="none" w:sz="0" w:space="0" w:color="auto"/>
        <w:bottom w:val="none" w:sz="0" w:space="0" w:color="auto"/>
        <w:right w:val="none" w:sz="0" w:space="0" w:color="auto"/>
      </w:divBdr>
    </w:div>
    <w:div w:id="1622032594">
      <w:bodyDiv w:val="1"/>
      <w:marLeft w:val="0"/>
      <w:marRight w:val="0"/>
      <w:marTop w:val="0"/>
      <w:marBottom w:val="0"/>
      <w:divBdr>
        <w:top w:val="none" w:sz="0" w:space="0" w:color="auto"/>
        <w:left w:val="none" w:sz="0" w:space="0" w:color="auto"/>
        <w:bottom w:val="none" w:sz="0" w:space="0" w:color="auto"/>
        <w:right w:val="none" w:sz="0" w:space="0" w:color="auto"/>
      </w:divBdr>
    </w:div>
    <w:div w:id="1629093894">
      <w:bodyDiv w:val="1"/>
      <w:marLeft w:val="0"/>
      <w:marRight w:val="0"/>
      <w:marTop w:val="0"/>
      <w:marBottom w:val="0"/>
      <w:divBdr>
        <w:top w:val="none" w:sz="0" w:space="0" w:color="auto"/>
        <w:left w:val="none" w:sz="0" w:space="0" w:color="auto"/>
        <w:bottom w:val="none" w:sz="0" w:space="0" w:color="auto"/>
        <w:right w:val="none" w:sz="0" w:space="0" w:color="auto"/>
      </w:divBdr>
    </w:div>
    <w:div w:id="1657757966">
      <w:bodyDiv w:val="1"/>
      <w:marLeft w:val="0"/>
      <w:marRight w:val="0"/>
      <w:marTop w:val="0"/>
      <w:marBottom w:val="0"/>
      <w:divBdr>
        <w:top w:val="none" w:sz="0" w:space="0" w:color="auto"/>
        <w:left w:val="none" w:sz="0" w:space="0" w:color="auto"/>
        <w:bottom w:val="none" w:sz="0" w:space="0" w:color="auto"/>
        <w:right w:val="none" w:sz="0" w:space="0" w:color="auto"/>
      </w:divBdr>
    </w:div>
    <w:div w:id="1852182458">
      <w:bodyDiv w:val="1"/>
      <w:marLeft w:val="0"/>
      <w:marRight w:val="0"/>
      <w:marTop w:val="0"/>
      <w:marBottom w:val="0"/>
      <w:divBdr>
        <w:top w:val="none" w:sz="0" w:space="0" w:color="auto"/>
        <w:left w:val="none" w:sz="0" w:space="0" w:color="auto"/>
        <w:bottom w:val="none" w:sz="0" w:space="0" w:color="auto"/>
        <w:right w:val="none" w:sz="0" w:space="0" w:color="auto"/>
      </w:divBdr>
    </w:div>
    <w:div w:id="2003241565">
      <w:bodyDiv w:val="1"/>
      <w:marLeft w:val="0"/>
      <w:marRight w:val="0"/>
      <w:marTop w:val="0"/>
      <w:marBottom w:val="0"/>
      <w:divBdr>
        <w:top w:val="none" w:sz="0" w:space="0" w:color="auto"/>
        <w:left w:val="none" w:sz="0" w:space="0" w:color="auto"/>
        <w:bottom w:val="none" w:sz="0" w:space="0" w:color="auto"/>
        <w:right w:val="none" w:sz="0" w:space="0" w:color="auto"/>
      </w:divBdr>
    </w:div>
    <w:div w:id="2005622153">
      <w:bodyDiv w:val="1"/>
      <w:marLeft w:val="0"/>
      <w:marRight w:val="0"/>
      <w:marTop w:val="0"/>
      <w:marBottom w:val="0"/>
      <w:divBdr>
        <w:top w:val="none" w:sz="0" w:space="0" w:color="auto"/>
        <w:left w:val="none" w:sz="0" w:space="0" w:color="auto"/>
        <w:bottom w:val="none" w:sz="0" w:space="0" w:color="auto"/>
        <w:right w:val="none" w:sz="0" w:space="0" w:color="auto"/>
      </w:divBdr>
    </w:div>
    <w:div w:id="2032610842">
      <w:bodyDiv w:val="1"/>
      <w:marLeft w:val="0"/>
      <w:marRight w:val="0"/>
      <w:marTop w:val="0"/>
      <w:marBottom w:val="0"/>
      <w:divBdr>
        <w:top w:val="none" w:sz="0" w:space="0" w:color="auto"/>
        <w:left w:val="none" w:sz="0" w:space="0" w:color="auto"/>
        <w:bottom w:val="none" w:sz="0" w:space="0" w:color="auto"/>
        <w:right w:val="none" w:sz="0" w:space="0" w:color="auto"/>
      </w:divBdr>
    </w:div>
    <w:div w:id="2079205855">
      <w:bodyDiv w:val="1"/>
      <w:marLeft w:val="0"/>
      <w:marRight w:val="0"/>
      <w:marTop w:val="0"/>
      <w:marBottom w:val="0"/>
      <w:divBdr>
        <w:top w:val="none" w:sz="0" w:space="0" w:color="auto"/>
        <w:left w:val="none" w:sz="0" w:space="0" w:color="auto"/>
        <w:bottom w:val="none" w:sz="0" w:space="0" w:color="auto"/>
        <w:right w:val="none" w:sz="0" w:space="0" w:color="auto"/>
      </w:divBdr>
    </w:div>
    <w:div w:id="2083482506">
      <w:bodyDiv w:val="1"/>
      <w:marLeft w:val="0"/>
      <w:marRight w:val="0"/>
      <w:marTop w:val="0"/>
      <w:marBottom w:val="0"/>
      <w:divBdr>
        <w:top w:val="none" w:sz="0" w:space="0" w:color="auto"/>
        <w:left w:val="none" w:sz="0" w:space="0" w:color="auto"/>
        <w:bottom w:val="none" w:sz="0" w:space="0" w:color="auto"/>
        <w:right w:val="none" w:sz="0" w:space="0" w:color="auto"/>
      </w:divBdr>
    </w:div>
    <w:div w:id="208876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1E5E-1F76-417E-91E8-49FAECAD4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FD01B31C.dotm</Template>
  <TotalTime>0</TotalTime>
  <Pages>70</Pages>
  <Words>32328</Words>
  <Characters>184270</Characters>
  <Application>Microsoft Office Word</Application>
  <DocSecurity>4</DocSecurity>
  <Lines>1535</Lines>
  <Paragraphs>432</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216166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DEEWR</dc:creator>
  <cp:lastModifiedBy>Emerson Parsonson</cp:lastModifiedBy>
  <cp:revision>2</cp:revision>
  <cp:lastPrinted>2014-06-02T06:19:00Z</cp:lastPrinted>
  <dcterms:created xsi:type="dcterms:W3CDTF">2014-08-13T04:26:00Z</dcterms:created>
  <dcterms:modified xsi:type="dcterms:W3CDTF">2014-08-13T04:26:00Z</dcterms:modified>
</cp:coreProperties>
</file>