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81DAA" w14:textId="77777777" w:rsidR="00A13A4D" w:rsidRDefault="00A13A4D" w:rsidP="00A13A4D">
      <w:pPr>
        <w:spacing w:after="160" w:line="259" w:lineRule="auto"/>
      </w:pPr>
      <w:r>
        <w:rPr>
          <w:noProof/>
        </w:rPr>
        <w:drawing>
          <wp:anchor distT="0" distB="0" distL="114300" distR="114300" simplePos="0" relativeHeight="251660288" behindDoc="0" locked="0" layoutInCell="1" allowOverlap="1" wp14:anchorId="77E76EC7" wp14:editId="0491B4F1">
            <wp:simplePos x="0" y="0"/>
            <wp:positionH relativeFrom="margin">
              <wp:posOffset>-635</wp:posOffset>
            </wp:positionH>
            <wp:positionV relativeFrom="paragraph">
              <wp:posOffset>-233666</wp:posOffset>
            </wp:positionV>
            <wp:extent cx="2274570" cy="579120"/>
            <wp:effectExtent l="0" t="0" r="0" b="0"/>
            <wp:wrapNone/>
            <wp:docPr id="13" name="Picture 1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5"/>
                    <a:stretch>
                      <a:fillRect/>
                    </a:stretch>
                  </pic:blipFill>
                  <pic:spPr>
                    <a:xfrm>
                      <a:off x="0" y="0"/>
                      <a:ext cx="2274570" cy="5791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4D743B6" wp14:editId="314D85DE">
            <wp:simplePos x="0" y="0"/>
            <wp:positionH relativeFrom="page">
              <wp:align>left</wp:align>
            </wp:positionH>
            <wp:positionV relativeFrom="page">
              <wp:posOffset>-1214</wp:posOffset>
            </wp:positionV>
            <wp:extent cx="7559675" cy="1715304"/>
            <wp:effectExtent l="0" t="0" r="3175" b="0"/>
            <wp:wrapNone/>
            <wp:docPr id="11" name="Picture 1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6"/>
                    <a:stretch>
                      <a:fillRect/>
                    </a:stretch>
                  </pic:blipFill>
                  <pic:spPr>
                    <a:xfrm>
                      <a:off x="0" y="0"/>
                      <a:ext cx="7559675" cy="1715304"/>
                    </a:xfrm>
                    <a:prstGeom prst="rect">
                      <a:avLst/>
                    </a:prstGeom>
                  </pic:spPr>
                </pic:pic>
              </a:graphicData>
            </a:graphic>
            <wp14:sizeRelH relativeFrom="page">
              <wp14:pctWidth>0</wp14:pctWidth>
            </wp14:sizeRelH>
            <wp14:sizeRelV relativeFrom="page">
              <wp14:pctHeight>0</wp14:pctHeight>
            </wp14:sizeRelV>
          </wp:anchor>
        </w:drawing>
      </w:r>
    </w:p>
    <w:p w14:paraId="62C4AA1B" w14:textId="77777777" w:rsidR="00A13A4D" w:rsidRPr="00A13A4D" w:rsidRDefault="00A13A4D" w:rsidP="00A13A4D"/>
    <w:p w14:paraId="0751D00C" w14:textId="77777777" w:rsidR="00A13A4D" w:rsidRPr="00A13A4D" w:rsidRDefault="00A13A4D" w:rsidP="00A13A4D"/>
    <w:p w14:paraId="3F3BCA3A" w14:textId="77281604" w:rsidR="00A13A4D" w:rsidRDefault="00A13A4D" w:rsidP="00A13A4D">
      <w:pPr>
        <w:tabs>
          <w:tab w:val="left" w:pos="3818"/>
        </w:tabs>
        <w:rPr>
          <w:rFonts w:eastAsiaTheme="majorEastAsia" w:cstheme="majorBidi"/>
          <w:b/>
          <w:color w:val="343741"/>
          <w:spacing w:val="-10"/>
          <w:kern w:val="28"/>
          <w:sz w:val="60"/>
          <w:szCs w:val="56"/>
        </w:rPr>
      </w:pPr>
      <w:r w:rsidRPr="00671911">
        <w:rPr>
          <w:rFonts w:eastAsiaTheme="majorEastAsia" w:cstheme="majorBidi"/>
          <w:b/>
          <w:color w:val="343741"/>
          <w:spacing w:val="-10"/>
          <w:kern w:val="28"/>
          <w:sz w:val="60"/>
          <w:szCs w:val="56"/>
        </w:rPr>
        <w:t>D</w:t>
      </w:r>
      <w:r>
        <w:rPr>
          <w:rFonts w:eastAsiaTheme="majorEastAsia" w:cstheme="majorBidi"/>
          <w:b/>
          <w:color w:val="343741"/>
          <w:spacing w:val="-10"/>
          <w:kern w:val="28"/>
          <w:sz w:val="60"/>
          <w:szCs w:val="56"/>
        </w:rPr>
        <w:t>isability</w:t>
      </w:r>
      <w:r w:rsidRPr="00671911">
        <w:rPr>
          <w:rFonts w:eastAsiaTheme="majorEastAsia" w:cstheme="majorBidi"/>
          <w:b/>
          <w:color w:val="343741"/>
          <w:spacing w:val="-10"/>
          <w:kern w:val="28"/>
          <w:sz w:val="60"/>
          <w:szCs w:val="56"/>
        </w:rPr>
        <w:t xml:space="preserve"> </w:t>
      </w:r>
      <w:r>
        <w:rPr>
          <w:rFonts w:eastAsiaTheme="majorEastAsia" w:cstheme="majorBidi"/>
          <w:b/>
          <w:color w:val="343741"/>
          <w:spacing w:val="-10"/>
          <w:kern w:val="28"/>
          <w:sz w:val="60"/>
          <w:szCs w:val="56"/>
        </w:rPr>
        <w:t>Discrimination</w:t>
      </w:r>
      <w:r w:rsidRPr="00671911">
        <w:rPr>
          <w:rFonts w:eastAsiaTheme="majorEastAsia" w:cstheme="majorBidi"/>
          <w:b/>
          <w:color w:val="343741"/>
          <w:spacing w:val="-10"/>
          <w:kern w:val="28"/>
          <w:sz w:val="60"/>
          <w:szCs w:val="56"/>
        </w:rPr>
        <w:t xml:space="preserve"> A</w:t>
      </w:r>
      <w:r>
        <w:rPr>
          <w:rFonts w:eastAsiaTheme="majorEastAsia" w:cstheme="majorBidi"/>
          <w:b/>
          <w:color w:val="343741"/>
          <w:spacing w:val="-10"/>
          <w:kern w:val="28"/>
          <w:sz w:val="60"/>
          <w:szCs w:val="56"/>
        </w:rPr>
        <w:t>ct</w:t>
      </w:r>
      <w:r w:rsidRPr="00671911">
        <w:rPr>
          <w:rFonts w:eastAsiaTheme="majorEastAsia" w:cstheme="majorBidi"/>
          <w:b/>
          <w:color w:val="343741"/>
          <w:spacing w:val="-10"/>
          <w:kern w:val="28"/>
          <w:sz w:val="60"/>
          <w:szCs w:val="56"/>
        </w:rPr>
        <w:t xml:space="preserve"> 1992 </w:t>
      </w:r>
    </w:p>
    <w:p w14:paraId="73C9E676" w14:textId="77777777" w:rsidR="00A13A4D" w:rsidRDefault="00A13A4D" w:rsidP="00A13A4D">
      <w:pPr>
        <w:rPr>
          <w:rFonts w:ascii="Calibri" w:eastAsiaTheme="majorEastAsia" w:hAnsi="Calibri" w:cstheme="majorBidi"/>
          <w:b/>
          <w:color w:val="343741"/>
          <w:sz w:val="32"/>
          <w:szCs w:val="32"/>
        </w:rPr>
      </w:pPr>
      <w:r w:rsidRPr="00671911">
        <w:rPr>
          <w:rFonts w:ascii="Calibri" w:eastAsiaTheme="majorEastAsia" w:hAnsi="Calibri" w:cstheme="majorBidi"/>
          <w:b/>
          <w:color w:val="343741"/>
          <w:sz w:val="32"/>
          <w:szCs w:val="32"/>
        </w:rPr>
        <w:t>Background</w:t>
      </w:r>
    </w:p>
    <w:p w14:paraId="239B4371" w14:textId="77777777" w:rsidR="00A13A4D" w:rsidRPr="00A52CC5" w:rsidRDefault="00A13A4D" w:rsidP="00A13A4D">
      <w:pPr>
        <w:pStyle w:val="BodyTextIntro"/>
        <w:spacing w:line="276" w:lineRule="auto"/>
        <w:rPr>
          <w:rFonts w:eastAsiaTheme="minorHAnsi" w:cstheme="minorBidi"/>
          <w:sz w:val="22"/>
          <w:szCs w:val="22"/>
          <w:lang w:eastAsia="en-US"/>
        </w:rPr>
      </w:pPr>
      <w:r w:rsidRPr="00A52CC5">
        <w:rPr>
          <w:rFonts w:eastAsiaTheme="minorHAnsi" w:cstheme="minorBidi"/>
          <w:sz w:val="22"/>
          <w:szCs w:val="22"/>
          <w:lang w:eastAsia="en-US"/>
        </w:rPr>
        <w:t xml:space="preserve">Disability discrimination </w:t>
      </w:r>
      <w:r>
        <w:rPr>
          <w:rFonts w:eastAsiaTheme="minorHAnsi" w:cstheme="minorBidi"/>
          <w:sz w:val="22"/>
          <w:szCs w:val="22"/>
          <w:lang w:eastAsia="en-US"/>
        </w:rPr>
        <w:t>is</w:t>
      </w:r>
      <w:r w:rsidRPr="00A52CC5">
        <w:rPr>
          <w:rFonts w:eastAsiaTheme="minorHAnsi" w:cstheme="minorBidi"/>
          <w:sz w:val="22"/>
          <w:szCs w:val="22"/>
          <w:lang w:eastAsia="en-US"/>
        </w:rPr>
        <w:t xml:space="preserve"> when a person with disability is treated less favourably than a person without disability in circumstances</w:t>
      </w:r>
      <w:r>
        <w:rPr>
          <w:rFonts w:eastAsiaTheme="minorHAnsi" w:cstheme="minorBidi"/>
          <w:sz w:val="22"/>
          <w:szCs w:val="22"/>
          <w:lang w:eastAsia="en-US"/>
        </w:rPr>
        <w:t xml:space="preserve"> that are not materially different</w:t>
      </w:r>
      <w:r w:rsidRPr="00A52CC5">
        <w:rPr>
          <w:rFonts w:eastAsiaTheme="minorHAnsi" w:cstheme="minorBidi"/>
          <w:sz w:val="22"/>
          <w:szCs w:val="22"/>
          <w:lang w:eastAsia="en-US"/>
        </w:rPr>
        <w:t xml:space="preserve">. The Commonwealth </w:t>
      </w:r>
      <w:r w:rsidRPr="00D47C1B">
        <w:rPr>
          <w:rFonts w:eastAsiaTheme="minorHAnsi" w:cstheme="minorBidi"/>
          <w:i/>
          <w:iCs/>
          <w:sz w:val="22"/>
          <w:szCs w:val="22"/>
          <w:lang w:eastAsia="en-US"/>
        </w:rPr>
        <w:t>Disability Discrimination Act 1992</w:t>
      </w:r>
      <w:r w:rsidRPr="00A52CC5">
        <w:rPr>
          <w:rFonts w:eastAsiaTheme="minorHAnsi" w:cstheme="minorBidi"/>
          <w:sz w:val="22"/>
          <w:szCs w:val="22"/>
          <w:lang w:eastAsia="en-US"/>
        </w:rPr>
        <w:t xml:space="preserve"> (DDA) makes </w:t>
      </w:r>
      <w:r>
        <w:rPr>
          <w:rFonts w:eastAsiaTheme="minorHAnsi" w:cstheme="minorBidi"/>
          <w:sz w:val="22"/>
          <w:szCs w:val="22"/>
          <w:lang w:eastAsia="en-US"/>
        </w:rPr>
        <w:t>disability discrimination unlawful except in certain limited circumstances.</w:t>
      </w:r>
    </w:p>
    <w:p w14:paraId="16770239" w14:textId="77777777" w:rsidR="00A13A4D" w:rsidRPr="00671911" w:rsidRDefault="00A13A4D" w:rsidP="00A13A4D">
      <w:pPr>
        <w:pStyle w:val="Heading1"/>
      </w:pPr>
      <w:r w:rsidRPr="00671911">
        <w:t>Defining disability</w:t>
      </w:r>
    </w:p>
    <w:p w14:paraId="6E9CF2B6" w14:textId="77777777" w:rsidR="00A13A4D" w:rsidRPr="00671911" w:rsidRDefault="00A13A4D" w:rsidP="00A13A4D">
      <w:pPr>
        <w:pStyle w:val="Heading2"/>
      </w:pPr>
      <w:r w:rsidRPr="00671911">
        <w:t>Definition of disability under the DDA</w:t>
      </w:r>
    </w:p>
    <w:p w14:paraId="16181E31" w14:textId="77777777" w:rsidR="00A13A4D" w:rsidRPr="00F53899" w:rsidRDefault="00A13A4D" w:rsidP="00A13A4D">
      <w:pPr>
        <w:pStyle w:val="BodyTextIntro"/>
        <w:spacing w:before="0" w:after="0" w:line="276" w:lineRule="auto"/>
        <w:rPr>
          <w:b/>
          <w:sz w:val="22"/>
          <w:szCs w:val="22"/>
        </w:rPr>
      </w:pPr>
      <w:r w:rsidRPr="00F53899">
        <w:rPr>
          <w:sz w:val="22"/>
          <w:szCs w:val="22"/>
        </w:rPr>
        <w:t xml:space="preserve">The definition of disability in the DDA can be found in section 4 of the Act. </w:t>
      </w:r>
      <w:r>
        <w:rPr>
          <w:bCs/>
          <w:sz w:val="22"/>
          <w:szCs w:val="22"/>
        </w:rPr>
        <w:t>Disability in relation to the DDA</w:t>
      </w:r>
      <w:r w:rsidRPr="00F53899">
        <w:rPr>
          <w:bCs/>
          <w:sz w:val="22"/>
          <w:szCs w:val="22"/>
        </w:rPr>
        <w:t xml:space="preserve"> </w:t>
      </w:r>
      <w:r>
        <w:rPr>
          <w:bCs/>
          <w:sz w:val="22"/>
          <w:szCs w:val="22"/>
        </w:rPr>
        <w:t>includes</w:t>
      </w:r>
      <w:r w:rsidRPr="00F53899">
        <w:rPr>
          <w:bCs/>
          <w:sz w:val="22"/>
          <w:szCs w:val="22"/>
        </w:rPr>
        <w:t>:</w:t>
      </w:r>
    </w:p>
    <w:p w14:paraId="364AEAD5" w14:textId="77777777" w:rsidR="00A13A4D" w:rsidRPr="00D44504" w:rsidRDefault="00A13A4D" w:rsidP="00A13A4D">
      <w:pPr>
        <w:pStyle w:val="BodyTextIntro"/>
        <w:numPr>
          <w:ilvl w:val="0"/>
          <w:numId w:val="3"/>
        </w:numPr>
        <w:spacing w:before="0" w:after="0" w:line="276" w:lineRule="auto"/>
        <w:ind w:left="714" w:hanging="357"/>
        <w:rPr>
          <w:bCs/>
          <w:sz w:val="22"/>
          <w:szCs w:val="22"/>
        </w:rPr>
      </w:pPr>
      <w:r w:rsidRPr="00D44504">
        <w:rPr>
          <w:bCs/>
          <w:sz w:val="22"/>
          <w:szCs w:val="22"/>
        </w:rPr>
        <w:t>Physical</w:t>
      </w:r>
    </w:p>
    <w:p w14:paraId="731FCD96" w14:textId="77777777" w:rsidR="00A13A4D" w:rsidRPr="00D44504" w:rsidRDefault="00A13A4D" w:rsidP="00A13A4D">
      <w:pPr>
        <w:pStyle w:val="BodyTextIntro"/>
        <w:numPr>
          <w:ilvl w:val="0"/>
          <w:numId w:val="3"/>
        </w:numPr>
        <w:spacing w:before="0" w:after="0" w:line="276" w:lineRule="auto"/>
        <w:ind w:left="714" w:hanging="357"/>
        <w:rPr>
          <w:bCs/>
          <w:sz w:val="22"/>
          <w:szCs w:val="22"/>
        </w:rPr>
      </w:pPr>
      <w:r w:rsidRPr="00D44504">
        <w:rPr>
          <w:bCs/>
          <w:sz w:val="22"/>
          <w:szCs w:val="22"/>
        </w:rPr>
        <w:t>Intellectual</w:t>
      </w:r>
    </w:p>
    <w:p w14:paraId="261ED606" w14:textId="77777777" w:rsidR="00A13A4D" w:rsidRPr="00D44504" w:rsidRDefault="00A13A4D" w:rsidP="00A13A4D">
      <w:pPr>
        <w:pStyle w:val="BodyTextIntro"/>
        <w:numPr>
          <w:ilvl w:val="0"/>
          <w:numId w:val="3"/>
        </w:numPr>
        <w:spacing w:before="0" w:after="0" w:line="276" w:lineRule="auto"/>
        <w:ind w:left="714" w:hanging="357"/>
        <w:rPr>
          <w:bCs/>
          <w:sz w:val="22"/>
          <w:szCs w:val="22"/>
        </w:rPr>
      </w:pPr>
      <w:r w:rsidRPr="00D44504">
        <w:rPr>
          <w:bCs/>
          <w:sz w:val="22"/>
          <w:szCs w:val="22"/>
        </w:rPr>
        <w:t>Psychiatric</w:t>
      </w:r>
    </w:p>
    <w:p w14:paraId="080578A1" w14:textId="77777777" w:rsidR="00A13A4D" w:rsidRPr="00D44504" w:rsidRDefault="00A13A4D" w:rsidP="00A13A4D">
      <w:pPr>
        <w:pStyle w:val="BodyTextIntro"/>
        <w:numPr>
          <w:ilvl w:val="0"/>
          <w:numId w:val="3"/>
        </w:numPr>
        <w:spacing w:before="0" w:after="0" w:line="276" w:lineRule="auto"/>
        <w:ind w:left="714" w:hanging="357"/>
        <w:rPr>
          <w:bCs/>
          <w:sz w:val="22"/>
          <w:szCs w:val="22"/>
        </w:rPr>
      </w:pPr>
      <w:r w:rsidRPr="00D44504">
        <w:rPr>
          <w:bCs/>
          <w:sz w:val="22"/>
          <w:szCs w:val="22"/>
        </w:rPr>
        <w:t>Sensory</w:t>
      </w:r>
    </w:p>
    <w:p w14:paraId="54F160CC" w14:textId="77777777" w:rsidR="00A13A4D" w:rsidRPr="00D44504" w:rsidRDefault="00A13A4D" w:rsidP="00A13A4D">
      <w:pPr>
        <w:pStyle w:val="BodyTextIntro"/>
        <w:numPr>
          <w:ilvl w:val="0"/>
          <w:numId w:val="3"/>
        </w:numPr>
        <w:spacing w:before="0" w:after="0" w:line="276" w:lineRule="auto"/>
        <w:ind w:left="714" w:hanging="357"/>
        <w:rPr>
          <w:bCs/>
          <w:sz w:val="22"/>
          <w:szCs w:val="22"/>
        </w:rPr>
      </w:pPr>
      <w:r w:rsidRPr="00D44504">
        <w:rPr>
          <w:bCs/>
          <w:sz w:val="22"/>
          <w:szCs w:val="22"/>
        </w:rPr>
        <w:t>Neurological, and</w:t>
      </w:r>
    </w:p>
    <w:p w14:paraId="4B1B67AC" w14:textId="77777777" w:rsidR="00A13A4D" w:rsidRDefault="00A13A4D" w:rsidP="00A13A4D">
      <w:pPr>
        <w:pStyle w:val="BodyTextIntro"/>
        <w:numPr>
          <w:ilvl w:val="0"/>
          <w:numId w:val="3"/>
        </w:numPr>
        <w:spacing w:before="0" w:after="0" w:line="276" w:lineRule="auto"/>
        <w:ind w:left="714" w:hanging="357"/>
        <w:rPr>
          <w:bCs/>
          <w:sz w:val="22"/>
          <w:szCs w:val="22"/>
        </w:rPr>
      </w:pPr>
      <w:r w:rsidRPr="00D44504">
        <w:rPr>
          <w:bCs/>
          <w:sz w:val="22"/>
          <w:szCs w:val="22"/>
        </w:rPr>
        <w:t xml:space="preserve">Learning disabilities, as well as </w:t>
      </w:r>
    </w:p>
    <w:p w14:paraId="75650B18" w14:textId="77777777" w:rsidR="00A13A4D" w:rsidRPr="00A740AA" w:rsidRDefault="00A13A4D" w:rsidP="00A13A4D">
      <w:pPr>
        <w:pStyle w:val="BodyTextIntro"/>
        <w:numPr>
          <w:ilvl w:val="0"/>
          <w:numId w:val="3"/>
        </w:numPr>
        <w:spacing w:before="0" w:after="0" w:line="276" w:lineRule="auto"/>
        <w:ind w:left="714" w:hanging="357"/>
        <w:rPr>
          <w:bCs/>
          <w:sz w:val="22"/>
          <w:szCs w:val="22"/>
        </w:rPr>
      </w:pPr>
      <w:r>
        <w:rPr>
          <w:bCs/>
          <w:sz w:val="22"/>
          <w:szCs w:val="22"/>
        </w:rPr>
        <w:t>P</w:t>
      </w:r>
      <w:r w:rsidRPr="00D44504">
        <w:rPr>
          <w:bCs/>
          <w:sz w:val="22"/>
          <w:szCs w:val="22"/>
        </w:rPr>
        <w:t>hysical dis</w:t>
      </w:r>
      <w:r>
        <w:rPr>
          <w:bCs/>
          <w:sz w:val="22"/>
          <w:szCs w:val="22"/>
        </w:rPr>
        <w:t>fig</w:t>
      </w:r>
      <w:r w:rsidRPr="00D44504">
        <w:rPr>
          <w:bCs/>
          <w:sz w:val="22"/>
          <w:szCs w:val="22"/>
        </w:rPr>
        <w:t>urement</w:t>
      </w:r>
      <w:r>
        <w:rPr>
          <w:bCs/>
          <w:sz w:val="22"/>
          <w:szCs w:val="22"/>
        </w:rPr>
        <w:t>.</w:t>
      </w:r>
    </w:p>
    <w:p w14:paraId="4067A136" w14:textId="77777777" w:rsidR="00A13A4D" w:rsidRPr="00554293" w:rsidRDefault="00A13A4D" w:rsidP="00A13A4D">
      <w:pPr>
        <w:pStyle w:val="BodyTextIntro"/>
        <w:spacing w:line="276" w:lineRule="auto"/>
        <w:rPr>
          <w:rStyle w:val="Hyperlink"/>
          <w:sz w:val="22"/>
          <w:szCs w:val="22"/>
        </w:rPr>
      </w:pPr>
      <w:r w:rsidRPr="00587424">
        <w:rPr>
          <w:sz w:val="22"/>
          <w:szCs w:val="22"/>
        </w:rPr>
        <w:t>The definition of “disability” in the DDA is broad</w:t>
      </w:r>
      <w:r>
        <w:rPr>
          <w:sz w:val="22"/>
          <w:szCs w:val="22"/>
        </w:rPr>
        <w:t xml:space="preserve"> and does not rely on a formal diagnosis of disability</w:t>
      </w:r>
      <w:r w:rsidRPr="00587424">
        <w:rPr>
          <w:sz w:val="22"/>
          <w:szCs w:val="22"/>
        </w:rPr>
        <w:t>.</w:t>
      </w:r>
      <w:r>
        <w:rPr>
          <w:sz w:val="22"/>
          <w:szCs w:val="22"/>
        </w:rPr>
        <w:t xml:space="preserve"> </w:t>
      </w:r>
      <w:r w:rsidRPr="00587424">
        <w:rPr>
          <w:sz w:val="22"/>
          <w:szCs w:val="22"/>
        </w:rPr>
        <w:t xml:space="preserve">The DDA covers disabilities that people have now, had in the past, may have in the future or which they are believed to have. More information is available at the Australian Human Rights Commission’s </w:t>
      </w:r>
      <w:hyperlink r:id="rId7" w:history="1">
        <w:r>
          <w:rPr>
            <w:rStyle w:val="Hyperlink"/>
            <w:rFonts w:eastAsiaTheme="majorEastAsia"/>
            <w:sz w:val="22"/>
            <w:szCs w:val="22"/>
          </w:rPr>
          <w:t>Brief guide to the Disability Discrimination Act</w:t>
        </w:r>
      </w:hyperlink>
      <w:r w:rsidRPr="007F3024">
        <w:rPr>
          <w:sz w:val="22"/>
          <w:szCs w:val="22"/>
        </w:rPr>
        <w:t xml:space="preserve"> </w:t>
      </w:r>
      <w:r>
        <w:rPr>
          <w:sz w:val="22"/>
          <w:szCs w:val="22"/>
        </w:rPr>
        <w:t>webpage.</w:t>
      </w:r>
    </w:p>
    <w:p w14:paraId="62A07A71" w14:textId="77777777" w:rsidR="00A13A4D" w:rsidRPr="00126193" w:rsidRDefault="00A13A4D" w:rsidP="00A13A4D">
      <w:pPr>
        <w:pStyle w:val="Heading1"/>
      </w:pPr>
      <w:r w:rsidRPr="00126193">
        <w:t>Discrimination under the DDA</w:t>
      </w:r>
    </w:p>
    <w:p w14:paraId="41863B7C" w14:textId="77777777" w:rsidR="00A13A4D" w:rsidRPr="003D370D" w:rsidRDefault="00A13A4D" w:rsidP="00A13A4D">
      <w:pPr>
        <w:pStyle w:val="BodyTextIntro"/>
        <w:spacing w:before="0" w:after="0" w:line="276" w:lineRule="auto"/>
        <w:rPr>
          <w:bCs/>
          <w:sz w:val="22"/>
          <w:szCs w:val="22"/>
        </w:rPr>
      </w:pPr>
      <w:r>
        <w:rPr>
          <w:sz w:val="22"/>
          <w:szCs w:val="22"/>
        </w:rPr>
        <w:t xml:space="preserve">Sections 5 and 6 of the DDA set out the types of conduct that will constitute direct and indirect disability discrimination. </w:t>
      </w:r>
      <w:r w:rsidRPr="00FC79E2">
        <w:rPr>
          <w:b/>
          <w:bCs/>
          <w:sz w:val="22"/>
          <w:szCs w:val="22"/>
        </w:rPr>
        <w:t>Direct disability discrimination</w:t>
      </w:r>
      <w:r>
        <w:rPr>
          <w:sz w:val="22"/>
          <w:szCs w:val="22"/>
        </w:rPr>
        <w:t xml:space="preserve"> is when a person with disability is </w:t>
      </w:r>
      <w:r w:rsidRPr="003D370D">
        <w:rPr>
          <w:bCs/>
          <w:sz w:val="22"/>
          <w:szCs w:val="22"/>
        </w:rPr>
        <w:t xml:space="preserve">treated less favourably than a person without disability </w:t>
      </w:r>
    </w:p>
    <w:p w14:paraId="55A4D63E" w14:textId="77777777" w:rsidR="00A13A4D" w:rsidRPr="003D370D" w:rsidRDefault="00A13A4D" w:rsidP="00A13A4D">
      <w:pPr>
        <w:pStyle w:val="BodyTextIntro"/>
        <w:numPr>
          <w:ilvl w:val="0"/>
          <w:numId w:val="3"/>
        </w:numPr>
        <w:spacing w:before="0" w:after="0" w:line="276" w:lineRule="auto"/>
        <w:ind w:left="714" w:hanging="357"/>
        <w:rPr>
          <w:bCs/>
          <w:sz w:val="22"/>
          <w:szCs w:val="22"/>
        </w:rPr>
      </w:pPr>
      <w:r w:rsidRPr="003D370D">
        <w:rPr>
          <w:bCs/>
          <w:sz w:val="22"/>
          <w:szCs w:val="22"/>
        </w:rPr>
        <w:t>because of the disability</w:t>
      </w:r>
      <w:r>
        <w:rPr>
          <w:bCs/>
          <w:sz w:val="22"/>
          <w:szCs w:val="22"/>
        </w:rPr>
        <w:t>,</w:t>
      </w:r>
      <w:r w:rsidRPr="003D370D">
        <w:rPr>
          <w:bCs/>
          <w:sz w:val="22"/>
          <w:szCs w:val="22"/>
        </w:rPr>
        <w:t xml:space="preserve"> and </w:t>
      </w:r>
    </w:p>
    <w:p w14:paraId="2FBBEC54" w14:textId="77777777" w:rsidR="00A13A4D" w:rsidRPr="003D370D" w:rsidRDefault="00A13A4D" w:rsidP="00A13A4D">
      <w:pPr>
        <w:pStyle w:val="BodyTextIntro"/>
        <w:numPr>
          <w:ilvl w:val="0"/>
          <w:numId w:val="3"/>
        </w:numPr>
        <w:spacing w:before="0" w:after="0" w:line="276" w:lineRule="auto"/>
        <w:ind w:left="714" w:hanging="357"/>
        <w:rPr>
          <w:bCs/>
          <w:sz w:val="22"/>
          <w:szCs w:val="22"/>
        </w:rPr>
      </w:pPr>
      <w:r w:rsidRPr="003D370D">
        <w:rPr>
          <w:bCs/>
          <w:sz w:val="22"/>
          <w:szCs w:val="22"/>
        </w:rPr>
        <w:t xml:space="preserve">in circumstances that are not materially different. </w:t>
      </w:r>
    </w:p>
    <w:p w14:paraId="57662A41" w14:textId="77777777" w:rsidR="00A13A4D" w:rsidRDefault="00A13A4D" w:rsidP="00A13A4D">
      <w:pPr>
        <w:pStyle w:val="BodyTextIntro"/>
        <w:spacing w:line="276" w:lineRule="auto"/>
        <w:rPr>
          <w:sz w:val="22"/>
          <w:szCs w:val="22"/>
        </w:rPr>
      </w:pPr>
      <w:r>
        <w:rPr>
          <w:sz w:val="22"/>
          <w:szCs w:val="22"/>
        </w:rPr>
        <w:t xml:space="preserve">Importantly, under the DDA, circumstances are not </w:t>
      </w:r>
      <w:r w:rsidRPr="006D5154">
        <w:rPr>
          <w:sz w:val="22"/>
          <w:szCs w:val="22"/>
        </w:rPr>
        <w:t>materially different simply because it is</w:t>
      </w:r>
      <w:r>
        <w:rPr>
          <w:sz w:val="22"/>
          <w:szCs w:val="22"/>
        </w:rPr>
        <w:t xml:space="preserve"> necessary for a person to make reasonable adjustments to allow a person with disability to access premises or participate in an activity (</w:t>
      </w:r>
      <w:proofErr w:type="gramStart"/>
      <w:r>
        <w:rPr>
          <w:sz w:val="22"/>
          <w:szCs w:val="22"/>
        </w:rPr>
        <w:t>e.g.</w:t>
      </w:r>
      <w:proofErr w:type="gramEnd"/>
      <w:r>
        <w:rPr>
          <w:sz w:val="22"/>
          <w:szCs w:val="22"/>
        </w:rPr>
        <w:t xml:space="preserve"> by providing a ramp or allowing a carer to accompany a person). Reasonable adjustments are defined in the DDA as any adjustments that could be made to </w:t>
      </w:r>
      <w:r>
        <w:rPr>
          <w:sz w:val="22"/>
          <w:szCs w:val="22"/>
        </w:rPr>
        <w:lastRenderedPageBreak/>
        <w:t xml:space="preserve">facilitate the participation of a person with a disability that would not impose an unjustifiable hardship on the person providing them. </w:t>
      </w:r>
    </w:p>
    <w:p w14:paraId="056FF45B" w14:textId="77777777" w:rsidR="00A13A4D" w:rsidRPr="00052AD8" w:rsidRDefault="00A13A4D" w:rsidP="00A13A4D">
      <w:pPr>
        <w:pStyle w:val="BodyTextIntro"/>
        <w:spacing w:before="0" w:after="0" w:line="276" w:lineRule="auto"/>
        <w:rPr>
          <w:bCs/>
          <w:sz w:val="22"/>
          <w:szCs w:val="22"/>
        </w:rPr>
      </w:pPr>
      <w:r w:rsidRPr="00052AD8">
        <w:rPr>
          <w:b/>
          <w:sz w:val="22"/>
          <w:szCs w:val="22"/>
        </w:rPr>
        <w:t>Indirect disability discrimination</w:t>
      </w:r>
      <w:r w:rsidRPr="00052AD8">
        <w:rPr>
          <w:bCs/>
          <w:sz w:val="22"/>
          <w:szCs w:val="22"/>
        </w:rPr>
        <w:t xml:space="preserve"> occurs when a person with disability </w:t>
      </w:r>
    </w:p>
    <w:p w14:paraId="32FDFA63" w14:textId="77777777" w:rsidR="00A13A4D" w:rsidRPr="00052AD8" w:rsidRDefault="00A13A4D" w:rsidP="00A13A4D">
      <w:pPr>
        <w:pStyle w:val="BodyTextIntro"/>
        <w:numPr>
          <w:ilvl w:val="0"/>
          <w:numId w:val="3"/>
        </w:numPr>
        <w:spacing w:before="0" w:after="0" w:line="276" w:lineRule="auto"/>
        <w:ind w:left="714" w:hanging="357"/>
        <w:rPr>
          <w:bCs/>
          <w:sz w:val="22"/>
          <w:szCs w:val="22"/>
        </w:rPr>
      </w:pPr>
      <w:r w:rsidRPr="00052AD8">
        <w:rPr>
          <w:bCs/>
          <w:sz w:val="22"/>
          <w:szCs w:val="22"/>
        </w:rPr>
        <w:t xml:space="preserve">is required to comply with a requirement or condition </w:t>
      </w:r>
      <w:r>
        <w:rPr>
          <w:bCs/>
          <w:sz w:val="22"/>
          <w:szCs w:val="22"/>
        </w:rPr>
        <w:t>but</w:t>
      </w:r>
      <w:r w:rsidRPr="00052AD8">
        <w:rPr>
          <w:bCs/>
          <w:sz w:val="22"/>
          <w:szCs w:val="22"/>
        </w:rPr>
        <w:t xml:space="preserve"> they cannot comply because of their disability, and </w:t>
      </w:r>
    </w:p>
    <w:p w14:paraId="547B6BB3" w14:textId="77777777" w:rsidR="00A13A4D" w:rsidRPr="00052AD8" w:rsidRDefault="00A13A4D" w:rsidP="00A13A4D">
      <w:pPr>
        <w:pStyle w:val="BodyTextIntro"/>
        <w:numPr>
          <w:ilvl w:val="0"/>
          <w:numId w:val="3"/>
        </w:numPr>
        <w:spacing w:before="0" w:after="0" w:line="276" w:lineRule="auto"/>
        <w:ind w:left="714" w:hanging="357"/>
        <w:rPr>
          <w:bCs/>
          <w:sz w:val="22"/>
          <w:szCs w:val="22"/>
        </w:rPr>
      </w:pPr>
      <w:r w:rsidRPr="00052AD8">
        <w:rPr>
          <w:bCs/>
          <w:sz w:val="22"/>
          <w:szCs w:val="22"/>
        </w:rPr>
        <w:t xml:space="preserve">that requirement or condition is not reasonable in the circumstances. </w:t>
      </w:r>
    </w:p>
    <w:p w14:paraId="1DDF93A9" w14:textId="77777777" w:rsidR="00A13A4D" w:rsidRDefault="00A13A4D" w:rsidP="00A13A4D">
      <w:pPr>
        <w:pStyle w:val="BodyTextIntro"/>
        <w:spacing w:line="276" w:lineRule="auto"/>
        <w:rPr>
          <w:sz w:val="22"/>
          <w:szCs w:val="22"/>
        </w:rPr>
      </w:pPr>
      <w:r>
        <w:rPr>
          <w:sz w:val="22"/>
          <w:szCs w:val="22"/>
        </w:rPr>
        <w:t>Again, a failure to make reasonable adjustments to assist the person with disability to meet requirements or conditions is indirect disability discrimination.</w:t>
      </w:r>
    </w:p>
    <w:p w14:paraId="253087DF" w14:textId="77777777" w:rsidR="00A13A4D" w:rsidRPr="00FC79E2" w:rsidRDefault="00A13A4D" w:rsidP="00A13A4D">
      <w:pPr>
        <w:pStyle w:val="BodyTextIntro"/>
        <w:spacing w:line="276" w:lineRule="auto"/>
        <w:rPr>
          <w:sz w:val="22"/>
          <w:szCs w:val="22"/>
        </w:rPr>
      </w:pPr>
      <w:r w:rsidRPr="00A52CC5">
        <w:rPr>
          <w:sz w:val="22"/>
          <w:szCs w:val="22"/>
        </w:rPr>
        <w:t xml:space="preserve">Section 7 of the DDA </w:t>
      </w:r>
      <w:r>
        <w:rPr>
          <w:sz w:val="22"/>
          <w:szCs w:val="22"/>
        </w:rPr>
        <w:t>extends protections against discrimination to people who have an associate with disability,</w:t>
      </w:r>
      <w:r w:rsidRPr="00A52CC5">
        <w:rPr>
          <w:sz w:val="22"/>
          <w:szCs w:val="22"/>
        </w:rPr>
        <w:t xml:space="preserve"> such as a </w:t>
      </w:r>
      <w:r>
        <w:rPr>
          <w:sz w:val="22"/>
          <w:szCs w:val="22"/>
        </w:rPr>
        <w:t>spouse, relative or carer</w:t>
      </w:r>
      <w:r w:rsidRPr="00A52CC5">
        <w:rPr>
          <w:sz w:val="22"/>
          <w:szCs w:val="22"/>
        </w:rPr>
        <w:t xml:space="preserve">. </w:t>
      </w:r>
    </w:p>
    <w:p w14:paraId="51D948CF" w14:textId="77777777" w:rsidR="00A13A4D" w:rsidRPr="00A52CC5" w:rsidRDefault="00A13A4D" w:rsidP="00A13A4D">
      <w:pPr>
        <w:pStyle w:val="BodyTextIntro"/>
        <w:spacing w:before="0" w:after="0" w:line="276" w:lineRule="auto"/>
        <w:rPr>
          <w:sz w:val="22"/>
          <w:szCs w:val="22"/>
        </w:rPr>
      </w:pPr>
      <w:r w:rsidRPr="00A52CC5">
        <w:rPr>
          <w:sz w:val="22"/>
          <w:szCs w:val="22"/>
        </w:rPr>
        <w:t xml:space="preserve">Section 8 of the DDA </w:t>
      </w:r>
      <w:r>
        <w:rPr>
          <w:sz w:val="22"/>
          <w:szCs w:val="22"/>
        </w:rPr>
        <w:t>sets out that</w:t>
      </w:r>
      <w:r w:rsidRPr="00A52CC5">
        <w:rPr>
          <w:sz w:val="22"/>
          <w:szCs w:val="22"/>
        </w:rPr>
        <w:t xml:space="preserve"> discrimination </w:t>
      </w:r>
      <w:r>
        <w:rPr>
          <w:sz w:val="22"/>
          <w:szCs w:val="22"/>
        </w:rPr>
        <w:t>can also occur in a situation where</w:t>
      </w:r>
      <w:r w:rsidRPr="00A52CC5">
        <w:rPr>
          <w:sz w:val="22"/>
          <w:szCs w:val="22"/>
        </w:rPr>
        <w:t xml:space="preserve"> a person with disability</w:t>
      </w:r>
      <w:r>
        <w:rPr>
          <w:sz w:val="22"/>
          <w:szCs w:val="22"/>
        </w:rPr>
        <w:t xml:space="preserve"> is discriminated against because the person</w:t>
      </w:r>
      <w:r w:rsidRPr="00A52CC5">
        <w:rPr>
          <w:sz w:val="22"/>
          <w:szCs w:val="22"/>
        </w:rPr>
        <w:t>:</w:t>
      </w:r>
    </w:p>
    <w:p w14:paraId="17CAFC07" w14:textId="77777777" w:rsidR="00A13A4D" w:rsidRPr="00A52CC5" w:rsidRDefault="00A13A4D" w:rsidP="00A13A4D">
      <w:pPr>
        <w:pStyle w:val="BodyTextIntro"/>
        <w:numPr>
          <w:ilvl w:val="0"/>
          <w:numId w:val="2"/>
        </w:numPr>
        <w:spacing w:before="0" w:after="0" w:line="276" w:lineRule="auto"/>
        <w:ind w:left="720"/>
        <w:rPr>
          <w:sz w:val="22"/>
          <w:szCs w:val="22"/>
        </w:rPr>
      </w:pPr>
      <w:r w:rsidRPr="00A52CC5">
        <w:rPr>
          <w:sz w:val="22"/>
          <w:szCs w:val="22"/>
        </w:rPr>
        <w:t xml:space="preserve">uses </w:t>
      </w:r>
      <w:r>
        <w:rPr>
          <w:sz w:val="22"/>
          <w:szCs w:val="22"/>
        </w:rPr>
        <w:t xml:space="preserve">equipment, such as </w:t>
      </w:r>
      <w:r w:rsidRPr="00A52CC5">
        <w:rPr>
          <w:sz w:val="22"/>
          <w:szCs w:val="22"/>
        </w:rPr>
        <w:t>a palliative, therapeutic or assistive device</w:t>
      </w:r>
      <w:r>
        <w:rPr>
          <w:sz w:val="22"/>
          <w:szCs w:val="22"/>
        </w:rPr>
        <w:t>, which provides assistance to alleviate the effect of the disability</w:t>
      </w:r>
    </w:p>
    <w:p w14:paraId="61334F50" w14:textId="77777777" w:rsidR="00A13A4D" w:rsidRPr="00A52CC5" w:rsidRDefault="00A13A4D" w:rsidP="00A13A4D">
      <w:pPr>
        <w:pStyle w:val="BodyTextIntro"/>
        <w:numPr>
          <w:ilvl w:val="0"/>
          <w:numId w:val="2"/>
        </w:numPr>
        <w:spacing w:before="0" w:after="0" w:line="276" w:lineRule="auto"/>
        <w:ind w:left="720"/>
        <w:rPr>
          <w:sz w:val="22"/>
          <w:szCs w:val="22"/>
        </w:rPr>
      </w:pPr>
      <w:r w:rsidRPr="00A52CC5">
        <w:rPr>
          <w:sz w:val="22"/>
          <w:szCs w:val="22"/>
        </w:rPr>
        <w:t xml:space="preserve">is accompanied by a </w:t>
      </w:r>
      <w:proofErr w:type="spellStart"/>
      <w:r w:rsidRPr="00A52CC5">
        <w:rPr>
          <w:sz w:val="22"/>
          <w:szCs w:val="22"/>
        </w:rPr>
        <w:t>carer</w:t>
      </w:r>
      <w:proofErr w:type="spellEnd"/>
      <w:r w:rsidRPr="00A52CC5">
        <w:rPr>
          <w:sz w:val="22"/>
          <w:szCs w:val="22"/>
        </w:rPr>
        <w:t xml:space="preserve">, interpreter, </w:t>
      </w:r>
      <w:proofErr w:type="gramStart"/>
      <w:r w:rsidRPr="00A52CC5">
        <w:rPr>
          <w:sz w:val="22"/>
          <w:szCs w:val="22"/>
        </w:rPr>
        <w:t>reader</w:t>
      </w:r>
      <w:proofErr w:type="gramEnd"/>
      <w:r w:rsidRPr="00A52CC5">
        <w:rPr>
          <w:sz w:val="22"/>
          <w:szCs w:val="22"/>
        </w:rPr>
        <w:t xml:space="preserve"> or assistant</w:t>
      </w:r>
      <w:r>
        <w:rPr>
          <w:sz w:val="22"/>
          <w:szCs w:val="22"/>
        </w:rPr>
        <w:t xml:space="preserve"> who provides assistance or services to a person because of the disability</w:t>
      </w:r>
    </w:p>
    <w:p w14:paraId="0876A7CD" w14:textId="77777777" w:rsidR="00A13A4D" w:rsidRPr="00A52CC5" w:rsidRDefault="00A13A4D" w:rsidP="00A13A4D">
      <w:pPr>
        <w:pStyle w:val="BodyTextIntro"/>
        <w:numPr>
          <w:ilvl w:val="0"/>
          <w:numId w:val="2"/>
        </w:numPr>
        <w:spacing w:before="0" w:after="0" w:line="276" w:lineRule="auto"/>
        <w:ind w:left="720"/>
        <w:rPr>
          <w:sz w:val="22"/>
          <w:szCs w:val="22"/>
        </w:rPr>
      </w:pPr>
      <w:r w:rsidRPr="00A52CC5">
        <w:rPr>
          <w:sz w:val="22"/>
          <w:szCs w:val="22"/>
        </w:rPr>
        <w:t>is accompanied by a</w:t>
      </w:r>
      <w:r>
        <w:rPr>
          <w:sz w:val="22"/>
          <w:szCs w:val="22"/>
        </w:rPr>
        <w:t>n accredited</w:t>
      </w:r>
      <w:r w:rsidRPr="00A52CC5">
        <w:rPr>
          <w:sz w:val="22"/>
          <w:szCs w:val="22"/>
        </w:rPr>
        <w:t xml:space="preserve"> guide or hearing dog or other trained assistan</w:t>
      </w:r>
      <w:r>
        <w:rPr>
          <w:sz w:val="22"/>
          <w:szCs w:val="22"/>
        </w:rPr>
        <w:t>ce</w:t>
      </w:r>
      <w:r w:rsidRPr="00A52CC5">
        <w:rPr>
          <w:sz w:val="22"/>
          <w:szCs w:val="22"/>
        </w:rPr>
        <w:t xml:space="preserve"> animal.</w:t>
      </w:r>
    </w:p>
    <w:p w14:paraId="4B1020FD" w14:textId="77777777" w:rsidR="00A13A4D" w:rsidRPr="00587424" w:rsidRDefault="00A13A4D" w:rsidP="00A13A4D">
      <w:pPr>
        <w:pStyle w:val="Heading1"/>
        <w:rPr>
          <w:rFonts w:eastAsia="Calibri"/>
        </w:rPr>
      </w:pPr>
      <w:r w:rsidRPr="00587424">
        <w:rPr>
          <w:rFonts w:eastAsia="Calibri"/>
        </w:rPr>
        <w:t>What the DDA does</w:t>
      </w:r>
    </w:p>
    <w:p w14:paraId="44CE689F" w14:textId="77777777" w:rsidR="00A13A4D" w:rsidRPr="007F3024" w:rsidRDefault="00A13A4D" w:rsidP="00A13A4D">
      <w:pPr>
        <w:spacing w:after="0"/>
        <w:rPr>
          <w:rFonts w:eastAsia="Times New Roman" w:cs="Times New Roman"/>
          <w:lang w:eastAsia="en-AU"/>
        </w:rPr>
      </w:pPr>
      <w:r w:rsidRPr="007F3024">
        <w:rPr>
          <w:rFonts w:eastAsia="Times New Roman" w:cs="Times New Roman"/>
          <w:lang w:eastAsia="en-AU"/>
        </w:rPr>
        <w:t xml:space="preserve">The DDA </w:t>
      </w:r>
      <w:r>
        <w:rPr>
          <w:rFonts w:eastAsia="Times New Roman" w:cs="Times New Roman"/>
          <w:lang w:eastAsia="en-AU"/>
        </w:rPr>
        <w:t xml:space="preserve">supports the implementation of </w:t>
      </w:r>
      <w:r w:rsidRPr="007F3024">
        <w:rPr>
          <w:rFonts w:eastAsia="Times New Roman" w:cs="Times New Roman"/>
          <w:lang w:eastAsia="en-AU"/>
        </w:rPr>
        <w:t>Australia’s international human rights obligations under the Convention on the Rights of Persons with Disabilities</w:t>
      </w:r>
      <w:r>
        <w:rPr>
          <w:rFonts w:eastAsia="Times New Roman" w:cs="Times New Roman"/>
          <w:lang w:eastAsia="en-AU"/>
        </w:rPr>
        <w:t>. It also</w:t>
      </w:r>
      <w:r w:rsidRPr="007F3024">
        <w:rPr>
          <w:rFonts w:eastAsia="Times New Roman" w:cs="Times New Roman"/>
          <w:lang w:eastAsia="en-AU"/>
        </w:rPr>
        <w:t xml:space="preserve"> </w:t>
      </w:r>
      <w:r>
        <w:rPr>
          <w:rFonts w:eastAsia="Times New Roman" w:cs="Times New Roman"/>
          <w:lang w:eastAsia="en-AU"/>
        </w:rPr>
        <w:t>supports</w:t>
      </w:r>
      <w:r w:rsidRPr="007F3024">
        <w:rPr>
          <w:rFonts w:eastAsia="Times New Roman" w:cs="Times New Roman"/>
          <w:lang w:eastAsia="en-AU"/>
        </w:rPr>
        <w:t xml:space="preserve"> obligations relating to non-discrimination under other treaties, including the International Covenant on Civil and Political Rights.</w:t>
      </w:r>
    </w:p>
    <w:p w14:paraId="3D906604" w14:textId="77777777" w:rsidR="00A13A4D" w:rsidRDefault="00A13A4D" w:rsidP="00A13A4D">
      <w:pPr>
        <w:pStyle w:val="BodyTextIntro"/>
        <w:spacing w:before="0" w:after="0" w:line="276" w:lineRule="auto"/>
        <w:rPr>
          <w:sz w:val="22"/>
          <w:szCs w:val="22"/>
        </w:rPr>
      </w:pPr>
    </w:p>
    <w:p w14:paraId="67A68184" w14:textId="77777777" w:rsidR="00A13A4D" w:rsidRPr="00587424" w:rsidRDefault="00A13A4D" w:rsidP="00A13A4D">
      <w:pPr>
        <w:pStyle w:val="BodyTextIntro"/>
        <w:spacing w:before="0" w:after="0" w:line="276" w:lineRule="auto"/>
        <w:rPr>
          <w:sz w:val="22"/>
          <w:szCs w:val="22"/>
        </w:rPr>
      </w:pPr>
      <w:r w:rsidRPr="00587424">
        <w:rPr>
          <w:sz w:val="22"/>
          <w:szCs w:val="22"/>
        </w:rPr>
        <w:t>The DDA protects people with disability against discrimination in many areas of public life, including:</w:t>
      </w:r>
    </w:p>
    <w:p w14:paraId="79C38B87" w14:textId="77777777" w:rsidR="00A13A4D" w:rsidRPr="00587424" w:rsidRDefault="00A13A4D" w:rsidP="00A13A4D">
      <w:pPr>
        <w:pStyle w:val="BodyTextIntro"/>
        <w:numPr>
          <w:ilvl w:val="0"/>
          <w:numId w:val="3"/>
        </w:numPr>
        <w:spacing w:before="0" w:after="0" w:line="276" w:lineRule="auto"/>
        <w:ind w:left="714" w:hanging="357"/>
        <w:rPr>
          <w:sz w:val="22"/>
          <w:szCs w:val="22"/>
        </w:rPr>
      </w:pPr>
      <w:r>
        <w:rPr>
          <w:b/>
          <w:sz w:val="22"/>
          <w:szCs w:val="22"/>
        </w:rPr>
        <w:t>work</w:t>
      </w:r>
      <w:r w:rsidRPr="00587424">
        <w:rPr>
          <w:sz w:val="22"/>
          <w:szCs w:val="22"/>
        </w:rPr>
        <w:t>–</w:t>
      </w:r>
      <w:r>
        <w:rPr>
          <w:sz w:val="22"/>
          <w:szCs w:val="22"/>
        </w:rPr>
        <w:t xml:space="preserve">including </w:t>
      </w:r>
      <w:r w:rsidRPr="00587424">
        <w:rPr>
          <w:sz w:val="22"/>
          <w:szCs w:val="22"/>
        </w:rPr>
        <w:t>getting a job, terms and conditions of a job, training, promotion, being dismissed</w:t>
      </w:r>
    </w:p>
    <w:p w14:paraId="5DCCAD6E" w14:textId="77777777" w:rsidR="00A13A4D" w:rsidRPr="00587424" w:rsidRDefault="00A13A4D" w:rsidP="00A13A4D">
      <w:pPr>
        <w:pStyle w:val="BodyTextIntro"/>
        <w:numPr>
          <w:ilvl w:val="0"/>
          <w:numId w:val="3"/>
        </w:numPr>
        <w:spacing w:before="0" w:after="0" w:line="276" w:lineRule="auto"/>
        <w:ind w:left="714" w:hanging="357"/>
        <w:rPr>
          <w:sz w:val="22"/>
          <w:szCs w:val="22"/>
        </w:rPr>
      </w:pPr>
      <w:r w:rsidRPr="00587424">
        <w:rPr>
          <w:b/>
          <w:sz w:val="22"/>
          <w:szCs w:val="22"/>
        </w:rPr>
        <w:t>education</w:t>
      </w:r>
      <w:r w:rsidRPr="00587424">
        <w:rPr>
          <w:sz w:val="22"/>
          <w:szCs w:val="22"/>
        </w:rPr>
        <w:t xml:space="preserve">–enrolling or studying in a course at a </w:t>
      </w:r>
      <w:r>
        <w:rPr>
          <w:sz w:val="22"/>
          <w:szCs w:val="22"/>
        </w:rPr>
        <w:t>government or non-government</w:t>
      </w:r>
      <w:r w:rsidRPr="00587424">
        <w:rPr>
          <w:sz w:val="22"/>
          <w:szCs w:val="22"/>
        </w:rPr>
        <w:t xml:space="preserve"> school, </w:t>
      </w:r>
      <w:r>
        <w:rPr>
          <w:sz w:val="22"/>
          <w:szCs w:val="22"/>
        </w:rPr>
        <w:t xml:space="preserve">or a public or private </w:t>
      </w:r>
      <w:r w:rsidRPr="00587424">
        <w:rPr>
          <w:sz w:val="22"/>
          <w:szCs w:val="22"/>
        </w:rPr>
        <w:t>college</w:t>
      </w:r>
      <w:r>
        <w:rPr>
          <w:sz w:val="22"/>
          <w:szCs w:val="22"/>
        </w:rPr>
        <w:t>, registered training provider,</w:t>
      </w:r>
      <w:r w:rsidRPr="00587424">
        <w:rPr>
          <w:sz w:val="22"/>
          <w:szCs w:val="22"/>
        </w:rPr>
        <w:t xml:space="preserve"> or university</w:t>
      </w:r>
    </w:p>
    <w:p w14:paraId="10264AAD" w14:textId="77777777" w:rsidR="00A13A4D" w:rsidRPr="00587424" w:rsidRDefault="00A13A4D" w:rsidP="00A13A4D">
      <w:pPr>
        <w:pStyle w:val="BodyTextIntro"/>
        <w:numPr>
          <w:ilvl w:val="0"/>
          <w:numId w:val="3"/>
        </w:numPr>
        <w:spacing w:before="0" w:after="0" w:line="276" w:lineRule="auto"/>
        <w:ind w:left="714" w:hanging="357"/>
        <w:rPr>
          <w:sz w:val="22"/>
          <w:szCs w:val="22"/>
        </w:rPr>
      </w:pPr>
      <w:r w:rsidRPr="00587424">
        <w:rPr>
          <w:b/>
          <w:sz w:val="22"/>
          <w:szCs w:val="22"/>
        </w:rPr>
        <w:t>accommodation</w:t>
      </w:r>
      <w:r w:rsidRPr="00587424">
        <w:rPr>
          <w:sz w:val="22"/>
          <w:szCs w:val="22"/>
        </w:rPr>
        <w:t>–renting or buying a house or unit</w:t>
      </w:r>
    </w:p>
    <w:p w14:paraId="280B9009" w14:textId="77777777" w:rsidR="00A13A4D" w:rsidRPr="00587424" w:rsidRDefault="00A13A4D" w:rsidP="00A13A4D">
      <w:pPr>
        <w:pStyle w:val="BodyTextIntro"/>
        <w:numPr>
          <w:ilvl w:val="0"/>
          <w:numId w:val="3"/>
        </w:numPr>
        <w:spacing w:before="0" w:after="0" w:line="276" w:lineRule="auto"/>
        <w:ind w:left="714" w:hanging="357"/>
        <w:rPr>
          <w:sz w:val="22"/>
          <w:szCs w:val="22"/>
        </w:rPr>
      </w:pPr>
      <w:r w:rsidRPr="00587424">
        <w:rPr>
          <w:b/>
          <w:sz w:val="22"/>
          <w:szCs w:val="22"/>
        </w:rPr>
        <w:t>getting or using services</w:t>
      </w:r>
      <w:r>
        <w:rPr>
          <w:b/>
          <w:sz w:val="22"/>
          <w:szCs w:val="22"/>
        </w:rPr>
        <w:t xml:space="preserve">, </w:t>
      </w:r>
      <w:proofErr w:type="gramStart"/>
      <w:r>
        <w:rPr>
          <w:b/>
          <w:sz w:val="22"/>
          <w:szCs w:val="22"/>
        </w:rPr>
        <w:t>goods</w:t>
      </w:r>
      <w:proofErr w:type="gramEnd"/>
      <w:r>
        <w:rPr>
          <w:b/>
          <w:sz w:val="22"/>
          <w:szCs w:val="22"/>
        </w:rPr>
        <w:t xml:space="preserve"> and facilities</w:t>
      </w:r>
      <w:r w:rsidRPr="00587424">
        <w:rPr>
          <w:sz w:val="22"/>
          <w:szCs w:val="22"/>
        </w:rPr>
        <w:t>–such as banking and insurance services, services provided by government departments, transport or telecommunication services, professional services like those provided by lawyers, doctors or tradespeople, services provided by restaurants, shops, or entertainment venues</w:t>
      </w:r>
      <w:r>
        <w:rPr>
          <w:sz w:val="22"/>
          <w:szCs w:val="22"/>
        </w:rPr>
        <w:t>, regardless of whether the service is provided on a paid or unpaid basis</w:t>
      </w:r>
    </w:p>
    <w:p w14:paraId="5EA18428" w14:textId="77777777" w:rsidR="00A13A4D" w:rsidRDefault="00A13A4D" w:rsidP="00A13A4D">
      <w:pPr>
        <w:pStyle w:val="BodyTextIntro"/>
        <w:numPr>
          <w:ilvl w:val="0"/>
          <w:numId w:val="3"/>
        </w:numPr>
        <w:spacing w:before="0" w:after="0" w:line="276" w:lineRule="auto"/>
        <w:ind w:left="714" w:hanging="357"/>
        <w:rPr>
          <w:sz w:val="22"/>
          <w:szCs w:val="22"/>
        </w:rPr>
      </w:pPr>
      <w:r w:rsidRPr="00820C33">
        <w:rPr>
          <w:b/>
          <w:sz w:val="22"/>
          <w:szCs w:val="22"/>
        </w:rPr>
        <w:t>accessing public places</w:t>
      </w:r>
      <w:r w:rsidRPr="00820C33">
        <w:rPr>
          <w:sz w:val="22"/>
          <w:szCs w:val="22"/>
        </w:rPr>
        <w:t xml:space="preserve">–such as parks, government offices, restaurants, </w:t>
      </w:r>
      <w:proofErr w:type="gramStart"/>
      <w:r w:rsidRPr="00820C33">
        <w:rPr>
          <w:sz w:val="22"/>
          <w:szCs w:val="22"/>
        </w:rPr>
        <w:t>hotels</w:t>
      </w:r>
      <w:proofErr w:type="gramEnd"/>
      <w:r w:rsidRPr="00820C33">
        <w:rPr>
          <w:sz w:val="22"/>
          <w:szCs w:val="22"/>
        </w:rPr>
        <w:t xml:space="preserve"> or shopping centre</w:t>
      </w:r>
      <w:r>
        <w:rPr>
          <w:sz w:val="22"/>
          <w:szCs w:val="22"/>
        </w:rPr>
        <w:t>s</w:t>
      </w:r>
      <w:r w:rsidRPr="00820C33">
        <w:rPr>
          <w:sz w:val="22"/>
          <w:szCs w:val="22"/>
        </w:rPr>
        <w:t>.</w:t>
      </w:r>
    </w:p>
    <w:p w14:paraId="7557D908" w14:textId="77777777" w:rsidR="00A13A4D" w:rsidRPr="005D64D2" w:rsidRDefault="00A13A4D" w:rsidP="00A13A4D">
      <w:pPr>
        <w:pStyle w:val="BodyTextIntro"/>
        <w:numPr>
          <w:ilvl w:val="0"/>
          <w:numId w:val="3"/>
        </w:numPr>
        <w:spacing w:before="0" w:after="0" w:line="276" w:lineRule="auto"/>
        <w:ind w:left="714" w:hanging="357"/>
        <w:rPr>
          <w:rStyle w:val="Hyperlink"/>
          <w:sz w:val="22"/>
          <w:szCs w:val="22"/>
        </w:rPr>
      </w:pPr>
      <w:r w:rsidRPr="00820C33">
        <w:rPr>
          <w:sz w:val="22"/>
          <w:szCs w:val="22"/>
        </w:rPr>
        <w:fldChar w:fldCharType="begin"/>
      </w:r>
      <w:r w:rsidRPr="005D64D2">
        <w:rPr>
          <w:sz w:val="22"/>
          <w:szCs w:val="22"/>
        </w:rPr>
        <w:instrText xml:space="preserve"> HYPERLINK "https://humanrights.gov.au/our-work/disability-rights/dda-guide-joining" </w:instrText>
      </w:r>
      <w:r w:rsidRPr="00820C33">
        <w:rPr>
          <w:sz w:val="22"/>
          <w:szCs w:val="22"/>
        </w:rPr>
        <w:fldChar w:fldCharType="separate"/>
      </w:r>
      <w:r w:rsidRPr="005D64D2">
        <w:rPr>
          <w:rStyle w:val="Hyperlink"/>
          <w:b/>
          <w:bCs/>
          <w:sz w:val="22"/>
          <w:szCs w:val="22"/>
        </w:rPr>
        <w:t>clubs and</w:t>
      </w:r>
      <w:r>
        <w:rPr>
          <w:rStyle w:val="Hyperlink"/>
          <w:b/>
          <w:bCs/>
          <w:sz w:val="22"/>
          <w:szCs w:val="22"/>
        </w:rPr>
        <w:t xml:space="preserve"> incorporated</w:t>
      </w:r>
      <w:r w:rsidRPr="005D64D2">
        <w:rPr>
          <w:rStyle w:val="Hyperlink"/>
          <w:b/>
          <w:bCs/>
          <w:sz w:val="22"/>
          <w:szCs w:val="22"/>
        </w:rPr>
        <w:t xml:space="preserve"> associations</w:t>
      </w:r>
      <w:r w:rsidRPr="005D64D2">
        <w:rPr>
          <w:sz w:val="22"/>
          <w:szCs w:val="22"/>
        </w:rPr>
        <w:t>–such as sporting, social and licensed clubs, drama or musical groups, political parties, business associations, and self-help groups.</w:t>
      </w:r>
    </w:p>
    <w:p w14:paraId="462DF454" w14:textId="77777777" w:rsidR="00A13A4D" w:rsidRDefault="00A13A4D" w:rsidP="00A13A4D">
      <w:pPr>
        <w:pStyle w:val="BodyTextIntro"/>
        <w:spacing w:line="276" w:lineRule="auto"/>
        <w:rPr>
          <w:sz w:val="22"/>
          <w:szCs w:val="22"/>
        </w:rPr>
      </w:pPr>
      <w:r w:rsidRPr="00820C33">
        <w:rPr>
          <w:sz w:val="22"/>
          <w:szCs w:val="22"/>
        </w:rPr>
        <w:fldChar w:fldCharType="end"/>
      </w:r>
      <w:r w:rsidRPr="00587424">
        <w:rPr>
          <w:sz w:val="22"/>
          <w:szCs w:val="22"/>
        </w:rPr>
        <w:t xml:space="preserve">The DDA also protects people against </w:t>
      </w:r>
      <w:r w:rsidRPr="00587424">
        <w:rPr>
          <w:b/>
          <w:sz w:val="22"/>
          <w:szCs w:val="22"/>
        </w:rPr>
        <w:t>harassment</w:t>
      </w:r>
      <w:r w:rsidRPr="00587424">
        <w:rPr>
          <w:sz w:val="22"/>
          <w:szCs w:val="22"/>
        </w:rPr>
        <w:t xml:space="preserve"> because of their disability, in </w:t>
      </w:r>
      <w:r>
        <w:rPr>
          <w:sz w:val="22"/>
          <w:szCs w:val="22"/>
        </w:rPr>
        <w:t>work</w:t>
      </w:r>
      <w:r w:rsidRPr="00587424">
        <w:rPr>
          <w:sz w:val="22"/>
          <w:szCs w:val="22"/>
        </w:rPr>
        <w:t>, education or in getting or using services.</w:t>
      </w:r>
    </w:p>
    <w:p w14:paraId="6C030E0F" w14:textId="77777777" w:rsidR="00A13A4D" w:rsidRPr="00587424" w:rsidRDefault="00A13A4D" w:rsidP="00A13A4D">
      <w:pPr>
        <w:pStyle w:val="BodyTextIntro"/>
        <w:spacing w:line="276" w:lineRule="auto"/>
        <w:rPr>
          <w:sz w:val="22"/>
          <w:szCs w:val="22"/>
        </w:rPr>
      </w:pPr>
      <w:r w:rsidRPr="00587424">
        <w:rPr>
          <w:sz w:val="22"/>
          <w:szCs w:val="22"/>
        </w:rPr>
        <w:lastRenderedPageBreak/>
        <w:t>If a person believes they have been</w:t>
      </w:r>
      <w:r>
        <w:rPr>
          <w:sz w:val="22"/>
          <w:szCs w:val="22"/>
        </w:rPr>
        <w:t xml:space="preserve"> unlawfully</w:t>
      </w:r>
      <w:r w:rsidRPr="00587424">
        <w:rPr>
          <w:sz w:val="22"/>
          <w:szCs w:val="22"/>
        </w:rPr>
        <w:t xml:space="preserve"> discriminated against</w:t>
      </w:r>
      <w:r>
        <w:rPr>
          <w:sz w:val="22"/>
          <w:szCs w:val="22"/>
        </w:rPr>
        <w:t xml:space="preserve"> </w:t>
      </w:r>
      <w:r w:rsidRPr="00587424">
        <w:rPr>
          <w:sz w:val="22"/>
          <w:szCs w:val="22"/>
        </w:rPr>
        <w:t>they can make a complaint to the Australian Human Rights Commission about discrimination.</w:t>
      </w:r>
    </w:p>
    <w:p w14:paraId="4C3F4398" w14:textId="77777777" w:rsidR="00A13A4D" w:rsidRDefault="00A13A4D" w:rsidP="00A13A4D">
      <w:pPr>
        <w:pStyle w:val="BodyTextIntro"/>
        <w:spacing w:line="276" w:lineRule="auto"/>
        <w:rPr>
          <w:sz w:val="22"/>
          <w:szCs w:val="22"/>
        </w:rPr>
      </w:pPr>
      <w:r w:rsidRPr="00587424">
        <w:rPr>
          <w:sz w:val="22"/>
          <w:szCs w:val="22"/>
        </w:rPr>
        <w:t>The</w:t>
      </w:r>
      <w:r>
        <w:rPr>
          <w:sz w:val="22"/>
          <w:szCs w:val="22"/>
        </w:rPr>
        <w:t xml:space="preserve"> </w:t>
      </w:r>
      <w:r w:rsidRPr="00587424">
        <w:rPr>
          <w:sz w:val="22"/>
          <w:szCs w:val="22"/>
        </w:rPr>
        <w:t xml:space="preserve">Commission has legislative responsibility for inquiring into </w:t>
      </w:r>
      <w:r>
        <w:rPr>
          <w:sz w:val="22"/>
          <w:szCs w:val="22"/>
        </w:rPr>
        <w:t>complaints</w:t>
      </w:r>
      <w:r w:rsidRPr="00587424">
        <w:rPr>
          <w:sz w:val="22"/>
          <w:szCs w:val="22"/>
        </w:rPr>
        <w:t xml:space="preserve"> under the DDA </w:t>
      </w:r>
      <w:r>
        <w:rPr>
          <w:sz w:val="22"/>
          <w:szCs w:val="22"/>
        </w:rPr>
        <w:t>involving</w:t>
      </w:r>
      <w:r w:rsidRPr="00587424">
        <w:rPr>
          <w:sz w:val="22"/>
          <w:szCs w:val="22"/>
        </w:rPr>
        <w:t xml:space="preserve"> discrimination on the grounds of disability. </w:t>
      </w:r>
      <w:r>
        <w:rPr>
          <w:sz w:val="22"/>
          <w:szCs w:val="22"/>
        </w:rPr>
        <w:t>There</w:t>
      </w:r>
      <w:r w:rsidRPr="00587424">
        <w:rPr>
          <w:sz w:val="22"/>
          <w:szCs w:val="22"/>
        </w:rPr>
        <w:t xml:space="preserve"> is a compulsory conciliation process for the resolution of discrimination complaints. Conciliators at the Commission are trained to </w:t>
      </w:r>
      <w:r>
        <w:rPr>
          <w:sz w:val="22"/>
          <w:szCs w:val="22"/>
        </w:rPr>
        <w:t>negotiate a</w:t>
      </w:r>
      <w:r w:rsidRPr="00587424">
        <w:rPr>
          <w:sz w:val="22"/>
          <w:szCs w:val="22"/>
        </w:rPr>
        <w:t xml:space="preserve"> resolution between parties to avoid the need for litigation. If a party is unhappy with the outcome of </w:t>
      </w:r>
      <w:r>
        <w:rPr>
          <w:sz w:val="22"/>
          <w:szCs w:val="22"/>
        </w:rPr>
        <w:t>negotiations</w:t>
      </w:r>
      <w:r w:rsidRPr="00587424">
        <w:rPr>
          <w:sz w:val="22"/>
          <w:szCs w:val="22"/>
        </w:rPr>
        <w:t>, they</w:t>
      </w:r>
      <w:r>
        <w:rPr>
          <w:sz w:val="22"/>
          <w:szCs w:val="22"/>
        </w:rPr>
        <w:t xml:space="preserve"> </w:t>
      </w:r>
      <w:r w:rsidRPr="00587424">
        <w:rPr>
          <w:sz w:val="22"/>
          <w:szCs w:val="22"/>
        </w:rPr>
        <w:t xml:space="preserve">may </w:t>
      </w:r>
      <w:r>
        <w:rPr>
          <w:sz w:val="22"/>
          <w:szCs w:val="22"/>
        </w:rPr>
        <w:t>begin</w:t>
      </w:r>
      <w:r w:rsidRPr="00587424">
        <w:rPr>
          <w:sz w:val="22"/>
          <w:szCs w:val="22"/>
        </w:rPr>
        <w:t xml:space="preserve"> proceedings in the Courts.</w:t>
      </w:r>
    </w:p>
    <w:p w14:paraId="3210F8A9" w14:textId="77777777" w:rsidR="00A13A4D" w:rsidRDefault="00A13A4D" w:rsidP="00A13A4D">
      <w:pPr>
        <w:pStyle w:val="BodyTextIntro"/>
        <w:spacing w:line="276" w:lineRule="auto"/>
        <w:rPr>
          <w:sz w:val="22"/>
          <w:szCs w:val="22"/>
        </w:rPr>
      </w:pPr>
      <w:r>
        <w:rPr>
          <w:sz w:val="22"/>
          <w:szCs w:val="22"/>
        </w:rPr>
        <w:t>In some circumstances</w:t>
      </w:r>
      <w:r w:rsidRPr="00941E0B">
        <w:rPr>
          <w:sz w:val="22"/>
          <w:szCs w:val="22"/>
        </w:rPr>
        <w:t>, a person may commence legal proceedings in the Federal Court or Federal Magistrates Court</w:t>
      </w:r>
      <w:r>
        <w:rPr>
          <w:sz w:val="22"/>
          <w:szCs w:val="22"/>
        </w:rPr>
        <w:t xml:space="preserve"> if their complaint is not resolved through the AHRC processes.</w:t>
      </w:r>
    </w:p>
    <w:p w14:paraId="50202816" w14:textId="77777777" w:rsidR="00A13A4D" w:rsidRPr="00587424" w:rsidRDefault="00A13A4D" w:rsidP="00A13A4D">
      <w:pPr>
        <w:pStyle w:val="Heading1"/>
      </w:pPr>
      <w:r w:rsidRPr="00587424">
        <w:t>About Disability Standards</w:t>
      </w:r>
    </w:p>
    <w:p w14:paraId="7CAEB2C6" w14:textId="77777777" w:rsidR="00A13A4D" w:rsidRPr="00587424" w:rsidRDefault="00A13A4D" w:rsidP="00A13A4D">
      <w:pPr>
        <w:pStyle w:val="BodyTextIntro"/>
        <w:spacing w:line="276" w:lineRule="auto"/>
        <w:rPr>
          <w:sz w:val="22"/>
          <w:szCs w:val="22"/>
        </w:rPr>
      </w:pPr>
      <w:r w:rsidRPr="00587424">
        <w:rPr>
          <w:sz w:val="22"/>
          <w:szCs w:val="22"/>
        </w:rPr>
        <w:t xml:space="preserve">Under the DDA, the Attorney-General may make Disability Standards to specify </w:t>
      </w:r>
      <w:r>
        <w:rPr>
          <w:sz w:val="22"/>
          <w:szCs w:val="22"/>
        </w:rPr>
        <w:t xml:space="preserve">further </w:t>
      </w:r>
      <w:r w:rsidRPr="00587424">
        <w:rPr>
          <w:sz w:val="22"/>
          <w:szCs w:val="22"/>
        </w:rPr>
        <w:t xml:space="preserve">rights and responsibilities about equal access and opportunity for people with </w:t>
      </w:r>
      <w:proofErr w:type="gramStart"/>
      <w:r w:rsidRPr="00587424">
        <w:rPr>
          <w:sz w:val="22"/>
          <w:szCs w:val="22"/>
        </w:rPr>
        <w:t xml:space="preserve">disability, </w:t>
      </w:r>
      <w:r>
        <w:rPr>
          <w:sz w:val="22"/>
          <w:szCs w:val="22"/>
        </w:rPr>
        <w:t>and</w:t>
      </w:r>
      <w:proofErr w:type="gramEnd"/>
      <w:r>
        <w:rPr>
          <w:sz w:val="22"/>
          <w:szCs w:val="22"/>
        </w:rPr>
        <w:t xml:space="preserve"> provide further guidance.</w:t>
      </w:r>
    </w:p>
    <w:p w14:paraId="550D4D84" w14:textId="77777777" w:rsidR="00A13A4D" w:rsidRPr="00587424" w:rsidRDefault="00A13A4D" w:rsidP="00A13A4D">
      <w:pPr>
        <w:pStyle w:val="BodyTextIntro"/>
        <w:spacing w:line="276" w:lineRule="auto"/>
        <w:rPr>
          <w:sz w:val="22"/>
          <w:szCs w:val="22"/>
        </w:rPr>
      </w:pPr>
      <w:r w:rsidRPr="00587424">
        <w:rPr>
          <w:sz w:val="22"/>
          <w:szCs w:val="22"/>
        </w:rPr>
        <w:t xml:space="preserve">Standards can be made in the areas </w:t>
      </w:r>
      <w:r>
        <w:rPr>
          <w:sz w:val="22"/>
          <w:szCs w:val="22"/>
        </w:rPr>
        <w:t xml:space="preserve">including work, </w:t>
      </w:r>
      <w:r w:rsidRPr="00587424">
        <w:rPr>
          <w:sz w:val="22"/>
          <w:szCs w:val="22"/>
        </w:rPr>
        <w:t>education, public transport services, access to premises, accommodation and the administration of Commonwealth laws and programs.</w:t>
      </w:r>
    </w:p>
    <w:p w14:paraId="7A6396E5" w14:textId="77777777" w:rsidR="00A13A4D" w:rsidRPr="00587424" w:rsidRDefault="00A13A4D" w:rsidP="00A13A4D">
      <w:pPr>
        <w:pStyle w:val="BodyTextIntro"/>
        <w:spacing w:before="0" w:after="0" w:line="276" w:lineRule="auto"/>
        <w:rPr>
          <w:sz w:val="22"/>
          <w:szCs w:val="22"/>
        </w:rPr>
      </w:pPr>
      <w:r w:rsidRPr="00587424">
        <w:rPr>
          <w:sz w:val="22"/>
          <w:szCs w:val="22"/>
        </w:rPr>
        <w:t>The following Standards have been made under the DDA:</w:t>
      </w:r>
    </w:p>
    <w:p w14:paraId="59A0B624" w14:textId="77777777" w:rsidR="00A13A4D" w:rsidRPr="00D47C1B" w:rsidRDefault="00A13A4D" w:rsidP="00A13A4D">
      <w:pPr>
        <w:pStyle w:val="BodyTextIntro"/>
        <w:numPr>
          <w:ilvl w:val="0"/>
          <w:numId w:val="4"/>
        </w:numPr>
        <w:spacing w:before="0" w:after="0" w:line="276" w:lineRule="auto"/>
        <w:rPr>
          <w:i/>
          <w:iCs/>
          <w:sz w:val="22"/>
          <w:szCs w:val="22"/>
        </w:rPr>
      </w:pPr>
      <w:r w:rsidRPr="00D47C1B">
        <w:rPr>
          <w:i/>
          <w:iCs/>
          <w:sz w:val="22"/>
          <w:szCs w:val="22"/>
        </w:rPr>
        <w:t>Disability Standards for Accessible Public Transport 2002</w:t>
      </w:r>
    </w:p>
    <w:p w14:paraId="0578731A" w14:textId="77777777" w:rsidR="00A13A4D" w:rsidRPr="000B733E" w:rsidRDefault="00A13A4D" w:rsidP="00A13A4D">
      <w:pPr>
        <w:pStyle w:val="BodyTextIntro"/>
        <w:numPr>
          <w:ilvl w:val="0"/>
          <w:numId w:val="4"/>
        </w:numPr>
        <w:spacing w:before="0" w:after="0" w:line="276" w:lineRule="auto"/>
        <w:rPr>
          <w:b/>
          <w:bCs/>
          <w:i/>
          <w:iCs/>
          <w:sz w:val="22"/>
          <w:szCs w:val="22"/>
        </w:rPr>
      </w:pPr>
      <w:r w:rsidRPr="000B733E">
        <w:rPr>
          <w:b/>
          <w:bCs/>
          <w:i/>
          <w:iCs/>
          <w:sz w:val="22"/>
          <w:szCs w:val="22"/>
        </w:rPr>
        <w:t>Disability Standards fo</w:t>
      </w:r>
      <w:bookmarkStart w:id="0" w:name="Citation"/>
      <w:r w:rsidRPr="000B733E">
        <w:rPr>
          <w:b/>
          <w:bCs/>
          <w:i/>
          <w:iCs/>
          <w:sz w:val="22"/>
          <w:szCs w:val="22"/>
        </w:rPr>
        <w:t>r Education 2005</w:t>
      </w:r>
    </w:p>
    <w:p w14:paraId="78E44EC2" w14:textId="77777777" w:rsidR="00A13A4D" w:rsidRPr="00587424" w:rsidRDefault="00A13A4D" w:rsidP="00A13A4D">
      <w:pPr>
        <w:pStyle w:val="BodyTextIntro"/>
        <w:numPr>
          <w:ilvl w:val="0"/>
          <w:numId w:val="4"/>
        </w:numPr>
        <w:spacing w:before="0" w:after="0" w:line="276" w:lineRule="auto"/>
        <w:rPr>
          <w:sz w:val="22"/>
          <w:szCs w:val="22"/>
        </w:rPr>
      </w:pPr>
      <w:r w:rsidRPr="00D47C1B">
        <w:rPr>
          <w:i/>
          <w:iCs/>
          <w:sz w:val="22"/>
          <w:szCs w:val="22"/>
        </w:rPr>
        <w:t>Disability (Access to Premises – Buildings) Standards 2010</w:t>
      </w:r>
      <w:bookmarkEnd w:id="0"/>
      <w:r w:rsidRPr="00587424">
        <w:rPr>
          <w:sz w:val="22"/>
          <w:szCs w:val="22"/>
        </w:rPr>
        <w:t>.</w:t>
      </w:r>
    </w:p>
    <w:p w14:paraId="69AE7005" w14:textId="77777777" w:rsidR="00A13A4D" w:rsidRDefault="00A13A4D" w:rsidP="00A13A4D">
      <w:pPr>
        <w:pStyle w:val="BodyTextIntro"/>
        <w:spacing w:line="276" w:lineRule="auto"/>
        <w:rPr>
          <w:rFonts w:cstheme="minorHAnsi"/>
          <w:b/>
          <w:bCs/>
          <w:sz w:val="22"/>
          <w:szCs w:val="22"/>
        </w:rPr>
      </w:pPr>
      <w:r w:rsidRPr="00587424">
        <w:rPr>
          <w:sz w:val="22"/>
          <w:szCs w:val="22"/>
        </w:rPr>
        <w:t>Non</w:t>
      </w:r>
      <w:r w:rsidRPr="00587424">
        <w:rPr>
          <w:sz w:val="22"/>
          <w:szCs w:val="22"/>
        </w:rPr>
        <w:noBreakHyphen/>
        <w:t>compliance with a standard is an unlawful act under the DDA</w:t>
      </w:r>
      <w:r>
        <w:rPr>
          <w:sz w:val="22"/>
          <w:szCs w:val="22"/>
        </w:rPr>
        <w:t>. In these situations, a complaint can be made to the AHRC as outlined above</w:t>
      </w:r>
      <w:r w:rsidRPr="00587424">
        <w:rPr>
          <w:sz w:val="22"/>
          <w:szCs w:val="22"/>
        </w:rPr>
        <w:t>.</w:t>
      </w:r>
      <w:r>
        <w:rPr>
          <w:sz w:val="22"/>
          <w:szCs w:val="22"/>
        </w:rPr>
        <w:t xml:space="preserve"> However, where a person complies with a disability standard, they cannot be found to have engaged in unlawful disability discrimination under the more general provisions of the DDA (section 34)</w:t>
      </w:r>
    </w:p>
    <w:p w14:paraId="640C6048" w14:textId="77777777" w:rsidR="00A13A4D" w:rsidRPr="00587424" w:rsidRDefault="00A13A4D" w:rsidP="00A13A4D">
      <w:pPr>
        <w:pStyle w:val="Heading1"/>
      </w:pPr>
      <w:r w:rsidRPr="00587424">
        <w:t>More information</w:t>
      </w:r>
    </w:p>
    <w:p w14:paraId="49D69CA5" w14:textId="77777777" w:rsidR="00A13A4D" w:rsidRDefault="00A13A4D" w:rsidP="00A13A4D">
      <w:pPr>
        <w:pStyle w:val="BodyTextIntro"/>
        <w:spacing w:line="276" w:lineRule="auto"/>
        <w:rPr>
          <w:rFonts w:cstheme="minorHAnsi"/>
          <w:i/>
          <w:sz w:val="22"/>
          <w:szCs w:val="22"/>
        </w:rPr>
      </w:pPr>
      <w:r w:rsidRPr="00587424">
        <w:rPr>
          <w:rFonts w:cstheme="minorHAnsi"/>
          <w:sz w:val="22"/>
          <w:szCs w:val="22"/>
        </w:rPr>
        <w:t>Further information is available in the 2012 AHRC publication</w:t>
      </w:r>
      <w:r>
        <w:rPr>
          <w:rFonts w:cstheme="minorHAnsi"/>
          <w:sz w:val="22"/>
          <w:szCs w:val="22"/>
        </w:rPr>
        <w:t xml:space="preserve"> on the</w:t>
      </w:r>
      <w:r w:rsidRPr="00587424">
        <w:rPr>
          <w:rFonts w:cstheme="minorHAnsi"/>
          <w:sz w:val="22"/>
          <w:szCs w:val="22"/>
        </w:rPr>
        <w:t xml:space="preserve"> </w:t>
      </w:r>
      <w:hyperlink r:id="rId8" w:history="1">
        <w:r w:rsidRPr="00587424">
          <w:rPr>
            <w:rStyle w:val="Hyperlink"/>
            <w:rFonts w:eastAsiaTheme="majorEastAsia" w:cstheme="minorHAnsi"/>
            <w:i/>
            <w:sz w:val="22"/>
            <w:szCs w:val="22"/>
          </w:rPr>
          <w:t>Know your rights: disability discrimination</w:t>
        </w:r>
      </w:hyperlink>
      <w:r w:rsidRPr="00587424">
        <w:rPr>
          <w:rFonts w:cstheme="minorHAnsi"/>
          <w:i/>
          <w:sz w:val="22"/>
          <w:szCs w:val="22"/>
        </w:rPr>
        <w:t xml:space="preserve"> </w:t>
      </w:r>
      <w:r w:rsidRPr="00895584">
        <w:rPr>
          <w:rFonts w:cstheme="minorHAnsi"/>
          <w:iCs/>
          <w:sz w:val="22"/>
          <w:szCs w:val="22"/>
        </w:rPr>
        <w:t>webpage</w:t>
      </w:r>
      <w:r>
        <w:rPr>
          <w:rFonts w:cstheme="minorHAnsi"/>
          <w:i/>
          <w:sz w:val="22"/>
          <w:szCs w:val="22"/>
        </w:rPr>
        <w:t>.</w:t>
      </w:r>
    </w:p>
    <w:p w14:paraId="494454C3" w14:textId="77777777" w:rsidR="00A13A4D" w:rsidRPr="00A56FC7" w:rsidRDefault="00A13A4D" w:rsidP="00A13A4D">
      <w:pPr>
        <w:pStyle w:val="BodyTextIntro"/>
        <w:spacing w:line="276" w:lineRule="auto"/>
      </w:pPr>
      <w:r w:rsidRPr="00CA49DA">
        <w:rPr>
          <w:rFonts w:ascii="Calibri" w:eastAsiaTheme="minorHAnsi" w:hAnsi="Calibri" w:cs="Calibri"/>
          <w:noProof/>
          <w:szCs w:val="20"/>
        </w:rPr>
        <w:drawing>
          <wp:inline distT="0" distB="0" distL="0" distR="0" wp14:anchorId="06156CF2" wp14:editId="7F01247A">
            <wp:extent cx="847725" cy="285750"/>
            <wp:effectExtent l="0" t="0" r="9525" b="0"/>
            <wp:docPr id="10" name="Picture 10"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F5985.F8E603E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47725" cy="285750"/>
                    </a:xfrm>
                    <a:prstGeom prst="rect">
                      <a:avLst/>
                    </a:prstGeom>
                    <a:noFill/>
                    <a:ln>
                      <a:noFill/>
                    </a:ln>
                  </pic:spPr>
                </pic:pic>
              </a:graphicData>
            </a:graphic>
          </wp:inline>
        </w:drawing>
      </w:r>
    </w:p>
    <w:p w14:paraId="5D74891E" w14:textId="77777777" w:rsidR="00A13A4D" w:rsidRDefault="00A13A4D" w:rsidP="00A13A4D">
      <w:pPr>
        <w:pStyle w:val="Footer"/>
      </w:pPr>
    </w:p>
    <w:p w14:paraId="5ABD1A4A" w14:textId="77777777" w:rsidR="00A13A4D" w:rsidRDefault="00A13A4D" w:rsidP="00A13A4D">
      <w:pPr>
        <w:pStyle w:val="Footer"/>
      </w:pPr>
    </w:p>
    <w:p w14:paraId="23A67348" w14:textId="77777777" w:rsidR="00A13A4D" w:rsidRDefault="00A13A4D" w:rsidP="00A13A4D">
      <w:pPr>
        <w:pStyle w:val="Footer"/>
      </w:pPr>
    </w:p>
    <w:p w14:paraId="43A1684C" w14:textId="77777777" w:rsidR="00A13A4D" w:rsidRDefault="00A13A4D" w:rsidP="00A13A4D">
      <w:pPr>
        <w:pStyle w:val="Footer"/>
      </w:pPr>
    </w:p>
    <w:p w14:paraId="222B0EF7" w14:textId="77777777" w:rsidR="00A13A4D" w:rsidRDefault="00A13A4D" w:rsidP="00A13A4D">
      <w:pPr>
        <w:pStyle w:val="Footer"/>
      </w:pPr>
    </w:p>
    <w:p w14:paraId="68E9EE06" w14:textId="77777777" w:rsidR="00A13A4D" w:rsidRDefault="00A13A4D" w:rsidP="00A13A4D">
      <w:pPr>
        <w:pStyle w:val="Footer"/>
      </w:pPr>
    </w:p>
    <w:p w14:paraId="715D4347" w14:textId="77777777" w:rsidR="00A13A4D" w:rsidRDefault="00A13A4D" w:rsidP="00A13A4D">
      <w:pPr>
        <w:pStyle w:val="Footer"/>
      </w:pPr>
    </w:p>
    <w:p w14:paraId="21EAF89A" w14:textId="77777777" w:rsidR="00A13A4D" w:rsidRDefault="00A13A4D" w:rsidP="00A13A4D">
      <w:pPr>
        <w:pStyle w:val="Footer"/>
      </w:pPr>
    </w:p>
    <w:p w14:paraId="4E4FDE85" w14:textId="77777777" w:rsidR="005E7D54" w:rsidRDefault="00A13A4D"/>
    <w:sectPr w:rsidR="005E7D5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1FAD" w14:textId="77777777" w:rsidR="008D029A" w:rsidRDefault="00A13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36322"/>
      <w:docPartObj>
        <w:docPartGallery w:val="Page Numbers (Bottom of Page)"/>
        <w:docPartUnique/>
      </w:docPartObj>
    </w:sdtPr>
    <w:sdtEndPr>
      <w:rPr>
        <w:noProof/>
      </w:rPr>
    </w:sdtEndPr>
    <w:sdtContent>
      <w:p w14:paraId="40D74C66" w14:textId="77777777" w:rsidR="008D029A" w:rsidRDefault="00A13A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9AAEF0" w14:textId="77777777" w:rsidR="008D029A" w:rsidRDefault="00A13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1910" w14:textId="77777777" w:rsidR="008D029A" w:rsidRDefault="00A13A4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065F" w14:textId="77777777" w:rsidR="008D029A" w:rsidRDefault="00A13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C20C" w14:textId="77777777" w:rsidR="008D029A" w:rsidRDefault="00A13A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64F7" w14:textId="77777777" w:rsidR="008D029A" w:rsidRDefault="00A13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26E21"/>
    <w:multiLevelType w:val="hybridMultilevel"/>
    <w:tmpl w:val="7C7A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574B47"/>
    <w:multiLevelType w:val="hybridMultilevel"/>
    <w:tmpl w:val="D14C10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691B72CF"/>
    <w:multiLevelType w:val="hybridMultilevel"/>
    <w:tmpl w:val="B4768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DA61BC"/>
    <w:multiLevelType w:val="hybridMultilevel"/>
    <w:tmpl w:val="5D4A4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D"/>
    <w:rsid w:val="00977113"/>
    <w:rsid w:val="009E43D1"/>
    <w:rsid w:val="00A13A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1E22B"/>
  <w15:chartTrackingRefBased/>
  <w15:docId w15:val="{8069CE64-F44F-4EE0-9DCC-ECC4BE5C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A4D"/>
    <w:pPr>
      <w:spacing w:after="200" w:line="276" w:lineRule="auto"/>
    </w:pPr>
  </w:style>
  <w:style w:type="paragraph" w:styleId="Heading1">
    <w:name w:val="heading 1"/>
    <w:basedOn w:val="Normal"/>
    <w:next w:val="Normal"/>
    <w:link w:val="Heading1Char"/>
    <w:uiPriority w:val="9"/>
    <w:qFormat/>
    <w:rsid w:val="00A13A4D"/>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A13A4D"/>
    <w:pPr>
      <w:keepNext/>
      <w:keepLines/>
      <w:spacing w:before="240" w:after="0"/>
      <w:outlineLvl w:val="1"/>
    </w:pPr>
    <w:rPr>
      <w:rFonts w:ascii="Calibri" w:eastAsiaTheme="majorEastAsia" w:hAnsi="Calibri" w:cstheme="majorBidi"/>
      <w:b/>
      <w:color w:val="F2632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A4D"/>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A13A4D"/>
    <w:rPr>
      <w:rFonts w:ascii="Calibri" w:eastAsiaTheme="majorEastAsia" w:hAnsi="Calibri" w:cstheme="majorBidi"/>
      <w:b/>
      <w:color w:val="F26322"/>
      <w:sz w:val="30"/>
      <w:szCs w:val="26"/>
    </w:rPr>
  </w:style>
  <w:style w:type="paragraph" w:styleId="Subtitle">
    <w:name w:val="Subtitle"/>
    <w:basedOn w:val="Normal"/>
    <w:next w:val="Normal"/>
    <w:link w:val="SubtitleChar"/>
    <w:uiPriority w:val="8"/>
    <w:qFormat/>
    <w:rsid w:val="00A13A4D"/>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A13A4D"/>
    <w:rPr>
      <w:rFonts w:ascii="Calibri" w:eastAsiaTheme="minorEastAsia" w:hAnsi="Calibri"/>
      <w:color w:val="002D3F"/>
      <w:spacing w:val="15"/>
      <w:sz w:val="40"/>
    </w:rPr>
  </w:style>
  <w:style w:type="character" w:styleId="Hyperlink">
    <w:name w:val="Hyperlink"/>
    <w:basedOn w:val="DefaultParagraphFont"/>
    <w:uiPriority w:val="99"/>
    <w:unhideWhenUsed/>
    <w:qFormat/>
    <w:rsid w:val="00A13A4D"/>
    <w:rPr>
      <w:color w:val="002D3F"/>
      <w:u w:val="single"/>
    </w:rPr>
  </w:style>
  <w:style w:type="paragraph" w:styleId="ListParagraph">
    <w:name w:val="List Paragraph"/>
    <w:basedOn w:val="Normal"/>
    <w:uiPriority w:val="34"/>
    <w:qFormat/>
    <w:rsid w:val="00A13A4D"/>
    <w:pPr>
      <w:spacing w:line="360" w:lineRule="auto"/>
      <w:ind w:left="720"/>
      <w:contextualSpacing/>
    </w:pPr>
  </w:style>
  <w:style w:type="paragraph" w:styleId="Header">
    <w:name w:val="header"/>
    <w:basedOn w:val="Normal"/>
    <w:link w:val="HeaderChar"/>
    <w:uiPriority w:val="99"/>
    <w:unhideWhenUsed/>
    <w:rsid w:val="00A13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A4D"/>
  </w:style>
  <w:style w:type="paragraph" w:styleId="Footer">
    <w:name w:val="footer"/>
    <w:basedOn w:val="Normal"/>
    <w:link w:val="FooterChar"/>
    <w:uiPriority w:val="99"/>
    <w:unhideWhenUsed/>
    <w:rsid w:val="00A13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A4D"/>
  </w:style>
  <w:style w:type="paragraph" w:customStyle="1" w:styleId="BodyTextIntro">
    <w:name w:val="Body Text Intro"/>
    <w:basedOn w:val="Normal"/>
    <w:qFormat/>
    <w:rsid w:val="00A13A4D"/>
    <w:pPr>
      <w:spacing w:before="120" w:after="240"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rights.gov.au/publications/know-your-rights-disability-discrimina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umanrights.gov.au/our-work/disability-rights/brief-guide-disability-discrimination-ac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header" Target="header3.xml"/><Relationship Id="rId10" Type="http://schemas.openxmlformats.org/officeDocument/2006/relationships/image" Target="cid:image003.png@01CF5985.F8E603E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5724</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GILL,Fiona</dc:creator>
  <cp:keywords/>
  <dc:description/>
  <cp:lastModifiedBy>GILL,Fiona</cp:lastModifiedBy>
  <cp:revision>1</cp:revision>
  <dcterms:created xsi:type="dcterms:W3CDTF">2022-07-08T04:09:00Z</dcterms:created>
  <dcterms:modified xsi:type="dcterms:W3CDTF">2022-07-08T04:10:00Z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2022-07-08T04:10:04Z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acc05b14-8b6d-4fe1-b6fe-3d7bd9d6266c</vt:lpwstr>
  </property>
  <property fmtid="{D5CDD505-2E9C-101B-9397-08002B2CF9AE}" pid="8" name="MSIP_Label_79d889eb-932f-4752-8739-64d25806ef64_ContentBits">
    <vt:lpwstr>0</vt:lpwstr>
  </property>
</Properties>
</file>