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71A" w:rsidRPr="00B928E0" w:rsidRDefault="006C671A" w:rsidP="00832B45">
      <w:pPr>
        <w:rPr>
          <w:rFonts w:ascii="Arial" w:hAnsi="Arial" w:cs="Arial"/>
          <w:smallCaps/>
          <w:sz w:val="200"/>
          <w:szCs w:val="200"/>
        </w:rPr>
      </w:pPr>
      <w:r w:rsidRPr="00B928E0">
        <w:rPr>
          <w:rFonts w:ascii="Arial" w:hAnsi="Arial" w:cs="Arial"/>
          <w:noProof/>
          <w:sz w:val="200"/>
          <w:szCs w:val="200"/>
          <w:lang w:eastAsia="en-AU"/>
        </w:rPr>
        <w:drawing>
          <wp:anchor distT="0" distB="0" distL="114300" distR="114300" simplePos="0" relativeHeight="251659264" behindDoc="0" locked="0" layoutInCell="1" allowOverlap="1" wp14:anchorId="575DA75A" wp14:editId="3EEA153E">
            <wp:simplePos x="0" y="0"/>
            <wp:positionH relativeFrom="column">
              <wp:posOffset>-724535</wp:posOffset>
            </wp:positionH>
            <wp:positionV relativeFrom="paragraph">
              <wp:posOffset>-838200</wp:posOffset>
            </wp:positionV>
            <wp:extent cx="7553325" cy="2314575"/>
            <wp:effectExtent l="0" t="0" r="9525" b="9525"/>
            <wp:wrapNone/>
            <wp:docPr id="1" name="Picture 1" descr="Australian Government National Smarter Schools Partne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553325" cy="2314575"/>
                    </a:xfrm>
                    <a:prstGeom prst="rect">
                      <a:avLst/>
                    </a:prstGeom>
                    <a:noFill/>
                    <a:ln w="9525">
                      <a:noFill/>
                      <a:miter lim="800000"/>
                      <a:headEnd/>
                      <a:tailEnd/>
                    </a:ln>
                  </pic:spPr>
                </pic:pic>
              </a:graphicData>
            </a:graphic>
          </wp:anchor>
        </w:drawing>
      </w:r>
    </w:p>
    <w:p w:rsidR="00B928E0" w:rsidRDefault="00B928E0" w:rsidP="006C671A">
      <w:pPr>
        <w:jc w:val="center"/>
        <w:rPr>
          <w:rFonts w:ascii="Arial" w:hAnsi="Arial" w:cs="Arial"/>
          <w:b/>
          <w:bCs/>
          <w:iCs/>
          <w:smallCaps/>
          <w:sz w:val="36"/>
          <w:szCs w:val="36"/>
        </w:rPr>
      </w:pPr>
    </w:p>
    <w:p w:rsidR="00B928E0" w:rsidRDefault="00B928E0" w:rsidP="006C671A">
      <w:pPr>
        <w:jc w:val="center"/>
        <w:rPr>
          <w:rFonts w:ascii="Arial" w:hAnsi="Arial" w:cs="Arial"/>
          <w:b/>
          <w:bCs/>
          <w:iCs/>
          <w:smallCaps/>
          <w:sz w:val="36"/>
          <w:szCs w:val="36"/>
        </w:rPr>
      </w:pPr>
      <w:r w:rsidRPr="00B928E0">
        <w:rPr>
          <w:rFonts w:ascii="Arial" w:hAnsi="Arial" w:cs="Arial"/>
          <w:b/>
          <w:bCs/>
          <w:iCs/>
          <w:smallCaps/>
          <w:sz w:val="36"/>
          <w:szCs w:val="36"/>
        </w:rPr>
        <w:t>SMARTER SCHOOL NATIONAL PARTNERSHIPS</w:t>
      </w:r>
    </w:p>
    <w:p w:rsidR="00B928E0" w:rsidRDefault="00B928E0" w:rsidP="00B928E0">
      <w:pPr>
        <w:spacing w:before="120" w:after="120" w:line="360" w:lineRule="auto"/>
        <w:jc w:val="center"/>
        <w:rPr>
          <w:rFonts w:ascii="Arial" w:hAnsi="Arial" w:cs="Arial"/>
          <w:b/>
          <w:bCs/>
          <w:iCs/>
          <w:sz w:val="36"/>
          <w:szCs w:val="36"/>
        </w:rPr>
      </w:pPr>
    </w:p>
    <w:p w:rsidR="008C023F" w:rsidRPr="00B928E0" w:rsidRDefault="00B928E0" w:rsidP="00B928E0">
      <w:pPr>
        <w:spacing w:before="120" w:after="120" w:line="360" w:lineRule="auto"/>
        <w:jc w:val="center"/>
        <w:rPr>
          <w:rFonts w:ascii="Arial" w:hAnsi="Arial" w:cs="Arial"/>
          <w:b/>
          <w:bCs/>
          <w:iCs/>
          <w:sz w:val="36"/>
          <w:szCs w:val="36"/>
        </w:rPr>
      </w:pPr>
      <w:r w:rsidRPr="00B928E0">
        <w:rPr>
          <w:rFonts w:ascii="Arial" w:hAnsi="Arial" w:cs="Arial"/>
          <w:b/>
          <w:bCs/>
          <w:iCs/>
          <w:sz w:val="36"/>
          <w:szCs w:val="36"/>
        </w:rPr>
        <w:t>Improving Teacher Quality</w:t>
      </w:r>
    </w:p>
    <w:p w:rsidR="00B928E0" w:rsidRPr="00B928E0" w:rsidRDefault="00B928E0" w:rsidP="00B928E0">
      <w:pPr>
        <w:spacing w:before="120" w:after="120" w:line="360" w:lineRule="auto"/>
        <w:jc w:val="center"/>
        <w:rPr>
          <w:rFonts w:ascii="Arial" w:hAnsi="Arial" w:cs="Arial"/>
          <w:b/>
          <w:bCs/>
          <w:iCs/>
          <w:sz w:val="36"/>
          <w:szCs w:val="36"/>
        </w:rPr>
      </w:pPr>
      <w:r w:rsidRPr="00B928E0">
        <w:rPr>
          <w:rFonts w:ascii="Arial" w:hAnsi="Arial" w:cs="Arial"/>
          <w:b/>
          <w:bCs/>
          <w:iCs/>
          <w:sz w:val="36"/>
          <w:szCs w:val="36"/>
        </w:rPr>
        <w:t>Low SES School Communities</w:t>
      </w:r>
    </w:p>
    <w:p w:rsidR="00425F33" w:rsidRDefault="00425F33" w:rsidP="00A27489">
      <w:pPr>
        <w:jc w:val="center"/>
        <w:rPr>
          <w:rFonts w:ascii="Arial" w:hAnsi="Arial" w:cs="Arial"/>
          <w:b/>
          <w:sz w:val="36"/>
          <w:szCs w:val="36"/>
        </w:rPr>
      </w:pPr>
    </w:p>
    <w:p w:rsidR="00250EC1" w:rsidRDefault="00250EC1" w:rsidP="00250EC1">
      <w:pPr>
        <w:pStyle w:val="FrontPage"/>
        <w:rPr>
          <w:rFonts w:asciiTheme="minorHAnsi" w:hAnsiTheme="minorHAnsi" w:cstheme="minorHAnsi"/>
          <w:sz w:val="72"/>
          <w:szCs w:val="72"/>
        </w:rPr>
      </w:pPr>
      <w:r w:rsidRPr="007E67C5">
        <w:rPr>
          <w:rFonts w:asciiTheme="minorHAnsi" w:hAnsiTheme="minorHAnsi" w:cstheme="minorHAnsi"/>
          <w:sz w:val="72"/>
          <w:szCs w:val="72"/>
        </w:rPr>
        <w:t>South Australia</w:t>
      </w:r>
    </w:p>
    <w:p w:rsidR="00B928E0" w:rsidRPr="00B928E0" w:rsidRDefault="00B928E0" w:rsidP="00B928E0">
      <w:pPr>
        <w:pStyle w:val="TOC1"/>
      </w:pPr>
    </w:p>
    <w:p w:rsidR="005164AE" w:rsidRDefault="008C023F" w:rsidP="0018223A">
      <w:pPr>
        <w:jc w:val="center"/>
        <w:rPr>
          <w:rFonts w:ascii="Arial" w:hAnsi="Arial" w:cs="Arial"/>
          <w:b/>
          <w:sz w:val="48"/>
          <w:szCs w:val="48"/>
        </w:rPr>
      </w:pPr>
      <w:r w:rsidRPr="00425F33">
        <w:rPr>
          <w:rFonts w:ascii="Arial" w:hAnsi="Arial" w:cs="Arial"/>
          <w:b/>
          <w:sz w:val="48"/>
          <w:szCs w:val="48"/>
        </w:rPr>
        <w:t xml:space="preserve">Progress Report </w:t>
      </w:r>
      <w:r w:rsidR="007548F1" w:rsidRPr="00425F33">
        <w:rPr>
          <w:rFonts w:ascii="Arial" w:hAnsi="Arial" w:cs="Arial"/>
          <w:b/>
          <w:sz w:val="48"/>
          <w:szCs w:val="48"/>
        </w:rPr>
        <w:t>201</w:t>
      </w:r>
      <w:r w:rsidR="00D80244" w:rsidRPr="00425F33">
        <w:rPr>
          <w:rFonts w:ascii="Arial" w:hAnsi="Arial" w:cs="Arial"/>
          <w:b/>
          <w:sz w:val="48"/>
          <w:szCs w:val="48"/>
        </w:rPr>
        <w:t>3</w:t>
      </w:r>
    </w:p>
    <w:p w:rsidR="00B928E0" w:rsidRPr="00B928E0" w:rsidRDefault="00B928E0" w:rsidP="0018223A">
      <w:pPr>
        <w:jc w:val="center"/>
        <w:rPr>
          <w:rFonts w:ascii="Arial" w:hAnsi="Arial" w:cs="Arial"/>
          <w:b/>
          <w:sz w:val="20"/>
        </w:rPr>
      </w:pPr>
    </w:p>
    <w:p w:rsidR="008C023F" w:rsidRPr="00B928E0" w:rsidRDefault="008C023F" w:rsidP="0018223A">
      <w:pPr>
        <w:jc w:val="center"/>
        <w:rPr>
          <w:rFonts w:ascii="Arial" w:hAnsi="Arial" w:cs="Arial"/>
          <w:b/>
          <w:sz w:val="32"/>
          <w:szCs w:val="32"/>
        </w:rPr>
      </w:pPr>
      <w:r w:rsidRPr="00B928E0">
        <w:rPr>
          <w:rFonts w:ascii="Arial" w:hAnsi="Arial" w:cs="Arial"/>
          <w:b/>
          <w:sz w:val="32"/>
          <w:szCs w:val="32"/>
        </w:rPr>
        <w:t>(</w:t>
      </w:r>
      <w:r w:rsidR="009205F6" w:rsidRPr="00B928E0">
        <w:rPr>
          <w:rFonts w:ascii="Arial" w:hAnsi="Arial" w:cs="Arial"/>
          <w:b/>
          <w:sz w:val="32"/>
          <w:szCs w:val="32"/>
        </w:rPr>
        <w:t>1 J</w:t>
      </w:r>
      <w:r w:rsidRPr="00B928E0">
        <w:rPr>
          <w:rFonts w:ascii="Arial" w:hAnsi="Arial" w:cs="Arial"/>
          <w:b/>
          <w:sz w:val="32"/>
          <w:szCs w:val="32"/>
        </w:rPr>
        <w:t>anuary –</w:t>
      </w:r>
      <w:r w:rsidR="005354D3" w:rsidRPr="00B928E0">
        <w:rPr>
          <w:rFonts w:ascii="Arial" w:hAnsi="Arial" w:cs="Arial"/>
          <w:b/>
          <w:sz w:val="32"/>
          <w:szCs w:val="32"/>
        </w:rPr>
        <w:t xml:space="preserve"> </w:t>
      </w:r>
      <w:r w:rsidR="009205F6" w:rsidRPr="00B928E0">
        <w:rPr>
          <w:rFonts w:ascii="Arial" w:hAnsi="Arial" w:cs="Arial"/>
          <w:b/>
          <w:sz w:val="32"/>
          <w:szCs w:val="32"/>
        </w:rPr>
        <w:t xml:space="preserve">30 </w:t>
      </w:r>
      <w:r w:rsidR="00A95D78" w:rsidRPr="00B928E0">
        <w:rPr>
          <w:rFonts w:ascii="Arial" w:hAnsi="Arial" w:cs="Arial"/>
          <w:b/>
          <w:sz w:val="32"/>
          <w:szCs w:val="32"/>
        </w:rPr>
        <w:t>June 201</w:t>
      </w:r>
      <w:r w:rsidR="00D80244" w:rsidRPr="00B928E0">
        <w:rPr>
          <w:rFonts w:ascii="Arial" w:hAnsi="Arial" w:cs="Arial"/>
          <w:b/>
          <w:sz w:val="32"/>
          <w:szCs w:val="32"/>
        </w:rPr>
        <w:t>3</w:t>
      </w:r>
      <w:r w:rsidRPr="00B928E0">
        <w:rPr>
          <w:rFonts w:ascii="Arial" w:hAnsi="Arial" w:cs="Arial"/>
          <w:b/>
          <w:sz w:val="32"/>
          <w:szCs w:val="32"/>
        </w:rPr>
        <w:t>)</w:t>
      </w:r>
    </w:p>
    <w:p w:rsidR="000259A5" w:rsidRPr="004552FC" w:rsidRDefault="000259A5" w:rsidP="00425F33">
      <w:pPr>
        <w:rPr>
          <w:rFonts w:ascii="Arial" w:hAnsi="Arial" w:cs="Arial"/>
          <w:b/>
          <w:sz w:val="72"/>
          <w:szCs w:val="72"/>
        </w:rPr>
      </w:pPr>
    </w:p>
    <w:p w:rsidR="00206A04" w:rsidRDefault="001E323F" w:rsidP="001E323F">
      <w:pPr>
        <w:jc w:val="center"/>
        <w:rPr>
          <w:rFonts w:ascii="Arial" w:hAnsi="Arial" w:cs="Arial"/>
          <w:b/>
          <w:sz w:val="36"/>
          <w:szCs w:val="36"/>
        </w:rPr>
      </w:pPr>
      <w:r w:rsidRPr="001E323F">
        <w:rPr>
          <w:rFonts w:ascii="Arial" w:hAnsi="Arial" w:cs="Arial"/>
          <w:b/>
          <w:sz w:val="36"/>
          <w:szCs w:val="36"/>
        </w:rPr>
        <w:t>October 2013</w:t>
      </w:r>
    </w:p>
    <w:p w:rsidR="004552FC" w:rsidRPr="004552FC" w:rsidRDefault="004552FC" w:rsidP="001E323F">
      <w:pPr>
        <w:jc w:val="center"/>
        <w:rPr>
          <w:rFonts w:ascii="Arial" w:hAnsi="Arial" w:cs="Arial"/>
          <w:b/>
          <w:sz w:val="48"/>
          <w:szCs w:val="48"/>
        </w:rPr>
      </w:pPr>
    </w:p>
    <w:tbl>
      <w:tblPr>
        <w:tblW w:w="0" w:type="auto"/>
        <w:tblLook w:val="04A0" w:firstRow="1" w:lastRow="0" w:firstColumn="1" w:lastColumn="0" w:noHBand="0" w:noVBand="1"/>
      </w:tblPr>
      <w:tblGrid>
        <w:gridCol w:w="3285"/>
        <w:gridCol w:w="3285"/>
        <w:gridCol w:w="3285"/>
      </w:tblGrid>
      <w:tr w:rsidR="004552FC" w:rsidTr="004552FC">
        <w:tc>
          <w:tcPr>
            <w:tcW w:w="3285" w:type="dxa"/>
          </w:tcPr>
          <w:p w:rsidR="004552FC" w:rsidRDefault="004552FC" w:rsidP="004552FC">
            <w:pPr>
              <w:jc w:val="center"/>
              <w:rPr>
                <w:rFonts w:ascii="Arial" w:hAnsi="Arial" w:cs="Arial"/>
                <w:b/>
                <w:szCs w:val="24"/>
              </w:rPr>
            </w:pPr>
            <w:r>
              <w:rPr>
                <w:rFonts w:ascii="Arial" w:hAnsi="Arial" w:cs="Arial"/>
                <w:b/>
                <w:noProof/>
                <w:szCs w:val="24"/>
                <w:lang w:eastAsia="en-AU"/>
              </w:rPr>
              <w:drawing>
                <wp:inline distT="0" distB="0" distL="0" distR="0" wp14:anchorId="5DF9A710" wp14:editId="4D8B0314">
                  <wp:extent cx="1597025" cy="141414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7025" cy="1414145"/>
                          </a:xfrm>
                          <a:prstGeom prst="rect">
                            <a:avLst/>
                          </a:prstGeom>
                          <a:noFill/>
                        </pic:spPr>
                      </pic:pic>
                    </a:graphicData>
                  </a:graphic>
                </wp:inline>
              </w:drawing>
            </w:r>
          </w:p>
        </w:tc>
        <w:tc>
          <w:tcPr>
            <w:tcW w:w="3285" w:type="dxa"/>
          </w:tcPr>
          <w:p w:rsidR="004552FC" w:rsidRDefault="004552FC" w:rsidP="004552FC">
            <w:pPr>
              <w:jc w:val="center"/>
              <w:rPr>
                <w:rFonts w:ascii="Arial" w:hAnsi="Arial" w:cs="Arial"/>
                <w:b/>
                <w:szCs w:val="24"/>
              </w:rPr>
            </w:pPr>
            <w:r>
              <w:rPr>
                <w:rFonts w:ascii="Arial" w:hAnsi="Arial" w:cs="Arial"/>
                <w:b/>
                <w:noProof/>
                <w:szCs w:val="24"/>
                <w:lang w:eastAsia="en-AU"/>
              </w:rPr>
              <w:drawing>
                <wp:inline distT="0" distB="0" distL="0" distR="0" wp14:anchorId="6901F02D" wp14:editId="0A67ED5B">
                  <wp:extent cx="1219200" cy="1371600"/>
                  <wp:effectExtent l="0" t="0" r="0" b="0"/>
                  <wp:docPr id="8" name="Picture 8" descr="Image of the Association of Independent Schools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371600"/>
                          </a:xfrm>
                          <a:prstGeom prst="rect">
                            <a:avLst/>
                          </a:prstGeom>
                          <a:noFill/>
                        </pic:spPr>
                      </pic:pic>
                    </a:graphicData>
                  </a:graphic>
                </wp:inline>
              </w:drawing>
            </w:r>
          </w:p>
        </w:tc>
        <w:tc>
          <w:tcPr>
            <w:tcW w:w="3285" w:type="dxa"/>
          </w:tcPr>
          <w:p w:rsidR="004552FC" w:rsidRDefault="004552FC" w:rsidP="004552FC">
            <w:pPr>
              <w:jc w:val="center"/>
              <w:rPr>
                <w:rFonts w:ascii="Arial" w:hAnsi="Arial" w:cs="Arial"/>
                <w:b/>
                <w:szCs w:val="24"/>
              </w:rPr>
            </w:pPr>
            <w:r>
              <w:rPr>
                <w:rFonts w:ascii="Arial" w:hAnsi="Arial" w:cs="Arial"/>
                <w:b/>
                <w:noProof/>
                <w:szCs w:val="24"/>
                <w:lang w:eastAsia="en-AU"/>
              </w:rPr>
              <w:drawing>
                <wp:inline distT="0" distB="0" distL="0" distR="0" wp14:anchorId="50096AF7" wp14:editId="14595455">
                  <wp:extent cx="1152525" cy="1371600"/>
                  <wp:effectExtent l="0" t="0" r="9525" b="0"/>
                  <wp:docPr id="9" name="Picture 9" descr="Image of the Catholic Education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1371600"/>
                          </a:xfrm>
                          <a:prstGeom prst="rect">
                            <a:avLst/>
                          </a:prstGeom>
                          <a:noFill/>
                        </pic:spPr>
                      </pic:pic>
                    </a:graphicData>
                  </a:graphic>
                </wp:inline>
              </w:drawing>
            </w:r>
          </w:p>
        </w:tc>
      </w:tr>
    </w:tbl>
    <w:p w:rsidR="004552FC" w:rsidRPr="007E67C5" w:rsidRDefault="006C1700" w:rsidP="004552FC">
      <w:pPr>
        <w:spacing w:before="120" w:after="60"/>
        <w:ind w:left="-142"/>
        <w:rPr>
          <w:rFonts w:cstheme="minorHAnsi"/>
          <w:b/>
          <w:szCs w:val="24"/>
        </w:rPr>
      </w:pPr>
      <w:r>
        <w:rPr>
          <w:rFonts w:ascii="Arial" w:hAnsi="Arial" w:cs="Arial"/>
          <w:b/>
          <w:szCs w:val="24"/>
        </w:rPr>
        <w:br w:type="page"/>
      </w:r>
      <w:r w:rsidR="004552FC" w:rsidRPr="007E67C5">
        <w:rPr>
          <w:rFonts w:cstheme="minorHAnsi"/>
          <w:b/>
          <w:szCs w:val="24"/>
        </w:rPr>
        <w:lastRenderedPageBreak/>
        <w:t>INTRODUCTION</w:t>
      </w:r>
    </w:p>
    <w:p w:rsidR="004552FC" w:rsidRPr="007E67C5" w:rsidRDefault="004552FC" w:rsidP="004552FC">
      <w:pPr>
        <w:spacing w:before="120" w:after="60"/>
        <w:ind w:left="-142"/>
        <w:rPr>
          <w:rFonts w:cstheme="minorHAnsi"/>
          <w:szCs w:val="22"/>
        </w:rPr>
      </w:pPr>
      <w:r w:rsidRPr="007E67C5">
        <w:rPr>
          <w:rFonts w:cstheme="minorHAnsi"/>
          <w:szCs w:val="22"/>
        </w:rPr>
        <w:t>In April 2013, states and territories provided an annual report to the Department of Education, Employment and Workplace Relations (DEEWR) on Smarter School National Partnerships (</w:t>
      </w:r>
      <w:proofErr w:type="spellStart"/>
      <w:r w:rsidRPr="007E67C5">
        <w:rPr>
          <w:rFonts w:cstheme="minorHAnsi"/>
          <w:szCs w:val="22"/>
        </w:rPr>
        <w:t>SSNP</w:t>
      </w:r>
      <w:proofErr w:type="spellEnd"/>
      <w:r w:rsidRPr="007E67C5">
        <w:rPr>
          <w:rFonts w:cstheme="minorHAnsi"/>
          <w:szCs w:val="22"/>
        </w:rPr>
        <w:t>) activity in the 2012 calendar year.</w:t>
      </w:r>
    </w:p>
    <w:p w:rsidR="004552FC" w:rsidRPr="007E67C5" w:rsidRDefault="004552FC" w:rsidP="004552FC">
      <w:pPr>
        <w:spacing w:before="120" w:after="60"/>
        <w:ind w:left="-142"/>
        <w:rPr>
          <w:rFonts w:cstheme="minorHAnsi"/>
          <w:szCs w:val="22"/>
        </w:rPr>
      </w:pPr>
      <w:r w:rsidRPr="007E67C5">
        <w:rPr>
          <w:rFonts w:cstheme="minorHAnsi"/>
          <w:szCs w:val="22"/>
        </w:rPr>
        <w:t xml:space="preserve">This progress report covers </w:t>
      </w:r>
      <w:proofErr w:type="spellStart"/>
      <w:r w:rsidRPr="007E67C5">
        <w:rPr>
          <w:rFonts w:cstheme="minorHAnsi"/>
          <w:szCs w:val="22"/>
        </w:rPr>
        <w:t>SSNP</w:t>
      </w:r>
      <w:proofErr w:type="spellEnd"/>
      <w:r w:rsidRPr="007E67C5">
        <w:rPr>
          <w:rFonts w:cstheme="minorHAnsi"/>
          <w:szCs w:val="22"/>
        </w:rPr>
        <w:t xml:space="preserve">-funded activity from 1 January to 30 June 2013. The progress report focuses on key highlights, case studies as well as milestone activities, as set out in each state and territory bilateral agreements/final implementation plans.  </w:t>
      </w:r>
    </w:p>
    <w:p w:rsidR="004552FC" w:rsidRPr="007E67C5" w:rsidRDefault="004552FC" w:rsidP="004552FC">
      <w:pPr>
        <w:spacing w:before="120" w:after="60"/>
        <w:ind w:left="-142"/>
        <w:rPr>
          <w:rFonts w:cstheme="minorHAnsi"/>
          <w:szCs w:val="22"/>
        </w:rPr>
      </w:pPr>
      <w:r w:rsidRPr="007E67C5">
        <w:rPr>
          <w:rFonts w:cstheme="minorHAnsi"/>
          <w:szCs w:val="22"/>
        </w:rPr>
        <w:t xml:space="preserve">The report also provides important information on </w:t>
      </w:r>
      <w:proofErr w:type="spellStart"/>
      <w:r w:rsidRPr="007E67C5">
        <w:rPr>
          <w:rFonts w:cstheme="minorHAnsi"/>
          <w:szCs w:val="22"/>
        </w:rPr>
        <w:t>SSNP</w:t>
      </w:r>
      <w:proofErr w:type="spellEnd"/>
      <w:r w:rsidRPr="007E67C5">
        <w:rPr>
          <w:rFonts w:cstheme="minorHAnsi"/>
          <w:szCs w:val="22"/>
        </w:rPr>
        <w:t xml:space="preserve"> funded activities to support the improvement in educational outcomes for Aboriginal and Torres Strait Islander students.</w:t>
      </w:r>
    </w:p>
    <w:p w:rsidR="004552FC" w:rsidRPr="007E67C5" w:rsidRDefault="004552FC" w:rsidP="004552FC">
      <w:pPr>
        <w:spacing w:before="120" w:after="60"/>
        <w:rPr>
          <w:rFonts w:cstheme="minorHAnsi"/>
          <w:szCs w:val="22"/>
        </w:rPr>
      </w:pPr>
    </w:p>
    <w:p w:rsidR="004552FC" w:rsidRPr="007E67C5" w:rsidRDefault="004552FC" w:rsidP="004552FC">
      <w:pPr>
        <w:spacing w:before="120" w:after="60"/>
        <w:ind w:left="-142"/>
        <w:rPr>
          <w:rFonts w:cstheme="minorHAnsi"/>
          <w:b/>
          <w:szCs w:val="22"/>
        </w:rPr>
      </w:pPr>
      <w:r w:rsidRPr="007E67C5">
        <w:rPr>
          <w:rFonts w:cstheme="minorHAnsi"/>
          <w:b/>
          <w:szCs w:val="22"/>
        </w:rPr>
        <w:t>STRUCTURE OF REPORT</w:t>
      </w:r>
    </w:p>
    <w:p w:rsidR="004552FC" w:rsidRPr="007E67C5" w:rsidRDefault="004552FC" w:rsidP="004552FC">
      <w:pPr>
        <w:spacing w:before="120" w:after="60"/>
        <w:ind w:left="-142"/>
        <w:rPr>
          <w:rFonts w:cstheme="minorHAnsi"/>
          <w:szCs w:val="22"/>
        </w:rPr>
      </w:pPr>
      <w:r w:rsidRPr="007E67C5">
        <w:rPr>
          <w:rFonts w:cstheme="minorHAnsi"/>
          <w:szCs w:val="22"/>
        </w:rPr>
        <w:t>The progress report has four sections:</w:t>
      </w:r>
    </w:p>
    <w:p w:rsidR="004552FC" w:rsidRPr="007E67C5" w:rsidRDefault="004552FC" w:rsidP="004552FC">
      <w:pPr>
        <w:spacing w:before="120" w:after="120"/>
        <w:ind w:left="1418" w:hanging="1560"/>
        <w:rPr>
          <w:rFonts w:cstheme="minorHAnsi"/>
          <w:szCs w:val="22"/>
        </w:rPr>
      </w:pPr>
      <w:r w:rsidRPr="007E67C5">
        <w:rPr>
          <w:rFonts w:cstheme="minorHAnsi"/>
          <w:b/>
          <w:szCs w:val="22"/>
        </w:rPr>
        <w:t>Section 1:</w:t>
      </w:r>
      <w:r w:rsidRPr="007E67C5">
        <w:rPr>
          <w:rFonts w:cstheme="minorHAnsi"/>
          <w:szCs w:val="22"/>
        </w:rPr>
        <w:tab/>
        <w:t>Improving Teacher Quality (</w:t>
      </w:r>
      <w:proofErr w:type="spellStart"/>
      <w:r w:rsidRPr="007E67C5">
        <w:rPr>
          <w:rFonts w:cstheme="minorHAnsi"/>
          <w:szCs w:val="22"/>
        </w:rPr>
        <w:t>ITQ</w:t>
      </w:r>
      <w:proofErr w:type="spellEnd"/>
      <w:r w:rsidRPr="007E67C5">
        <w:rPr>
          <w:rFonts w:cstheme="minorHAnsi"/>
          <w:szCs w:val="22"/>
        </w:rPr>
        <w:t>), including Principal Professional Development</w:t>
      </w:r>
    </w:p>
    <w:p w:rsidR="004552FC" w:rsidRPr="007E67C5" w:rsidRDefault="004552FC" w:rsidP="004552FC">
      <w:pPr>
        <w:spacing w:before="120" w:after="120"/>
        <w:ind w:left="-142"/>
        <w:rPr>
          <w:rFonts w:cstheme="minorHAnsi"/>
          <w:szCs w:val="22"/>
        </w:rPr>
      </w:pPr>
      <w:r w:rsidRPr="007E67C5">
        <w:rPr>
          <w:rFonts w:cstheme="minorHAnsi"/>
          <w:b/>
          <w:szCs w:val="22"/>
        </w:rPr>
        <w:t>Section 2:</w:t>
      </w:r>
      <w:r w:rsidRPr="007E67C5">
        <w:rPr>
          <w:rFonts w:cstheme="minorHAnsi"/>
          <w:szCs w:val="22"/>
        </w:rPr>
        <w:tab/>
        <w:t>Communities Making a Difference (Low SES School Communities)</w:t>
      </w:r>
    </w:p>
    <w:p w:rsidR="004552FC" w:rsidRPr="007E67C5" w:rsidRDefault="004552FC" w:rsidP="004552FC">
      <w:pPr>
        <w:spacing w:before="120" w:after="120"/>
        <w:ind w:left="-142"/>
        <w:rPr>
          <w:rFonts w:cstheme="minorHAnsi"/>
          <w:szCs w:val="22"/>
        </w:rPr>
      </w:pPr>
      <w:r w:rsidRPr="007E67C5">
        <w:rPr>
          <w:rFonts w:cstheme="minorHAnsi"/>
          <w:b/>
          <w:szCs w:val="22"/>
        </w:rPr>
        <w:t>Section 3:</w:t>
      </w:r>
      <w:r w:rsidRPr="007E67C5">
        <w:rPr>
          <w:rFonts w:cstheme="minorHAnsi"/>
          <w:szCs w:val="22"/>
        </w:rPr>
        <w:tab/>
        <w:t>Milestones</w:t>
      </w:r>
    </w:p>
    <w:p w:rsidR="004552FC" w:rsidRPr="007E67C5" w:rsidRDefault="004552FC" w:rsidP="004552FC">
      <w:pPr>
        <w:spacing w:before="120" w:after="120"/>
        <w:ind w:left="-142"/>
        <w:rPr>
          <w:rFonts w:cstheme="minorHAnsi"/>
          <w:szCs w:val="22"/>
        </w:rPr>
      </w:pPr>
      <w:r w:rsidRPr="007E67C5">
        <w:rPr>
          <w:rFonts w:cstheme="minorHAnsi"/>
          <w:b/>
          <w:szCs w:val="22"/>
        </w:rPr>
        <w:t>Section 4:</w:t>
      </w:r>
      <w:r w:rsidRPr="007E67C5">
        <w:rPr>
          <w:rFonts w:cstheme="minorHAnsi"/>
          <w:szCs w:val="22"/>
        </w:rPr>
        <w:tab/>
        <w:t>SA Performance Measures for Communities Making a Difference (</w:t>
      </w:r>
      <w:proofErr w:type="spellStart"/>
      <w:r w:rsidRPr="007E67C5">
        <w:rPr>
          <w:rFonts w:cstheme="minorHAnsi"/>
          <w:szCs w:val="22"/>
        </w:rPr>
        <w:t>CMaD</w:t>
      </w:r>
      <w:proofErr w:type="spellEnd"/>
      <w:r w:rsidRPr="007E67C5">
        <w:rPr>
          <w:rFonts w:cstheme="minorHAnsi"/>
          <w:szCs w:val="22"/>
        </w:rPr>
        <w:t xml:space="preserve"> NP)</w:t>
      </w:r>
    </w:p>
    <w:p w:rsidR="004552FC" w:rsidRPr="007E67C5" w:rsidRDefault="004552FC" w:rsidP="004552FC">
      <w:pPr>
        <w:spacing w:before="120" w:after="60"/>
        <w:rPr>
          <w:rFonts w:cstheme="minorHAnsi"/>
          <w:szCs w:val="22"/>
        </w:rPr>
      </w:pPr>
    </w:p>
    <w:p w:rsidR="004552FC" w:rsidRPr="007E67C5" w:rsidRDefault="004552FC" w:rsidP="004552FC">
      <w:pPr>
        <w:spacing w:before="120" w:after="60"/>
        <w:ind w:left="-142"/>
        <w:rPr>
          <w:rFonts w:cstheme="minorHAnsi"/>
          <w:szCs w:val="22"/>
        </w:rPr>
      </w:pPr>
      <w:r w:rsidRPr="007E67C5">
        <w:rPr>
          <w:rFonts w:cstheme="minorHAnsi"/>
          <w:szCs w:val="22"/>
        </w:rPr>
        <w:t>Sections 1 and 2 provide a narrative description of the progress and impact to date for each National Partnership.</w:t>
      </w:r>
    </w:p>
    <w:p w:rsidR="004552FC" w:rsidRPr="007E67C5" w:rsidRDefault="004552FC" w:rsidP="004552FC">
      <w:pPr>
        <w:spacing w:before="120" w:after="60"/>
        <w:ind w:left="-142"/>
        <w:rPr>
          <w:rFonts w:cstheme="minorHAnsi"/>
          <w:szCs w:val="22"/>
        </w:rPr>
      </w:pPr>
      <w:r w:rsidRPr="007E67C5">
        <w:rPr>
          <w:rFonts w:cstheme="minorHAnsi"/>
          <w:szCs w:val="22"/>
        </w:rPr>
        <w:t xml:space="preserve">The third and fourth sections include tabulated responses to the relevant milestones indicated in state and territory bilateral agreements/final implementation plans and agreed performance measures for the </w:t>
      </w:r>
      <w:proofErr w:type="spellStart"/>
      <w:r w:rsidRPr="007E67C5">
        <w:rPr>
          <w:rFonts w:cstheme="minorHAnsi"/>
          <w:szCs w:val="22"/>
        </w:rPr>
        <w:t>CMaD</w:t>
      </w:r>
      <w:proofErr w:type="spellEnd"/>
      <w:r w:rsidRPr="007E67C5">
        <w:rPr>
          <w:rFonts w:cstheme="minorHAnsi"/>
          <w:szCs w:val="22"/>
        </w:rPr>
        <w:t xml:space="preserve"> NP.  </w:t>
      </w:r>
    </w:p>
    <w:p w:rsidR="004552FC" w:rsidRPr="007E67C5" w:rsidRDefault="004552FC" w:rsidP="004552FC">
      <w:pPr>
        <w:spacing w:before="120" w:after="60"/>
        <w:ind w:left="-142"/>
        <w:rPr>
          <w:rFonts w:cstheme="minorHAnsi"/>
          <w:b/>
          <w:bCs/>
          <w:szCs w:val="22"/>
        </w:rPr>
      </w:pPr>
    </w:p>
    <w:p w:rsidR="004552FC" w:rsidRPr="007E67C5" w:rsidRDefault="004552FC" w:rsidP="004552FC">
      <w:pPr>
        <w:spacing w:before="120" w:after="60"/>
        <w:ind w:left="-142"/>
        <w:rPr>
          <w:rFonts w:cstheme="minorHAnsi"/>
          <w:b/>
          <w:bCs/>
          <w:szCs w:val="22"/>
        </w:rPr>
      </w:pPr>
    </w:p>
    <w:p w:rsidR="004552FC" w:rsidRPr="007E67C5" w:rsidRDefault="004552FC" w:rsidP="004552FC">
      <w:pPr>
        <w:spacing w:before="120" w:after="60"/>
        <w:ind w:left="-142"/>
        <w:rPr>
          <w:rFonts w:cstheme="minorHAnsi"/>
          <w:b/>
          <w:bCs/>
          <w:szCs w:val="22"/>
        </w:rPr>
      </w:pPr>
    </w:p>
    <w:p w:rsidR="004552FC" w:rsidRPr="007E67C5" w:rsidRDefault="004552FC" w:rsidP="004552FC">
      <w:pPr>
        <w:spacing w:before="120" w:after="60"/>
        <w:ind w:left="-142"/>
        <w:rPr>
          <w:rFonts w:cstheme="minorHAnsi"/>
          <w:b/>
          <w:bCs/>
          <w:szCs w:val="22"/>
        </w:rPr>
      </w:pPr>
    </w:p>
    <w:p w:rsidR="004552FC" w:rsidRPr="007E67C5" w:rsidRDefault="004552FC" w:rsidP="004552FC">
      <w:pPr>
        <w:spacing w:before="120" w:after="60"/>
        <w:ind w:left="-142"/>
        <w:rPr>
          <w:rFonts w:cstheme="minorHAnsi"/>
          <w:b/>
          <w:bCs/>
          <w:szCs w:val="22"/>
        </w:rPr>
      </w:pPr>
    </w:p>
    <w:p w:rsidR="004552FC" w:rsidRPr="007E67C5" w:rsidRDefault="004552FC" w:rsidP="004552FC">
      <w:pPr>
        <w:spacing w:before="120" w:after="60"/>
        <w:ind w:left="-142"/>
        <w:rPr>
          <w:rFonts w:cstheme="minorHAnsi"/>
          <w:b/>
          <w:bCs/>
          <w:szCs w:val="22"/>
        </w:rPr>
      </w:pPr>
    </w:p>
    <w:p w:rsidR="004552FC" w:rsidRPr="007E67C5" w:rsidRDefault="004552FC" w:rsidP="004552FC">
      <w:pPr>
        <w:spacing w:before="120" w:after="60"/>
        <w:ind w:left="-142"/>
        <w:rPr>
          <w:rFonts w:cstheme="minorHAnsi"/>
          <w:b/>
          <w:bCs/>
          <w:szCs w:val="22"/>
        </w:rPr>
      </w:pPr>
    </w:p>
    <w:p w:rsidR="004552FC" w:rsidRPr="007E67C5" w:rsidRDefault="004552FC" w:rsidP="004552FC">
      <w:pPr>
        <w:spacing w:before="120" w:after="60"/>
        <w:ind w:left="-142"/>
        <w:rPr>
          <w:rFonts w:cstheme="minorHAnsi"/>
          <w:b/>
          <w:bCs/>
          <w:szCs w:val="22"/>
        </w:rPr>
      </w:pPr>
      <w:r w:rsidRPr="007E67C5">
        <w:rPr>
          <w:rFonts w:cstheme="minorHAnsi"/>
          <w:b/>
          <w:bCs/>
          <w:szCs w:val="22"/>
        </w:rPr>
        <w:t>Acknowledgement</w:t>
      </w:r>
    </w:p>
    <w:p w:rsidR="00E45117" w:rsidRDefault="004552FC" w:rsidP="004552FC">
      <w:pPr>
        <w:rPr>
          <w:rFonts w:ascii="Arial" w:hAnsi="Arial" w:cs="Arial"/>
          <w:b/>
          <w:szCs w:val="24"/>
        </w:rPr>
        <w:sectPr w:rsidR="00E45117" w:rsidSect="00E45117">
          <w:footerReference w:type="default" r:id="rId13"/>
          <w:type w:val="continuous"/>
          <w:pgSz w:w="12240" w:h="15840"/>
          <w:pgMar w:top="1440" w:right="1325" w:bottom="1440" w:left="1276" w:header="720" w:footer="720" w:gutter="0"/>
          <w:pgNumType w:fmt="numberInDash"/>
          <w:cols w:space="720"/>
          <w:noEndnote/>
          <w:titlePg/>
          <w:docGrid w:linePitch="326"/>
        </w:sectPr>
      </w:pPr>
      <w:r w:rsidRPr="007E67C5">
        <w:rPr>
          <w:rFonts w:cstheme="minorHAnsi"/>
          <w:szCs w:val="22"/>
        </w:rPr>
        <w:t>The national partnership agreements on low socio-economic status school communities (known as Communities Making a Difference in South Australia) and Improving Teacher Quality are collaborative initiatives supported by funding from the Australian Government, the South Australian Government and the Catholic and independent school sectors</w:t>
      </w:r>
      <w:r w:rsidRPr="007E67C5">
        <w:rPr>
          <w:rFonts w:cstheme="minorHAnsi"/>
          <w:sz w:val="20"/>
        </w:rPr>
        <w:t>.</w:t>
      </w:r>
    </w:p>
    <w:sdt>
      <w:sdtPr>
        <w:rPr>
          <w:rFonts w:ascii="Arial" w:eastAsia="Times New Roman" w:hAnsi="Arial" w:cs="Arial"/>
          <w:b w:val="0"/>
          <w:bCs w:val="0"/>
          <w:color w:val="auto"/>
          <w:sz w:val="24"/>
          <w:szCs w:val="20"/>
          <w:lang w:val="en-AU" w:eastAsia="en-US"/>
        </w:rPr>
        <w:id w:val="627745081"/>
        <w:docPartObj>
          <w:docPartGallery w:val="Table of Contents"/>
          <w:docPartUnique/>
        </w:docPartObj>
      </w:sdtPr>
      <w:sdtEndPr>
        <w:rPr>
          <w:noProof/>
          <w:sz w:val="22"/>
          <w:szCs w:val="22"/>
        </w:rPr>
      </w:sdtEndPr>
      <w:sdtContent>
        <w:p w:rsidR="00D66D7A" w:rsidRPr="00D01A0C" w:rsidRDefault="00D66D7A" w:rsidP="002158B1">
          <w:pPr>
            <w:pStyle w:val="TOCHeading"/>
            <w:jc w:val="center"/>
            <w:rPr>
              <w:rFonts w:ascii="Arial" w:hAnsi="Arial" w:cs="Arial"/>
            </w:rPr>
          </w:pPr>
          <w:r w:rsidRPr="00D01A0C">
            <w:rPr>
              <w:rFonts w:ascii="Arial" w:hAnsi="Arial" w:cs="Arial"/>
            </w:rPr>
            <w:t>Contents</w:t>
          </w:r>
        </w:p>
        <w:p w:rsidR="002158B1" w:rsidRPr="00D01A0C" w:rsidRDefault="002158B1" w:rsidP="002158B1">
          <w:pPr>
            <w:rPr>
              <w:rFonts w:ascii="Arial" w:hAnsi="Arial" w:cs="Arial"/>
              <w:lang w:val="en-US" w:eastAsia="ja-JP"/>
            </w:rPr>
          </w:pPr>
        </w:p>
        <w:p w:rsidR="007A2DEB" w:rsidRDefault="00D66D7A">
          <w:pPr>
            <w:pStyle w:val="TOC1"/>
            <w:tabs>
              <w:tab w:val="right" w:leader="dot" w:pos="9629"/>
            </w:tabs>
            <w:rPr>
              <w:rFonts w:eastAsiaTheme="minorEastAsia" w:cstheme="minorBidi"/>
              <w:noProof/>
              <w:szCs w:val="22"/>
              <w:lang w:eastAsia="en-AU"/>
            </w:rPr>
          </w:pPr>
          <w:r w:rsidRPr="00D01A0C">
            <w:rPr>
              <w:rFonts w:ascii="Arial" w:hAnsi="Arial" w:cs="Arial"/>
              <w:szCs w:val="22"/>
            </w:rPr>
            <w:fldChar w:fldCharType="begin"/>
          </w:r>
          <w:r w:rsidRPr="00D01A0C">
            <w:rPr>
              <w:rFonts w:ascii="Arial" w:hAnsi="Arial" w:cs="Arial"/>
              <w:szCs w:val="22"/>
            </w:rPr>
            <w:instrText xml:space="preserve"> TOC \o "1-3" \h \z \u </w:instrText>
          </w:r>
          <w:r w:rsidRPr="00D01A0C">
            <w:rPr>
              <w:rFonts w:ascii="Arial" w:hAnsi="Arial" w:cs="Arial"/>
              <w:szCs w:val="22"/>
            </w:rPr>
            <w:fldChar w:fldCharType="separate"/>
          </w:r>
          <w:hyperlink w:anchor="_Toc379547548" w:history="1">
            <w:r w:rsidR="007A2DEB" w:rsidRPr="00552167">
              <w:rPr>
                <w:rStyle w:val="Hyperlink"/>
                <w:noProof/>
              </w:rPr>
              <w:t>Section 1 – Improving Teacher Quality</w:t>
            </w:r>
            <w:r w:rsidR="007A2DEB">
              <w:rPr>
                <w:noProof/>
                <w:webHidden/>
              </w:rPr>
              <w:tab/>
            </w:r>
            <w:r w:rsidR="007A2DEB">
              <w:rPr>
                <w:noProof/>
                <w:webHidden/>
              </w:rPr>
              <w:fldChar w:fldCharType="begin"/>
            </w:r>
            <w:r w:rsidR="007A2DEB">
              <w:rPr>
                <w:noProof/>
                <w:webHidden/>
              </w:rPr>
              <w:instrText xml:space="preserve"> PAGEREF _Toc379547548 \h </w:instrText>
            </w:r>
            <w:r w:rsidR="007A2DEB">
              <w:rPr>
                <w:noProof/>
                <w:webHidden/>
              </w:rPr>
            </w:r>
            <w:r w:rsidR="007A2DEB">
              <w:rPr>
                <w:noProof/>
                <w:webHidden/>
              </w:rPr>
              <w:fldChar w:fldCharType="separate"/>
            </w:r>
            <w:r w:rsidR="007A2DEB">
              <w:rPr>
                <w:noProof/>
                <w:webHidden/>
              </w:rPr>
              <w:t>1</w:t>
            </w:r>
            <w:r w:rsidR="007A2DEB">
              <w:rPr>
                <w:noProof/>
                <w:webHidden/>
              </w:rPr>
              <w:fldChar w:fldCharType="end"/>
            </w:r>
          </w:hyperlink>
        </w:p>
        <w:p w:rsidR="007A2DEB" w:rsidRDefault="00632B23">
          <w:pPr>
            <w:pStyle w:val="TOC2"/>
            <w:tabs>
              <w:tab w:val="right" w:leader="dot" w:pos="9629"/>
            </w:tabs>
            <w:rPr>
              <w:rFonts w:eastAsiaTheme="minorEastAsia" w:cstheme="minorBidi"/>
              <w:noProof/>
              <w:szCs w:val="22"/>
              <w:lang w:eastAsia="en-AU"/>
            </w:rPr>
          </w:pPr>
          <w:hyperlink w:anchor="_Toc379547549" w:history="1">
            <w:r w:rsidR="007A2DEB" w:rsidRPr="00552167">
              <w:rPr>
                <w:rStyle w:val="Hyperlink"/>
                <w:noProof/>
              </w:rPr>
              <w:t>Significant Achievements/Highlights – 1 January 2009 to 30 June 2013</w:t>
            </w:r>
            <w:r w:rsidR="007A2DEB">
              <w:rPr>
                <w:noProof/>
                <w:webHidden/>
              </w:rPr>
              <w:tab/>
            </w:r>
            <w:r w:rsidR="007A2DEB">
              <w:rPr>
                <w:noProof/>
                <w:webHidden/>
              </w:rPr>
              <w:fldChar w:fldCharType="begin"/>
            </w:r>
            <w:r w:rsidR="007A2DEB">
              <w:rPr>
                <w:noProof/>
                <w:webHidden/>
              </w:rPr>
              <w:instrText xml:space="preserve"> PAGEREF _Toc379547549 \h </w:instrText>
            </w:r>
            <w:r w:rsidR="007A2DEB">
              <w:rPr>
                <w:noProof/>
                <w:webHidden/>
              </w:rPr>
            </w:r>
            <w:r w:rsidR="007A2DEB">
              <w:rPr>
                <w:noProof/>
                <w:webHidden/>
              </w:rPr>
              <w:fldChar w:fldCharType="separate"/>
            </w:r>
            <w:r w:rsidR="007A2DEB">
              <w:rPr>
                <w:noProof/>
                <w:webHidden/>
              </w:rPr>
              <w:t>1</w:t>
            </w:r>
            <w:r w:rsidR="007A2DEB">
              <w:rPr>
                <w:noProof/>
                <w:webHidden/>
              </w:rPr>
              <w:fldChar w:fldCharType="end"/>
            </w:r>
          </w:hyperlink>
        </w:p>
        <w:p w:rsidR="007A2DEB" w:rsidRDefault="00632B23">
          <w:pPr>
            <w:pStyle w:val="TOC2"/>
            <w:tabs>
              <w:tab w:val="right" w:leader="dot" w:pos="9629"/>
            </w:tabs>
            <w:rPr>
              <w:rFonts w:eastAsiaTheme="minorEastAsia" w:cstheme="minorBidi"/>
              <w:noProof/>
              <w:szCs w:val="22"/>
              <w:lang w:eastAsia="en-AU"/>
            </w:rPr>
          </w:pPr>
          <w:hyperlink w:anchor="_Toc379547550" w:history="1">
            <w:r w:rsidR="007A2DEB" w:rsidRPr="00552167">
              <w:rPr>
                <w:rStyle w:val="Hyperlink"/>
                <w:noProof/>
              </w:rPr>
              <w:t>Support for Aboriginal and Torres Strait Islander Students – 1 January 2009 to 30 June 2013</w:t>
            </w:r>
            <w:r w:rsidR="007A2DEB">
              <w:rPr>
                <w:noProof/>
                <w:webHidden/>
              </w:rPr>
              <w:tab/>
            </w:r>
            <w:r w:rsidR="007A2DEB">
              <w:rPr>
                <w:noProof/>
                <w:webHidden/>
              </w:rPr>
              <w:fldChar w:fldCharType="begin"/>
            </w:r>
            <w:r w:rsidR="007A2DEB">
              <w:rPr>
                <w:noProof/>
                <w:webHidden/>
              </w:rPr>
              <w:instrText xml:space="preserve"> PAGEREF _Toc379547550 \h </w:instrText>
            </w:r>
            <w:r w:rsidR="007A2DEB">
              <w:rPr>
                <w:noProof/>
                <w:webHidden/>
              </w:rPr>
            </w:r>
            <w:r w:rsidR="007A2DEB">
              <w:rPr>
                <w:noProof/>
                <w:webHidden/>
              </w:rPr>
              <w:fldChar w:fldCharType="separate"/>
            </w:r>
            <w:r w:rsidR="007A2DEB">
              <w:rPr>
                <w:noProof/>
                <w:webHidden/>
              </w:rPr>
              <w:t>6</w:t>
            </w:r>
            <w:r w:rsidR="007A2DEB">
              <w:rPr>
                <w:noProof/>
                <w:webHidden/>
              </w:rPr>
              <w:fldChar w:fldCharType="end"/>
            </w:r>
          </w:hyperlink>
        </w:p>
        <w:p w:rsidR="007A2DEB" w:rsidRDefault="00632B23">
          <w:pPr>
            <w:pStyle w:val="TOC2"/>
            <w:tabs>
              <w:tab w:val="right" w:leader="dot" w:pos="9629"/>
            </w:tabs>
            <w:rPr>
              <w:rFonts w:eastAsiaTheme="minorEastAsia" w:cstheme="minorBidi"/>
              <w:noProof/>
              <w:szCs w:val="22"/>
              <w:lang w:eastAsia="en-AU"/>
            </w:rPr>
          </w:pPr>
          <w:hyperlink w:anchor="_Toc379547551" w:history="1">
            <w:r w:rsidR="007A2DEB" w:rsidRPr="00552167">
              <w:rPr>
                <w:rStyle w:val="Hyperlink"/>
                <w:noProof/>
              </w:rPr>
              <w:t>Showcase Examples - 1 January to 30 June 2013</w:t>
            </w:r>
            <w:r w:rsidR="007A2DEB">
              <w:rPr>
                <w:noProof/>
                <w:webHidden/>
              </w:rPr>
              <w:tab/>
            </w:r>
            <w:r w:rsidR="007A2DEB">
              <w:rPr>
                <w:noProof/>
                <w:webHidden/>
              </w:rPr>
              <w:fldChar w:fldCharType="begin"/>
            </w:r>
            <w:r w:rsidR="007A2DEB">
              <w:rPr>
                <w:noProof/>
                <w:webHidden/>
              </w:rPr>
              <w:instrText xml:space="preserve"> PAGEREF _Toc379547551 \h </w:instrText>
            </w:r>
            <w:r w:rsidR="007A2DEB">
              <w:rPr>
                <w:noProof/>
                <w:webHidden/>
              </w:rPr>
            </w:r>
            <w:r w:rsidR="007A2DEB">
              <w:rPr>
                <w:noProof/>
                <w:webHidden/>
              </w:rPr>
              <w:fldChar w:fldCharType="separate"/>
            </w:r>
            <w:r w:rsidR="007A2DEB">
              <w:rPr>
                <w:noProof/>
                <w:webHidden/>
              </w:rPr>
              <w:t>8</w:t>
            </w:r>
            <w:r w:rsidR="007A2DEB">
              <w:rPr>
                <w:noProof/>
                <w:webHidden/>
              </w:rPr>
              <w:fldChar w:fldCharType="end"/>
            </w:r>
          </w:hyperlink>
        </w:p>
        <w:p w:rsidR="007A2DEB" w:rsidRDefault="00632B23">
          <w:pPr>
            <w:pStyle w:val="TOC2"/>
            <w:tabs>
              <w:tab w:val="right" w:leader="dot" w:pos="9629"/>
            </w:tabs>
            <w:rPr>
              <w:rFonts w:eastAsiaTheme="minorEastAsia" w:cstheme="minorBidi"/>
              <w:noProof/>
              <w:szCs w:val="22"/>
              <w:lang w:eastAsia="en-AU"/>
            </w:rPr>
          </w:pPr>
          <w:hyperlink w:anchor="_Toc379547552" w:history="1">
            <w:r w:rsidR="007A2DEB" w:rsidRPr="00552167">
              <w:rPr>
                <w:rStyle w:val="Hyperlink"/>
                <w:noProof/>
              </w:rPr>
              <w:t>Principal professional development final report</w:t>
            </w:r>
            <w:r w:rsidR="007A2DEB">
              <w:rPr>
                <w:noProof/>
                <w:webHidden/>
              </w:rPr>
              <w:tab/>
            </w:r>
            <w:r w:rsidR="007A2DEB">
              <w:rPr>
                <w:noProof/>
                <w:webHidden/>
              </w:rPr>
              <w:fldChar w:fldCharType="begin"/>
            </w:r>
            <w:r w:rsidR="007A2DEB">
              <w:rPr>
                <w:noProof/>
                <w:webHidden/>
              </w:rPr>
              <w:instrText xml:space="preserve"> PAGEREF _Toc379547552 \h </w:instrText>
            </w:r>
            <w:r w:rsidR="007A2DEB">
              <w:rPr>
                <w:noProof/>
                <w:webHidden/>
              </w:rPr>
            </w:r>
            <w:r w:rsidR="007A2DEB">
              <w:rPr>
                <w:noProof/>
                <w:webHidden/>
              </w:rPr>
              <w:fldChar w:fldCharType="separate"/>
            </w:r>
            <w:r w:rsidR="007A2DEB">
              <w:rPr>
                <w:noProof/>
                <w:webHidden/>
              </w:rPr>
              <w:t>12</w:t>
            </w:r>
            <w:r w:rsidR="007A2DEB">
              <w:rPr>
                <w:noProof/>
                <w:webHidden/>
              </w:rPr>
              <w:fldChar w:fldCharType="end"/>
            </w:r>
          </w:hyperlink>
        </w:p>
        <w:p w:rsidR="007A2DEB" w:rsidRDefault="00632B23">
          <w:pPr>
            <w:pStyle w:val="TOC3"/>
            <w:tabs>
              <w:tab w:val="right" w:leader="dot" w:pos="9629"/>
            </w:tabs>
            <w:rPr>
              <w:rFonts w:eastAsiaTheme="minorEastAsia" w:cstheme="minorBidi"/>
              <w:noProof/>
              <w:szCs w:val="22"/>
              <w:lang w:eastAsia="en-AU"/>
            </w:rPr>
          </w:pPr>
          <w:hyperlink w:anchor="_Toc379547553" w:history="1">
            <w:r w:rsidR="007A2DEB" w:rsidRPr="00552167">
              <w:rPr>
                <w:rStyle w:val="Hyperlink"/>
                <w:noProof/>
              </w:rPr>
              <w:t>Overview of activities and key achievements</w:t>
            </w:r>
            <w:r w:rsidR="007A2DEB">
              <w:rPr>
                <w:noProof/>
                <w:webHidden/>
              </w:rPr>
              <w:tab/>
            </w:r>
            <w:r w:rsidR="007A2DEB">
              <w:rPr>
                <w:noProof/>
                <w:webHidden/>
              </w:rPr>
              <w:fldChar w:fldCharType="begin"/>
            </w:r>
            <w:r w:rsidR="007A2DEB">
              <w:rPr>
                <w:noProof/>
                <w:webHidden/>
              </w:rPr>
              <w:instrText xml:space="preserve"> PAGEREF _Toc379547553 \h </w:instrText>
            </w:r>
            <w:r w:rsidR="007A2DEB">
              <w:rPr>
                <w:noProof/>
                <w:webHidden/>
              </w:rPr>
            </w:r>
            <w:r w:rsidR="007A2DEB">
              <w:rPr>
                <w:noProof/>
                <w:webHidden/>
              </w:rPr>
              <w:fldChar w:fldCharType="separate"/>
            </w:r>
            <w:r w:rsidR="007A2DEB">
              <w:rPr>
                <w:noProof/>
                <w:webHidden/>
              </w:rPr>
              <w:t>12</w:t>
            </w:r>
            <w:r w:rsidR="007A2DEB">
              <w:rPr>
                <w:noProof/>
                <w:webHidden/>
              </w:rPr>
              <w:fldChar w:fldCharType="end"/>
            </w:r>
          </w:hyperlink>
        </w:p>
        <w:p w:rsidR="007A2DEB" w:rsidRDefault="00632B23">
          <w:pPr>
            <w:pStyle w:val="TOC1"/>
            <w:tabs>
              <w:tab w:val="right" w:leader="dot" w:pos="9629"/>
            </w:tabs>
            <w:rPr>
              <w:rFonts w:eastAsiaTheme="minorEastAsia" w:cstheme="minorBidi"/>
              <w:noProof/>
              <w:szCs w:val="22"/>
              <w:lang w:eastAsia="en-AU"/>
            </w:rPr>
          </w:pPr>
          <w:hyperlink w:anchor="_Toc379547554" w:history="1">
            <w:r w:rsidR="007A2DEB" w:rsidRPr="00552167">
              <w:rPr>
                <w:rStyle w:val="Hyperlink"/>
                <w:noProof/>
              </w:rPr>
              <w:t>Section 2 – Communities Making a Difference (Low SES School Communities)</w:t>
            </w:r>
            <w:r w:rsidR="007A2DEB">
              <w:rPr>
                <w:noProof/>
                <w:webHidden/>
              </w:rPr>
              <w:tab/>
            </w:r>
            <w:r w:rsidR="007A2DEB">
              <w:rPr>
                <w:noProof/>
                <w:webHidden/>
              </w:rPr>
              <w:fldChar w:fldCharType="begin"/>
            </w:r>
            <w:r w:rsidR="007A2DEB">
              <w:rPr>
                <w:noProof/>
                <w:webHidden/>
              </w:rPr>
              <w:instrText xml:space="preserve"> PAGEREF _Toc379547554 \h </w:instrText>
            </w:r>
            <w:r w:rsidR="007A2DEB">
              <w:rPr>
                <w:noProof/>
                <w:webHidden/>
              </w:rPr>
            </w:r>
            <w:r w:rsidR="007A2DEB">
              <w:rPr>
                <w:noProof/>
                <w:webHidden/>
              </w:rPr>
              <w:fldChar w:fldCharType="separate"/>
            </w:r>
            <w:r w:rsidR="007A2DEB">
              <w:rPr>
                <w:noProof/>
                <w:webHidden/>
              </w:rPr>
              <w:t>7</w:t>
            </w:r>
            <w:r w:rsidR="007A2DEB">
              <w:rPr>
                <w:noProof/>
                <w:webHidden/>
              </w:rPr>
              <w:fldChar w:fldCharType="end"/>
            </w:r>
          </w:hyperlink>
        </w:p>
        <w:p w:rsidR="007A2DEB" w:rsidRDefault="00632B23">
          <w:pPr>
            <w:pStyle w:val="TOC2"/>
            <w:tabs>
              <w:tab w:val="right" w:leader="dot" w:pos="9629"/>
            </w:tabs>
            <w:rPr>
              <w:rFonts w:eastAsiaTheme="minorEastAsia" w:cstheme="minorBidi"/>
              <w:noProof/>
              <w:szCs w:val="22"/>
              <w:lang w:eastAsia="en-AU"/>
            </w:rPr>
          </w:pPr>
          <w:hyperlink w:anchor="_Toc379547555" w:history="1">
            <w:r w:rsidR="007A2DEB" w:rsidRPr="00552167">
              <w:rPr>
                <w:rStyle w:val="Hyperlink"/>
                <w:noProof/>
              </w:rPr>
              <w:t>Significant Achievements/Highlights</w:t>
            </w:r>
            <w:r w:rsidR="007A2DEB">
              <w:rPr>
                <w:noProof/>
                <w:webHidden/>
              </w:rPr>
              <w:tab/>
            </w:r>
            <w:r w:rsidR="007A2DEB">
              <w:rPr>
                <w:noProof/>
                <w:webHidden/>
              </w:rPr>
              <w:fldChar w:fldCharType="begin"/>
            </w:r>
            <w:r w:rsidR="007A2DEB">
              <w:rPr>
                <w:noProof/>
                <w:webHidden/>
              </w:rPr>
              <w:instrText xml:space="preserve"> PAGEREF _Toc379547555 \h </w:instrText>
            </w:r>
            <w:r w:rsidR="007A2DEB">
              <w:rPr>
                <w:noProof/>
                <w:webHidden/>
              </w:rPr>
            </w:r>
            <w:r w:rsidR="007A2DEB">
              <w:rPr>
                <w:noProof/>
                <w:webHidden/>
              </w:rPr>
              <w:fldChar w:fldCharType="separate"/>
            </w:r>
            <w:r w:rsidR="007A2DEB">
              <w:rPr>
                <w:noProof/>
                <w:webHidden/>
              </w:rPr>
              <w:t>7</w:t>
            </w:r>
            <w:r w:rsidR="007A2DEB">
              <w:rPr>
                <w:noProof/>
                <w:webHidden/>
              </w:rPr>
              <w:fldChar w:fldCharType="end"/>
            </w:r>
          </w:hyperlink>
        </w:p>
        <w:p w:rsidR="007A2DEB" w:rsidRDefault="00632B23">
          <w:pPr>
            <w:pStyle w:val="TOC3"/>
            <w:tabs>
              <w:tab w:val="right" w:leader="dot" w:pos="9629"/>
            </w:tabs>
            <w:rPr>
              <w:rFonts w:eastAsiaTheme="minorEastAsia" w:cstheme="minorBidi"/>
              <w:noProof/>
              <w:szCs w:val="22"/>
              <w:lang w:eastAsia="en-AU"/>
            </w:rPr>
          </w:pPr>
          <w:hyperlink w:anchor="_Toc379547556" w:history="1">
            <w:r w:rsidR="007A2DEB" w:rsidRPr="00552167">
              <w:rPr>
                <w:rStyle w:val="Hyperlink"/>
                <w:rFonts w:eastAsiaTheme="majorEastAsia" w:cstheme="majorBidi"/>
                <w:noProof/>
              </w:rPr>
              <w:t>Support for Aboriginal and Torres Strait Islander Students - 1 January to 30 June 2013</w:t>
            </w:r>
            <w:r w:rsidR="007A2DEB">
              <w:rPr>
                <w:noProof/>
                <w:webHidden/>
              </w:rPr>
              <w:tab/>
            </w:r>
            <w:r w:rsidR="007A2DEB">
              <w:rPr>
                <w:noProof/>
                <w:webHidden/>
              </w:rPr>
              <w:fldChar w:fldCharType="begin"/>
            </w:r>
            <w:r w:rsidR="007A2DEB">
              <w:rPr>
                <w:noProof/>
                <w:webHidden/>
              </w:rPr>
              <w:instrText xml:space="preserve"> PAGEREF _Toc379547556 \h </w:instrText>
            </w:r>
            <w:r w:rsidR="007A2DEB">
              <w:rPr>
                <w:noProof/>
                <w:webHidden/>
              </w:rPr>
            </w:r>
            <w:r w:rsidR="007A2DEB">
              <w:rPr>
                <w:noProof/>
                <w:webHidden/>
              </w:rPr>
              <w:fldChar w:fldCharType="separate"/>
            </w:r>
            <w:r w:rsidR="007A2DEB">
              <w:rPr>
                <w:noProof/>
                <w:webHidden/>
              </w:rPr>
              <w:t>19</w:t>
            </w:r>
            <w:r w:rsidR="007A2DEB">
              <w:rPr>
                <w:noProof/>
                <w:webHidden/>
              </w:rPr>
              <w:fldChar w:fldCharType="end"/>
            </w:r>
          </w:hyperlink>
        </w:p>
        <w:p w:rsidR="007A2DEB" w:rsidRDefault="00632B23">
          <w:pPr>
            <w:pStyle w:val="TOC2"/>
            <w:tabs>
              <w:tab w:val="right" w:leader="dot" w:pos="9629"/>
            </w:tabs>
            <w:rPr>
              <w:rFonts w:eastAsiaTheme="minorEastAsia" w:cstheme="minorBidi"/>
              <w:noProof/>
              <w:szCs w:val="22"/>
              <w:lang w:eastAsia="en-AU"/>
            </w:rPr>
          </w:pPr>
          <w:hyperlink w:anchor="_Toc379547557" w:history="1">
            <w:r w:rsidR="007A2DEB" w:rsidRPr="00552167">
              <w:rPr>
                <w:rStyle w:val="Hyperlink"/>
                <w:noProof/>
              </w:rPr>
              <w:t>Support for Other Disadvantaged Student Cohorts – 1 January to 30 June 2013</w:t>
            </w:r>
            <w:r w:rsidR="007A2DEB">
              <w:rPr>
                <w:noProof/>
                <w:webHidden/>
              </w:rPr>
              <w:tab/>
            </w:r>
            <w:r w:rsidR="007A2DEB">
              <w:rPr>
                <w:noProof/>
                <w:webHidden/>
              </w:rPr>
              <w:fldChar w:fldCharType="begin"/>
            </w:r>
            <w:r w:rsidR="007A2DEB">
              <w:rPr>
                <w:noProof/>
                <w:webHidden/>
              </w:rPr>
              <w:instrText xml:space="preserve"> PAGEREF _Toc379547557 \h </w:instrText>
            </w:r>
            <w:r w:rsidR="007A2DEB">
              <w:rPr>
                <w:noProof/>
                <w:webHidden/>
              </w:rPr>
            </w:r>
            <w:r w:rsidR="007A2DEB">
              <w:rPr>
                <w:noProof/>
                <w:webHidden/>
              </w:rPr>
              <w:fldChar w:fldCharType="separate"/>
            </w:r>
            <w:r w:rsidR="007A2DEB">
              <w:rPr>
                <w:noProof/>
                <w:webHidden/>
              </w:rPr>
              <w:t>23</w:t>
            </w:r>
            <w:r w:rsidR="007A2DEB">
              <w:rPr>
                <w:noProof/>
                <w:webHidden/>
              </w:rPr>
              <w:fldChar w:fldCharType="end"/>
            </w:r>
          </w:hyperlink>
        </w:p>
        <w:p w:rsidR="007A2DEB" w:rsidRDefault="00632B23">
          <w:pPr>
            <w:pStyle w:val="TOC2"/>
            <w:tabs>
              <w:tab w:val="right" w:leader="dot" w:pos="9629"/>
            </w:tabs>
            <w:rPr>
              <w:rFonts w:eastAsiaTheme="minorEastAsia" w:cstheme="minorBidi"/>
              <w:noProof/>
              <w:szCs w:val="22"/>
              <w:lang w:eastAsia="en-AU"/>
            </w:rPr>
          </w:pPr>
          <w:hyperlink w:anchor="_Toc379547558" w:history="1">
            <w:r w:rsidR="007A2DEB" w:rsidRPr="00552167">
              <w:rPr>
                <w:rStyle w:val="Hyperlink"/>
                <w:noProof/>
              </w:rPr>
              <w:t>Showcase Examples - 1 January to 30 June 2013</w:t>
            </w:r>
            <w:r w:rsidR="007A2DEB">
              <w:rPr>
                <w:noProof/>
                <w:webHidden/>
              </w:rPr>
              <w:tab/>
            </w:r>
            <w:r w:rsidR="007A2DEB">
              <w:rPr>
                <w:noProof/>
                <w:webHidden/>
              </w:rPr>
              <w:fldChar w:fldCharType="begin"/>
            </w:r>
            <w:r w:rsidR="007A2DEB">
              <w:rPr>
                <w:noProof/>
                <w:webHidden/>
              </w:rPr>
              <w:instrText xml:space="preserve"> PAGEREF _Toc379547558 \h </w:instrText>
            </w:r>
            <w:r w:rsidR="007A2DEB">
              <w:rPr>
                <w:noProof/>
                <w:webHidden/>
              </w:rPr>
            </w:r>
            <w:r w:rsidR="007A2DEB">
              <w:rPr>
                <w:noProof/>
                <w:webHidden/>
              </w:rPr>
              <w:fldChar w:fldCharType="separate"/>
            </w:r>
            <w:r w:rsidR="007A2DEB">
              <w:rPr>
                <w:noProof/>
                <w:webHidden/>
              </w:rPr>
              <w:t>25</w:t>
            </w:r>
            <w:r w:rsidR="007A2DEB">
              <w:rPr>
                <w:noProof/>
                <w:webHidden/>
              </w:rPr>
              <w:fldChar w:fldCharType="end"/>
            </w:r>
          </w:hyperlink>
        </w:p>
        <w:p w:rsidR="007A2DEB" w:rsidRDefault="00632B23">
          <w:pPr>
            <w:pStyle w:val="TOC1"/>
            <w:tabs>
              <w:tab w:val="right" w:leader="dot" w:pos="9629"/>
            </w:tabs>
            <w:rPr>
              <w:rFonts w:eastAsiaTheme="minorEastAsia" w:cstheme="minorBidi"/>
              <w:noProof/>
              <w:szCs w:val="22"/>
              <w:lang w:eastAsia="en-AU"/>
            </w:rPr>
          </w:pPr>
          <w:hyperlink w:anchor="_Toc379547559" w:history="1">
            <w:r w:rsidR="007A2DEB" w:rsidRPr="00552167">
              <w:rPr>
                <w:rStyle w:val="Hyperlink"/>
                <w:noProof/>
              </w:rPr>
              <w:t>Section 3 – Milestones</w:t>
            </w:r>
            <w:r w:rsidR="007A2DEB">
              <w:rPr>
                <w:noProof/>
                <w:webHidden/>
              </w:rPr>
              <w:tab/>
            </w:r>
            <w:r w:rsidR="007A2DEB">
              <w:rPr>
                <w:noProof/>
                <w:webHidden/>
              </w:rPr>
              <w:fldChar w:fldCharType="begin"/>
            </w:r>
            <w:r w:rsidR="007A2DEB">
              <w:rPr>
                <w:noProof/>
                <w:webHidden/>
              </w:rPr>
              <w:instrText xml:space="preserve"> PAGEREF _Toc379547559 \h </w:instrText>
            </w:r>
            <w:r w:rsidR="007A2DEB">
              <w:rPr>
                <w:noProof/>
                <w:webHidden/>
              </w:rPr>
            </w:r>
            <w:r w:rsidR="007A2DEB">
              <w:rPr>
                <w:noProof/>
                <w:webHidden/>
              </w:rPr>
              <w:fldChar w:fldCharType="separate"/>
            </w:r>
            <w:r w:rsidR="007A2DEB">
              <w:rPr>
                <w:noProof/>
                <w:webHidden/>
              </w:rPr>
              <w:t>30</w:t>
            </w:r>
            <w:r w:rsidR="007A2DEB">
              <w:rPr>
                <w:noProof/>
                <w:webHidden/>
              </w:rPr>
              <w:fldChar w:fldCharType="end"/>
            </w:r>
          </w:hyperlink>
        </w:p>
        <w:p w:rsidR="007A2DEB" w:rsidRDefault="00632B23">
          <w:pPr>
            <w:pStyle w:val="TOC2"/>
            <w:tabs>
              <w:tab w:val="right" w:leader="dot" w:pos="9629"/>
            </w:tabs>
            <w:rPr>
              <w:rFonts w:eastAsiaTheme="minorEastAsia" w:cstheme="minorBidi"/>
              <w:noProof/>
              <w:szCs w:val="22"/>
              <w:lang w:eastAsia="en-AU"/>
            </w:rPr>
          </w:pPr>
          <w:hyperlink w:anchor="_Toc379547560" w:history="1">
            <w:r w:rsidR="007A2DEB" w:rsidRPr="00552167">
              <w:rPr>
                <w:rStyle w:val="Hyperlink"/>
                <w:noProof/>
              </w:rPr>
              <w:t>Section 4 – SA Performance Measures Communities Making a Difference NP</w:t>
            </w:r>
            <w:r w:rsidR="007A2DEB">
              <w:rPr>
                <w:noProof/>
                <w:webHidden/>
              </w:rPr>
              <w:tab/>
            </w:r>
            <w:r w:rsidR="007A2DEB">
              <w:rPr>
                <w:noProof/>
                <w:webHidden/>
              </w:rPr>
              <w:fldChar w:fldCharType="begin"/>
            </w:r>
            <w:r w:rsidR="007A2DEB">
              <w:rPr>
                <w:noProof/>
                <w:webHidden/>
              </w:rPr>
              <w:instrText xml:space="preserve"> PAGEREF _Toc379547560 \h </w:instrText>
            </w:r>
            <w:r w:rsidR="007A2DEB">
              <w:rPr>
                <w:noProof/>
                <w:webHidden/>
              </w:rPr>
            </w:r>
            <w:r w:rsidR="007A2DEB">
              <w:rPr>
                <w:noProof/>
                <w:webHidden/>
              </w:rPr>
              <w:fldChar w:fldCharType="separate"/>
            </w:r>
            <w:r w:rsidR="007A2DEB">
              <w:rPr>
                <w:noProof/>
                <w:webHidden/>
              </w:rPr>
              <w:t>34</w:t>
            </w:r>
            <w:r w:rsidR="007A2DEB">
              <w:rPr>
                <w:noProof/>
                <w:webHidden/>
              </w:rPr>
              <w:fldChar w:fldCharType="end"/>
            </w:r>
          </w:hyperlink>
        </w:p>
        <w:p w:rsidR="007A2DEB" w:rsidRDefault="00632B23">
          <w:pPr>
            <w:pStyle w:val="TOC3"/>
            <w:tabs>
              <w:tab w:val="right" w:leader="dot" w:pos="9629"/>
            </w:tabs>
            <w:rPr>
              <w:rFonts w:eastAsiaTheme="minorEastAsia" w:cstheme="minorBidi"/>
              <w:noProof/>
              <w:szCs w:val="22"/>
              <w:lang w:eastAsia="en-AU"/>
            </w:rPr>
          </w:pPr>
          <w:hyperlink w:anchor="_Toc379547561" w:history="1">
            <w:r w:rsidR="007A2DEB" w:rsidRPr="00552167">
              <w:rPr>
                <w:rStyle w:val="Hyperlink"/>
                <w:noProof/>
              </w:rPr>
              <w:t>Section 4 — Part 1 — CMaD National Partnership schools participating in ‘whole-of-school’ change strategies and approaches</w:t>
            </w:r>
            <w:r w:rsidR="007A2DEB">
              <w:rPr>
                <w:noProof/>
                <w:webHidden/>
              </w:rPr>
              <w:tab/>
            </w:r>
            <w:r w:rsidR="007A2DEB">
              <w:rPr>
                <w:noProof/>
                <w:webHidden/>
              </w:rPr>
              <w:fldChar w:fldCharType="begin"/>
            </w:r>
            <w:r w:rsidR="007A2DEB">
              <w:rPr>
                <w:noProof/>
                <w:webHidden/>
              </w:rPr>
              <w:instrText xml:space="preserve"> PAGEREF _Toc379547561 \h </w:instrText>
            </w:r>
            <w:r w:rsidR="007A2DEB">
              <w:rPr>
                <w:noProof/>
                <w:webHidden/>
              </w:rPr>
            </w:r>
            <w:r w:rsidR="007A2DEB">
              <w:rPr>
                <w:noProof/>
                <w:webHidden/>
              </w:rPr>
              <w:fldChar w:fldCharType="separate"/>
            </w:r>
            <w:r w:rsidR="007A2DEB">
              <w:rPr>
                <w:noProof/>
                <w:webHidden/>
              </w:rPr>
              <w:t>34</w:t>
            </w:r>
            <w:r w:rsidR="007A2DEB">
              <w:rPr>
                <w:noProof/>
                <w:webHidden/>
              </w:rPr>
              <w:fldChar w:fldCharType="end"/>
            </w:r>
          </w:hyperlink>
        </w:p>
        <w:p w:rsidR="007A2DEB" w:rsidRDefault="00632B23">
          <w:pPr>
            <w:pStyle w:val="TOC3"/>
            <w:tabs>
              <w:tab w:val="right" w:leader="dot" w:pos="9629"/>
            </w:tabs>
            <w:rPr>
              <w:rFonts w:eastAsiaTheme="minorEastAsia" w:cstheme="minorBidi"/>
              <w:noProof/>
              <w:szCs w:val="22"/>
              <w:lang w:eastAsia="en-AU"/>
            </w:rPr>
          </w:pPr>
          <w:hyperlink w:anchor="_Toc379547562" w:history="1">
            <w:r w:rsidR="007A2DEB" w:rsidRPr="00552167">
              <w:rPr>
                <w:rStyle w:val="Hyperlink"/>
                <w:noProof/>
              </w:rPr>
              <w:t>Section 4 — Part 2 — Students in the CMaD National Partnership participating in ‘individualised targeted support’ strategies and approaches</w:t>
            </w:r>
            <w:r w:rsidR="007A2DEB">
              <w:rPr>
                <w:noProof/>
                <w:webHidden/>
              </w:rPr>
              <w:tab/>
            </w:r>
            <w:r w:rsidR="007A2DEB">
              <w:rPr>
                <w:noProof/>
                <w:webHidden/>
              </w:rPr>
              <w:fldChar w:fldCharType="begin"/>
            </w:r>
            <w:r w:rsidR="007A2DEB">
              <w:rPr>
                <w:noProof/>
                <w:webHidden/>
              </w:rPr>
              <w:instrText xml:space="preserve"> PAGEREF _Toc379547562 \h </w:instrText>
            </w:r>
            <w:r w:rsidR="007A2DEB">
              <w:rPr>
                <w:noProof/>
                <w:webHidden/>
              </w:rPr>
            </w:r>
            <w:r w:rsidR="007A2DEB">
              <w:rPr>
                <w:noProof/>
                <w:webHidden/>
              </w:rPr>
              <w:fldChar w:fldCharType="separate"/>
            </w:r>
            <w:r w:rsidR="007A2DEB">
              <w:rPr>
                <w:noProof/>
                <w:webHidden/>
              </w:rPr>
              <w:t>38</w:t>
            </w:r>
            <w:r w:rsidR="007A2DEB">
              <w:rPr>
                <w:noProof/>
                <w:webHidden/>
              </w:rPr>
              <w:fldChar w:fldCharType="end"/>
            </w:r>
          </w:hyperlink>
        </w:p>
        <w:p w:rsidR="00D66D7A" w:rsidRPr="00D01A0C" w:rsidRDefault="00D66D7A">
          <w:pPr>
            <w:rPr>
              <w:rFonts w:ascii="Arial" w:hAnsi="Arial" w:cs="Arial"/>
              <w:szCs w:val="22"/>
            </w:rPr>
          </w:pPr>
          <w:r w:rsidRPr="00D01A0C">
            <w:rPr>
              <w:rFonts w:ascii="Arial" w:hAnsi="Arial" w:cs="Arial"/>
              <w:b/>
              <w:bCs/>
              <w:noProof/>
              <w:szCs w:val="22"/>
            </w:rPr>
            <w:fldChar w:fldCharType="end"/>
          </w:r>
        </w:p>
      </w:sdtContent>
    </w:sdt>
    <w:p w:rsidR="00E45117" w:rsidRDefault="00E45117" w:rsidP="00832B45">
      <w:pPr>
        <w:rPr>
          <w:rFonts w:ascii="Arial" w:hAnsi="Arial" w:cs="Arial"/>
          <w:szCs w:val="22"/>
        </w:rPr>
        <w:sectPr w:rsidR="00E45117" w:rsidSect="00E45117">
          <w:pgSz w:w="12240" w:h="15840"/>
          <w:pgMar w:top="1440" w:right="1325" w:bottom="1440" w:left="1276" w:header="720" w:footer="720" w:gutter="0"/>
          <w:pgNumType w:fmt="numberInDash"/>
          <w:cols w:space="720"/>
          <w:noEndnote/>
          <w:titlePg/>
          <w:docGrid w:linePitch="326"/>
        </w:sectPr>
      </w:pPr>
    </w:p>
    <w:bookmarkStart w:id="0" w:name="_Toc379547548"/>
    <w:p w:rsidR="009565DF" w:rsidRPr="00832B45" w:rsidRDefault="00F66D68" w:rsidP="00A27489">
      <w:pPr>
        <w:pStyle w:val="Heading1"/>
        <w:rPr>
          <w:color w:val="000000"/>
          <w:sz w:val="22"/>
          <w:szCs w:val="22"/>
        </w:rPr>
      </w:pPr>
      <w:r>
        <w:rPr>
          <w:noProof/>
          <w:lang w:eastAsia="en-AU"/>
        </w:rPr>
        <w:lastRenderedPageBreak/>
        <mc:AlternateContent>
          <mc:Choice Requires="wps">
            <w:drawing>
              <wp:anchor distT="0" distB="0" distL="114300" distR="114300" simplePos="0" relativeHeight="251675648" behindDoc="0" locked="0" layoutInCell="1" allowOverlap="1" wp14:anchorId="53F444D3" wp14:editId="5D01400C">
                <wp:simplePos x="0" y="0"/>
                <wp:positionH relativeFrom="column">
                  <wp:posOffset>-68388</wp:posOffset>
                </wp:positionH>
                <wp:positionV relativeFrom="paragraph">
                  <wp:posOffset>86264</wp:posOffset>
                </wp:positionV>
                <wp:extent cx="6538643" cy="345057"/>
                <wp:effectExtent l="0" t="0" r="14605" b="17145"/>
                <wp:wrapNone/>
                <wp:docPr id="10" name="Rectangle 10"/>
                <wp:cNvGraphicFramePr/>
                <a:graphic xmlns:a="http://schemas.openxmlformats.org/drawingml/2006/main">
                  <a:graphicData uri="http://schemas.microsoft.com/office/word/2010/wordprocessingShape">
                    <wps:wsp>
                      <wps:cNvSpPr/>
                      <wps:spPr>
                        <a:xfrm>
                          <a:off x="0" y="0"/>
                          <a:ext cx="6538643" cy="345057"/>
                        </a:xfrm>
                        <a:prstGeom prst="rect">
                          <a:avLst/>
                        </a:prstGeom>
                        <a:solidFill>
                          <a:schemeClr val="accent2">
                            <a:alpha val="27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5.4pt;margin-top:6.8pt;width:514.85pt;height:2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" fillcolor="#c0504d [3205]" strokecolor="#622423 [1605]" strokeweight="2pt">
                <v:fill opacity="17733f"/>
              </v:rect>
            </w:pict>
          </mc:Fallback>
        </mc:AlternateContent>
      </w:r>
      <w:r w:rsidR="00A27489" w:rsidRPr="00335ACD">
        <w:t xml:space="preserve">Section </w:t>
      </w:r>
      <w:r w:rsidR="00A27489">
        <w:t>1</w:t>
      </w:r>
      <w:r w:rsidR="00A27489" w:rsidRPr="00335ACD">
        <w:t xml:space="preserve"> – </w:t>
      </w:r>
      <w:r w:rsidR="00A27489" w:rsidRPr="00A27489">
        <w:t>Improving</w:t>
      </w:r>
      <w:r w:rsidR="00A27489" w:rsidRPr="00335ACD">
        <w:t xml:space="preserve"> Teacher Quality</w:t>
      </w:r>
      <w:bookmarkEnd w:id="0"/>
    </w:p>
    <w:tbl>
      <w:tblPr>
        <w:tblW w:w="10349" w:type="dxa"/>
        <w:tblLook w:val="01E0" w:firstRow="1" w:lastRow="1" w:firstColumn="1" w:lastColumn="1" w:noHBand="0" w:noVBand="0"/>
      </w:tblPr>
      <w:tblGrid>
        <w:gridCol w:w="10349"/>
      </w:tblGrid>
      <w:tr w:rsidR="006C1700" w:rsidTr="00011B40">
        <w:tc>
          <w:tcPr>
            <w:tcW w:w="10349" w:type="dxa"/>
            <w:tcBorders>
              <w:top w:val="single" w:sz="4" w:space="0" w:color="auto"/>
              <w:left w:val="single" w:sz="4" w:space="0" w:color="auto"/>
              <w:bottom w:val="single" w:sz="4" w:space="0" w:color="auto"/>
              <w:right w:val="single" w:sz="4" w:space="0" w:color="auto"/>
            </w:tcBorders>
            <w:hideMark/>
          </w:tcPr>
          <w:p w:rsidR="006C1700" w:rsidRDefault="006C1700" w:rsidP="00011B40">
            <w:pPr>
              <w:pStyle w:val="Heading2"/>
            </w:pPr>
            <w:bookmarkStart w:id="1" w:name="_Toc379547549"/>
            <w:r>
              <w:t>Significant Achievements/Highlights – 1 January 2009 to 30 June 2013</w:t>
            </w:r>
            <w:bookmarkEnd w:id="1"/>
          </w:p>
          <w:p w:rsidR="00011B40" w:rsidRDefault="00011B40" w:rsidP="00011B40"/>
          <w:p w:rsidR="00CA2B81" w:rsidRPr="007E67C5" w:rsidRDefault="00CA2B81" w:rsidP="00011B40">
            <w:r w:rsidRPr="007E67C5">
              <w:t>South Australia has been implementing a strategic approach to improving teacher quality in the three schooling sectors (Catholic, Independent and Government) through the Improving Teacher Quality National Partnership (</w:t>
            </w:r>
            <w:proofErr w:type="spellStart"/>
            <w:r w:rsidRPr="007E67C5">
              <w:t>ITQ</w:t>
            </w:r>
            <w:proofErr w:type="spellEnd"/>
            <w:r w:rsidRPr="007E67C5">
              <w:t xml:space="preserve"> NP). </w:t>
            </w:r>
          </w:p>
          <w:p w:rsidR="00CA2B81" w:rsidRDefault="00CA2B81" w:rsidP="00011B40">
            <w:r w:rsidRPr="007E67C5">
              <w:t xml:space="preserve">The strength of this approach is that it used the </w:t>
            </w:r>
            <w:r w:rsidRPr="007E67C5">
              <w:rPr>
                <w:u w:val="single"/>
              </w:rPr>
              <w:t>facilitation phase</w:t>
            </w:r>
            <w:r w:rsidRPr="007E67C5">
              <w:t xml:space="preserve"> to build the groundwork on which to implement further reforms in the </w:t>
            </w:r>
            <w:r w:rsidRPr="007E67C5">
              <w:rPr>
                <w:u w:val="single"/>
              </w:rPr>
              <w:t>reward phase</w:t>
            </w:r>
            <w:r w:rsidRPr="007E67C5">
              <w:t xml:space="preserve"> of this national partnership, other national partnerships and beyond. It has embedded continuous improvement in the professional development of teachers and in the leadership of school planning and review. This section also includes the final principal professional development report for January-June 2013.</w:t>
            </w:r>
          </w:p>
          <w:p w:rsidR="00011B40" w:rsidRPr="007E67C5" w:rsidRDefault="00011B40" w:rsidP="00011B40"/>
          <w:p w:rsidR="00CA2B81" w:rsidRDefault="00CA2B81" w:rsidP="00011B40">
            <w:pPr>
              <w:rPr>
                <w:b/>
              </w:rPr>
            </w:pPr>
            <w:r w:rsidRPr="007E67C5">
              <w:rPr>
                <w:b/>
              </w:rPr>
              <w:t>South Australia has achieved all agreed facilitation reform milestones for the Improving Teacher Quality NP, in addition, achieved all agreed reward milestones. This report concludes the reporting on Improving Teacher Quality NP facilitation reforms.</w:t>
            </w:r>
          </w:p>
          <w:p w:rsidR="00011B40" w:rsidRPr="007E67C5" w:rsidRDefault="00011B40" w:rsidP="00011B40">
            <w:pPr>
              <w:rPr>
                <w:b/>
              </w:rPr>
            </w:pPr>
          </w:p>
          <w:p w:rsidR="00CA2B81" w:rsidRDefault="00CA2B81" w:rsidP="00011B40">
            <w:r w:rsidRPr="007E67C5">
              <w:t xml:space="preserve">The major activity of the </w:t>
            </w:r>
            <w:r w:rsidRPr="007E67C5">
              <w:rPr>
                <w:b/>
              </w:rPr>
              <w:t>Association of Independent Schools of South Australia (</w:t>
            </w:r>
            <w:proofErr w:type="spellStart"/>
            <w:r w:rsidRPr="007E67C5">
              <w:rPr>
                <w:b/>
              </w:rPr>
              <w:t>AISSA</w:t>
            </w:r>
            <w:proofErr w:type="spellEnd"/>
            <w:r w:rsidRPr="007E67C5">
              <w:rPr>
                <w:b/>
              </w:rPr>
              <w:t>)</w:t>
            </w:r>
            <w:r w:rsidRPr="007E67C5">
              <w:t xml:space="preserve"> was a very successful and extensive leadership and development program for its member schools. The program’s core purpose was to assist school leaders in the independent sector to build the organisational capacity of their schools in order to deliver high quality education. </w:t>
            </w:r>
          </w:p>
          <w:p w:rsidR="00011B40" w:rsidRPr="007E67C5" w:rsidRDefault="00011B40" w:rsidP="00011B40"/>
          <w:p w:rsidR="00CA2B81" w:rsidRDefault="00CA2B81" w:rsidP="00011B40">
            <w:r w:rsidRPr="007E67C5">
              <w:t>Feedback from principals and other school leaders indicates the impact of this program has been significant, with leaders having increased capacity and confidence to develop and implement school improvement initiatives to improve students’ learning.</w:t>
            </w:r>
          </w:p>
          <w:p w:rsidR="00011B40" w:rsidRPr="007E67C5" w:rsidRDefault="00011B40" w:rsidP="00011B40"/>
          <w:p w:rsidR="00CA2B81" w:rsidRDefault="00CA2B81" w:rsidP="00011B40">
            <w:r w:rsidRPr="007E67C5">
              <w:t xml:space="preserve">The contents of the program changed and developed over the term of the national partnership in regard to the developments in the knowledge of school leaders, the identification of different priorities and opportunities, and the developing education reform agenda. The workshops were designed to ensure a balance between theory and practice. </w:t>
            </w:r>
          </w:p>
          <w:p w:rsidR="00011B40" w:rsidRPr="007E67C5" w:rsidRDefault="00011B40" w:rsidP="00011B40"/>
          <w:p w:rsidR="00CA2B81" w:rsidRDefault="00CA2B81" w:rsidP="00011B40">
            <w:r w:rsidRPr="007E67C5">
              <w:t xml:space="preserve">The program extensively addressed areas of the education reform agenda, particularly the implementation of the Australian Curriculum and enhancing teacher quality, taking into account the Australian standards for teachers and principals and the </w:t>
            </w:r>
            <w:r w:rsidRPr="007E67C5">
              <w:rPr>
                <w:i/>
              </w:rPr>
              <w:t>Performance and development</w:t>
            </w:r>
            <w:r w:rsidRPr="007E67C5">
              <w:t xml:space="preserve"> framework. </w:t>
            </w:r>
          </w:p>
          <w:p w:rsidR="00011B40" w:rsidRPr="007E67C5" w:rsidRDefault="00011B40" w:rsidP="00011B40"/>
          <w:p w:rsidR="00CA2B81" w:rsidRPr="007E67C5" w:rsidRDefault="00CA2B81" w:rsidP="00011B40">
            <w:r w:rsidRPr="007E67C5">
              <w:t xml:space="preserve">This program was complementary to other major school improvement programs being implemented by </w:t>
            </w:r>
            <w:proofErr w:type="spellStart"/>
            <w:r w:rsidRPr="007E67C5">
              <w:t>AISSA</w:t>
            </w:r>
            <w:proofErr w:type="spellEnd"/>
            <w:r w:rsidRPr="007E67C5">
              <w:t xml:space="preserve"> and consistent with </w:t>
            </w:r>
            <w:proofErr w:type="spellStart"/>
            <w:r w:rsidRPr="007E67C5">
              <w:t>AISSA’s</w:t>
            </w:r>
            <w:proofErr w:type="spellEnd"/>
            <w:r w:rsidRPr="007E67C5">
              <w:t xml:space="preserve"> approach to continuous improvement. A number of leaders from the </w:t>
            </w:r>
            <w:proofErr w:type="spellStart"/>
            <w:r w:rsidRPr="007E67C5">
              <w:t>CMaD</w:t>
            </w:r>
            <w:proofErr w:type="spellEnd"/>
            <w:r w:rsidRPr="007E67C5">
              <w:t xml:space="preserve"> NP schools participated in the program to assist them to introduce changes arising from the </w:t>
            </w:r>
            <w:proofErr w:type="spellStart"/>
            <w:r w:rsidRPr="007E67C5">
              <w:t>CMaD</w:t>
            </w:r>
            <w:proofErr w:type="spellEnd"/>
            <w:r w:rsidRPr="007E67C5">
              <w:t xml:space="preserve"> NP initiatives. </w:t>
            </w:r>
          </w:p>
          <w:p w:rsidR="00CA2B81" w:rsidRDefault="00CA2B81" w:rsidP="00011B40">
            <w:r w:rsidRPr="007E67C5">
              <w:t xml:space="preserve">The </w:t>
            </w:r>
            <w:proofErr w:type="spellStart"/>
            <w:r w:rsidRPr="007E67C5">
              <w:t>AISSA</w:t>
            </w:r>
            <w:proofErr w:type="spellEnd"/>
            <w:r w:rsidRPr="007E67C5">
              <w:t xml:space="preserve"> also provided an early career teacher program through this national partnership. The </w:t>
            </w:r>
            <w:proofErr w:type="spellStart"/>
            <w:r w:rsidRPr="007E67C5">
              <w:t>AISSA</w:t>
            </w:r>
            <w:proofErr w:type="spellEnd"/>
            <w:r w:rsidRPr="007E67C5">
              <w:t xml:space="preserve"> program provided practical classroom support and opportunities for participants to share early teaching experiences and to establish collegial networks. The development of sustained support for new teachers included mentoring relationships at the school level and workshops.</w:t>
            </w:r>
          </w:p>
          <w:p w:rsidR="00011B40" w:rsidRPr="007E67C5" w:rsidRDefault="00011B40" w:rsidP="00011B40"/>
          <w:p w:rsidR="00CA2B81" w:rsidRDefault="00CA2B81" w:rsidP="00011B40">
            <w:r w:rsidRPr="007E67C5">
              <w:t xml:space="preserve">Within the </w:t>
            </w:r>
            <w:r w:rsidRPr="007E67C5">
              <w:rPr>
                <w:b/>
              </w:rPr>
              <w:t>SA Catholic sector</w:t>
            </w:r>
            <w:r w:rsidRPr="007E67C5">
              <w:t xml:space="preserve"> the programs that started during the </w:t>
            </w:r>
            <w:proofErr w:type="spellStart"/>
            <w:r w:rsidRPr="007E67C5">
              <w:t>ITQ</w:t>
            </w:r>
            <w:proofErr w:type="spellEnd"/>
            <w:r w:rsidRPr="007E67C5">
              <w:t xml:space="preserve"> NP facilitation phase have been continued into 2013, with support of the 2012 performance-based reward funding. Initiatives undertaken in these programs continue to build school-based capacity for well-planned and sustainable change.</w:t>
            </w:r>
          </w:p>
          <w:p w:rsidR="00011B40" w:rsidRPr="007E67C5" w:rsidRDefault="00011B40" w:rsidP="00011B40"/>
          <w:p w:rsidR="00CA2B81" w:rsidRPr="008634C1" w:rsidRDefault="00CA2B81" w:rsidP="00011B40">
            <w:pPr>
              <w:rPr>
                <w:b/>
                <w:sz w:val="24"/>
                <w:szCs w:val="24"/>
              </w:rPr>
            </w:pPr>
            <w:r w:rsidRPr="008634C1">
              <w:rPr>
                <w:b/>
                <w:sz w:val="24"/>
                <w:szCs w:val="24"/>
              </w:rPr>
              <w:t>Implementing the Australian Curriculum</w:t>
            </w:r>
          </w:p>
          <w:p w:rsidR="00011B40" w:rsidRPr="007E67C5" w:rsidRDefault="00011B40" w:rsidP="00011B40">
            <w:pPr>
              <w:rPr>
                <w:b/>
                <w:szCs w:val="24"/>
              </w:rPr>
            </w:pPr>
          </w:p>
          <w:p w:rsidR="00CA2B81" w:rsidRPr="007E67C5" w:rsidRDefault="00CA2B81" w:rsidP="00011B40">
            <w:r w:rsidRPr="007E67C5">
              <w:t xml:space="preserve">The ‘community of practice’ approach to curriculum implementation and professional learning has been continued in 2013 with two major areas of work. In this model, a multi-pronged strategy comprising expert working groups (from schools and the Catholic Education Office), inquiry-based professional learning and trialling of learning/assessment designs in schools, has already developed a set of performance indicators. </w:t>
            </w:r>
          </w:p>
          <w:p w:rsidR="00CA2B81" w:rsidRPr="007E67C5" w:rsidRDefault="00CA2B81" w:rsidP="00011B40">
            <w:r w:rsidRPr="007E67C5">
              <w:t xml:space="preserve">These performance indicators describe performance expectations and characteristics that may be evident in students’ work, to depict levels of achievement at each year level in relation to the Australian Curriculum achievement standards. Following the trials of the draft performance indicators, </w:t>
            </w:r>
            <w:proofErr w:type="spellStart"/>
            <w:r w:rsidRPr="007E67C5">
              <w:t>CESA</w:t>
            </w:r>
            <w:proofErr w:type="spellEnd"/>
            <w:r w:rsidRPr="007E67C5">
              <w:t xml:space="preserve"> has published the refined versions online and developed further professional learning for school leaders to use at their school.</w:t>
            </w:r>
          </w:p>
          <w:p w:rsidR="00CA2B81" w:rsidRPr="007E67C5" w:rsidRDefault="00CA2B81" w:rsidP="00011B40">
            <w:r w:rsidRPr="007E67C5">
              <w:t>The three professional learning modules articulate:</w:t>
            </w:r>
          </w:p>
          <w:p w:rsidR="00CA2B81" w:rsidRPr="008634C1" w:rsidRDefault="00CA2B81" w:rsidP="00AE6D45">
            <w:pPr>
              <w:pStyle w:val="ListParagraph"/>
              <w:numPr>
                <w:ilvl w:val="0"/>
                <w:numId w:val="7"/>
              </w:numPr>
              <w:tabs>
                <w:tab w:val="clear" w:pos="720"/>
                <w:tab w:val="num" w:pos="1134"/>
              </w:tabs>
              <w:ind w:left="1134" w:hanging="425"/>
              <w:rPr>
                <w:rFonts w:cstheme="minorHAnsi"/>
              </w:rPr>
            </w:pPr>
            <w:r w:rsidRPr="008634C1">
              <w:rPr>
                <w:rFonts w:cstheme="minorHAnsi"/>
              </w:rPr>
              <w:t xml:space="preserve">principles of assessment and learning </w:t>
            </w:r>
          </w:p>
          <w:p w:rsidR="00CA2B81" w:rsidRPr="008634C1" w:rsidRDefault="00CA2B81" w:rsidP="00AE6D45">
            <w:pPr>
              <w:pStyle w:val="ListParagraph"/>
              <w:numPr>
                <w:ilvl w:val="0"/>
                <w:numId w:val="7"/>
              </w:numPr>
              <w:tabs>
                <w:tab w:val="clear" w:pos="720"/>
                <w:tab w:val="num" w:pos="1134"/>
              </w:tabs>
              <w:ind w:left="1134" w:hanging="425"/>
              <w:rPr>
                <w:rFonts w:cstheme="minorHAnsi"/>
              </w:rPr>
            </w:pPr>
            <w:r w:rsidRPr="008634C1">
              <w:rPr>
                <w:rFonts w:cstheme="minorHAnsi"/>
              </w:rPr>
              <w:t xml:space="preserve">understanding assessment </w:t>
            </w:r>
          </w:p>
          <w:p w:rsidR="00CA2B81" w:rsidRPr="008634C1" w:rsidRDefault="00CA2B81" w:rsidP="00AE6D45">
            <w:pPr>
              <w:pStyle w:val="ListParagraph"/>
              <w:numPr>
                <w:ilvl w:val="0"/>
                <w:numId w:val="7"/>
              </w:numPr>
              <w:tabs>
                <w:tab w:val="clear" w:pos="720"/>
                <w:tab w:val="num" w:pos="1134"/>
              </w:tabs>
              <w:ind w:left="1134" w:hanging="425"/>
              <w:rPr>
                <w:rFonts w:cstheme="minorHAnsi"/>
              </w:rPr>
            </w:pPr>
            <w:proofErr w:type="gramStart"/>
            <w:r w:rsidRPr="008634C1">
              <w:rPr>
                <w:rFonts w:cstheme="minorHAnsi"/>
              </w:rPr>
              <w:t>working</w:t>
            </w:r>
            <w:proofErr w:type="gramEnd"/>
            <w:r w:rsidRPr="008634C1">
              <w:rPr>
                <w:rFonts w:cstheme="minorHAnsi"/>
              </w:rPr>
              <w:t xml:space="preserve"> with achievement standards.</w:t>
            </w:r>
          </w:p>
          <w:p w:rsidR="00CA2B81" w:rsidRDefault="00CA2B81" w:rsidP="00011B40">
            <w:r w:rsidRPr="007E67C5">
              <w:t>Four workshops have been scheduled for the period between June and September, to further support the in-school leaders of curriculum change in their role with respect to these aspects of implementing the Australian Curriculum.</w:t>
            </w:r>
          </w:p>
          <w:p w:rsidR="00C9346D" w:rsidRPr="007E67C5" w:rsidRDefault="00C9346D" w:rsidP="00011B40"/>
          <w:p w:rsidR="00CA2B81" w:rsidRDefault="00CA2B81" w:rsidP="00011B40">
            <w:r w:rsidRPr="007E67C5">
              <w:t>Schools have also been invited to join inquiry groups to develop localised implementation plans, tools and exemplars to incorporate Australian Curriculum: cross curriculum priorities and connections between subjects within the humanities and social sciences (HASS) learning area. Schools have self-selected their area of interest (or issue) and will collaborate with consultants to deepen the implementation processes in their school and build the capacity of staff to implement curriculum change. It is anticipated that further groups will be developed.</w:t>
            </w:r>
          </w:p>
          <w:p w:rsidR="00C9346D" w:rsidRPr="007E67C5" w:rsidRDefault="00C9346D" w:rsidP="00011B40"/>
          <w:p w:rsidR="00CA2B81" w:rsidRPr="008634C1" w:rsidRDefault="00CA2B81" w:rsidP="00011B40">
            <w:pPr>
              <w:rPr>
                <w:b/>
                <w:sz w:val="24"/>
                <w:szCs w:val="24"/>
              </w:rPr>
            </w:pPr>
            <w:r w:rsidRPr="008634C1">
              <w:rPr>
                <w:b/>
                <w:sz w:val="24"/>
                <w:szCs w:val="24"/>
              </w:rPr>
              <w:t>Early Career Teacher Support program</w:t>
            </w:r>
          </w:p>
          <w:p w:rsidR="00C9346D" w:rsidRPr="007E67C5" w:rsidRDefault="00C9346D" w:rsidP="00011B40">
            <w:pPr>
              <w:rPr>
                <w:b/>
                <w:szCs w:val="24"/>
              </w:rPr>
            </w:pPr>
          </w:p>
          <w:p w:rsidR="00CA2B81" w:rsidRDefault="00CA2B81" w:rsidP="00011B40">
            <w:r w:rsidRPr="007E67C5">
              <w:t xml:space="preserve">This year, </w:t>
            </w:r>
            <w:proofErr w:type="spellStart"/>
            <w:r w:rsidRPr="007E67C5">
              <w:t>CESA</w:t>
            </w:r>
            <w:proofErr w:type="spellEnd"/>
            <w:r w:rsidRPr="007E67C5">
              <w:t xml:space="preserve"> has maintained support for more than 350 teachers in their first two years of teaching, with provision of two early career teacher consultants. In non-metropolitan schools, early career teachers and their school-based mentors again have been visited at least once per term, as a key component in a program that provides access to a range of professional learning specific needs of these teachers and system accredited modules in online and face-to-face formats.</w:t>
            </w:r>
          </w:p>
          <w:p w:rsidR="00C9346D" w:rsidRPr="007E67C5" w:rsidRDefault="00C9346D" w:rsidP="00011B40"/>
          <w:p w:rsidR="00CA2B81" w:rsidRDefault="00CA2B81" w:rsidP="00011B40">
            <w:r w:rsidRPr="007E67C5">
              <w:t>In 2013 the Teachers Registration Board (</w:t>
            </w:r>
            <w:proofErr w:type="spellStart"/>
            <w:r w:rsidRPr="007E67C5">
              <w:t>TRB</w:t>
            </w:r>
            <w:proofErr w:type="spellEnd"/>
            <w:r w:rsidRPr="007E67C5">
              <w:t xml:space="preserve">) requirements for moving from provisional registration to (full) registration has increased the focus on early career teachers’ responsibilities to provide evidence of proficiency against the </w:t>
            </w:r>
            <w:r w:rsidRPr="007E67C5">
              <w:rPr>
                <w:i/>
              </w:rPr>
              <w:t>Australian professional standards for teachers.</w:t>
            </w:r>
            <w:r w:rsidRPr="007E67C5">
              <w:t xml:space="preserve"> </w:t>
            </w:r>
          </w:p>
          <w:p w:rsidR="00C9346D" w:rsidRPr="007E67C5" w:rsidRDefault="00C9346D" w:rsidP="00011B40"/>
          <w:p w:rsidR="00CA2B81" w:rsidRDefault="00CA2B81" w:rsidP="00011B40">
            <w:r w:rsidRPr="007E67C5">
              <w:t xml:space="preserve">In partnership with the </w:t>
            </w:r>
            <w:proofErr w:type="spellStart"/>
            <w:r w:rsidRPr="007E67C5">
              <w:t>TRB</w:t>
            </w:r>
            <w:proofErr w:type="spellEnd"/>
            <w:r w:rsidRPr="007E67C5">
              <w:t xml:space="preserve">, the </w:t>
            </w:r>
            <w:proofErr w:type="spellStart"/>
            <w:r w:rsidRPr="007E67C5">
              <w:t>CESA</w:t>
            </w:r>
            <w:proofErr w:type="spellEnd"/>
            <w:r w:rsidRPr="007E67C5">
              <w:t xml:space="preserve"> early career teacher consultants have provided professional learning for teachers and school leaders to raise awareness of the requirements. Twenty-six early career teachers attended the first of these workshops, with 44 school leaders participating in a leaders’ forum. Feedback from the participants indicated the effectiveness of the information and format, to promote action at schools. A video of the session has been posted online for reference and the school visits have been an opportunity for consultants to monitor the preparations of early career teachers to meet the requirements within the three years. Consultants are using ongoing data to track the registration progress of early career teachers.</w:t>
            </w:r>
          </w:p>
          <w:p w:rsidR="00C9346D" w:rsidRPr="007E67C5" w:rsidRDefault="00C9346D" w:rsidP="00011B40"/>
          <w:p w:rsidR="00CA2B81" w:rsidRPr="008634C1" w:rsidRDefault="00CA2B81" w:rsidP="00011B40">
            <w:pPr>
              <w:rPr>
                <w:b/>
                <w:sz w:val="24"/>
                <w:szCs w:val="24"/>
              </w:rPr>
            </w:pPr>
            <w:r w:rsidRPr="008634C1">
              <w:rPr>
                <w:b/>
                <w:sz w:val="24"/>
                <w:szCs w:val="24"/>
              </w:rPr>
              <w:t>Leadership development</w:t>
            </w:r>
          </w:p>
          <w:p w:rsidR="00C9346D" w:rsidRPr="007E67C5" w:rsidRDefault="00C9346D" w:rsidP="00011B40">
            <w:pPr>
              <w:rPr>
                <w:b/>
                <w:szCs w:val="24"/>
              </w:rPr>
            </w:pPr>
          </w:p>
          <w:p w:rsidR="00CA2B81" w:rsidRDefault="00CA2B81" w:rsidP="00011B40">
            <w:pPr>
              <w:rPr>
                <w:b/>
                <w:bCs/>
              </w:rPr>
            </w:pPr>
            <w:r w:rsidRPr="007E67C5">
              <w:rPr>
                <w:b/>
                <w:bCs/>
              </w:rPr>
              <w:t>Continuous improvement framework for schools – consultation process</w:t>
            </w:r>
          </w:p>
          <w:p w:rsidR="008634C1" w:rsidRPr="007E67C5" w:rsidRDefault="008634C1" w:rsidP="00011B40"/>
          <w:p w:rsidR="00CA2B81" w:rsidRDefault="00CA2B81" w:rsidP="00011B40">
            <w:r w:rsidRPr="007E67C5">
              <w:t xml:space="preserve">Continuing from 2012, the development of proposals for a </w:t>
            </w:r>
            <w:proofErr w:type="spellStart"/>
            <w:r w:rsidRPr="007E67C5">
              <w:t>CESA</w:t>
            </w:r>
            <w:proofErr w:type="spellEnd"/>
            <w:r w:rsidRPr="007E67C5">
              <w:t xml:space="preserve"> </w:t>
            </w:r>
            <w:r w:rsidRPr="007E67C5">
              <w:rPr>
                <w:i/>
              </w:rPr>
              <w:t>Continuous improvement framework for schools</w:t>
            </w:r>
            <w:r w:rsidRPr="007E67C5">
              <w:t xml:space="preserve"> has involved principals and senior Catholic Education Office personnel. Informed by priorities evident from the 2011 </w:t>
            </w:r>
            <w:proofErr w:type="spellStart"/>
            <w:r w:rsidRPr="007E67C5">
              <w:t>CESA</w:t>
            </w:r>
            <w:proofErr w:type="spellEnd"/>
            <w:r w:rsidRPr="007E67C5">
              <w:t xml:space="preserve"> review, insights have been gleaned from school improvement frameworks in other dioceses and from government and non-government school systems, both nationally and internationally. The benefits of a continuous improvement framework are through assisting schools to build self-awareness, self-improving, and self-reviewing capabilities and the belief that schools can make a difference to students through improving their learning outcomes. </w:t>
            </w:r>
          </w:p>
          <w:p w:rsidR="008634C1" w:rsidRPr="007E67C5" w:rsidRDefault="008634C1" w:rsidP="00011B40"/>
          <w:p w:rsidR="00CA2B81" w:rsidRDefault="00CA2B81" w:rsidP="00011B40">
            <w:r w:rsidRPr="007E67C5">
              <w:t xml:space="preserve">A reference group was formed to guide the development of the </w:t>
            </w:r>
            <w:proofErr w:type="spellStart"/>
            <w:r w:rsidRPr="007E67C5">
              <w:t>CESA</w:t>
            </w:r>
            <w:proofErr w:type="spellEnd"/>
            <w:r w:rsidRPr="007E67C5">
              <w:t xml:space="preserve"> framework and comprises leaders from schools, parent organisations and the CEO. The reference group will give advice throughout the consultation phases and ensure that the framework is co-constructed and owned by all stakeholders. They have provided advice and feedback on those aspects of the framework that are the focus of this phase of the consultation program now in operation. </w:t>
            </w:r>
          </w:p>
          <w:p w:rsidR="008634C1" w:rsidRPr="007E67C5" w:rsidRDefault="008634C1" w:rsidP="00011B40"/>
          <w:p w:rsidR="00CA2B81" w:rsidRDefault="00CA2B81" w:rsidP="00011B40">
            <w:pPr>
              <w:rPr>
                <w:b/>
                <w:bCs/>
              </w:rPr>
            </w:pPr>
            <w:r w:rsidRPr="007E67C5">
              <w:rPr>
                <w:b/>
                <w:bCs/>
              </w:rPr>
              <w:t xml:space="preserve">Professional learning for principals </w:t>
            </w:r>
          </w:p>
          <w:p w:rsidR="008634C1" w:rsidRPr="007E67C5" w:rsidRDefault="008634C1" w:rsidP="00011B40">
            <w:pPr>
              <w:rPr>
                <w:b/>
                <w:bCs/>
              </w:rPr>
            </w:pPr>
          </w:p>
          <w:p w:rsidR="00CA2B81" w:rsidRDefault="00CA2B81" w:rsidP="00011B40">
            <w:r w:rsidRPr="007E67C5">
              <w:t>In response to requests from principals for skill development in providing feedback on teacher performance, funding was provided for all principals to attend a one-day workshop delivered by the Queensland Education Leadership Institute (</w:t>
            </w:r>
            <w:proofErr w:type="spellStart"/>
            <w:r w:rsidRPr="007E67C5">
              <w:t>QeLi</w:t>
            </w:r>
            <w:proofErr w:type="spellEnd"/>
            <w:r w:rsidRPr="007E67C5">
              <w:t xml:space="preserve">) Ltd in partnership with Growth Coaching International. Entitled </w:t>
            </w:r>
            <w:r w:rsidRPr="007E67C5">
              <w:rPr>
                <w:i/>
              </w:rPr>
              <w:t>Performance conversations: A solution-focused coaching approach</w:t>
            </w:r>
            <w:r w:rsidRPr="007E67C5">
              <w:t xml:space="preserve">, the workshop introduces an innovative way to building solutions into performance conversations. Principals will develop skills in leading performance conversations and will also have practised a real performance review situation. </w:t>
            </w:r>
          </w:p>
          <w:p w:rsidR="008634C1" w:rsidRPr="007E67C5" w:rsidRDefault="008634C1" w:rsidP="00011B40"/>
          <w:p w:rsidR="00CA2B81" w:rsidRDefault="00CA2B81" w:rsidP="00011B40">
            <w:r w:rsidRPr="007E67C5">
              <w:t>The first two workshops were scheduled for 19 and 20 August 2013. To ensure that every principal has the opportunity to attend a workshop, further sessions will be scheduled for first and second term, 2014.</w:t>
            </w:r>
          </w:p>
          <w:p w:rsidR="008634C1" w:rsidRPr="007E67C5" w:rsidRDefault="008634C1" w:rsidP="00011B40"/>
          <w:p w:rsidR="00CA2B81" w:rsidRDefault="00CA2B81" w:rsidP="00011B40">
            <w:pPr>
              <w:rPr>
                <w:b/>
                <w:bCs/>
              </w:rPr>
            </w:pPr>
            <w:r w:rsidRPr="007E67C5">
              <w:rPr>
                <w:b/>
                <w:bCs/>
              </w:rPr>
              <w:t>Rural and Remote Leadership Development program</w:t>
            </w:r>
          </w:p>
          <w:p w:rsidR="008634C1" w:rsidRPr="007E67C5" w:rsidRDefault="008634C1" w:rsidP="00011B40">
            <w:pPr>
              <w:rPr>
                <w:b/>
                <w:bCs/>
              </w:rPr>
            </w:pPr>
          </w:p>
          <w:p w:rsidR="00CA2B81" w:rsidRDefault="00CA2B81" w:rsidP="00011B40">
            <w:r w:rsidRPr="007E67C5">
              <w:t xml:space="preserve">A program customised to address issues and needs of leaders in rural and remote school communities is currently being offered through </w:t>
            </w:r>
            <w:proofErr w:type="spellStart"/>
            <w:r w:rsidRPr="007E67C5">
              <w:t>QeLi</w:t>
            </w:r>
            <w:proofErr w:type="spellEnd"/>
            <w:r w:rsidRPr="007E67C5">
              <w:t xml:space="preserve"> supported by a principal consultant, to a total of nine school leaders (including principal, deputy principal and emerging leaders) at Caritas College, Port Augusta.</w:t>
            </w:r>
          </w:p>
          <w:p w:rsidR="008634C1" w:rsidRPr="007E67C5" w:rsidRDefault="008634C1" w:rsidP="00011B40"/>
          <w:p w:rsidR="00CA2B81" w:rsidRDefault="00CA2B81" w:rsidP="00011B40">
            <w:pPr>
              <w:rPr>
                <w:b/>
                <w:szCs w:val="24"/>
              </w:rPr>
            </w:pPr>
            <w:r w:rsidRPr="007E67C5">
              <w:rPr>
                <w:b/>
                <w:szCs w:val="24"/>
              </w:rPr>
              <w:t>Indigenous education pathways</w:t>
            </w:r>
          </w:p>
          <w:p w:rsidR="008634C1" w:rsidRPr="007E67C5" w:rsidRDefault="008634C1" w:rsidP="00011B40">
            <w:pPr>
              <w:rPr>
                <w:b/>
                <w:szCs w:val="24"/>
              </w:rPr>
            </w:pPr>
          </w:p>
          <w:p w:rsidR="00CA2B81" w:rsidRDefault="00CA2B81" w:rsidP="00011B40">
            <w:r w:rsidRPr="007E67C5">
              <w:t xml:space="preserve">Following the development of a draft formal agreement in November 2012, </w:t>
            </w:r>
            <w:proofErr w:type="spellStart"/>
            <w:r w:rsidRPr="007E67C5">
              <w:t>CESA</w:t>
            </w:r>
            <w:proofErr w:type="spellEnd"/>
            <w:r w:rsidRPr="007E67C5">
              <w:t xml:space="preserve"> and the University of Adelaide have continued to progress their partnership in 2013. Negotiations continue with Flinders University and the University of South Australia for the provision of support for Indigenous students to undertake teaching/early childhood education programs.</w:t>
            </w:r>
          </w:p>
          <w:p w:rsidR="008634C1" w:rsidRPr="007E67C5" w:rsidRDefault="008634C1" w:rsidP="00011B40"/>
          <w:p w:rsidR="00CA2B81" w:rsidRDefault="00CA2B81" w:rsidP="00011B40">
            <w:r w:rsidRPr="007E67C5">
              <w:t xml:space="preserve">Identification of and networking with Indigenous B Ed students (with a focus upon former Catholic school students) are underway. Through the </w:t>
            </w:r>
            <w:proofErr w:type="spellStart"/>
            <w:r w:rsidRPr="007E67C5">
              <w:t>CISS</w:t>
            </w:r>
            <w:proofErr w:type="spellEnd"/>
            <w:r w:rsidRPr="007E67C5">
              <w:t xml:space="preserve"> project officer, the intention is to develop mentoring relationships with Indigenous students indicating an interest in early childhood education and teaching as a career pathway.</w:t>
            </w:r>
          </w:p>
          <w:p w:rsidR="008634C1" w:rsidRPr="007E67C5" w:rsidRDefault="008634C1" w:rsidP="00011B40"/>
          <w:p w:rsidR="00CA2B81" w:rsidRDefault="00CA2B81" w:rsidP="00011B40">
            <w:pPr>
              <w:rPr>
                <w:b/>
                <w:szCs w:val="24"/>
              </w:rPr>
            </w:pPr>
            <w:r w:rsidRPr="007E67C5">
              <w:rPr>
                <w:b/>
                <w:szCs w:val="24"/>
              </w:rPr>
              <w:t>Connected learning networks</w:t>
            </w:r>
          </w:p>
          <w:p w:rsidR="008634C1" w:rsidRPr="007E67C5" w:rsidRDefault="008634C1" w:rsidP="00011B40">
            <w:pPr>
              <w:rPr>
                <w:b/>
                <w:szCs w:val="24"/>
              </w:rPr>
            </w:pPr>
          </w:p>
          <w:p w:rsidR="00CA2B81" w:rsidRDefault="00CA2B81" w:rsidP="00011B40">
            <w:r w:rsidRPr="007E67C5">
              <w:lastRenderedPageBreak/>
              <w:t xml:space="preserve">The </w:t>
            </w:r>
            <w:proofErr w:type="spellStart"/>
            <w:r w:rsidRPr="007E67C5">
              <w:t>CESA</w:t>
            </w:r>
            <w:proofErr w:type="spellEnd"/>
            <w:r w:rsidRPr="007E67C5">
              <w:t xml:space="preserve"> </w:t>
            </w:r>
            <w:r w:rsidRPr="007E67C5">
              <w:rPr>
                <w:i/>
              </w:rPr>
              <w:t>Connected learning networks</w:t>
            </w:r>
            <w:r w:rsidRPr="007E67C5">
              <w:t xml:space="preserve"> project has established a professional learning community for a cluster of school leaders and key teachers focused on improving the quality of teaching and learning in their respective schools. The project draws on national priorities for educational reform and promising practices indicated by research in the field.</w:t>
            </w:r>
          </w:p>
          <w:p w:rsidR="008634C1" w:rsidRPr="007E67C5" w:rsidRDefault="008634C1" w:rsidP="00011B40"/>
          <w:p w:rsidR="00CA2B81" w:rsidRDefault="00CA2B81" w:rsidP="00011B40">
            <w:r w:rsidRPr="007E67C5">
              <w:t xml:space="preserve">In 2013, the multi-faceted model established in previous years has been slightly refined, for several continuing participants and a number of new school leaders and key teachers. </w:t>
            </w:r>
          </w:p>
          <w:p w:rsidR="008634C1" w:rsidRPr="007E67C5" w:rsidRDefault="008634C1" w:rsidP="00011B40"/>
          <w:p w:rsidR="00CA2B81" w:rsidRDefault="00CA2B81" w:rsidP="00011B40">
            <w:r w:rsidRPr="007E67C5">
              <w:t xml:space="preserve">The five core elements of the project enable ongoing collaboration, professional sharing and personalised professional learning throughout the year. The contributions of each component to the overall program are detailed, with 2012 outcomes, in the </w:t>
            </w:r>
            <w:r w:rsidRPr="007E67C5">
              <w:rPr>
                <w:i/>
              </w:rPr>
              <w:t>Showcase</w:t>
            </w:r>
            <w:r w:rsidRPr="007E67C5">
              <w:t xml:space="preserve"> section later in this report.</w:t>
            </w:r>
          </w:p>
          <w:p w:rsidR="00CA2B81" w:rsidRDefault="00CA2B81" w:rsidP="00AE6D45">
            <w:pPr>
              <w:pStyle w:val="ListParagraph"/>
              <w:numPr>
                <w:ilvl w:val="0"/>
                <w:numId w:val="6"/>
              </w:numPr>
            </w:pPr>
            <w:r w:rsidRPr="007E67C5">
              <w:t xml:space="preserve">From Term 1 in 2013, </w:t>
            </w:r>
            <w:r w:rsidRPr="008634C1">
              <w:rPr>
                <w:b/>
              </w:rPr>
              <w:t xml:space="preserve">collaborative learning networks </w:t>
            </w:r>
            <w:r w:rsidRPr="007E67C5">
              <w:t xml:space="preserve">were formed, consisting of 13 school leaders from 10 schools participating in the </w:t>
            </w:r>
            <w:r w:rsidRPr="008634C1">
              <w:rPr>
                <w:i/>
              </w:rPr>
              <w:t>School leaders’ network</w:t>
            </w:r>
            <w:r w:rsidRPr="007E67C5">
              <w:t xml:space="preserve">, with 15 teachers from 12 schools in the </w:t>
            </w:r>
            <w:r w:rsidRPr="008634C1">
              <w:rPr>
                <w:i/>
              </w:rPr>
              <w:t xml:space="preserve">Key </w:t>
            </w:r>
            <w:proofErr w:type="gramStart"/>
            <w:r w:rsidRPr="008634C1">
              <w:rPr>
                <w:i/>
              </w:rPr>
              <w:t>teachers</w:t>
            </w:r>
            <w:proofErr w:type="gramEnd"/>
            <w:r w:rsidRPr="008634C1">
              <w:rPr>
                <w:i/>
              </w:rPr>
              <w:t xml:space="preserve"> network</w:t>
            </w:r>
            <w:r w:rsidRPr="007E67C5">
              <w:t>.</w:t>
            </w:r>
          </w:p>
          <w:p w:rsidR="00CA2B81" w:rsidRDefault="00CA2B81" w:rsidP="00AE6D45">
            <w:pPr>
              <w:pStyle w:val="ListParagraph"/>
              <w:numPr>
                <w:ilvl w:val="0"/>
                <w:numId w:val="6"/>
              </w:numPr>
            </w:pPr>
            <w:r w:rsidRPr="007E67C5">
              <w:t xml:space="preserve">Eighty participants from 17 schools registered for the suite of </w:t>
            </w:r>
            <w:r w:rsidRPr="008634C1">
              <w:rPr>
                <w:b/>
              </w:rPr>
              <w:t>targeted longitudinal professional learning programs.</w:t>
            </w:r>
            <w:r w:rsidRPr="007E67C5">
              <w:t xml:space="preserve"> </w:t>
            </w:r>
          </w:p>
          <w:p w:rsidR="00CA2B81" w:rsidRDefault="00CA2B81" w:rsidP="00AE6D45">
            <w:pPr>
              <w:pStyle w:val="ListParagraph"/>
              <w:numPr>
                <w:ilvl w:val="0"/>
                <w:numId w:val="6"/>
              </w:numPr>
            </w:pPr>
            <w:r w:rsidRPr="007E67C5">
              <w:t xml:space="preserve">An </w:t>
            </w:r>
            <w:r w:rsidRPr="008634C1">
              <w:rPr>
                <w:b/>
              </w:rPr>
              <w:t>online collaboration space</w:t>
            </w:r>
            <w:r w:rsidRPr="007E67C5">
              <w:t xml:space="preserve"> has 25 contributors from 10 schools.</w:t>
            </w:r>
          </w:p>
          <w:p w:rsidR="00CA2B81" w:rsidRPr="007E67C5" w:rsidRDefault="00CA2B81" w:rsidP="00AE6D45">
            <w:pPr>
              <w:pStyle w:val="ListParagraph"/>
              <w:numPr>
                <w:ilvl w:val="0"/>
                <w:numId w:val="6"/>
              </w:numPr>
            </w:pPr>
            <w:r w:rsidRPr="008634C1">
              <w:rPr>
                <w:b/>
              </w:rPr>
              <w:t>Study tours</w:t>
            </w:r>
            <w:r w:rsidRPr="007E67C5">
              <w:t xml:space="preserve"> – five school leaders from five schools undertook a week-long study tour in late June 2013; another five school leaders from five schools will include the ACER Annual Research Conference in Melbourne in August with visits to some Victorian schools relevant to their professional learning interest; 12 key teachers from 12 schools will undertake interstate tours at various times later in the year. </w:t>
            </w:r>
          </w:p>
          <w:p w:rsidR="00CA2B81" w:rsidRDefault="00CA2B81" w:rsidP="00AE6D45">
            <w:pPr>
              <w:pStyle w:val="ListParagraph"/>
              <w:numPr>
                <w:ilvl w:val="0"/>
                <w:numId w:val="6"/>
              </w:numPr>
            </w:pPr>
            <w:r w:rsidRPr="008634C1">
              <w:rPr>
                <w:b/>
              </w:rPr>
              <w:t xml:space="preserve">School-based improvement projects </w:t>
            </w:r>
            <w:r w:rsidRPr="007E67C5">
              <w:t>are undertaken by participants of the other components, according to the specific professional learning inquiry they are pursuing.</w:t>
            </w:r>
          </w:p>
          <w:p w:rsidR="008634C1" w:rsidRPr="007E67C5" w:rsidRDefault="008634C1" w:rsidP="00011B40"/>
          <w:p w:rsidR="00CA2B81" w:rsidRDefault="00CA2B81" w:rsidP="00011B40">
            <w:r w:rsidRPr="007E67C5">
              <w:t xml:space="preserve">The </w:t>
            </w:r>
            <w:r w:rsidRPr="007E67C5">
              <w:rPr>
                <w:b/>
              </w:rPr>
              <w:t>government sector</w:t>
            </w:r>
            <w:r w:rsidRPr="007E67C5">
              <w:t xml:space="preserve"> programs, which were started during the Improving Teacher Quality National Partnership facilitation phase, have been continued into 2013 as initiatives that significantly contribute to school-based capacity for sustainable development of teachers and leaders. The reform programs have successfully raised awareness of the international and local research that recognises that student success depends on the quality of the teacher. </w:t>
            </w:r>
          </w:p>
          <w:p w:rsidR="008634C1" w:rsidRPr="007E67C5" w:rsidRDefault="008634C1" w:rsidP="00011B40"/>
          <w:p w:rsidR="00CA2B81" w:rsidRDefault="00CA2B81" w:rsidP="00011B40">
            <w:r w:rsidRPr="007E67C5">
              <w:t>More than 1 400 teachers and leaders have participated in government sector improving teacher quality reform initiatives since the start of 2013. These initiatives have had line of sight to the improving teacher quality outcomes by addressing initial teacher preparation and induction to the profession, recruitment, development and recognition to the critical role school leaders provide in ‘leading the teaching and learning ‘ and ‘developing self and others’. The government sector has chosen to highlight three initiatives in this report.</w:t>
            </w:r>
          </w:p>
          <w:p w:rsidR="008634C1" w:rsidRPr="007E67C5" w:rsidRDefault="008634C1" w:rsidP="00011B40"/>
          <w:p w:rsidR="00CA2B81" w:rsidRDefault="00CA2B81" w:rsidP="00011B40">
            <w:r w:rsidRPr="007E67C5">
              <w:t xml:space="preserve">Firstly the </w:t>
            </w:r>
            <w:r w:rsidRPr="007E67C5">
              <w:rPr>
                <w:b/>
              </w:rPr>
              <w:t xml:space="preserve">implementation of the </w:t>
            </w:r>
            <w:r w:rsidRPr="007E67C5">
              <w:rPr>
                <w:b/>
                <w:i/>
              </w:rPr>
              <w:t>Australian professional standards for teachers</w:t>
            </w:r>
            <w:r w:rsidRPr="007E67C5">
              <w:t xml:space="preserve"> has been embedded into the implementation of the </w:t>
            </w:r>
            <w:r w:rsidRPr="007E67C5">
              <w:rPr>
                <w:i/>
              </w:rPr>
              <w:t xml:space="preserve">Australian teacher performance and development framework </w:t>
            </w:r>
            <w:r w:rsidRPr="007E67C5">
              <w:t xml:space="preserve">through professional development programs, website resources, and marketing through the system wide communication channel. Promoting performance workshops along with a program of introductory workshops for the </w:t>
            </w:r>
            <w:r w:rsidRPr="007E67C5">
              <w:rPr>
                <w:i/>
              </w:rPr>
              <w:t>Performance and development</w:t>
            </w:r>
            <w:r w:rsidRPr="007E67C5">
              <w:t xml:space="preserve"> framework have supported teachers and leaders to explore how classroom observation and professional conversations can be used to unpack the professional standards within performance and development processes. </w:t>
            </w:r>
          </w:p>
          <w:p w:rsidR="008634C1" w:rsidRPr="007E67C5" w:rsidRDefault="008634C1" w:rsidP="00011B40"/>
          <w:p w:rsidR="00CA2B81" w:rsidRDefault="00CA2B81" w:rsidP="00011B40">
            <w:r w:rsidRPr="007E67C5">
              <w:t xml:space="preserve">Secondly, achievements have been made in the provision of </w:t>
            </w:r>
            <w:r w:rsidRPr="007E67C5">
              <w:rPr>
                <w:b/>
              </w:rPr>
              <w:t>accredited training for school support staff</w:t>
            </w:r>
            <w:r w:rsidRPr="007E67C5">
              <w:t xml:space="preserve"> </w:t>
            </w:r>
            <w:r w:rsidRPr="007E67C5">
              <w:rPr>
                <w:b/>
              </w:rPr>
              <w:t xml:space="preserve">and administrative leaders. </w:t>
            </w:r>
            <w:r w:rsidRPr="007E67C5">
              <w:t xml:space="preserve">This has continued to prioritise and address areas such as literacy and numeracy, disabilities, and early childhood learning. The </w:t>
            </w:r>
            <w:proofErr w:type="spellStart"/>
            <w:r w:rsidRPr="007E67C5">
              <w:t>DECD</w:t>
            </w:r>
            <w:proofErr w:type="spellEnd"/>
            <w:r w:rsidRPr="007E67C5">
              <w:t xml:space="preserve"> registered training organisation offers 11 courses that </w:t>
            </w:r>
            <w:r w:rsidRPr="007E67C5">
              <w:lastRenderedPageBreak/>
              <w:t xml:space="preserve">include skill set pathways and full qualifications. In 2013, over 1 500 </w:t>
            </w:r>
            <w:proofErr w:type="spellStart"/>
            <w:r w:rsidRPr="007E67C5">
              <w:t>DECD</w:t>
            </w:r>
            <w:proofErr w:type="spellEnd"/>
            <w:r w:rsidRPr="007E67C5">
              <w:t xml:space="preserve"> employees have been enrolled from metropolitan and rural remote schools across the State. </w:t>
            </w:r>
          </w:p>
          <w:p w:rsidR="008634C1" w:rsidRPr="007E67C5" w:rsidRDefault="008634C1" w:rsidP="00011B40"/>
          <w:p w:rsidR="00CA2B81" w:rsidRDefault="00CA2B81" w:rsidP="00011B40">
            <w:r w:rsidRPr="007E67C5">
              <w:t xml:space="preserve">A highlight of the Improving Teacher Quality initiatives has been the expansion of accredited training programs to include the Advanced Diploma of </w:t>
            </w:r>
            <w:proofErr w:type="spellStart"/>
            <w:r w:rsidRPr="007E67C5">
              <w:t>HR</w:t>
            </w:r>
            <w:proofErr w:type="spellEnd"/>
            <w:r w:rsidRPr="007E67C5">
              <w:t xml:space="preserve"> Management. The Advanced Diploma program is a nationally recognised qualification for principals, deputy principals, assistant principals, preschool directors and </w:t>
            </w:r>
            <w:proofErr w:type="spellStart"/>
            <w:r w:rsidRPr="007E67C5">
              <w:t>SSO</w:t>
            </w:r>
            <w:proofErr w:type="spellEnd"/>
            <w:r w:rsidRPr="007E67C5">
              <w:t xml:space="preserve"> leaders wanting to consolidate their knowledge and skills in human resource management and leadership. Places have been filled in the course indicating its relevance for school leaders in both the administration and curriculum streams.  </w:t>
            </w:r>
          </w:p>
          <w:p w:rsidR="008634C1" w:rsidRPr="007E67C5" w:rsidRDefault="008634C1" w:rsidP="00011B40"/>
          <w:p w:rsidR="00CA2B81" w:rsidRDefault="00CA2B81" w:rsidP="00011B40">
            <w:r w:rsidRPr="007E67C5">
              <w:t xml:space="preserve">A third highlight in the government sector is the ongoing development of a comprehensive program of </w:t>
            </w:r>
            <w:r w:rsidRPr="007E67C5">
              <w:rPr>
                <w:b/>
              </w:rPr>
              <w:t>support for beginning teachers</w:t>
            </w:r>
            <w:r w:rsidRPr="007E67C5">
              <w:t xml:space="preserve">. Permanently appointed beginning teachers and those appointed to 12-month contracts are supported with an additional 0.1 non-instruction time for the first year of their teaching. Beginning teachers identifying as Aboriginal or Torres Strait Islander heritage are allocated another 0.1, totalling in 0.2 non-instructional time. This resource is managed at a school level to strengthen local induction and support their development of teaching and learning practices. </w:t>
            </w:r>
          </w:p>
          <w:p w:rsidR="008634C1" w:rsidRPr="007E67C5" w:rsidRDefault="008634C1" w:rsidP="00011B40"/>
          <w:p w:rsidR="00CA2B81" w:rsidRDefault="00CA2B81" w:rsidP="00011B40">
            <w:r w:rsidRPr="007E67C5">
              <w:t xml:space="preserve">A range of other resources that offer ongoing opportunities to network and receive support, include the </w:t>
            </w:r>
            <w:proofErr w:type="spellStart"/>
            <w:r w:rsidRPr="007E67C5">
              <w:t>DECD</w:t>
            </w:r>
            <w:proofErr w:type="spellEnd"/>
            <w:r w:rsidRPr="007E67C5">
              <w:t xml:space="preserve"> early career teacher Facebook page, local ‘meet and greet’ events and access to mentors through a teacher mentor register. The premier induction event </w:t>
            </w:r>
            <w:proofErr w:type="spellStart"/>
            <w:r w:rsidRPr="007E67C5">
              <w:rPr>
                <w:i/>
              </w:rPr>
              <w:t>connectED</w:t>
            </w:r>
            <w:proofErr w:type="spellEnd"/>
            <w:r w:rsidRPr="007E67C5">
              <w:rPr>
                <w:i/>
              </w:rPr>
              <w:t xml:space="preserve"> </w:t>
            </w:r>
            <w:r w:rsidRPr="007E67C5">
              <w:t>which</w:t>
            </w:r>
            <w:r w:rsidRPr="007E67C5">
              <w:rPr>
                <w:i/>
              </w:rPr>
              <w:t xml:space="preserve"> </w:t>
            </w:r>
            <w:r w:rsidRPr="007E67C5">
              <w:t xml:space="preserve">is held in the middle of the year attracted over 400 participants in 2013. Targeted workshops that have been held for beginning teachers in </w:t>
            </w:r>
            <w:proofErr w:type="gramStart"/>
            <w:r w:rsidRPr="007E67C5">
              <w:t>2013,</w:t>
            </w:r>
            <w:proofErr w:type="gramEnd"/>
            <w:r w:rsidRPr="007E67C5">
              <w:t xml:space="preserve"> included </w:t>
            </w:r>
            <w:r w:rsidRPr="007E67C5">
              <w:rPr>
                <w:i/>
              </w:rPr>
              <w:t xml:space="preserve">Developing e-portfolios </w:t>
            </w:r>
            <w:r w:rsidRPr="007E67C5">
              <w:t>and</w:t>
            </w:r>
            <w:r w:rsidRPr="007E67C5">
              <w:rPr>
                <w:i/>
              </w:rPr>
              <w:t xml:space="preserve"> Moving from graduate to proficient</w:t>
            </w:r>
            <w:r w:rsidRPr="007E67C5">
              <w:t xml:space="preserve">. Over 100 beginning teachers attended the latter workshop and engaged in learning about the standards and how best to collect evidence of their practice at the proficient level of the </w:t>
            </w:r>
            <w:r w:rsidRPr="007E67C5">
              <w:rPr>
                <w:i/>
              </w:rPr>
              <w:t>Australian professional standards for teachers.</w:t>
            </w:r>
            <w:r w:rsidRPr="007E67C5">
              <w:t xml:space="preserve"> </w:t>
            </w:r>
          </w:p>
          <w:p w:rsidR="008634C1" w:rsidRPr="007E67C5" w:rsidRDefault="008634C1" w:rsidP="00011B40"/>
          <w:p w:rsidR="006C1700" w:rsidRDefault="00CA2B81" w:rsidP="00011B40">
            <w:proofErr w:type="spellStart"/>
            <w:r w:rsidRPr="007E67C5">
              <w:t>DECD</w:t>
            </w:r>
            <w:proofErr w:type="spellEnd"/>
            <w:r w:rsidRPr="007E67C5">
              <w:t xml:space="preserve"> sites have contributed to the State evaluation of the Improving Teacher Quality National Partnership. Deloitte Access Economics are conducting the evaluation and the narratives told by site teachers leaders will help to draw the line of site from the reform initiatives to improved teacher quality.  </w:t>
            </w:r>
            <w:bookmarkStart w:id="2" w:name="OLE_LINK6"/>
            <w:bookmarkEnd w:id="2"/>
          </w:p>
          <w:p w:rsidR="008634C1" w:rsidRDefault="008634C1" w:rsidP="00011B40">
            <w:pPr>
              <w:rPr>
                <w:rFonts w:cs="Calibri"/>
                <w:szCs w:val="24"/>
              </w:rPr>
            </w:pPr>
          </w:p>
        </w:tc>
      </w:tr>
      <w:tr w:rsidR="006C1700" w:rsidTr="00011B40">
        <w:tc>
          <w:tcPr>
            <w:tcW w:w="10349" w:type="dxa"/>
            <w:tcBorders>
              <w:top w:val="single" w:sz="4" w:space="0" w:color="auto"/>
              <w:left w:val="single" w:sz="4" w:space="0" w:color="auto"/>
              <w:bottom w:val="single" w:sz="4" w:space="0" w:color="auto"/>
              <w:right w:val="single" w:sz="4" w:space="0" w:color="auto"/>
            </w:tcBorders>
            <w:hideMark/>
          </w:tcPr>
          <w:p w:rsidR="006C1700" w:rsidRDefault="006C1700" w:rsidP="008634C1">
            <w:pPr>
              <w:pStyle w:val="Heading2"/>
            </w:pPr>
            <w:bookmarkStart w:id="3" w:name="_Toc379547550"/>
            <w:r>
              <w:lastRenderedPageBreak/>
              <w:t>Support for Aboriginal and Torres Strait Islander Students</w:t>
            </w:r>
            <w:r>
              <w:rPr>
                <w:rFonts w:cs="Times New Roman"/>
                <w:color w:val="auto"/>
              </w:rPr>
              <w:t xml:space="preserve"> – 1 January 2009 to 30 June 2013</w:t>
            </w:r>
            <w:bookmarkEnd w:id="3"/>
          </w:p>
          <w:p w:rsidR="008634C1" w:rsidRDefault="008634C1" w:rsidP="00011B40">
            <w:pPr>
              <w:rPr>
                <w:lang w:eastAsia="en-AU"/>
              </w:rPr>
            </w:pPr>
          </w:p>
          <w:p w:rsidR="00CA2B81" w:rsidRDefault="00CA2B81" w:rsidP="00011B40">
            <w:pPr>
              <w:rPr>
                <w:lang w:eastAsia="en-AU"/>
              </w:rPr>
            </w:pPr>
            <w:r w:rsidRPr="007E67C5">
              <w:rPr>
                <w:lang w:eastAsia="en-AU"/>
              </w:rPr>
              <w:t xml:space="preserve">The </w:t>
            </w:r>
            <w:proofErr w:type="spellStart"/>
            <w:r w:rsidRPr="007E67C5">
              <w:rPr>
                <w:b/>
                <w:lang w:eastAsia="en-AU"/>
              </w:rPr>
              <w:t>AISSA</w:t>
            </w:r>
            <w:proofErr w:type="spellEnd"/>
            <w:r w:rsidRPr="007E67C5">
              <w:rPr>
                <w:b/>
                <w:lang w:eastAsia="en-AU"/>
              </w:rPr>
              <w:t xml:space="preserve"> </w:t>
            </w:r>
            <w:r w:rsidRPr="007E67C5">
              <w:rPr>
                <w:i/>
                <w:lang w:eastAsia="en-AU"/>
              </w:rPr>
              <w:t xml:space="preserve">Indigenous mentoring </w:t>
            </w:r>
            <w:r w:rsidRPr="007E67C5">
              <w:rPr>
                <w:lang w:eastAsia="en-AU"/>
              </w:rPr>
              <w:t xml:space="preserve">program provided one-to-one mentoring by teachers and leaders in independent schools and/or in-school experiences and career guidance to assist participants to achieve their professional and personal goals. Through the </w:t>
            </w:r>
            <w:proofErr w:type="spellStart"/>
            <w:r w:rsidRPr="007E67C5">
              <w:rPr>
                <w:lang w:eastAsia="en-AU"/>
              </w:rPr>
              <w:t>AISSA</w:t>
            </w:r>
            <w:proofErr w:type="spellEnd"/>
            <w:r w:rsidRPr="007E67C5">
              <w:rPr>
                <w:lang w:eastAsia="en-AU"/>
              </w:rPr>
              <w:t xml:space="preserve"> </w:t>
            </w:r>
            <w:r w:rsidRPr="007E67C5">
              <w:rPr>
                <w:i/>
                <w:lang w:eastAsia="en-AU"/>
              </w:rPr>
              <w:t>Leadership</w:t>
            </w:r>
            <w:r w:rsidRPr="007E67C5">
              <w:rPr>
                <w:lang w:eastAsia="en-AU"/>
              </w:rPr>
              <w:t xml:space="preserve"> program, principals have been supported through professional learning to consider ways their schools can further embrace Aboriginal and Torres Strait Islander histories and cultures.</w:t>
            </w:r>
          </w:p>
          <w:p w:rsidR="008634C1" w:rsidRPr="007E67C5" w:rsidRDefault="008634C1" w:rsidP="00011B40"/>
          <w:p w:rsidR="00CA2B81" w:rsidRDefault="00CA2B81" w:rsidP="00011B40">
            <w:r w:rsidRPr="007E67C5">
              <w:t xml:space="preserve">In the South Australian </w:t>
            </w:r>
            <w:r w:rsidRPr="007E67C5">
              <w:rPr>
                <w:b/>
              </w:rPr>
              <w:t>Catholic sector</w:t>
            </w:r>
            <w:r w:rsidRPr="007E67C5">
              <w:t>, the case management of Indigenous students, family consultation and advocacy continues to be enhanced by the use of individual learning plans (</w:t>
            </w:r>
            <w:proofErr w:type="spellStart"/>
            <w:r w:rsidRPr="007E67C5">
              <w:t>ILPs</w:t>
            </w:r>
            <w:proofErr w:type="spellEnd"/>
            <w:r w:rsidRPr="007E67C5">
              <w:t xml:space="preserve">) for all Indigenous students. The construction of the </w:t>
            </w:r>
            <w:proofErr w:type="spellStart"/>
            <w:r w:rsidRPr="007E67C5">
              <w:t>ILPs</w:t>
            </w:r>
            <w:proofErr w:type="spellEnd"/>
            <w:r w:rsidRPr="007E67C5">
              <w:t xml:space="preserve"> occurs through a form of professional coaching, with Indigenous education consultants modelling the process with educational staff in local settings. </w:t>
            </w:r>
          </w:p>
          <w:p w:rsidR="008634C1" w:rsidRPr="007E67C5" w:rsidRDefault="008634C1" w:rsidP="00011B40"/>
          <w:p w:rsidR="00CA2B81" w:rsidRDefault="00CA2B81" w:rsidP="00011B40">
            <w:r w:rsidRPr="007E67C5">
              <w:t xml:space="preserve">The </w:t>
            </w:r>
            <w:proofErr w:type="spellStart"/>
            <w:r w:rsidRPr="007E67C5">
              <w:t>CESA</w:t>
            </w:r>
            <w:proofErr w:type="spellEnd"/>
            <w:r w:rsidRPr="007E67C5">
              <w:t xml:space="preserve"> Indigenous Education and Vocational Education teams are collaborating to enable Indigenous students to access up-to-date study, career and post-school information and provide opportunities to hear and speak to other Indigenous students. </w:t>
            </w:r>
          </w:p>
          <w:p w:rsidR="008634C1" w:rsidRPr="007E67C5" w:rsidRDefault="008634C1" w:rsidP="00011B40"/>
          <w:p w:rsidR="00CA2B81" w:rsidRDefault="00CA2B81" w:rsidP="00011B40">
            <w:pPr>
              <w:rPr>
                <w:rFonts w:ascii="Calibri" w:hAnsi="Calibri"/>
              </w:rPr>
            </w:pPr>
            <w:r w:rsidRPr="007E67C5">
              <w:rPr>
                <w:rFonts w:ascii="Calibri" w:hAnsi="Calibri"/>
                <w:b/>
              </w:rPr>
              <w:t>Government sector</w:t>
            </w:r>
            <w:r w:rsidRPr="007E67C5">
              <w:rPr>
                <w:rFonts w:ascii="Calibri" w:hAnsi="Calibri"/>
              </w:rPr>
              <w:t xml:space="preserve"> initiatives to improve in-school support have been based on a broad strategy to attract, deploy and retain quality teachers to rural, remote and low-SES sites. The strategy included a strong partnership with tertiary providers to increase the number of specialist teachers in science and maths and ensure they were deployed to Indigenous, rural/remote and hard to staff schools. </w:t>
            </w:r>
          </w:p>
          <w:p w:rsidR="008634C1" w:rsidRPr="007E67C5" w:rsidRDefault="008634C1" w:rsidP="00011B40">
            <w:pPr>
              <w:rPr>
                <w:rFonts w:ascii="Calibri" w:hAnsi="Calibri"/>
              </w:rPr>
            </w:pPr>
          </w:p>
          <w:p w:rsidR="00CA2B81" w:rsidRDefault="00CA2B81" w:rsidP="00011B40">
            <w:pPr>
              <w:rPr>
                <w:rFonts w:ascii="Calibri" w:hAnsi="Calibri"/>
                <w:u w:val="single"/>
              </w:rPr>
            </w:pPr>
            <w:r w:rsidRPr="007E67C5">
              <w:rPr>
                <w:rFonts w:ascii="Calibri" w:hAnsi="Calibri"/>
              </w:rPr>
              <w:t xml:space="preserve">Building on the tertiary partnerships </w:t>
            </w:r>
            <w:proofErr w:type="spellStart"/>
            <w:r w:rsidRPr="007E67C5">
              <w:rPr>
                <w:rFonts w:ascii="Calibri" w:hAnsi="Calibri"/>
              </w:rPr>
              <w:t>DECD</w:t>
            </w:r>
            <w:proofErr w:type="spellEnd"/>
            <w:r w:rsidRPr="007E67C5">
              <w:rPr>
                <w:rFonts w:ascii="Calibri" w:hAnsi="Calibri"/>
              </w:rPr>
              <w:t xml:space="preserve"> has worked successfully with University of South Australia to make available a range of teacher education programs that recognise prior learning and enable current Aboriginal employees to engage in higher education learning and a career pathway into teaching. There are currently eight government sector </w:t>
            </w:r>
            <w:proofErr w:type="spellStart"/>
            <w:r w:rsidRPr="007E67C5">
              <w:rPr>
                <w:rFonts w:ascii="Calibri" w:hAnsi="Calibri"/>
              </w:rPr>
              <w:t>DECD</w:t>
            </w:r>
            <w:proofErr w:type="spellEnd"/>
            <w:r w:rsidRPr="007E67C5">
              <w:rPr>
                <w:rFonts w:ascii="Calibri" w:hAnsi="Calibri"/>
              </w:rPr>
              <w:t xml:space="preserve"> Aboriginal employees being supported to complete initial education training. Review and evaluation of the course will be ongoing over the life of the program. </w:t>
            </w:r>
            <w:r w:rsidRPr="007E67C5">
              <w:rPr>
                <w:rFonts w:ascii="Calibri" w:hAnsi="Calibri"/>
                <w:u w:val="single"/>
              </w:rPr>
              <w:t xml:space="preserve"> </w:t>
            </w:r>
          </w:p>
          <w:p w:rsidR="008634C1" w:rsidRPr="007E67C5" w:rsidRDefault="008634C1" w:rsidP="00011B40">
            <w:pPr>
              <w:rPr>
                <w:rFonts w:ascii="Calibri" w:hAnsi="Calibri"/>
              </w:rPr>
            </w:pPr>
          </w:p>
          <w:p w:rsidR="00CA2B81" w:rsidRPr="007E67C5" w:rsidRDefault="00CA2B81" w:rsidP="00011B40">
            <w:pPr>
              <w:rPr>
                <w:rFonts w:ascii="Calibri" w:hAnsi="Calibri"/>
              </w:rPr>
            </w:pPr>
            <w:r w:rsidRPr="007E67C5">
              <w:rPr>
                <w:rFonts w:ascii="Calibri" w:hAnsi="Calibri"/>
              </w:rPr>
              <w:t xml:space="preserve">Together the government sector reforms in the area of teacher preparation, recruitment and induction have strengthened the capacity for </w:t>
            </w:r>
            <w:proofErr w:type="spellStart"/>
            <w:r w:rsidRPr="007E67C5">
              <w:rPr>
                <w:rFonts w:ascii="Calibri" w:hAnsi="Calibri"/>
              </w:rPr>
              <w:t>DECD</w:t>
            </w:r>
            <w:proofErr w:type="spellEnd"/>
            <w:r w:rsidRPr="007E67C5">
              <w:rPr>
                <w:rFonts w:ascii="Calibri" w:hAnsi="Calibri"/>
              </w:rPr>
              <w:t xml:space="preserve"> site leaders to recognise, develop and attract high-quality graduate teachers into the public sector. </w:t>
            </w:r>
          </w:p>
          <w:p w:rsidR="006C1700" w:rsidRDefault="006C1700" w:rsidP="00011B40">
            <w:pPr>
              <w:spacing w:before="120" w:after="120"/>
              <w:rPr>
                <w:rFonts w:ascii="Calibri" w:hAnsi="Calibri" w:cs="Calibri"/>
                <w:szCs w:val="24"/>
              </w:rPr>
            </w:pPr>
          </w:p>
        </w:tc>
      </w:tr>
    </w:tbl>
    <w:p w:rsidR="0024083E" w:rsidRDefault="0024083E">
      <w:r>
        <w:rPr>
          <w:b/>
          <w:bCs/>
        </w:rPr>
        <w:br w:type="page"/>
      </w:r>
    </w:p>
    <w:p w:rsidR="0024083E" w:rsidRDefault="0024083E">
      <w:r>
        <w:rPr>
          <w:b/>
          <w:bCs/>
        </w:rPr>
        <w:lastRenderedPageBreak/>
        <w:br w:type="page"/>
      </w:r>
    </w:p>
    <w:tbl>
      <w:tblPr>
        <w:tblW w:w="10349" w:type="dxa"/>
        <w:tblLook w:val="01E0" w:firstRow="1" w:lastRow="1" w:firstColumn="1" w:lastColumn="1" w:noHBand="0" w:noVBand="0"/>
      </w:tblPr>
      <w:tblGrid>
        <w:gridCol w:w="10349"/>
      </w:tblGrid>
      <w:tr w:rsidR="006C1700" w:rsidTr="00011B40">
        <w:tc>
          <w:tcPr>
            <w:tcW w:w="10349" w:type="dxa"/>
            <w:tcBorders>
              <w:top w:val="single" w:sz="4" w:space="0" w:color="auto"/>
              <w:left w:val="single" w:sz="4" w:space="0" w:color="auto"/>
              <w:bottom w:val="single" w:sz="4" w:space="0" w:color="auto"/>
              <w:right w:val="single" w:sz="4" w:space="0" w:color="auto"/>
            </w:tcBorders>
            <w:hideMark/>
          </w:tcPr>
          <w:p w:rsidR="006C1700" w:rsidRDefault="0024083E" w:rsidP="008634C1">
            <w:pPr>
              <w:pStyle w:val="Heading2"/>
            </w:pPr>
            <w:r>
              <w:rPr>
                <w:rFonts w:asciiTheme="minorHAnsi" w:eastAsia="Times New Roman" w:hAnsiTheme="minorHAnsi" w:cs="Times New Roman"/>
                <w:b w:val="0"/>
                <w:bCs w:val="0"/>
                <w:color w:val="auto"/>
                <w:szCs w:val="20"/>
              </w:rPr>
              <w:lastRenderedPageBreak/>
              <w:br w:type="page"/>
            </w:r>
            <w:bookmarkStart w:id="4" w:name="_Toc379547551"/>
            <w:r w:rsidR="006C1700">
              <w:t>Showcase Examples - 1 January to 30 June 2013</w:t>
            </w:r>
            <w:bookmarkEnd w:id="4"/>
          </w:p>
          <w:p w:rsidR="008634C1" w:rsidRPr="008634C1" w:rsidRDefault="008634C1" w:rsidP="008634C1"/>
          <w:p w:rsidR="008634C1" w:rsidRPr="008634C1" w:rsidRDefault="00AE05F8" w:rsidP="00011B40">
            <w:pPr>
              <w:rPr>
                <w:rFonts w:cstheme="minorHAnsi"/>
                <w:b/>
              </w:rPr>
            </w:pPr>
            <w:r w:rsidRPr="008634C1">
              <w:rPr>
                <w:rFonts w:cstheme="minorHAnsi"/>
                <w:b/>
              </w:rPr>
              <w:t>ASSOCIATION OF INDEPENDENT SCHOOLS OF SA (</w:t>
            </w:r>
            <w:proofErr w:type="spellStart"/>
            <w:r w:rsidRPr="008634C1">
              <w:rPr>
                <w:rFonts w:cstheme="minorHAnsi"/>
                <w:b/>
              </w:rPr>
              <w:t>AISSA</w:t>
            </w:r>
            <w:proofErr w:type="spellEnd"/>
            <w:r w:rsidRPr="008634C1">
              <w:rPr>
                <w:rFonts w:cstheme="minorHAnsi"/>
                <w:b/>
              </w:rPr>
              <w:t xml:space="preserve">) LEADERSHIP PROGRAM – </w:t>
            </w:r>
          </w:p>
          <w:p w:rsidR="00AE05F8" w:rsidRPr="008634C1" w:rsidRDefault="00AE05F8" w:rsidP="00011B40">
            <w:pPr>
              <w:rPr>
                <w:rFonts w:cstheme="minorHAnsi"/>
                <w:b/>
                <w:i/>
              </w:rPr>
            </w:pPr>
            <w:r w:rsidRPr="008634C1">
              <w:rPr>
                <w:rFonts w:cstheme="minorHAnsi"/>
                <w:b/>
                <w:i/>
              </w:rPr>
              <w:t>Case study: King’s Baptist Grammar</w:t>
            </w:r>
          </w:p>
          <w:p w:rsidR="008634C1" w:rsidRPr="00B928E0" w:rsidRDefault="008634C1" w:rsidP="00011B40">
            <w:pPr>
              <w:rPr>
                <w:rFonts w:cstheme="minorHAnsi"/>
              </w:rPr>
            </w:pPr>
          </w:p>
          <w:p w:rsidR="00AE05F8" w:rsidRDefault="00AE05F8" w:rsidP="00011B40">
            <w:pPr>
              <w:rPr>
                <w:rFonts w:cstheme="minorHAnsi"/>
                <w:szCs w:val="22"/>
              </w:rPr>
            </w:pPr>
            <w:r w:rsidRPr="00B928E0">
              <w:rPr>
                <w:rFonts w:cstheme="minorHAnsi"/>
                <w:szCs w:val="22"/>
              </w:rPr>
              <w:t xml:space="preserve">The education landscape is changing and leaders are faced with the reality of supporting their school community through the complexities of this changing landscape and the new national ‘school improvement’ agenda. The principal of King’s Baptist Grammar School acknowledges that participation in the </w:t>
            </w:r>
            <w:proofErr w:type="spellStart"/>
            <w:r w:rsidRPr="00B928E0">
              <w:rPr>
                <w:rFonts w:cstheme="minorHAnsi"/>
                <w:szCs w:val="22"/>
              </w:rPr>
              <w:t>AISSA</w:t>
            </w:r>
            <w:proofErr w:type="spellEnd"/>
            <w:r w:rsidRPr="00B928E0">
              <w:rPr>
                <w:rFonts w:cstheme="minorHAnsi"/>
                <w:szCs w:val="22"/>
              </w:rPr>
              <w:t xml:space="preserve"> </w:t>
            </w:r>
            <w:r w:rsidRPr="00B928E0">
              <w:rPr>
                <w:rFonts w:cstheme="minorHAnsi"/>
                <w:i/>
                <w:szCs w:val="22"/>
              </w:rPr>
              <w:t>Leadership</w:t>
            </w:r>
            <w:r w:rsidRPr="00B928E0">
              <w:rPr>
                <w:rFonts w:cstheme="minorHAnsi"/>
                <w:szCs w:val="22"/>
              </w:rPr>
              <w:t xml:space="preserve"> program 2012 and 2013 has assisted him in developing processes and approaches to facilitate change within his school and to develop a collaborative culture focussed on improving practice and student outcomes. </w:t>
            </w:r>
          </w:p>
          <w:p w:rsidR="008634C1" w:rsidRPr="00B928E0" w:rsidRDefault="008634C1" w:rsidP="00011B40">
            <w:pPr>
              <w:rPr>
                <w:rFonts w:cstheme="minorHAnsi"/>
                <w:szCs w:val="22"/>
              </w:rPr>
            </w:pPr>
          </w:p>
          <w:p w:rsidR="00AE05F8" w:rsidRDefault="00AE05F8" w:rsidP="00011B40">
            <w:pPr>
              <w:rPr>
                <w:rFonts w:cstheme="minorHAnsi"/>
                <w:szCs w:val="22"/>
              </w:rPr>
            </w:pPr>
            <w:r w:rsidRPr="00B928E0">
              <w:rPr>
                <w:rFonts w:cstheme="minorHAnsi"/>
                <w:szCs w:val="22"/>
              </w:rPr>
              <w:t xml:space="preserve">The most influential aspects included </w:t>
            </w:r>
            <w:r w:rsidRPr="00B928E0">
              <w:rPr>
                <w:rFonts w:cstheme="minorHAnsi"/>
                <w:i/>
                <w:szCs w:val="22"/>
              </w:rPr>
              <w:t>Creating a performance and development culture</w:t>
            </w:r>
            <w:r w:rsidRPr="00B928E0">
              <w:rPr>
                <w:rFonts w:cstheme="minorHAnsi"/>
                <w:szCs w:val="22"/>
              </w:rPr>
              <w:t xml:space="preserve">, </w:t>
            </w:r>
            <w:r w:rsidRPr="00B928E0">
              <w:rPr>
                <w:rFonts w:cstheme="minorHAnsi"/>
                <w:i/>
                <w:szCs w:val="22"/>
              </w:rPr>
              <w:t>Building personal leadership capacity</w:t>
            </w:r>
            <w:r w:rsidRPr="00B928E0">
              <w:rPr>
                <w:rFonts w:cstheme="minorHAnsi"/>
                <w:szCs w:val="22"/>
              </w:rPr>
              <w:t xml:space="preserve"> and </w:t>
            </w:r>
            <w:r w:rsidRPr="00B928E0">
              <w:rPr>
                <w:rFonts w:cstheme="minorHAnsi"/>
                <w:i/>
                <w:szCs w:val="22"/>
              </w:rPr>
              <w:t>Using the Australian Curriculum as a vehicle for change</w:t>
            </w:r>
            <w:r w:rsidRPr="00B928E0">
              <w:rPr>
                <w:rFonts w:cstheme="minorHAnsi"/>
                <w:szCs w:val="22"/>
              </w:rPr>
              <w:t>.</w:t>
            </w:r>
          </w:p>
          <w:p w:rsidR="008634C1" w:rsidRPr="00B928E0" w:rsidRDefault="008634C1" w:rsidP="00011B40">
            <w:pPr>
              <w:rPr>
                <w:rFonts w:cstheme="minorHAnsi"/>
                <w:szCs w:val="22"/>
              </w:rPr>
            </w:pPr>
          </w:p>
          <w:p w:rsidR="00AE05F8" w:rsidRDefault="00AE05F8" w:rsidP="00011B40">
            <w:pPr>
              <w:rPr>
                <w:rFonts w:cstheme="minorHAnsi"/>
                <w:szCs w:val="22"/>
              </w:rPr>
            </w:pPr>
            <w:r w:rsidRPr="00B928E0">
              <w:rPr>
                <w:rFonts w:cstheme="minorHAnsi"/>
                <w:szCs w:val="22"/>
              </w:rPr>
              <w:t xml:space="preserve">Dame Patricia Collarbone’s workshop, </w:t>
            </w:r>
            <w:r w:rsidRPr="00B928E0">
              <w:rPr>
                <w:rFonts w:cstheme="minorHAnsi"/>
                <w:i/>
                <w:szCs w:val="22"/>
              </w:rPr>
              <w:t>Using the teacher and principal standards to build teacher capacity and capability</w:t>
            </w:r>
            <w:r w:rsidRPr="00B928E0">
              <w:rPr>
                <w:rFonts w:cstheme="minorHAnsi"/>
                <w:szCs w:val="22"/>
              </w:rPr>
              <w:t xml:space="preserve"> provided resources useful in facilitating the change process within King’s and the principal took away two key learnings: </w:t>
            </w:r>
            <w:r w:rsidRPr="00B928E0">
              <w:rPr>
                <w:rFonts w:cstheme="minorHAnsi"/>
                <w:szCs w:val="22"/>
                <w:u w:val="single"/>
              </w:rPr>
              <w:t>Facilitate</w:t>
            </w:r>
            <w:r w:rsidRPr="00B928E0">
              <w:rPr>
                <w:rFonts w:cstheme="minorHAnsi"/>
                <w:szCs w:val="22"/>
              </w:rPr>
              <w:t xml:space="preserve"> change rather than impose it and bring about cultural change through the delivery of </w:t>
            </w:r>
            <w:r w:rsidRPr="00B928E0">
              <w:rPr>
                <w:rFonts w:cstheme="minorHAnsi"/>
                <w:szCs w:val="22"/>
                <w:u w:val="single"/>
              </w:rPr>
              <w:t>shared</w:t>
            </w:r>
            <w:r w:rsidRPr="00B928E0">
              <w:rPr>
                <w:rFonts w:cstheme="minorHAnsi"/>
                <w:szCs w:val="22"/>
              </w:rPr>
              <w:t xml:space="preserve"> visions and objectives. </w:t>
            </w:r>
          </w:p>
          <w:p w:rsidR="008634C1" w:rsidRPr="00B928E0" w:rsidRDefault="008634C1" w:rsidP="00011B40">
            <w:pPr>
              <w:rPr>
                <w:rFonts w:cstheme="minorHAnsi"/>
                <w:szCs w:val="22"/>
              </w:rPr>
            </w:pPr>
          </w:p>
          <w:p w:rsidR="00AE05F8" w:rsidRDefault="00AE05F8" w:rsidP="00011B40">
            <w:pPr>
              <w:rPr>
                <w:rFonts w:cstheme="minorHAnsi"/>
                <w:szCs w:val="22"/>
              </w:rPr>
            </w:pPr>
            <w:r w:rsidRPr="00B928E0">
              <w:rPr>
                <w:rFonts w:cstheme="minorHAnsi"/>
                <w:szCs w:val="22"/>
              </w:rPr>
              <w:t xml:space="preserve">Delivery of the Australian Curriculum is a school objective. Implementation of the Australian Curriculum has afforded King’s with an opportunity for curriculum and cultural change. The Australian Curriculum is the vehicle through which a collaborative culture focused on improving practice and student outcomes is to become a reality. </w:t>
            </w:r>
          </w:p>
          <w:p w:rsidR="008634C1" w:rsidRPr="00B928E0" w:rsidRDefault="008634C1" w:rsidP="00011B40">
            <w:pPr>
              <w:rPr>
                <w:rFonts w:cstheme="minorHAnsi"/>
                <w:szCs w:val="22"/>
              </w:rPr>
            </w:pPr>
          </w:p>
          <w:p w:rsidR="00AE05F8" w:rsidRDefault="00AE05F8" w:rsidP="00011B40">
            <w:pPr>
              <w:rPr>
                <w:rFonts w:cstheme="minorHAnsi"/>
                <w:szCs w:val="22"/>
              </w:rPr>
            </w:pPr>
            <w:r w:rsidRPr="00B928E0">
              <w:rPr>
                <w:rFonts w:cstheme="minorHAnsi"/>
                <w:szCs w:val="22"/>
              </w:rPr>
              <w:t xml:space="preserve">With support from the </w:t>
            </w:r>
            <w:proofErr w:type="spellStart"/>
            <w:r w:rsidRPr="00B928E0">
              <w:rPr>
                <w:rFonts w:cstheme="minorHAnsi"/>
                <w:szCs w:val="22"/>
              </w:rPr>
              <w:t>AISSA</w:t>
            </w:r>
            <w:proofErr w:type="spellEnd"/>
            <w:r w:rsidRPr="00B928E0">
              <w:rPr>
                <w:rFonts w:cstheme="minorHAnsi"/>
                <w:szCs w:val="22"/>
              </w:rPr>
              <w:t xml:space="preserve">, the school has been provided with professional learning opportunities focusing on the Australian Curriculum. The effective delivery of the curriculum is being purposively linked to assessment and a coordinated school wide professional learning program to enhance the quality of student learning. This professional learning is helping teachers to develop their learning and teaching programs in line with the Australian Curriculum using an ‘understanding by design’ approach. </w:t>
            </w:r>
          </w:p>
          <w:p w:rsidR="008634C1" w:rsidRPr="00B928E0" w:rsidRDefault="008634C1" w:rsidP="00011B40">
            <w:pPr>
              <w:rPr>
                <w:rFonts w:cstheme="minorHAnsi"/>
                <w:szCs w:val="22"/>
              </w:rPr>
            </w:pPr>
          </w:p>
          <w:p w:rsidR="00AE05F8" w:rsidRDefault="00AE05F8" w:rsidP="00011B40">
            <w:pPr>
              <w:rPr>
                <w:rFonts w:cstheme="minorHAnsi"/>
                <w:szCs w:val="22"/>
              </w:rPr>
            </w:pPr>
            <w:r w:rsidRPr="00B928E0">
              <w:rPr>
                <w:rFonts w:cstheme="minorHAnsi"/>
                <w:szCs w:val="22"/>
              </w:rPr>
              <w:t xml:space="preserve">Carol </w:t>
            </w:r>
            <w:proofErr w:type="spellStart"/>
            <w:r w:rsidRPr="00B928E0">
              <w:rPr>
                <w:rFonts w:cstheme="minorHAnsi"/>
                <w:szCs w:val="22"/>
              </w:rPr>
              <w:t>Dweck’s</w:t>
            </w:r>
            <w:proofErr w:type="spellEnd"/>
            <w:r w:rsidRPr="00B928E0">
              <w:rPr>
                <w:rFonts w:cstheme="minorHAnsi"/>
                <w:szCs w:val="22"/>
              </w:rPr>
              <w:t xml:space="preserve"> research on why people succeed and how to foster success has also influenced King’s approach. </w:t>
            </w:r>
            <w:proofErr w:type="spellStart"/>
            <w:r w:rsidRPr="00B928E0">
              <w:rPr>
                <w:rFonts w:cstheme="minorHAnsi"/>
                <w:szCs w:val="22"/>
              </w:rPr>
              <w:t>Dweck</w:t>
            </w:r>
            <w:proofErr w:type="spellEnd"/>
            <w:r w:rsidRPr="00B928E0">
              <w:rPr>
                <w:rFonts w:cstheme="minorHAnsi"/>
                <w:szCs w:val="22"/>
              </w:rPr>
              <w:t xml:space="preserve"> shared her research at </w:t>
            </w:r>
            <w:r w:rsidRPr="00B928E0">
              <w:rPr>
                <w:rFonts w:cstheme="minorHAnsi"/>
                <w:i/>
                <w:szCs w:val="22"/>
              </w:rPr>
              <w:t>Developing growth mindsets</w:t>
            </w:r>
            <w:r w:rsidRPr="00B928E0">
              <w:rPr>
                <w:rFonts w:cstheme="minorHAnsi"/>
                <w:szCs w:val="22"/>
              </w:rPr>
              <w:t xml:space="preserve">, a workshop of the </w:t>
            </w:r>
            <w:r w:rsidRPr="00B928E0">
              <w:rPr>
                <w:rFonts w:cstheme="minorHAnsi"/>
                <w:i/>
                <w:szCs w:val="22"/>
              </w:rPr>
              <w:t>Building personal leadership capacity</w:t>
            </w:r>
            <w:r w:rsidRPr="00B928E0">
              <w:rPr>
                <w:rFonts w:cstheme="minorHAnsi"/>
                <w:szCs w:val="22"/>
              </w:rPr>
              <w:t xml:space="preserve"> program and the principal has adopted the concept of a ‘growth mindset’ rather than a ‘fixed mindset’. In a growth mindset people believe that their abilities can be developed through dedication and hard work that utilises each person’s generative strengths. This view creates a love of learning and resilience. Essential elements of any change process and concepts central to the work of schools and teachers. </w:t>
            </w:r>
          </w:p>
          <w:p w:rsidR="008634C1" w:rsidRPr="00B928E0" w:rsidRDefault="008634C1" w:rsidP="00011B40">
            <w:pPr>
              <w:rPr>
                <w:rFonts w:cstheme="minorHAnsi"/>
                <w:szCs w:val="22"/>
              </w:rPr>
            </w:pPr>
          </w:p>
          <w:p w:rsidR="00AE05F8" w:rsidRDefault="00AE05F8" w:rsidP="00011B40">
            <w:pPr>
              <w:rPr>
                <w:rFonts w:cstheme="minorHAnsi"/>
                <w:szCs w:val="22"/>
              </w:rPr>
            </w:pPr>
            <w:r w:rsidRPr="00B928E0">
              <w:rPr>
                <w:rFonts w:cstheme="minorHAnsi"/>
                <w:szCs w:val="22"/>
              </w:rPr>
              <w:t>The establishment in 2013 of ‘</w:t>
            </w:r>
            <w:r w:rsidRPr="00B928E0">
              <w:rPr>
                <w:rFonts w:cstheme="minorHAnsi"/>
                <w:i/>
                <w:szCs w:val="22"/>
              </w:rPr>
              <w:t>The vision for a teacher at King’s’</w:t>
            </w:r>
            <w:r w:rsidRPr="00B928E0">
              <w:rPr>
                <w:rFonts w:cstheme="minorHAnsi"/>
                <w:szCs w:val="22"/>
              </w:rPr>
              <w:t xml:space="preserve"> group is starting to shape the change process. This group comprises volunteers representing school leadership and all the stages of schooling and is leading the school community in developing the shared vision of ‘A great teacher at King’s…’ Next steps include developing a teaching and learning policy and improving student engagement and outcomes. </w:t>
            </w:r>
          </w:p>
          <w:p w:rsidR="008634C1" w:rsidRPr="00B928E0" w:rsidRDefault="008634C1" w:rsidP="00011B40">
            <w:pPr>
              <w:rPr>
                <w:rFonts w:cstheme="minorHAnsi"/>
                <w:szCs w:val="22"/>
              </w:rPr>
            </w:pPr>
          </w:p>
          <w:p w:rsidR="00AE05F8" w:rsidRPr="00B928E0" w:rsidRDefault="00AE05F8" w:rsidP="00011B40">
            <w:pPr>
              <w:rPr>
                <w:rFonts w:cstheme="minorHAnsi"/>
                <w:szCs w:val="22"/>
              </w:rPr>
            </w:pPr>
            <w:r w:rsidRPr="00B928E0">
              <w:rPr>
                <w:rFonts w:cstheme="minorHAnsi"/>
                <w:szCs w:val="22"/>
              </w:rPr>
              <w:t xml:space="preserve">The journey for King’s is in the early stages but with a growth mindset there is optimism that shared visions and objectives will be achieved and new ones established as the education landscape continues to evolve and shape education in Australia. </w:t>
            </w:r>
          </w:p>
          <w:p w:rsidR="0028623A" w:rsidRPr="00B928E0" w:rsidRDefault="0028623A" w:rsidP="00011B40">
            <w:pPr>
              <w:rPr>
                <w:rFonts w:cstheme="minorHAnsi"/>
              </w:rPr>
            </w:pPr>
          </w:p>
          <w:p w:rsidR="0028623A" w:rsidRPr="008634C1" w:rsidRDefault="0028623A" w:rsidP="00011B40">
            <w:pPr>
              <w:rPr>
                <w:rFonts w:cstheme="minorHAnsi"/>
                <w:b/>
              </w:rPr>
            </w:pPr>
            <w:r w:rsidRPr="008634C1">
              <w:rPr>
                <w:rFonts w:cstheme="minorHAnsi"/>
                <w:b/>
              </w:rPr>
              <w:lastRenderedPageBreak/>
              <w:t>CATHOLIC EDUCATION SA (</w:t>
            </w:r>
            <w:proofErr w:type="spellStart"/>
            <w:r w:rsidRPr="008634C1">
              <w:rPr>
                <w:rFonts w:cstheme="minorHAnsi"/>
                <w:b/>
              </w:rPr>
              <w:t>CESA</w:t>
            </w:r>
            <w:proofErr w:type="spellEnd"/>
            <w:r w:rsidRPr="008634C1">
              <w:rPr>
                <w:rFonts w:cstheme="minorHAnsi"/>
                <w:b/>
              </w:rPr>
              <w:t xml:space="preserve">) – </w:t>
            </w:r>
            <w:r w:rsidRPr="008634C1">
              <w:rPr>
                <w:rFonts w:cstheme="minorHAnsi"/>
                <w:b/>
                <w:i/>
              </w:rPr>
              <w:t>Case study: Connected learning networks</w:t>
            </w:r>
          </w:p>
          <w:p w:rsidR="008634C1" w:rsidRDefault="008634C1" w:rsidP="00011B40">
            <w:pPr>
              <w:rPr>
                <w:rFonts w:cstheme="minorHAnsi"/>
                <w:szCs w:val="22"/>
              </w:rPr>
            </w:pPr>
          </w:p>
          <w:p w:rsidR="0028623A" w:rsidRDefault="0028623A" w:rsidP="00011B40">
            <w:pPr>
              <w:rPr>
                <w:rFonts w:cstheme="minorHAnsi"/>
                <w:szCs w:val="22"/>
              </w:rPr>
            </w:pPr>
            <w:r w:rsidRPr="00B928E0">
              <w:rPr>
                <w:rFonts w:cstheme="minorHAnsi"/>
                <w:szCs w:val="22"/>
              </w:rPr>
              <w:t xml:space="preserve">The </w:t>
            </w:r>
            <w:r w:rsidRPr="00B928E0">
              <w:rPr>
                <w:rFonts w:cstheme="minorHAnsi"/>
                <w:i/>
                <w:szCs w:val="22"/>
              </w:rPr>
              <w:t>Connected learning networks</w:t>
            </w:r>
            <w:r w:rsidRPr="00B928E0">
              <w:rPr>
                <w:rFonts w:cstheme="minorHAnsi"/>
                <w:szCs w:val="22"/>
              </w:rPr>
              <w:t xml:space="preserve"> project has established a professional learning community for a cluster of school leaders and key teachers focused on improving the quality of teaching and learning in their respective schools. The project draws on national priorities for educational reform and promising practices indicated by research in the field.</w:t>
            </w:r>
          </w:p>
          <w:p w:rsidR="008634C1" w:rsidRPr="00B928E0" w:rsidRDefault="008634C1" w:rsidP="00011B40">
            <w:pPr>
              <w:rPr>
                <w:rFonts w:cstheme="minorHAnsi"/>
                <w:szCs w:val="22"/>
              </w:rPr>
            </w:pPr>
          </w:p>
          <w:p w:rsidR="0028623A" w:rsidRPr="00B928E0" w:rsidRDefault="0028623A" w:rsidP="00011B40">
            <w:pPr>
              <w:rPr>
                <w:rFonts w:cstheme="minorHAnsi"/>
                <w:szCs w:val="22"/>
              </w:rPr>
            </w:pPr>
            <w:r w:rsidRPr="00B928E0">
              <w:rPr>
                <w:rFonts w:cstheme="minorHAnsi"/>
                <w:szCs w:val="22"/>
              </w:rPr>
              <w:t xml:space="preserve">Through the five core elements of the project, professional learning programs for leaders and key teachers provide them with a range of understandings, skills and strategies to lead sustainable transformation and enable teachers to adopt and apply research based contemporary practices. Professional learning is longitudinal, allowing schools to build capacity and competency to achieve effective change.   </w:t>
            </w:r>
          </w:p>
          <w:p w:rsidR="0028623A" w:rsidRPr="00B928E0" w:rsidRDefault="0028623A" w:rsidP="00011B40">
            <w:pPr>
              <w:rPr>
                <w:rFonts w:cstheme="minorHAnsi"/>
                <w:szCs w:val="22"/>
              </w:rPr>
            </w:pPr>
          </w:p>
          <w:p w:rsidR="0028623A" w:rsidRPr="008634C1" w:rsidRDefault="0028623A" w:rsidP="00011B40">
            <w:pPr>
              <w:rPr>
                <w:rFonts w:cstheme="minorHAnsi"/>
                <w:b/>
              </w:rPr>
            </w:pPr>
            <w:r w:rsidRPr="008634C1">
              <w:rPr>
                <w:rFonts w:cstheme="minorHAnsi"/>
                <w:b/>
              </w:rPr>
              <w:t>Collaborative learning networks</w:t>
            </w:r>
          </w:p>
          <w:p w:rsidR="0028623A" w:rsidRPr="00B928E0" w:rsidRDefault="0028623A" w:rsidP="00011B40">
            <w:pPr>
              <w:rPr>
                <w:rFonts w:cstheme="minorHAnsi"/>
                <w:szCs w:val="22"/>
              </w:rPr>
            </w:pPr>
            <w:r w:rsidRPr="00B928E0">
              <w:rPr>
                <w:rFonts w:cstheme="minorHAnsi"/>
                <w:szCs w:val="22"/>
              </w:rPr>
              <w:t>With the support of the senior education adviser, two learning networks have been established:</w:t>
            </w:r>
          </w:p>
          <w:p w:rsidR="0028623A" w:rsidRPr="008634C1" w:rsidRDefault="0028623A" w:rsidP="00AE6D45">
            <w:pPr>
              <w:pStyle w:val="ListParagraph"/>
              <w:numPr>
                <w:ilvl w:val="0"/>
                <w:numId w:val="7"/>
              </w:numPr>
              <w:tabs>
                <w:tab w:val="clear" w:pos="720"/>
                <w:tab w:val="num" w:pos="1134"/>
              </w:tabs>
              <w:ind w:left="1134" w:hanging="425"/>
              <w:rPr>
                <w:rFonts w:cstheme="minorHAnsi"/>
              </w:rPr>
            </w:pPr>
            <w:r w:rsidRPr="008634C1">
              <w:rPr>
                <w:rFonts w:cstheme="minorHAnsi"/>
              </w:rPr>
              <w:t>A ‘School leaders’ collaborative learning network’ focused on professional learning to build capacity to lead improvements in teaching and learning in schools</w:t>
            </w:r>
          </w:p>
          <w:p w:rsidR="0028623A" w:rsidRPr="008634C1" w:rsidRDefault="0028623A" w:rsidP="00AE6D45">
            <w:pPr>
              <w:pStyle w:val="ListParagraph"/>
              <w:numPr>
                <w:ilvl w:val="0"/>
                <w:numId w:val="7"/>
              </w:numPr>
              <w:tabs>
                <w:tab w:val="clear" w:pos="720"/>
                <w:tab w:val="num" w:pos="1134"/>
              </w:tabs>
              <w:ind w:left="1134" w:hanging="425"/>
              <w:rPr>
                <w:rFonts w:cstheme="minorHAnsi"/>
              </w:rPr>
            </w:pPr>
            <w:r w:rsidRPr="008634C1">
              <w:rPr>
                <w:rFonts w:cstheme="minorHAnsi"/>
              </w:rPr>
              <w:t>A ‘Key teachers’ collaborative learning network’ focused on professional learning to build the capacity of key teachers to lead professional learning and support professional enquiry for colleagues.</w:t>
            </w:r>
          </w:p>
          <w:p w:rsidR="0028623A" w:rsidRPr="008634C1" w:rsidRDefault="0028623A" w:rsidP="00011B40">
            <w:pPr>
              <w:rPr>
                <w:rFonts w:cstheme="minorHAnsi"/>
                <w:b/>
              </w:rPr>
            </w:pPr>
            <w:r w:rsidRPr="008634C1">
              <w:rPr>
                <w:rFonts w:cstheme="minorHAnsi"/>
                <w:b/>
              </w:rPr>
              <w:t>Targeted longitudinal professional learning programs</w:t>
            </w:r>
          </w:p>
          <w:p w:rsidR="0028623A" w:rsidRDefault="0028623A" w:rsidP="00011B40">
            <w:pPr>
              <w:rPr>
                <w:rFonts w:cstheme="minorHAnsi"/>
                <w:szCs w:val="22"/>
              </w:rPr>
            </w:pPr>
            <w:r w:rsidRPr="00B928E0">
              <w:rPr>
                <w:rFonts w:cstheme="minorHAnsi"/>
                <w:szCs w:val="22"/>
              </w:rPr>
              <w:t>Along with the professional learning determined and directed by the leaders’ learning networks, the senior education adviser and other specialists provide focused professional learning in key strategic areas of leadership. These include developing targeted school-based plans, research-based effective pedagogies, effective models of professional learning for teachers, and evidence-based approaches to school improvement and change management.</w:t>
            </w:r>
          </w:p>
          <w:p w:rsidR="008634C1" w:rsidRPr="00B928E0" w:rsidRDefault="008634C1" w:rsidP="00011B40">
            <w:pPr>
              <w:rPr>
                <w:rFonts w:cstheme="minorHAnsi"/>
                <w:szCs w:val="22"/>
              </w:rPr>
            </w:pPr>
          </w:p>
          <w:p w:rsidR="0028623A" w:rsidRPr="00B928E0" w:rsidRDefault="0028623A" w:rsidP="00011B40">
            <w:pPr>
              <w:rPr>
                <w:rFonts w:cstheme="minorHAnsi"/>
                <w:szCs w:val="22"/>
              </w:rPr>
            </w:pPr>
            <w:r w:rsidRPr="00B928E0">
              <w:rPr>
                <w:rFonts w:cstheme="minorHAnsi"/>
                <w:szCs w:val="22"/>
              </w:rPr>
              <w:t>In addition, the senior education adviser and other specialists provide focused professional learning for the key teachers’ learning network in key strategic areas of their leadership.</w:t>
            </w:r>
          </w:p>
          <w:p w:rsidR="008634C1" w:rsidRDefault="008634C1" w:rsidP="00011B40">
            <w:pPr>
              <w:rPr>
                <w:rFonts w:cstheme="minorHAnsi"/>
                <w:b/>
              </w:rPr>
            </w:pPr>
          </w:p>
          <w:p w:rsidR="0028623A" w:rsidRPr="008634C1" w:rsidRDefault="0028623A" w:rsidP="00011B40">
            <w:pPr>
              <w:rPr>
                <w:rFonts w:cstheme="minorHAnsi"/>
                <w:b/>
              </w:rPr>
            </w:pPr>
            <w:r w:rsidRPr="008634C1">
              <w:rPr>
                <w:rFonts w:cstheme="minorHAnsi"/>
                <w:b/>
              </w:rPr>
              <w:t>School-based projects</w:t>
            </w:r>
          </w:p>
          <w:p w:rsidR="0028623A" w:rsidRPr="008634C1" w:rsidRDefault="0028623A" w:rsidP="00AE6D45">
            <w:pPr>
              <w:pStyle w:val="ListParagraph"/>
              <w:numPr>
                <w:ilvl w:val="0"/>
                <w:numId w:val="7"/>
              </w:numPr>
              <w:tabs>
                <w:tab w:val="clear" w:pos="720"/>
                <w:tab w:val="num" w:pos="1134"/>
              </w:tabs>
              <w:ind w:left="1134" w:hanging="425"/>
              <w:rPr>
                <w:rFonts w:cstheme="minorHAnsi"/>
              </w:rPr>
            </w:pPr>
            <w:r w:rsidRPr="008634C1">
              <w:rPr>
                <w:rFonts w:cstheme="minorHAnsi"/>
              </w:rPr>
              <w:t>Each participating school is undertaking a school improvement project targeting identified priorities. Project leadership, professional learning programs, lead teachers’ roles and support for principals will all be aligned to the chosen school improvement priorities and project initiatives. The focus of such projects has included implementing Australian professional standards for teachers (</w:t>
            </w:r>
            <w:proofErr w:type="spellStart"/>
            <w:r w:rsidRPr="008634C1">
              <w:rPr>
                <w:rFonts w:cstheme="minorHAnsi"/>
              </w:rPr>
              <w:t>AITSL</w:t>
            </w:r>
            <w:proofErr w:type="spellEnd"/>
            <w:r w:rsidRPr="008634C1">
              <w:rPr>
                <w:rFonts w:cstheme="minorHAnsi"/>
              </w:rPr>
              <w:t>), performance management and continuous improvement, integration of digital technologies in teaching and learning, and Australian Curriculum general capabilities.</w:t>
            </w:r>
          </w:p>
          <w:p w:rsidR="008634C1" w:rsidRDefault="008634C1" w:rsidP="00011B40">
            <w:pPr>
              <w:rPr>
                <w:rFonts w:cstheme="minorHAnsi"/>
                <w:b/>
              </w:rPr>
            </w:pPr>
          </w:p>
          <w:p w:rsidR="0028623A" w:rsidRPr="008634C1" w:rsidRDefault="0028623A" w:rsidP="00011B40">
            <w:pPr>
              <w:rPr>
                <w:rFonts w:cstheme="minorHAnsi"/>
                <w:b/>
              </w:rPr>
            </w:pPr>
            <w:r w:rsidRPr="008634C1">
              <w:rPr>
                <w:rFonts w:cstheme="minorHAnsi"/>
                <w:b/>
              </w:rPr>
              <w:t>Online collaboration space for ongoing connection and dialogue</w:t>
            </w:r>
          </w:p>
          <w:p w:rsidR="0028623A" w:rsidRDefault="0028623A" w:rsidP="00011B40">
            <w:pPr>
              <w:rPr>
                <w:rFonts w:cstheme="minorHAnsi"/>
                <w:szCs w:val="22"/>
              </w:rPr>
            </w:pPr>
            <w:r w:rsidRPr="00B928E0">
              <w:rPr>
                <w:rFonts w:cstheme="minorHAnsi"/>
                <w:szCs w:val="22"/>
              </w:rPr>
              <w:t>The learning networks are connected for ongoing collaboration, sharing and dialogue through a dedicated online space provided through Catholic Network Australia. Based on the notion of ‘Deep Wikis’, the networks are supported to engage with one another between Networks meetings.</w:t>
            </w:r>
          </w:p>
          <w:p w:rsidR="00CB7932" w:rsidRDefault="00CB7932" w:rsidP="00011B40">
            <w:pPr>
              <w:rPr>
                <w:rFonts w:cstheme="minorHAnsi"/>
                <w:szCs w:val="22"/>
              </w:rPr>
            </w:pPr>
          </w:p>
          <w:p w:rsidR="0028623A" w:rsidRDefault="0028623A" w:rsidP="00011B40">
            <w:pPr>
              <w:rPr>
                <w:rFonts w:cstheme="minorHAnsi"/>
                <w:b/>
              </w:rPr>
            </w:pPr>
            <w:r w:rsidRPr="008634C1">
              <w:rPr>
                <w:rFonts w:cstheme="minorHAnsi"/>
                <w:b/>
              </w:rPr>
              <w:t>Study tours</w:t>
            </w:r>
          </w:p>
          <w:p w:rsidR="0028623A" w:rsidRDefault="0028623A" w:rsidP="00011B40">
            <w:pPr>
              <w:rPr>
                <w:rFonts w:cstheme="minorHAnsi"/>
                <w:szCs w:val="22"/>
              </w:rPr>
            </w:pPr>
            <w:r w:rsidRPr="00B928E0">
              <w:rPr>
                <w:rFonts w:cstheme="minorHAnsi"/>
                <w:szCs w:val="22"/>
              </w:rPr>
              <w:t xml:space="preserve">Three study tours provide leaders with an immersion learning experience where they are able to engage with leaders in other education contexts to share learning and progress on aspects of contemporary learning and teaching. </w:t>
            </w:r>
          </w:p>
          <w:p w:rsidR="008634C1" w:rsidRPr="00B928E0" w:rsidRDefault="008634C1" w:rsidP="00011B40">
            <w:pPr>
              <w:rPr>
                <w:rFonts w:cstheme="minorHAnsi"/>
                <w:szCs w:val="22"/>
              </w:rPr>
            </w:pPr>
          </w:p>
          <w:p w:rsidR="0028623A" w:rsidRPr="008634C1" w:rsidRDefault="0028623A" w:rsidP="00011B40">
            <w:pPr>
              <w:rPr>
                <w:rFonts w:cstheme="minorHAnsi"/>
                <w:b/>
              </w:rPr>
            </w:pPr>
            <w:r w:rsidRPr="008634C1">
              <w:rPr>
                <w:rFonts w:cstheme="minorHAnsi"/>
                <w:b/>
              </w:rPr>
              <w:t>Outcomes reported by schools in 2012</w:t>
            </w:r>
          </w:p>
          <w:tbl>
            <w:tblPr>
              <w:tblStyle w:val="TableContemporary"/>
              <w:tblpPr w:leftFromText="180" w:rightFromText="180" w:vertAnchor="text" w:horzAnchor="margin" w:tblpXSpec="center" w:tblpY="1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665"/>
            </w:tblGrid>
            <w:tr w:rsidR="006B08DB" w:rsidRPr="00B928E0" w:rsidTr="001B165D">
              <w:trPr>
                <w:cnfStyle w:val="100000000000" w:firstRow="1" w:lastRow="0" w:firstColumn="0" w:lastColumn="0" w:oddVBand="0" w:evenVBand="0" w:oddHBand="0" w:evenHBand="0" w:firstRowFirstColumn="0" w:firstRowLastColumn="0" w:lastRowFirstColumn="0" w:lastRowLastColumn="0"/>
              </w:trPr>
              <w:tc>
                <w:tcPr>
                  <w:tcW w:w="7229" w:type="dxa"/>
                  <w:shd w:val="pct60" w:color="000000" w:fill="FFFFFF"/>
                  <w:vAlign w:val="center"/>
                </w:tcPr>
                <w:p w:rsidR="006B08DB" w:rsidRPr="00B928E0" w:rsidRDefault="006B08DB" w:rsidP="00011B40">
                  <w:pPr>
                    <w:rPr>
                      <w:rFonts w:cstheme="minorHAnsi"/>
                      <w:b w:val="0"/>
                      <w:color w:val="FFFFFF" w:themeColor="background1"/>
                      <w:szCs w:val="22"/>
                    </w:rPr>
                  </w:pPr>
                  <w:r w:rsidRPr="00B928E0">
                    <w:rPr>
                      <w:rFonts w:cstheme="minorHAnsi"/>
                      <w:color w:val="FFFFFF" w:themeColor="background1"/>
                      <w:szCs w:val="22"/>
                    </w:rPr>
                    <w:t>Outcomes</w:t>
                  </w:r>
                </w:p>
              </w:tc>
              <w:tc>
                <w:tcPr>
                  <w:tcW w:w="1665" w:type="dxa"/>
                  <w:shd w:val="pct60" w:color="000000" w:fill="FFFFFF"/>
                </w:tcPr>
                <w:p w:rsidR="006B08DB" w:rsidRPr="00B928E0" w:rsidRDefault="006B08DB" w:rsidP="00011B40">
                  <w:pPr>
                    <w:rPr>
                      <w:rFonts w:cstheme="minorHAnsi"/>
                      <w:b w:val="0"/>
                      <w:color w:val="FFFFFF" w:themeColor="background1"/>
                      <w:szCs w:val="22"/>
                    </w:rPr>
                  </w:pPr>
                  <w:r w:rsidRPr="00B928E0">
                    <w:rPr>
                      <w:rFonts w:cstheme="minorHAnsi"/>
                      <w:color w:val="FFFFFF" w:themeColor="background1"/>
                      <w:szCs w:val="22"/>
                    </w:rPr>
                    <w:t>Number of schools</w:t>
                  </w:r>
                </w:p>
              </w:tc>
            </w:tr>
            <w:tr w:rsidR="006B08DB" w:rsidRPr="00B928E0" w:rsidTr="001B165D">
              <w:trPr>
                <w:cnfStyle w:val="000000100000" w:firstRow="0" w:lastRow="0" w:firstColumn="0" w:lastColumn="0" w:oddVBand="0" w:evenVBand="0" w:oddHBand="1" w:evenHBand="0" w:firstRowFirstColumn="0" w:firstRowLastColumn="0" w:lastRowFirstColumn="0" w:lastRowLastColumn="0"/>
              </w:trPr>
              <w:tc>
                <w:tcPr>
                  <w:tcW w:w="7229" w:type="dxa"/>
                </w:tcPr>
                <w:p w:rsidR="006B08DB" w:rsidRPr="00B928E0" w:rsidRDefault="006B08DB" w:rsidP="00011B40">
                  <w:pPr>
                    <w:rPr>
                      <w:rFonts w:cstheme="minorHAnsi"/>
                      <w:szCs w:val="22"/>
                    </w:rPr>
                  </w:pPr>
                  <w:r w:rsidRPr="00B928E0">
                    <w:rPr>
                      <w:rFonts w:cstheme="minorHAnsi"/>
                      <w:szCs w:val="22"/>
                    </w:rPr>
                    <w:t xml:space="preserve">Enhanced capacities and leadership density to lead change </w:t>
                  </w:r>
                </w:p>
              </w:tc>
              <w:tc>
                <w:tcPr>
                  <w:tcW w:w="1665" w:type="dxa"/>
                </w:tcPr>
                <w:p w:rsidR="006B08DB" w:rsidRPr="00B928E0" w:rsidRDefault="006B08DB" w:rsidP="00011B40">
                  <w:pPr>
                    <w:rPr>
                      <w:rFonts w:cstheme="minorHAnsi"/>
                      <w:szCs w:val="22"/>
                    </w:rPr>
                  </w:pPr>
                  <w:r w:rsidRPr="00B928E0">
                    <w:rPr>
                      <w:rFonts w:cstheme="minorHAnsi"/>
                      <w:szCs w:val="22"/>
                    </w:rPr>
                    <w:t>10</w:t>
                  </w:r>
                </w:p>
              </w:tc>
            </w:tr>
            <w:tr w:rsidR="006B08DB" w:rsidRPr="00B928E0" w:rsidTr="001B165D">
              <w:trPr>
                <w:cnfStyle w:val="000000010000" w:firstRow="0" w:lastRow="0" w:firstColumn="0" w:lastColumn="0" w:oddVBand="0" w:evenVBand="0" w:oddHBand="0" w:evenHBand="1" w:firstRowFirstColumn="0" w:firstRowLastColumn="0" w:lastRowFirstColumn="0" w:lastRowLastColumn="0"/>
              </w:trPr>
              <w:tc>
                <w:tcPr>
                  <w:tcW w:w="7229" w:type="dxa"/>
                </w:tcPr>
                <w:p w:rsidR="006B08DB" w:rsidRPr="00B928E0" w:rsidRDefault="006B08DB" w:rsidP="00011B40">
                  <w:pPr>
                    <w:rPr>
                      <w:rFonts w:cstheme="minorHAnsi"/>
                      <w:szCs w:val="22"/>
                    </w:rPr>
                  </w:pPr>
                  <w:r w:rsidRPr="00B928E0">
                    <w:rPr>
                      <w:rFonts w:cstheme="minorHAnsi"/>
                      <w:szCs w:val="22"/>
                    </w:rPr>
                    <w:t xml:space="preserve">Improved integration of digital technologies in learning </w:t>
                  </w:r>
                </w:p>
              </w:tc>
              <w:tc>
                <w:tcPr>
                  <w:tcW w:w="1665" w:type="dxa"/>
                </w:tcPr>
                <w:p w:rsidR="006B08DB" w:rsidRPr="00B928E0" w:rsidRDefault="006B08DB" w:rsidP="00011B40">
                  <w:pPr>
                    <w:rPr>
                      <w:rFonts w:cstheme="minorHAnsi"/>
                      <w:szCs w:val="22"/>
                    </w:rPr>
                  </w:pPr>
                  <w:r w:rsidRPr="00B928E0">
                    <w:rPr>
                      <w:rFonts w:cstheme="minorHAnsi"/>
                      <w:szCs w:val="22"/>
                    </w:rPr>
                    <w:t>7</w:t>
                  </w:r>
                </w:p>
              </w:tc>
            </w:tr>
            <w:tr w:rsidR="006B08DB" w:rsidRPr="00B928E0" w:rsidTr="001B165D">
              <w:trPr>
                <w:cnfStyle w:val="000000100000" w:firstRow="0" w:lastRow="0" w:firstColumn="0" w:lastColumn="0" w:oddVBand="0" w:evenVBand="0" w:oddHBand="1" w:evenHBand="0" w:firstRowFirstColumn="0" w:firstRowLastColumn="0" w:lastRowFirstColumn="0" w:lastRowLastColumn="0"/>
              </w:trPr>
              <w:tc>
                <w:tcPr>
                  <w:tcW w:w="7229" w:type="dxa"/>
                </w:tcPr>
                <w:p w:rsidR="006B08DB" w:rsidRPr="00B928E0" w:rsidRDefault="006B08DB" w:rsidP="00011B40">
                  <w:pPr>
                    <w:rPr>
                      <w:rFonts w:cstheme="minorHAnsi"/>
                      <w:szCs w:val="22"/>
                    </w:rPr>
                  </w:pPr>
                  <w:r w:rsidRPr="00B928E0">
                    <w:rPr>
                      <w:rFonts w:cstheme="minorHAnsi"/>
                      <w:szCs w:val="22"/>
                    </w:rPr>
                    <w:t>New policies and strategies to ensure safe, responsible and ethical use of digital technologies</w:t>
                  </w:r>
                </w:p>
              </w:tc>
              <w:tc>
                <w:tcPr>
                  <w:tcW w:w="1665" w:type="dxa"/>
                </w:tcPr>
                <w:p w:rsidR="006B08DB" w:rsidRPr="00B928E0" w:rsidRDefault="006B08DB" w:rsidP="00011B40">
                  <w:pPr>
                    <w:rPr>
                      <w:rFonts w:cstheme="minorHAnsi"/>
                      <w:szCs w:val="22"/>
                    </w:rPr>
                  </w:pPr>
                  <w:r w:rsidRPr="00B928E0">
                    <w:rPr>
                      <w:rFonts w:cstheme="minorHAnsi"/>
                      <w:szCs w:val="22"/>
                    </w:rPr>
                    <w:t>1</w:t>
                  </w:r>
                </w:p>
              </w:tc>
            </w:tr>
            <w:tr w:rsidR="006B08DB" w:rsidRPr="00B928E0" w:rsidTr="001B165D">
              <w:trPr>
                <w:cnfStyle w:val="000000010000" w:firstRow="0" w:lastRow="0" w:firstColumn="0" w:lastColumn="0" w:oddVBand="0" w:evenVBand="0" w:oddHBand="0" w:evenHBand="1" w:firstRowFirstColumn="0" w:firstRowLastColumn="0" w:lastRowFirstColumn="0" w:lastRowLastColumn="0"/>
              </w:trPr>
              <w:tc>
                <w:tcPr>
                  <w:tcW w:w="7229" w:type="dxa"/>
                </w:tcPr>
                <w:p w:rsidR="006B08DB" w:rsidRPr="00B928E0" w:rsidRDefault="006B08DB" w:rsidP="00011B40">
                  <w:pPr>
                    <w:rPr>
                      <w:rFonts w:cstheme="minorHAnsi"/>
                      <w:szCs w:val="22"/>
                    </w:rPr>
                  </w:pPr>
                  <w:r w:rsidRPr="00B928E0">
                    <w:rPr>
                      <w:rFonts w:cstheme="minorHAnsi"/>
                      <w:szCs w:val="22"/>
                    </w:rPr>
                    <w:t>Consistent and comparable assessment practices across the school</w:t>
                  </w:r>
                </w:p>
              </w:tc>
              <w:tc>
                <w:tcPr>
                  <w:tcW w:w="1665" w:type="dxa"/>
                </w:tcPr>
                <w:p w:rsidR="006B08DB" w:rsidRPr="00B928E0" w:rsidRDefault="006B08DB" w:rsidP="00011B40">
                  <w:pPr>
                    <w:rPr>
                      <w:rFonts w:cstheme="minorHAnsi"/>
                      <w:szCs w:val="22"/>
                    </w:rPr>
                  </w:pPr>
                  <w:r w:rsidRPr="00B928E0">
                    <w:rPr>
                      <w:rFonts w:cstheme="minorHAnsi"/>
                      <w:szCs w:val="22"/>
                    </w:rPr>
                    <w:t>4</w:t>
                  </w:r>
                </w:p>
              </w:tc>
            </w:tr>
            <w:tr w:rsidR="006B08DB" w:rsidRPr="00B928E0" w:rsidTr="001B165D">
              <w:trPr>
                <w:cnfStyle w:val="000000100000" w:firstRow="0" w:lastRow="0" w:firstColumn="0" w:lastColumn="0" w:oddVBand="0" w:evenVBand="0" w:oddHBand="1" w:evenHBand="0" w:firstRowFirstColumn="0" w:firstRowLastColumn="0" w:lastRowFirstColumn="0" w:lastRowLastColumn="0"/>
              </w:trPr>
              <w:tc>
                <w:tcPr>
                  <w:tcW w:w="7229" w:type="dxa"/>
                </w:tcPr>
                <w:p w:rsidR="006B08DB" w:rsidRPr="00B928E0" w:rsidRDefault="006B08DB" w:rsidP="00011B40">
                  <w:pPr>
                    <w:rPr>
                      <w:rFonts w:cstheme="minorHAnsi"/>
                      <w:szCs w:val="22"/>
                    </w:rPr>
                  </w:pPr>
                  <w:r w:rsidRPr="00B928E0">
                    <w:rPr>
                      <w:rFonts w:cstheme="minorHAnsi"/>
                      <w:szCs w:val="22"/>
                    </w:rPr>
                    <w:t>Better able to evaluate and improve knowledge of content and teaching strategies</w:t>
                  </w:r>
                </w:p>
              </w:tc>
              <w:tc>
                <w:tcPr>
                  <w:tcW w:w="1665" w:type="dxa"/>
                </w:tcPr>
                <w:p w:rsidR="006B08DB" w:rsidRPr="00B928E0" w:rsidRDefault="006B08DB" w:rsidP="00011B40">
                  <w:pPr>
                    <w:rPr>
                      <w:rFonts w:cstheme="minorHAnsi"/>
                      <w:szCs w:val="22"/>
                    </w:rPr>
                  </w:pPr>
                  <w:r w:rsidRPr="00B928E0">
                    <w:rPr>
                      <w:rFonts w:cstheme="minorHAnsi"/>
                      <w:szCs w:val="22"/>
                    </w:rPr>
                    <w:t>2</w:t>
                  </w:r>
                </w:p>
              </w:tc>
            </w:tr>
            <w:tr w:rsidR="006B08DB" w:rsidRPr="00B928E0" w:rsidTr="001B165D">
              <w:trPr>
                <w:cnfStyle w:val="000000010000" w:firstRow="0" w:lastRow="0" w:firstColumn="0" w:lastColumn="0" w:oddVBand="0" w:evenVBand="0" w:oddHBand="0" w:evenHBand="1" w:firstRowFirstColumn="0" w:firstRowLastColumn="0" w:lastRowFirstColumn="0" w:lastRowLastColumn="0"/>
              </w:trPr>
              <w:tc>
                <w:tcPr>
                  <w:tcW w:w="7229" w:type="dxa"/>
                </w:tcPr>
                <w:p w:rsidR="006B08DB" w:rsidRPr="00B928E0" w:rsidRDefault="006B08DB" w:rsidP="00011B40">
                  <w:pPr>
                    <w:rPr>
                      <w:rFonts w:cstheme="minorHAnsi"/>
                      <w:szCs w:val="22"/>
                    </w:rPr>
                  </w:pPr>
                  <w:r w:rsidRPr="00B928E0">
                    <w:rPr>
                      <w:rFonts w:cstheme="minorHAnsi"/>
                      <w:szCs w:val="22"/>
                    </w:rPr>
                    <w:t>Better able to develop learning and teaching programs using comprehensive knowledge of curriculum, assessment and reporting requirements</w:t>
                  </w:r>
                </w:p>
              </w:tc>
              <w:tc>
                <w:tcPr>
                  <w:tcW w:w="1665" w:type="dxa"/>
                </w:tcPr>
                <w:p w:rsidR="006B08DB" w:rsidRPr="00B928E0" w:rsidRDefault="006B08DB" w:rsidP="00011B40">
                  <w:pPr>
                    <w:rPr>
                      <w:rFonts w:cstheme="minorHAnsi"/>
                      <w:szCs w:val="22"/>
                    </w:rPr>
                  </w:pPr>
                  <w:r w:rsidRPr="00B928E0">
                    <w:rPr>
                      <w:rFonts w:cstheme="minorHAnsi"/>
                      <w:szCs w:val="22"/>
                    </w:rPr>
                    <w:t>3</w:t>
                  </w:r>
                </w:p>
              </w:tc>
            </w:tr>
            <w:tr w:rsidR="006B08DB" w:rsidRPr="00B928E0" w:rsidTr="001B165D">
              <w:trPr>
                <w:cnfStyle w:val="000000100000" w:firstRow="0" w:lastRow="0" w:firstColumn="0" w:lastColumn="0" w:oddVBand="0" w:evenVBand="0" w:oddHBand="1" w:evenHBand="0" w:firstRowFirstColumn="0" w:firstRowLastColumn="0" w:lastRowFirstColumn="0" w:lastRowLastColumn="0"/>
              </w:trPr>
              <w:tc>
                <w:tcPr>
                  <w:tcW w:w="7229" w:type="dxa"/>
                </w:tcPr>
                <w:p w:rsidR="006B08DB" w:rsidRPr="00B928E0" w:rsidRDefault="006B08DB" w:rsidP="00011B40">
                  <w:pPr>
                    <w:rPr>
                      <w:rFonts w:cstheme="minorHAnsi"/>
                      <w:szCs w:val="22"/>
                    </w:rPr>
                  </w:pPr>
                  <w:r w:rsidRPr="00B928E0">
                    <w:rPr>
                      <w:rFonts w:cstheme="minorHAnsi"/>
                      <w:szCs w:val="22"/>
                    </w:rPr>
                    <w:t>Better able to plan and lead the development of school-based professional learning policies and programs</w:t>
                  </w:r>
                </w:p>
              </w:tc>
              <w:tc>
                <w:tcPr>
                  <w:tcW w:w="1665" w:type="dxa"/>
                </w:tcPr>
                <w:p w:rsidR="006B08DB" w:rsidRPr="00B928E0" w:rsidRDefault="006B08DB" w:rsidP="00011B40">
                  <w:pPr>
                    <w:rPr>
                      <w:rFonts w:cstheme="minorHAnsi"/>
                      <w:szCs w:val="22"/>
                    </w:rPr>
                  </w:pPr>
                  <w:r w:rsidRPr="00B928E0">
                    <w:rPr>
                      <w:rFonts w:cstheme="minorHAnsi"/>
                      <w:szCs w:val="22"/>
                    </w:rPr>
                    <w:t>1</w:t>
                  </w:r>
                </w:p>
              </w:tc>
            </w:tr>
            <w:tr w:rsidR="006B08DB" w:rsidRPr="00B928E0" w:rsidTr="001B165D">
              <w:trPr>
                <w:cnfStyle w:val="000000010000" w:firstRow="0" w:lastRow="0" w:firstColumn="0" w:lastColumn="0" w:oddVBand="0" w:evenVBand="0" w:oddHBand="0" w:evenHBand="1" w:firstRowFirstColumn="0" w:firstRowLastColumn="0" w:lastRowFirstColumn="0" w:lastRowLastColumn="0"/>
              </w:trPr>
              <w:tc>
                <w:tcPr>
                  <w:tcW w:w="7229" w:type="dxa"/>
                </w:tcPr>
                <w:p w:rsidR="006B08DB" w:rsidRPr="00B928E0" w:rsidRDefault="006B08DB" w:rsidP="00011B40">
                  <w:pPr>
                    <w:rPr>
                      <w:rFonts w:cstheme="minorHAnsi"/>
                      <w:szCs w:val="22"/>
                    </w:rPr>
                  </w:pPr>
                  <w:r w:rsidRPr="00B928E0">
                    <w:rPr>
                      <w:rFonts w:cstheme="minorHAnsi"/>
                      <w:szCs w:val="22"/>
                    </w:rPr>
                    <w:t>Better able to lead strategies to support high-quality professional learning opportunities for colleagues that focus on improved student learning</w:t>
                  </w:r>
                </w:p>
              </w:tc>
              <w:tc>
                <w:tcPr>
                  <w:tcW w:w="1665" w:type="dxa"/>
                </w:tcPr>
                <w:p w:rsidR="006B08DB" w:rsidRPr="00B928E0" w:rsidRDefault="006B08DB" w:rsidP="00011B40">
                  <w:pPr>
                    <w:rPr>
                      <w:rFonts w:cstheme="minorHAnsi"/>
                      <w:szCs w:val="22"/>
                    </w:rPr>
                  </w:pPr>
                  <w:r w:rsidRPr="00B928E0">
                    <w:rPr>
                      <w:rFonts w:cstheme="minorHAnsi"/>
                      <w:szCs w:val="22"/>
                    </w:rPr>
                    <w:t>3</w:t>
                  </w:r>
                </w:p>
              </w:tc>
            </w:tr>
            <w:tr w:rsidR="006B08DB" w:rsidRPr="00B928E0" w:rsidTr="001B165D">
              <w:trPr>
                <w:cnfStyle w:val="000000100000" w:firstRow="0" w:lastRow="0" w:firstColumn="0" w:lastColumn="0" w:oddVBand="0" w:evenVBand="0" w:oddHBand="1" w:evenHBand="0" w:firstRowFirstColumn="0" w:firstRowLastColumn="0" w:lastRowFirstColumn="0" w:lastRowLastColumn="0"/>
              </w:trPr>
              <w:tc>
                <w:tcPr>
                  <w:tcW w:w="7229" w:type="dxa"/>
                </w:tcPr>
                <w:p w:rsidR="006B08DB" w:rsidRPr="00B928E0" w:rsidRDefault="006B08DB" w:rsidP="00011B40">
                  <w:pPr>
                    <w:rPr>
                      <w:rFonts w:cstheme="minorHAnsi"/>
                      <w:szCs w:val="22"/>
                    </w:rPr>
                  </w:pPr>
                  <w:r w:rsidRPr="00B928E0">
                    <w:rPr>
                      <w:rFonts w:cstheme="minorHAnsi"/>
                      <w:szCs w:val="22"/>
                    </w:rPr>
                    <w:t>Improved attendance and retention</w:t>
                  </w:r>
                </w:p>
              </w:tc>
              <w:tc>
                <w:tcPr>
                  <w:tcW w:w="1665" w:type="dxa"/>
                </w:tcPr>
                <w:p w:rsidR="006B08DB" w:rsidRPr="00B928E0" w:rsidRDefault="006B08DB" w:rsidP="00011B40">
                  <w:pPr>
                    <w:rPr>
                      <w:rFonts w:cstheme="minorHAnsi"/>
                      <w:szCs w:val="22"/>
                    </w:rPr>
                  </w:pPr>
                  <w:r w:rsidRPr="00B928E0">
                    <w:rPr>
                      <w:rFonts w:cstheme="minorHAnsi"/>
                      <w:szCs w:val="22"/>
                    </w:rPr>
                    <w:t>1</w:t>
                  </w:r>
                </w:p>
              </w:tc>
            </w:tr>
            <w:tr w:rsidR="006B08DB" w:rsidRPr="00B928E0" w:rsidTr="001B165D">
              <w:trPr>
                <w:cnfStyle w:val="000000010000" w:firstRow="0" w:lastRow="0" w:firstColumn="0" w:lastColumn="0" w:oddVBand="0" w:evenVBand="0" w:oddHBand="0" w:evenHBand="1" w:firstRowFirstColumn="0" w:firstRowLastColumn="0" w:lastRowFirstColumn="0" w:lastRowLastColumn="0"/>
              </w:trPr>
              <w:tc>
                <w:tcPr>
                  <w:tcW w:w="7229" w:type="dxa"/>
                </w:tcPr>
                <w:p w:rsidR="006B08DB" w:rsidRPr="00B928E0" w:rsidRDefault="006B08DB" w:rsidP="00011B40">
                  <w:pPr>
                    <w:rPr>
                      <w:rFonts w:cstheme="minorHAnsi"/>
                      <w:szCs w:val="22"/>
                    </w:rPr>
                  </w:pPr>
                  <w:r w:rsidRPr="00B928E0">
                    <w:rPr>
                      <w:rFonts w:cstheme="minorHAnsi"/>
                      <w:szCs w:val="22"/>
                    </w:rPr>
                    <w:t xml:space="preserve">Improved </w:t>
                  </w:r>
                  <w:proofErr w:type="spellStart"/>
                  <w:r w:rsidRPr="00B928E0">
                    <w:rPr>
                      <w:rFonts w:cstheme="minorHAnsi"/>
                      <w:szCs w:val="22"/>
                    </w:rPr>
                    <w:t>NAPLAN</w:t>
                  </w:r>
                  <w:proofErr w:type="spellEnd"/>
                  <w:r w:rsidRPr="00B928E0">
                    <w:rPr>
                      <w:rFonts w:cstheme="minorHAnsi"/>
                      <w:szCs w:val="22"/>
                    </w:rPr>
                    <w:t xml:space="preserve"> results</w:t>
                  </w:r>
                </w:p>
              </w:tc>
              <w:tc>
                <w:tcPr>
                  <w:tcW w:w="1665" w:type="dxa"/>
                </w:tcPr>
                <w:p w:rsidR="006B08DB" w:rsidRPr="00B928E0" w:rsidRDefault="006B08DB" w:rsidP="00011B40">
                  <w:pPr>
                    <w:rPr>
                      <w:rFonts w:cstheme="minorHAnsi"/>
                      <w:szCs w:val="22"/>
                    </w:rPr>
                  </w:pPr>
                  <w:r w:rsidRPr="00B928E0">
                    <w:rPr>
                      <w:rFonts w:cstheme="minorHAnsi"/>
                      <w:szCs w:val="22"/>
                    </w:rPr>
                    <w:t>2</w:t>
                  </w:r>
                </w:p>
              </w:tc>
            </w:tr>
            <w:tr w:rsidR="006B08DB" w:rsidRPr="00B928E0" w:rsidTr="001B165D">
              <w:trPr>
                <w:cnfStyle w:val="000000100000" w:firstRow="0" w:lastRow="0" w:firstColumn="0" w:lastColumn="0" w:oddVBand="0" w:evenVBand="0" w:oddHBand="1" w:evenHBand="0" w:firstRowFirstColumn="0" w:firstRowLastColumn="0" w:lastRowFirstColumn="0" w:lastRowLastColumn="0"/>
              </w:trPr>
              <w:tc>
                <w:tcPr>
                  <w:tcW w:w="7229" w:type="dxa"/>
                </w:tcPr>
                <w:p w:rsidR="006B08DB" w:rsidRPr="00B928E0" w:rsidRDefault="006B08DB" w:rsidP="00011B40">
                  <w:pPr>
                    <w:rPr>
                      <w:rFonts w:cstheme="minorHAnsi"/>
                      <w:szCs w:val="22"/>
                    </w:rPr>
                  </w:pPr>
                  <w:r w:rsidRPr="00B928E0">
                    <w:rPr>
                      <w:rFonts w:cstheme="minorHAnsi"/>
                      <w:szCs w:val="22"/>
                    </w:rPr>
                    <w:t>Integration of digital technologies in teaching and professional learning</w:t>
                  </w:r>
                </w:p>
              </w:tc>
              <w:tc>
                <w:tcPr>
                  <w:tcW w:w="1665" w:type="dxa"/>
                </w:tcPr>
                <w:p w:rsidR="006B08DB" w:rsidRPr="00B928E0" w:rsidRDefault="006B08DB" w:rsidP="00011B40">
                  <w:pPr>
                    <w:rPr>
                      <w:rFonts w:cstheme="minorHAnsi"/>
                      <w:szCs w:val="22"/>
                    </w:rPr>
                  </w:pPr>
                  <w:r w:rsidRPr="00B928E0">
                    <w:rPr>
                      <w:rFonts w:cstheme="minorHAnsi"/>
                      <w:szCs w:val="22"/>
                    </w:rPr>
                    <w:t>4</w:t>
                  </w:r>
                </w:p>
              </w:tc>
            </w:tr>
            <w:tr w:rsidR="006B08DB" w:rsidRPr="00B928E0" w:rsidTr="001B165D">
              <w:trPr>
                <w:cnfStyle w:val="000000010000" w:firstRow="0" w:lastRow="0" w:firstColumn="0" w:lastColumn="0" w:oddVBand="0" w:evenVBand="0" w:oddHBand="0" w:evenHBand="1" w:firstRowFirstColumn="0" w:firstRowLastColumn="0" w:lastRowFirstColumn="0" w:lastRowLastColumn="0"/>
              </w:trPr>
              <w:tc>
                <w:tcPr>
                  <w:tcW w:w="7229" w:type="dxa"/>
                </w:tcPr>
                <w:p w:rsidR="006B08DB" w:rsidRPr="00B928E0" w:rsidRDefault="006B08DB" w:rsidP="00011B40">
                  <w:pPr>
                    <w:rPr>
                      <w:rFonts w:cstheme="minorHAnsi"/>
                      <w:szCs w:val="22"/>
                    </w:rPr>
                  </w:pPr>
                  <w:r w:rsidRPr="00B928E0">
                    <w:rPr>
                      <w:rFonts w:cstheme="minorHAnsi"/>
                      <w:szCs w:val="22"/>
                    </w:rPr>
                    <w:t>Effective implementation of the Australian Curriculum</w:t>
                  </w:r>
                </w:p>
              </w:tc>
              <w:tc>
                <w:tcPr>
                  <w:tcW w:w="1665" w:type="dxa"/>
                </w:tcPr>
                <w:p w:rsidR="006B08DB" w:rsidRPr="00B928E0" w:rsidRDefault="006B08DB" w:rsidP="00011B40">
                  <w:pPr>
                    <w:rPr>
                      <w:rFonts w:cstheme="minorHAnsi"/>
                      <w:szCs w:val="22"/>
                    </w:rPr>
                  </w:pPr>
                  <w:r w:rsidRPr="00B928E0">
                    <w:rPr>
                      <w:rFonts w:cstheme="minorHAnsi"/>
                      <w:szCs w:val="22"/>
                    </w:rPr>
                    <w:t>1</w:t>
                  </w:r>
                </w:p>
              </w:tc>
            </w:tr>
            <w:tr w:rsidR="006B08DB" w:rsidRPr="00B928E0" w:rsidTr="001B165D">
              <w:trPr>
                <w:cnfStyle w:val="000000100000" w:firstRow="0" w:lastRow="0" w:firstColumn="0" w:lastColumn="0" w:oddVBand="0" w:evenVBand="0" w:oddHBand="1" w:evenHBand="0" w:firstRowFirstColumn="0" w:firstRowLastColumn="0" w:lastRowFirstColumn="0" w:lastRowLastColumn="0"/>
              </w:trPr>
              <w:tc>
                <w:tcPr>
                  <w:tcW w:w="7229" w:type="dxa"/>
                </w:tcPr>
                <w:p w:rsidR="006B08DB" w:rsidRPr="00B928E0" w:rsidRDefault="006B08DB" w:rsidP="00011B40">
                  <w:pPr>
                    <w:rPr>
                      <w:rFonts w:cstheme="minorHAnsi"/>
                      <w:szCs w:val="22"/>
                    </w:rPr>
                  </w:pPr>
                  <w:r w:rsidRPr="00B928E0">
                    <w:rPr>
                      <w:rFonts w:cstheme="minorHAnsi"/>
                      <w:szCs w:val="22"/>
                    </w:rPr>
                    <w:t>Application of the Australian professional standards in performance review/appraisal processes</w:t>
                  </w:r>
                </w:p>
              </w:tc>
              <w:tc>
                <w:tcPr>
                  <w:tcW w:w="1665" w:type="dxa"/>
                </w:tcPr>
                <w:p w:rsidR="006B08DB" w:rsidRPr="00B928E0" w:rsidRDefault="006B08DB" w:rsidP="00011B40">
                  <w:pPr>
                    <w:rPr>
                      <w:rFonts w:cstheme="minorHAnsi"/>
                      <w:szCs w:val="22"/>
                    </w:rPr>
                  </w:pPr>
                  <w:r w:rsidRPr="00B928E0">
                    <w:rPr>
                      <w:rFonts w:cstheme="minorHAnsi"/>
                      <w:szCs w:val="22"/>
                    </w:rPr>
                    <w:t>2</w:t>
                  </w:r>
                </w:p>
              </w:tc>
            </w:tr>
          </w:tbl>
          <w:p w:rsidR="006B08DB" w:rsidRPr="00B928E0" w:rsidRDefault="006B08DB" w:rsidP="00011B40">
            <w:pPr>
              <w:rPr>
                <w:rFonts w:cstheme="minorHAnsi"/>
              </w:rPr>
            </w:pPr>
          </w:p>
          <w:p w:rsidR="006B08DB" w:rsidRPr="00B928E0" w:rsidRDefault="006B08DB" w:rsidP="00011B40">
            <w:pPr>
              <w:rPr>
                <w:rFonts w:cstheme="minorHAnsi"/>
              </w:rPr>
            </w:pPr>
          </w:p>
          <w:p w:rsidR="006B08DB" w:rsidRPr="00B928E0" w:rsidRDefault="006B08DB" w:rsidP="00011B40">
            <w:pPr>
              <w:rPr>
                <w:rFonts w:cstheme="minorHAnsi"/>
              </w:rPr>
            </w:pPr>
          </w:p>
          <w:p w:rsidR="006B08DB" w:rsidRPr="00B928E0" w:rsidRDefault="006B08DB" w:rsidP="00011B40">
            <w:pPr>
              <w:rPr>
                <w:rFonts w:cstheme="minorHAnsi"/>
              </w:rPr>
            </w:pPr>
          </w:p>
          <w:p w:rsidR="006B08DB" w:rsidRPr="00B928E0" w:rsidRDefault="006B08DB" w:rsidP="00011B40">
            <w:pPr>
              <w:rPr>
                <w:rFonts w:cstheme="minorHAnsi"/>
              </w:rPr>
            </w:pPr>
          </w:p>
          <w:p w:rsidR="006B08DB" w:rsidRPr="00B928E0" w:rsidRDefault="006B08DB" w:rsidP="00011B40">
            <w:pPr>
              <w:rPr>
                <w:rFonts w:cstheme="minorHAnsi"/>
              </w:rPr>
            </w:pPr>
          </w:p>
          <w:p w:rsidR="006B08DB" w:rsidRPr="00B928E0" w:rsidRDefault="006B08DB" w:rsidP="00011B40">
            <w:pPr>
              <w:rPr>
                <w:rFonts w:cstheme="minorHAnsi"/>
              </w:rPr>
            </w:pPr>
          </w:p>
          <w:p w:rsidR="0028623A" w:rsidRPr="00B928E0" w:rsidRDefault="0028623A" w:rsidP="00011B40">
            <w:pPr>
              <w:rPr>
                <w:rFonts w:cstheme="minorHAnsi"/>
              </w:rPr>
            </w:pPr>
          </w:p>
          <w:p w:rsidR="0028623A" w:rsidRPr="00B928E0" w:rsidRDefault="0028623A" w:rsidP="00011B40">
            <w:pPr>
              <w:rPr>
                <w:rFonts w:cstheme="minorHAnsi"/>
              </w:rPr>
            </w:pPr>
          </w:p>
          <w:p w:rsidR="0028623A" w:rsidRPr="00B928E0" w:rsidRDefault="0028623A" w:rsidP="00011B40">
            <w:pPr>
              <w:rPr>
                <w:rFonts w:cstheme="minorHAnsi"/>
              </w:rPr>
            </w:pPr>
          </w:p>
          <w:p w:rsidR="0028623A" w:rsidRPr="00B928E0" w:rsidRDefault="0028623A" w:rsidP="00011B40">
            <w:pPr>
              <w:rPr>
                <w:rFonts w:cstheme="minorHAnsi"/>
                <w:szCs w:val="22"/>
              </w:rPr>
            </w:pPr>
          </w:p>
          <w:p w:rsidR="0024083E" w:rsidRDefault="0024083E" w:rsidP="00011B40">
            <w:pPr>
              <w:rPr>
                <w:rFonts w:cstheme="minorHAnsi"/>
              </w:rPr>
            </w:pPr>
          </w:p>
          <w:p w:rsidR="0024083E" w:rsidRDefault="0024083E" w:rsidP="00011B40">
            <w:pPr>
              <w:rPr>
                <w:rFonts w:cstheme="minorHAnsi"/>
              </w:rPr>
            </w:pPr>
          </w:p>
          <w:p w:rsidR="0024083E" w:rsidRDefault="0024083E" w:rsidP="00011B40">
            <w:pPr>
              <w:rPr>
                <w:rFonts w:cstheme="minorHAnsi"/>
              </w:rPr>
            </w:pPr>
          </w:p>
          <w:p w:rsidR="0024083E" w:rsidRDefault="0024083E" w:rsidP="00011B40">
            <w:pPr>
              <w:rPr>
                <w:rFonts w:cstheme="minorHAnsi"/>
              </w:rPr>
            </w:pPr>
          </w:p>
          <w:p w:rsidR="0024083E" w:rsidRDefault="0024083E" w:rsidP="00011B40">
            <w:pPr>
              <w:rPr>
                <w:rFonts w:cstheme="minorHAnsi"/>
              </w:rPr>
            </w:pPr>
          </w:p>
          <w:p w:rsidR="0024083E" w:rsidRDefault="0024083E" w:rsidP="00011B40">
            <w:pPr>
              <w:rPr>
                <w:rFonts w:cstheme="minorHAnsi"/>
              </w:rPr>
            </w:pPr>
          </w:p>
          <w:p w:rsidR="0024083E" w:rsidRDefault="0024083E" w:rsidP="00011B40">
            <w:pPr>
              <w:rPr>
                <w:rFonts w:cstheme="minorHAnsi"/>
              </w:rPr>
            </w:pPr>
          </w:p>
          <w:p w:rsidR="0024083E" w:rsidRDefault="0024083E" w:rsidP="00011B40">
            <w:pPr>
              <w:rPr>
                <w:rFonts w:cstheme="minorHAnsi"/>
              </w:rPr>
            </w:pPr>
          </w:p>
          <w:p w:rsidR="0024083E" w:rsidRDefault="0024083E" w:rsidP="00011B40">
            <w:pPr>
              <w:rPr>
                <w:rFonts w:cstheme="minorHAnsi"/>
              </w:rPr>
            </w:pPr>
          </w:p>
          <w:p w:rsidR="0024083E" w:rsidRDefault="0024083E" w:rsidP="00011B40">
            <w:pPr>
              <w:rPr>
                <w:rFonts w:cstheme="minorHAnsi"/>
              </w:rPr>
            </w:pPr>
          </w:p>
          <w:p w:rsidR="0024083E" w:rsidRDefault="0024083E" w:rsidP="00011B40">
            <w:pPr>
              <w:rPr>
                <w:rFonts w:cstheme="minorHAnsi"/>
              </w:rPr>
            </w:pPr>
          </w:p>
          <w:p w:rsidR="0024083E" w:rsidRDefault="0024083E" w:rsidP="00011B40">
            <w:pPr>
              <w:rPr>
                <w:rFonts w:cstheme="minorHAnsi"/>
              </w:rPr>
            </w:pPr>
          </w:p>
          <w:p w:rsidR="006B08DB" w:rsidRPr="00B928E0" w:rsidRDefault="006B08DB" w:rsidP="00011B40">
            <w:pPr>
              <w:rPr>
                <w:rFonts w:cstheme="minorHAnsi"/>
              </w:rPr>
            </w:pPr>
            <w:r w:rsidRPr="0024083E">
              <w:rPr>
                <w:rFonts w:cstheme="minorHAnsi"/>
                <w:b/>
              </w:rPr>
              <w:t>DEPARTMENT FOR EDUCATION AND CHILD DEVELOPMENT (</w:t>
            </w:r>
            <w:proofErr w:type="spellStart"/>
            <w:r w:rsidRPr="0024083E">
              <w:rPr>
                <w:rFonts w:cstheme="minorHAnsi"/>
                <w:b/>
              </w:rPr>
              <w:t>DECD</w:t>
            </w:r>
            <w:proofErr w:type="spellEnd"/>
            <w:r w:rsidRPr="0024083E">
              <w:rPr>
                <w:rFonts w:cstheme="minorHAnsi"/>
                <w:b/>
              </w:rPr>
              <w:t xml:space="preserve">) – </w:t>
            </w:r>
            <w:r w:rsidRPr="0024083E">
              <w:rPr>
                <w:rFonts w:cstheme="minorHAnsi"/>
                <w:b/>
                <w:i/>
              </w:rPr>
              <w:t>Case study: School centres for excellence</w:t>
            </w:r>
          </w:p>
          <w:p w:rsidR="006B08DB" w:rsidRDefault="006B08DB" w:rsidP="00011B40">
            <w:pPr>
              <w:rPr>
                <w:rFonts w:cstheme="minorHAnsi"/>
                <w:szCs w:val="22"/>
              </w:rPr>
            </w:pPr>
            <w:r w:rsidRPr="00B928E0">
              <w:rPr>
                <w:rFonts w:cstheme="minorHAnsi"/>
                <w:szCs w:val="22"/>
              </w:rPr>
              <w:t xml:space="preserve">The </w:t>
            </w:r>
            <w:proofErr w:type="spellStart"/>
            <w:r w:rsidRPr="00B928E0">
              <w:rPr>
                <w:rFonts w:cstheme="minorHAnsi"/>
                <w:szCs w:val="22"/>
              </w:rPr>
              <w:t>DECD</w:t>
            </w:r>
            <w:proofErr w:type="spellEnd"/>
            <w:r w:rsidRPr="00B928E0">
              <w:rPr>
                <w:rFonts w:cstheme="minorHAnsi"/>
                <w:szCs w:val="22"/>
              </w:rPr>
              <w:t xml:space="preserve"> </w:t>
            </w:r>
            <w:r w:rsidRPr="00B928E0">
              <w:rPr>
                <w:rFonts w:cstheme="minorHAnsi"/>
                <w:i/>
                <w:szCs w:val="22"/>
              </w:rPr>
              <w:t>School centre for excellence</w:t>
            </w:r>
            <w:r w:rsidRPr="00B928E0">
              <w:rPr>
                <w:rFonts w:cstheme="minorHAnsi"/>
                <w:szCs w:val="22"/>
              </w:rPr>
              <w:t xml:space="preserve"> program was developed to support the reforms identified in the Improving Teaching Quality National Partnerships agenda using the </w:t>
            </w:r>
            <w:r w:rsidRPr="00B928E0">
              <w:rPr>
                <w:rFonts w:cstheme="minorHAnsi"/>
                <w:i/>
                <w:szCs w:val="22"/>
              </w:rPr>
              <w:t>Australian professional standards for teachers</w:t>
            </w:r>
            <w:r w:rsidRPr="00B928E0">
              <w:rPr>
                <w:rFonts w:cstheme="minorHAnsi"/>
                <w:szCs w:val="22"/>
              </w:rPr>
              <w:t xml:space="preserve"> as the central resource for the work that was to be done identifying a focus on pre-service teachers and mentor teachers. The use of the term ‘for excellence’ rather than ‘of excellence’ was intentional to define the focus on growth for all involved.</w:t>
            </w:r>
          </w:p>
          <w:p w:rsidR="0024083E" w:rsidRPr="00B928E0" w:rsidRDefault="0024083E" w:rsidP="00011B40">
            <w:pPr>
              <w:rPr>
                <w:rFonts w:cstheme="minorHAnsi"/>
                <w:szCs w:val="22"/>
              </w:rPr>
            </w:pPr>
          </w:p>
          <w:p w:rsidR="006B08DB" w:rsidRPr="00B928E0" w:rsidRDefault="006B08DB" w:rsidP="00011B40">
            <w:pPr>
              <w:rPr>
                <w:rFonts w:cstheme="minorHAnsi"/>
                <w:szCs w:val="22"/>
              </w:rPr>
            </w:pPr>
            <w:r w:rsidRPr="00B928E0">
              <w:rPr>
                <w:rFonts w:cstheme="minorHAnsi"/>
                <w:szCs w:val="22"/>
              </w:rPr>
              <w:t>There were three phases in the initial program:</w:t>
            </w:r>
          </w:p>
          <w:p w:rsidR="006B08DB" w:rsidRPr="0024083E" w:rsidRDefault="006B08DB" w:rsidP="00AE6D45">
            <w:pPr>
              <w:pStyle w:val="ListParagraph"/>
              <w:numPr>
                <w:ilvl w:val="0"/>
                <w:numId w:val="8"/>
              </w:numPr>
              <w:rPr>
                <w:rFonts w:cstheme="minorHAnsi"/>
              </w:rPr>
            </w:pPr>
            <w:r w:rsidRPr="0024083E">
              <w:rPr>
                <w:rFonts w:cstheme="minorHAnsi"/>
                <w:u w:val="single"/>
              </w:rPr>
              <w:t>Identifying school ‘centres for excellence’ sites.</w:t>
            </w:r>
            <w:r w:rsidRPr="0024083E">
              <w:rPr>
                <w:rFonts w:cstheme="minorHAnsi"/>
              </w:rPr>
              <w:t xml:space="preserve"> Expressions of interest were sought from rural and low-SES schools that expressed a commitment to mentoring pre-service teachers and hosting extended teaching experience days for selected pre-service teachers</w:t>
            </w:r>
          </w:p>
          <w:p w:rsidR="006B08DB" w:rsidRPr="0024083E" w:rsidRDefault="006B08DB" w:rsidP="00AE6D45">
            <w:pPr>
              <w:pStyle w:val="ListParagraph"/>
              <w:numPr>
                <w:ilvl w:val="0"/>
                <w:numId w:val="8"/>
              </w:numPr>
              <w:rPr>
                <w:rFonts w:cstheme="minorHAnsi"/>
              </w:rPr>
            </w:pPr>
            <w:r w:rsidRPr="0024083E">
              <w:rPr>
                <w:rFonts w:cstheme="minorHAnsi"/>
                <w:u w:val="single"/>
              </w:rPr>
              <w:t>Focus on mentor teacher</w:t>
            </w:r>
            <w:r w:rsidRPr="0024083E">
              <w:rPr>
                <w:rFonts w:cstheme="minorHAnsi"/>
              </w:rPr>
              <w:t xml:space="preserve"> – once schools were identified a range of professional learning activities were offered to those staff who worked with pre-service teachers and the university providers in some capacity</w:t>
            </w:r>
          </w:p>
          <w:p w:rsidR="006B08DB" w:rsidRPr="0024083E" w:rsidRDefault="006B08DB" w:rsidP="00AE6D45">
            <w:pPr>
              <w:pStyle w:val="ListParagraph"/>
              <w:numPr>
                <w:ilvl w:val="0"/>
                <w:numId w:val="8"/>
              </w:numPr>
              <w:rPr>
                <w:rFonts w:cstheme="minorHAnsi"/>
              </w:rPr>
            </w:pPr>
            <w:r w:rsidRPr="0024083E">
              <w:rPr>
                <w:rFonts w:cstheme="minorHAnsi"/>
                <w:u w:val="single"/>
              </w:rPr>
              <w:t>Focus on pre-service teachers</w:t>
            </w:r>
            <w:r w:rsidRPr="0024083E">
              <w:rPr>
                <w:rFonts w:cstheme="minorHAnsi"/>
              </w:rPr>
              <w:t xml:space="preserve"> – a number of funded extended teaching experience opportunities were promoted to final year pre-service teachers in South Australian universities. </w:t>
            </w:r>
          </w:p>
          <w:p w:rsidR="006B08DB" w:rsidRDefault="006B08DB" w:rsidP="00011B40">
            <w:pPr>
              <w:rPr>
                <w:rFonts w:cstheme="minorHAnsi"/>
                <w:szCs w:val="22"/>
              </w:rPr>
            </w:pPr>
            <w:r w:rsidRPr="00B928E0">
              <w:rPr>
                <w:rFonts w:cstheme="minorHAnsi"/>
                <w:szCs w:val="22"/>
              </w:rPr>
              <w:t xml:space="preserve">The connection with these scholarship recipients has enabled </w:t>
            </w:r>
            <w:proofErr w:type="spellStart"/>
            <w:r w:rsidRPr="00B928E0">
              <w:rPr>
                <w:rFonts w:cstheme="minorHAnsi"/>
                <w:szCs w:val="22"/>
              </w:rPr>
              <w:t>DECD</w:t>
            </w:r>
            <w:proofErr w:type="spellEnd"/>
            <w:r w:rsidRPr="00B928E0">
              <w:rPr>
                <w:rFonts w:cstheme="minorHAnsi"/>
                <w:szCs w:val="22"/>
              </w:rPr>
              <w:t xml:space="preserve"> to introduce a range of significant </w:t>
            </w:r>
            <w:proofErr w:type="spellStart"/>
            <w:r w:rsidRPr="00B928E0">
              <w:rPr>
                <w:rFonts w:cstheme="minorHAnsi"/>
                <w:szCs w:val="22"/>
              </w:rPr>
              <w:t>DECD</w:t>
            </w:r>
            <w:proofErr w:type="spellEnd"/>
            <w:r w:rsidRPr="00B928E0">
              <w:rPr>
                <w:rFonts w:cstheme="minorHAnsi"/>
                <w:szCs w:val="22"/>
              </w:rPr>
              <w:t xml:space="preserve"> resources and also the </w:t>
            </w:r>
            <w:r w:rsidRPr="00B928E0">
              <w:rPr>
                <w:rFonts w:cstheme="minorHAnsi"/>
                <w:i/>
                <w:szCs w:val="22"/>
              </w:rPr>
              <w:t>Australian professional standards for teachers</w:t>
            </w:r>
            <w:r w:rsidRPr="00B928E0">
              <w:rPr>
                <w:rFonts w:cstheme="minorHAnsi"/>
                <w:szCs w:val="22"/>
              </w:rPr>
              <w:t xml:space="preserve"> as a key reference and resource for their development in the profession, as a contribution to the quality of the teaching workforce. </w:t>
            </w:r>
            <w:proofErr w:type="spellStart"/>
            <w:r w:rsidRPr="00B928E0">
              <w:rPr>
                <w:rFonts w:cstheme="minorHAnsi"/>
                <w:szCs w:val="22"/>
              </w:rPr>
              <w:t>DECD’s</w:t>
            </w:r>
            <w:proofErr w:type="spellEnd"/>
            <w:r w:rsidRPr="00B928E0">
              <w:rPr>
                <w:rFonts w:cstheme="minorHAnsi"/>
                <w:szCs w:val="22"/>
              </w:rPr>
              <w:t xml:space="preserve"> role in supporting the preparation of tomorrow’s teachers continues to develop and also influence the induction for early career teachers and related activities that are under review and development.</w:t>
            </w:r>
          </w:p>
          <w:p w:rsidR="0024083E" w:rsidRPr="00B928E0" w:rsidRDefault="0024083E" w:rsidP="00011B40">
            <w:pPr>
              <w:rPr>
                <w:rFonts w:cstheme="minorHAnsi"/>
                <w:szCs w:val="22"/>
              </w:rPr>
            </w:pPr>
          </w:p>
          <w:p w:rsidR="006B08DB" w:rsidRDefault="006B08DB" w:rsidP="00011B40">
            <w:pPr>
              <w:rPr>
                <w:rFonts w:cstheme="minorHAnsi"/>
                <w:szCs w:val="22"/>
              </w:rPr>
            </w:pPr>
            <w:r w:rsidRPr="00B928E0">
              <w:rPr>
                <w:rFonts w:cstheme="minorHAnsi"/>
                <w:szCs w:val="22"/>
              </w:rPr>
              <w:lastRenderedPageBreak/>
              <w:t>The anecdotal feedback from the scholarship recipients is that they appreciated and benefited from the connection to ‘the system’ that these experiences provide. The unassessed school experiences at the end of their courses, raises their confidence and awareness of their role as teaching professionals who believe they are more ‘work ready’ as they prepare to seek employment as a teacher, as the following quotes from pre-service teachers demonstrate.</w:t>
            </w:r>
          </w:p>
          <w:p w:rsidR="006B08DB" w:rsidRPr="0024083E" w:rsidRDefault="006B08DB" w:rsidP="00AE6D45">
            <w:pPr>
              <w:pStyle w:val="ListParagraph"/>
              <w:numPr>
                <w:ilvl w:val="0"/>
                <w:numId w:val="7"/>
              </w:numPr>
              <w:tabs>
                <w:tab w:val="clear" w:pos="720"/>
                <w:tab w:val="num" w:pos="1134"/>
              </w:tabs>
              <w:ind w:left="1134" w:hanging="425"/>
              <w:rPr>
                <w:rFonts w:cstheme="minorHAnsi"/>
                <w:i/>
              </w:rPr>
            </w:pPr>
            <w:r w:rsidRPr="0024083E">
              <w:rPr>
                <w:rFonts w:cstheme="minorHAnsi"/>
                <w:i/>
              </w:rPr>
              <w:t>“I was able to participate in daily classroom activities, teacher training and behaviour management”</w:t>
            </w:r>
          </w:p>
          <w:p w:rsidR="006B08DB" w:rsidRPr="0024083E" w:rsidRDefault="006B08DB" w:rsidP="00AE6D45">
            <w:pPr>
              <w:pStyle w:val="ListParagraph"/>
              <w:numPr>
                <w:ilvl w:val="0"/>
                <w:numId w:val="7"/>
              </w:numPr>
              <w:tabs>
                <w:tab w:val="clear" w:pos="720"/>
                <w:tab w:val="num" w:pos="1134"/>
              </w:tabs>
              <w:ind w:left="1134" w:hanging="425"/>
              <w:rPr>
                <w:rFonts w:cstheme="minorHAnsi"/>
                <w:i/>
              </w:rPr>
            </w:pPr>
            <w:r w:rsidRPr="0024083E">
              <w:rPr>
                <w:rFonts w:cstheme="minorHAnsi"/>
                <w:i/>
              </w:rPr>
              <w:t>“My professional development is continually growing and from these opportunities I gained firsthand experience in dealing with challenging behaviour, dealing with sensitive information, liaising with parents and building positive relationships within the whole school community”</w:t>
            </w:r>
          </w:p>
          <w:p w:rsidR="006B08DB" w:rsidRPr="0024083E" w:rsidRDefault="006B08DB" w:rsidP="00AE6D45">
            <w:pPr>
              <w:pStyle w:val="ListParagraph"/>
              <w:numPr>
                <w:ilvl w:val="0"/>
                <w:numId w:val="7"/>
              </w:numPr>
              <w:tabs>
                <w:tab w:val="clear" w:pos="720"/>
                <w:tab w:val="num" w:pos="1134"/>
              </w:tabs>
              <w:ind w:left="1134" w:hanging="425"/>
              <w:rPr>
                <w:rFonts w:cstheme="minorHAnsi"/>
                <w:i/>
              </w:rPr>
            </w:pPr>
            <w:r w:rsidRPr="0024083E">
              <w:rPr>
                <w:rFonts w:cstheme="minorHAnsi"/>
                <w:i/>
              </w:rPr>
              <w:t>“My mentor and I spent nearly every NIT session discussing things and digging out useful resources. I compiled a 'starter kit' folder of ideas of what I'll need, what letters to send home to parents at the beginning of the year and just general little classroom things”</w:t>
            </w:r>
            <w:r w:rsidRPr="0024083E">
              <w:rPr>
                <w:rFonts w:cstheme="minorHAnsi"/>
              </w:rPr>
              <w:t xml:space="preserve"> </w:t>
            </w:r>
          </w:p>
          <w:p w:rsidR="006C1700" w:rsidRDefault="006C1700" w:rsidP="00011B40">
            <w:pPr>
              <w:rPr>
                <w:szCs w:val="24"/>
              </w:rPr>
            </w:pPr>
          </w:p>
        </w:tc>
      </w:tr>
      <w:tr w:rsidR="006C1700" w:rsidTr="00011B40">
        <w:tc>
          <w:tcPr>
            <w:tcW w:w="10349" w:type="dxa"/>
            <w:tcBorders>
              <w:top w:val="nil"/>
              <w:left w:val="single" w:sz="4" w:space="0" w:color="auto"/>
              <w:bottom w:val="single" w:sz="4" w:space="0" w:color="auto"/>
              <w:right w:val="single" w:sz="4" w:space="0" w:color="auto"/>
            </w:tcBorders>
            <w:hideMark/>
          </w:tcPr>
          <w:p w:rsidR="006B08DB" w:rsidRPr="007E67C5" w:rsidRDefault="006C1700" w:rsidP="0024083E">
            <w:pPr>
              <w:pStyle w:val="Heading2"/>
              <w:rPr>
                <w:sz w:val="28"/>
                <w:szCs w:val="28"/>
              </w:rPr>
            </w:pPr>
            <w:r>
              <w:rPr>
                <w:highlight w:val="cyan"/>
              </w:rPr>
              <w:lastRenderedPageBreak/>
              <w:br w:type="page"/>
            </w:r>
            <w:r>
              <w:rPr>
                <w:highlight w:val="cyan"/>
              </w:rPr>
              <w:br w:type="page"/>
            </w:r>
            <w:bookmarkStart w:id="5" w:name="_Toc379547552"/>
            <w:r w:rsidR="006B08DB" w:rsidRPr="006B08DB">
              <w:t>Principal professional development final report</w:t>
            </w:r>
            <w:bookmarkEnd w:id="5"/>
          </w:p>
          <w:p w:rsidR="0024083E" w:rsidRDefault="0024083E" w:rsidP="00011B40">
            <w:pPr>
              <w:rPr>
                <w:rFonts w:cstheme="minorHAnsi"/>
              </w:rPr>
            </w:pPr>
          </w:p>
          <w:p w:rsidR="006C1700" w:rsidRPr="00B928E0" w:rsidRDefault="006B08DB" w:rsidP="00011B40">
            <w:pPr>
              <w:rPr>
                <w:rFonts w:cstheme="minorHAnsi"/>
                <w:b/>
                <w:i/>
                <w:szCs w:val="24"/>
              </w:rPr>
            </w:pPr>
            <w:r w:rsidRPr="00B928E0">
              <w:rPr>
                <w:rFonts w:cstheme="minorHAnsi"/>
              </w:rPr>
              <w:t xml:space="preserve">The South Australian </w:t>
            </w:r>
            <w:r w:rsidRPr="00B928E0">
              <w:rPr>
                <w:rFonts w:cstheme="minorHAnsi"/>
                <w:i/>
              </w:rPr>
              <w:t>Principal professional development implementation plan</w:t>
            </w:r>
            <w:r w:rsidRPr="00B928E0">
              <w:rPr>
                <w:rFonts w:cstheme="minorHAnsi"/>
              </w:rPr>
              <w:t xml:space="preserve">, implemented over the period January 2012 to June 2013, complemented and enhanced the work of the </w:t>
            </w:r>
            <w:proofErr w:type="spellStart"/>
            <w:r w:rsidRPr="00B928E0">
              <w:rPr>
                <w:rFonts w:cstheme="minorHAnsi"/>
              </w:rPr>
              <w:t>ITQ</w:t>
            </w:r>
            <w:proofErr w:type="spellEnd"/>
            <w:r w:rsidRPr="00B928E0">
              <w:rPr>
                <w:rFonts w:cstheme="minorHAnsi"/>
              </w:rPr>
              <w:t xml:space="preserve"> NP facilitation and reward reforms. All three schooling sectors are involved.</w:t>
            </w:r>
          </w:p>
          <w:p w:rsidR="006C1700" w:rsidRDefault="006C1700" w:rsidP="00011B40">
            <w:pPr>
              <w:spacing w:before="120" w:after="120"/>
              <w:ind w:left="720"/>
              <w:rPr>
                <w:rFonts w:ascii="Calibri" w:hAnsi="Calibri" w:cs="Calibri"/>
                <w:szCs w:val="24"/>
              </w:rPr>
            </w:pPr>
          </w:p>
        </w:tc>
      </w:tr>
      <w:tr w:rsidR="006B08DB" w:rsidTr="00011B40">
        <w:tc>
          <w:tcPr>
            <w:tcW w:w="10349" w:type="dxa"/>
            <w:tcBorders>
              <w:top w:val="single" w:sz="4" w:space="0" w:color="auto"/>
              <w:left w:val="single" w:sz="4" w:space="0" w:color="auto"/>
              <w:bottom w:val="single" w:sz="4" w:space="0" w:color="auto"/>
              <w:right w:val="single" w:sz="4" w:space="0" w:color="auto"/>
            </w:tcBorders>
          </w:tcPr>
          <w:p w:rsidR="006B08DB" w:rsidRDefault="006B08DB" w:rsidP="0024083E">
            <w:pPr>
              <w:pStyle w:val="Heading3"/>
              <w:rPr>
                <w:rFonts w:asciiTheme="minorHAnsi" w:hAnsiTheme="minorHAnsi" w:cstheme="minorHAnsi"/>
              </w:rPr>
            </w:pPr>
            <w:bookmarkStart w:id="6" w:name="_Toc379547553"/>
            <w:r>
              <w:t>Overview of activities and key achievements</w:t>
            </w:r>
            <w:bookmarkEnd w:id="6"/>
            <w:r w:rsidRPr="007E67C5">
              <w:rPr>
                <w:rFonts w:asciiTheme="minorHAnsi" w:hAnsiTheme="minorHAnsi" w:cstheme="minorHAnsi"/>
              </w:rPr>
              <w:t xml:space="preserve"> </w:t>
            </w:r>
          </w:p>
          <w:p w:rsidR="00CB7932" w:rsidRPr="00CB7932" w:rsidRDefault="00CB7932" w:rsidP="00CB7932"/>
          <w:p w:rsidR="006B08DB" w:rsidRDefault="006B08DB" w:rsidP="00011B40">
            <w:pPr>
              <w:rPr>
                <w:b/>
                <w:sz w:val="24"/>
                <w:szCs w:val="24"/>
              </w:rPr>
            </w:pPr>
            <w:proofErr w:type="spellStart"/>
            <w:r w:rsidRPr="0024083E">
              <w:rPr>
                <w:b/>
                <w:sz w:val="24"/>
                <w:szCs w:val="24"/>
              </w:rPr>
              <w:t>AISSA</w:t>
            </w:r>
            <w:proofErr w:type="spellEnd"/>
            <w:r w:rsidRPr="0024083E">
              <w:rPr>
                <w:b/>
                <w:sz w:val="24"/>
                <w:szCs w:val="24"/>
              </w:rPr>
              <w:t xml:space="preserve"> Leadership program</w:t>
            </w:r>
          </w:p>
          <w:p w:rsidR="0024083E" w:rsidRPr="0024083E" w:rsidRDefault="0024083E" w:rsidP="00011B40">
            <w:pPr>
              <w:rPr>
                <w:b/>
                <w:sz w:val="24"/>
                <w:szCs w:val="24"/>
              </w:rPr>
            </w:pPr>
          </w:p>
          <w:p w:rsidR="0024083E" w:rsidRDefault="006B08DB" w:rsidP="00011B40">
            <w:pPr>
              <w:rPr>
                <w:szCs w:val="22"/>
              </w:rPr>
            </w:pPr>
            <w:r w:rsidRPr="007E67C5">
              <w:rPr>
                <w:szCs w:val="22"/>
              </w:rPr>
              <w:t>The Association of Independent Schools of South Australia (</w:t>
            </w:r>
            <w:proofErr w:type="spellStart"/>
            <w:r w:rsidRPr="007E67C5">
              <w:rPr>
                <w:szCs w:val="22"/>
              </w:rPr>
              <w:t>AISSA</w:t>
            </w:r>
            <w:proofErr w:type="spellEnd"/>
            <w:r w:rsidRPr="007E67C5">
              <w:rPr>
                <w:szCs w:val="22"/>
              </w:rPr>
              <w:t>) conducted another extensive leadership and development program for its member schools. The program’s core purpose was to assist school leaders in the independent sector to build the organisational capacity of their schools in order to deliver high quality education.</w:t>
            </w:r>
          </w:p>
          <w:p w:rsidR="006B08DB" w:rsidRPr="007E67C5" w:rsidRDefault="006B08DB" w:rsidP="00011B40">
            <w:pPr>
              <w:rPr>
                <w:szCs w:val="22"/>
              </w:rPr>
            </w:pPr>
            <w:r w:rsidRPr="007E67C5">
              <w:rPr>
                <w:szCs w:val="22"/>
              </w:rPr>
              <w:t xml:space="preserve"> </w:t>
            </w:r>
          </w:p>
          <w:p w:rsidR="006B08DB" w:rsidRDefault="006B08DB" w:rsidP="00011B40">
            <w:pPr>
              <w:rPr>
                <w:szCs w:val="22"/>
              </w:rPr>
            </w:pPr>
            <w:r w:rsidRPr="007E67C5">
              <w:rPr>
                <w:szCs w:val="22"/>
              </w:rPr>
              <w:t xml:space="preserve">The program has been shaped by the needs of leaders in the sector. Principals were keen to learn more about building their school's capacity to manage change especially in relation to the Australian Curriculum and the </w:t>
            </w:r>
            <w:proofErr w:type="spellStart"/>
            <w:r w:rsidRPr="007E67C5">
              <w:rPr>
                <w:szCs w:val="22"/>
              </w:rPr>
              <w:t>AITSL</w:t>
            </w:r>
            <w:proofErr w:type="spellEnd"/>
            <w:r w:rsidRPr="007E67C5">
              <w:rPr>
                <w:szCs w:val="22"/>
              </w:rPr>
              <w:t xml:space="preserve"> standards and to further develop the skills required for effective, contemporary leadership. </w:t>
            </w:r>
          </w:p>
          <w:p w:rsidR="0024083E" w:rsidRPr="007E67C5" w:rsidRDefault="0024083E" w:rsidP="00011B40">
            <w:pPr>
              <w:rPr>
                <w:szCs w:val="22"/>
              </w:rPr>
            </w:pPr>
          </w:p>
          <w:p w:rsidR="006B08DB" w:rsidRPr="007E67C5" w:rsidRDefault="006B08DB" w:rsidP="00011B40">
            <w:pPr>
              <w:rPr>
                <w:szCs w:val="22"/>
              </w:rPr>
            </w:pPr>
            <w:r w:rsidRPr="007E67C5">
              <w:rPr>
                <w:szCs w:val="22"/>
              </w:rPr>
              <w:t>The program included the following strands:</w:t>
            </w:r>
          </w:p>
          <w:p w:rsidR="006B08DB" w:rsidRPr="0024083E" w:rsidRDefault="006B08DB" w:rsidP="00AE6D45">
            <w:pPr>
              <w:pStyle w:val="ListParagraph"/>
              <w:numPr>
                <w:ilvl w:val="0"/>
                <w:numId w:val="7"/>
              </w:numPr>
              <w:tabs>
                <w:tab w:val="clear" w:pos="720"/>
                <w:tab w:val="num" w:pos="1134"/>
              </w:tabs>
              <w:ind w:left="1134" w:hanging="425"/>
              <w:rPr>
                <w:rFonts w:cstheme="minorHAnsi"/>
              </w:rPr>
            </w:pPr>
            <w:r w:rsidRPr="0024083E">
              <w:rPr>
                <w:rFonts w:cstheme="minorHAnsi"/>
              </w:rPr>
              <w:t>High performance leadership: Building personal leadership capacity</w:t>
            </w:r>
          </w:p>
          <w:p w:rsidR="006B08DB" w:rsidRPr="0024083E" w:rsidRDefault="006B08DB" w:rsidP="00AE6D45">
            <w:pPr>
              <w:pStyle w:val="ListParagraph"/>
              <w:numPr>
                <w:ilvl w:val="0"/>
                <w:numId w:val="7"/>
              </w:numPr>
              <w:tabs>
                <w:tab w:val="clear" w:pos="720"/>
                <w:tab w:val="num" w:pos="1134"/>
              </w:tabs>
              <w:ind w:left="1134" w:hanging="425"/>
              <w:rPr>
                <w:rFonts w:cstheme="minorHAnsi"/>
              </w:rPr>
            </w:pPr>
            <w:r w:rsidRPr="0024083E">
              <w:rPr>
                <w:rFonts w:cstheme="minorHAnsi"/>
              </w:rPr>
              <w:t>The Australian Curriculum: Creating capacity for transformation in schools</w:t>
            </w:r>
          </w:p>
          <w:p w:rsidR="006B08DB" w:rsidRPr="0024083E" w:rsidRDefault="006B08DB" w:rsidP="00AE6D45">
            <w:pPr>
              <w:pStyle w:val="ListParagraph"/>
              <w:numPr>
                <w:ilvl w:val="0"/>
                <w:numId w:val="7"/>
              </w:numPr>
              <w:tabs>
                <w:tab w:val="clear" w:pos="720"/>
                <w:tab w:val="num" w:pos="1134"/>
              </w:tabs>
              <w:ind w:left="1134" w:hanging="425"/>
              <w:rPr>
                <w:rFonts w:cstheme="minorHAnsi"/>
              </w:rPr>
            </w:pPr>
            <w:r w:rsidRPr="0024083E">
              <w:rPr>
                <w:rFonts w:cstheme="minorHAnsi"/>
              </w:rPr>
              <w:t>Creating a performance and development culture: Moving from theory to action</w:t>
            </w:r>
          </w:p>
          <w:p w:rsidR="006B08DB" w:rsidRPr="0024083E" w:rsidRDefault="006B08DB" w:rsidP="00AE6D45">
            <w:pPr>
              <w:pStyle w:val="ListParagraph"/>
              <w:numPr>
                <w:ilvl w:val="0"/>
                <w:numId w:val="7"/>
              </w:numPr>
              <w:tabs>
                <w:tab w:val="clear" w:pos="720"/>
                <w:tab w:val="num" w:pos="1134"/>
              </w:tabs>
              <w:ind w:left="1134" w:hanging="425"/>
              <w:rPr>
                <w:rFonts w:cstheme="minorHAnsi"/>
              </w:rPr>
            </w:pPr>
            <w:r w:rsidRPr="0024083E">
              <w:rPr>
                <w:rFonts w:cstheme="minorHAnsi"/>
              </w:rPr>
              <w:t>Leadership development for middle managers</w:t>
            </w:r>
          </w:p>
          <w:p w:rsidR="006B08DB" w:rsidRPr="0024083E" w:rsidRDefault="006B08DB" w:rsidP="00AE6D45">
            <w:pPr>
              <w:pStyle w:val="ListParagraph"/>
              <w:numPr>
                <w:ilvl w:val="0"/>
                <w:numId w:val="7"/>
              </w:numPr>
              <w:tabs>
                <w:tab w:val="clear" w:pos="720"/>
                <w:tab w:val="num" w:pos="1134"/>
              </w:tabs>
              <w:ind w:left="1134" w:hanging="425"/>
              <w:rPr>
                <w:rFonts w:cstheme="minorHAnsi"/>
              </w:rPr>
            </w:pPr>
            <w:r w:rsidRPr="0024083E">
              <w:rPr>
                <w:rFonts w:cstheme="minorHAnsi"/>
              </w:rPr>
              <w:t>Leadership and advocacy in early childhood education: positioning children at the centre.</w:t>
            </w:r>
          </w:p>
          <w:p w:rsidR="006B08DB" w:rsidRDefault="006B08DB" w:rsidP="00011B40">
            <w:pPr>
              <w:rPr>
                <w:szCs w:val="22"/>
              </w:rPr>
            </w:pPr>
            <w:r w:rsidRPr="007E67C5">
              <w:rPr>
                <w:szCs w:val="22"/>
              </w:rPr>
              <w:t xml:space="preserve">Workshops were designed to ensure a balance between theory and practice. A range of eminent keynote speakers presented current research and theory while school-based practitioners offered examples of existing practice. These workshops provided opportunities to work with Margery Evans, Professor Geoff Masters, Greg Whitby, Robert Randall, Emeritus Professor Alan Reid, Dr Ben Levin, Dr Jim Knight, Dr Deborah Harcourt, Rick Tudor, Lois Peeler, Paul Browning, Craig Glass, Jane Fraser and Dr Barbara Watterson. </w:t>
            </w:r>
          </w:p>
          <w:p w:rsidR="0024083E" w:rsidRPr="007E67C5" w:rsidRDefault="0024083E" w:rsidP="00011B40">
            <w:pPr>
              <w:rPr>
                <w:szCs w:val="22"/>
              </w:rPr>
            </w:pPr>
          </w:p>
          <w:p w:rsidR="006B08DB" w:rsidRDefault="006B08DB" w:rsidP="00011B40">
            <w:pPr>
              <w:rPr>
                <w:szCs w:val="22"/>
              </w:rPr>
            </w:pPr>
            <w:r w:rsidRPr="007E67C5">
              <w:rPr>
                <w:szCs w:val="22"/>
              </w:rPr>
              <w:t>From January 2013 there have been 13 workshops with a total of 574 participants bringing the total since July 2012 to 26 workshops with a total of 927 participants.</w:t>
            </w:r>
          </w:p>
          <w:p w:rsidR="0024083E" w:rsidRPr="007E67C5" w:rsidRDefault="0024083E" w:rsidP="00011B40">
            <w:pPr>
              <w:rPr>
                <w:szCs w:val="22"/>
              </w:rPr>
            </w:pPr>
          </w:p>
          <w:p w:rsidR="006B08DB" w:rsidRPr="0024083E" w:rsidRDefault="006B08DB" w:rsidP="00011B40">
            <w:pPr>
              <w:rPr>
                <w:b/>
                <w:bCs/>
                <w:sz w:val="24"/>
                <w:szCs w:val="24"/>
              </w:rPr>
            </w:pPr>
            <w:r w:rsidRPr="0024083E">
              <w:rPr>
                <w:b/>
                <w:sz w:val="24"/>
                <w:szCs w:val="24"/>
              </w:rPr>
              <w:t>The Australian Curriculum: Creating capacity for transformation in schools (</w:t>
            </w:r>
            <w:proofErr w:type="spellStart"/>
            <w:r w:rsidRPr="0024083E">
              <w:rPr>
                <w:b/>
                <w:sz w:val="24"/>
                <w:szCs w:val="24"/>
              </w:rPr>
              <w:t>AISSA</w:t>
            </w:r>
            <w:proofErr w:type="spellEnd"/>
            <w:r w:rsidRPr="0024083E">
              <w:rPr>
                <w:b/>
                <w:sz w:val="24"/>
                <w:szCs w:val="24"/>
              </w:rPr>
              <w:t>)</w:t>
            </w:r>
          </w:p>
          <w:p w:rsidR="0024083E" w:rsidRDefault="0024083E" w:rsidP="00011B40">
            <w:pPr>
              <w:rPr>
                <w:szCs w:val="22"/>
              </w:rPr>
            </w:pPr>
          </w:p>
          <w:p w:rsidR="006B08DB" w:rsidRDefault="006B08DB" w:rsidP="00011B40">
            <w:pPr>
              <w:rPr>
                <w:szCs w:val="22"/>
              </w:rPr>
            </w:pPr>
            <w:r w:rsidRPr="007E67C5">
              <w:rPr>
                <w:szCs w:val="22"/>
              </w:rPr>
              <w:t xml:space="preserve">The support provided to principals by </w:t>
            </w:r>
            <w:proofErr w:type="spellStart"/>
            <w:r w:rsidRPr="007E67C5">
              <w:rPr>
                <w:szCs w:val="22"/>
              </w:rPr>
              <w:t>AISSA</w:t>
            </w:r>
            <w:proofErr w:type="spellEnd"/>
            <w:r w:rsidRPr="007E67C5">
              <w:rPr>
                <w:szCs w:val="22"/>
              </w:rPr>
              <w:t xml:space="preserve"> in the implementation of the Australian Curriculum had as its underlying premise that given outstanding leadership, the Australian Curriculum has the potential to go beyond mere ‘implementation’ to transform school pedagogy and practice.</w:t>
            </w:r>
          </w:p>
          <w:p w:rsidR="0024083E" w:rsidRPr="007E67C5" w:rsidRDefault="0024083E" w:rsidP="00011B40">
            <w:pPr>
              <w:rPr>
                <w:szCs w:val="22"/>
              </w:rPr>
            </w:pPr>
          </w:p>
          <w:p w:rsidR="006B08DB" w:rsidRPr="007E67C5" w:rsidRDefault="006B08DB" w:rsidP="00011B40">
            <w:pPr>
              <w:rPr>
                <w:szCs w:val="22"/>
              </w:rPr>
            </w:pPr>
            <w:r w:rsidRPr="007E67C5">
              <w:rPr>
                <w:szCs w:val="22"/>
              </w:rPr>
              <w:t xml:space="preserve">The support included the four workshop series </w:t>
            </w:r>
            <w:r w:rsidRPr="007E67C5">
              <w:rPr>
                <w:i/>
                <w:szCs w:val="22"/>
              </w:rPr>
              <w:t xml:space="preserve">The Australian Curriculum: Creating capacity for transformation in schools, </w:t>
            </w:r>
            <w:r w:rsidRPr="007E67C5">
              <w:rPr>
                <w:szCs w:val="22"/>
              </w:rPr>
              <w:t>which</w:t>
            </w:r>
            <w:r w:rsidRPr="007E67C5">
              <w:rPr>
                <w:i/>
                <w:szCs w:val="22"/>
              </w:rPr>
              <w:t xml:space="preserve"> </w:t>
            </w:r>
            <w:r w:rsidRPr="007E67C5">
              <w:rPr>
                <w:szCs w:val="22"/>
              </w:rPr>
              <w:t xml:space="preserve">was provided by the </w:t>
            </w:r>
            <w:proofErr w:type="spellStart"/>
            <w:r w:rsidRPr="007E67C5">
              <w:rPr>
                <w:szCs w:val="22"/>
              </w:rPr>
              <w:t>AISSA</w:t>
            </w:r>
            <w:proofErr w:type="spellEnd"/>
            <w:r w:rsidRPr="007E67C5">
              <w:rPr>
                <w:szCs w:val="22"/>
              </w:rPr>
              <w:t xml:space="preserve"> to enhance leaders' knowledge, skills and confidence to effectively lead curriculum change through implementation of the Australian Curriculum and to use it as an opportunity to make fundamental school improvement. Areas covered included:</w:t>
            </w:r>
          </w:p>
          <w:p w:rsidR="006B08DB" w:rsidRPr="0024083E" w:rsidRDefault="006B08DB" w:rsidP="00AE6D45">
            <w:pPr>
              <w:pStyle w:val="ListParagraph"/>
              <w:numPr>
                <w:ilvl w:val="0"/>
                <w:numId w:val="7"/>
              </w:numPr>
              <w:tabs>
                <w:tab w:val="clear" w:pos="720"/>
                <w:tab w:val="num" w:pos="1134"/>
              </w:tabs>
              <w:ind w:left="1134" w:hanging="425"/>
              <w:rPr>
                <w:rFonts w:cstheme="minorHAnsi"/>
              </w:rPr>
            </w:pPr>
            <w:r w:rsidRPr="0024083E">
              <w:rPr>
                <w:rFonts w:cstheme="minorHAnsi"/>
              </w:rPr>
              <w:lastRenderedPageBreak/>
              <w:t>Creating capacity for transformation</w:t>
            </w:r>
          </w:p>
          <w:p w:rsidR="006B08DB" w:rsidRPr="0024083E" w:rsidRDefault="006B08DB" w:rsidP="00AE6D45">
            <w:pPr>
              <w:pStyle w:val="ListParagraph"/>
              <w:numPr>
                <w:ilvl w:val="0"/>
                <w:numId w:val="7"/>
              </w:numPr>
              <w:tabs>
                <w:tab w:val="clear" w:pos="720"/>
                <w:tab w:val="num" w:pos="1134"/>
              </w:tabs>
              <w:ind w:left="1134" w:hanging="425"/>
              <w:rPr>
                <w:rFonts w:cstheme="minorHAnsi"/>
              </w:rPr>
            </w:pPr>
            <w:r w:rsidRPr="0024083E">
              <w:rPr>
                <w:rFonts w:cstheme="minorHAnsi"/>
              </w:rPr>
              <w:t>Quality learning through the general capabilities: Opportunities and challenges</w:t>
            </w:r>
          </w:p>
          <w:p w:rsidR="006B08DB" w:rsidRPr="0024083E" w:rsidRDefault="006B08DB" w:rsidP="00AE6D45">
            <w:pPr>
              <w:pStyle w:val="ListParagraph"/>
              <w:numPr>
                <w:ilvl w:val="0"/>
                <w:numId w:val="7"/>
              </w:numPr>
              <w:tabs>
                <w:tab w:val="clear" w:pos="720"/>
                <w:tab w:val="num" w:pos="1134"/>
              </w:tabs>
              <w:ind w:left="1134" w:hanging="425"/>
              <w:rPr>
                <w:rFonts w:cstheme="minorHAnsi"/>
              </w:rPr>
            </w:pPr>
            <w:r w:rsidRPr="0024083E">
              <w:rPr>
                <w:rFonts w:cstheme="minorHAnsi"/>
              </w:rPr>
              <w:t>Leadership for learning and the Australian Curriculum</w:t>
            </w:r>
          </w:p>
          <w:p w:rsidR="006B08DB" w:rsidRPr="0024083E" w:rsidRDefault="006B08DB" w:rsidP="00AE6D45">
            <w:pPr>
              <w:pStyle w:val="ListParagraph"/>
              <w:numPr>
                <w:ilvl w:val="0"/>
                <w:numId w:val="7"/>
              </w:numPr>
              <w:tabs>
                <w:tab w:val="clear" w:pos="720"/>
                <w:tab w:val="num" w:pos="1134"/>
              </w:tabs>
              <w:ind w:left="1134" w:hanging="425"/>
              <w:rPr>
                <w:rFonts w:cstheme="minorHAnsi"/>
              </w:rPr>
            </w:pPr>
            <w:r w:rsidRPr="0024083E">
              <w:rPr>
                <w:rFonts w:cstheme="minorHAnsi"/>
              </w:rPr>
              <w:t>Embedding Aboriginal and Torres Strait Islander histories and cultures.</w:t>
            </w:r>
          </w:p>
          <w:p w:rsidR="006B08DB" w:rsidRDefault="006B08DB" w:rsidP="00011B40">
            <w:pPr>
              <w:rPr>
                <w:szCs w:val="22"/>
              </w:rPr>
            </w:pPr>
            <w:r w:rsidRPr="007E67C5">
              <w:rPr>
                <w:szCs w:val="22"/>
              </w:rPr>
              <w:t>Participants had the opportunity to interact with Greg Whitby, Robert Randall, Emeritus Professor Alan Reid, Rick Tudor, Lois Peeler and Professor Geoff Masters.</w:t>
            </w:r>
          </w:p>
          <w:p w:rsidR="00CB7932" w:rsidRPr="007E67C5" w:rsidRDefault="00CB7932" w:rsidP="00011B40">
            <w:pPr>
              <w:rPr>
                <w:szCs w:val="22"/>
              </w:rPr>
            </w:pPr>
          </w:p>
          <w:p w:rsidR="006B08DB" w:rsidRDefault="006B08DB" w:rsidP="00011B40">
            <w:pPr>
              <w:rPr>
                <w:szCs w:val="22"/>
              </w:rPr>
            </w:pPr>
            <w:r w:rsidRPr="007E67C5">
              <w:rPr>
                <w:szCs w:val="22"/>
              </w:rPr>
              <w:t xml:space="preserve">In total 165 participants attended these workshops. </w:t>
            </w:r>
          </w:p>
          <w:p w:rsidR="00CB7932" w:rsidRPr="007E67C5" w:rsidRDefault="00CB7932" w:rsidP="00011B40">
            <w:pPr>
              <w:rPr>
                <w:szCs w:val="22"/>
              </w:rPr>
            </w:pPr>
          </w:p>
          <w:p w:rsidR="006B08DB" w:rsidRDefault="006B08DB" w:rsidP="00011B40">
            <w:pPr>
              <w:rPr>
                <w:bCs/>
                <w:szCs w:val="22"/>
              </w:rPr>
            </w:pPr>
            <w:r w:rsidRPr="007E67C5">
              <w:rPr>
                <w:bCs/>
                <w:szCs w:val="22"/>
              </w:rPr>
              <w:t xml:space="preserve">The </w:t>
            </w:r>
            <w:proofErr w:type="spellStart"/>
            <w:r w:rsidRPr="007E67C5">
              <w:rPr>
                <w:bCs/>
                <w:szCs w:val="22"/>
              </w:rPr>
              <w:t>AISSA</w:t>
            </w:r>
            <w:proofErr w:type="spellEnd"/>
            <w:r w:rsidRPr="007E67C5">
              <w:rPr>
                <w:bCs/>
                <w:szCs w:val="22"/>
              </w:rPr>
              <w:t xml:space="preserve"> engaged two consultants specifically to provide individual support to principals in leading the implementation of the Australian Curriculum. This was in addition to other support provided to schools by </w:t>
            </w:r>
            <w:proofErr w:type="spellStart"/>
            <w:r w:rsidRPr="007E67C5">
              <w:rPr>
                <w:bCs/>
                <w:szCs w:val="22"/>
              </w:rPr>
              <w:t>AISSA</w:t>
            </w:r>
            <w:proofErr w:type="spellEnd"/>
            <w:r w:rsidRPr="007E67C5">
              <w:rPr>
                <w:bCs/>
                <w:szCs w:val="22"/>
              </w:rPr>
              <w:t xml:space="preserve"> with the implementation of the Australian Curriculum. Most principals in the independent sector had contact with the consultants. The consultants had discussions with many principals at their schools and assisted principals to develop their understanding of the Australian Curriculum, address key issues and develop implementation plans. The consultants developed supporting material to assist the principals and provided assistance to principals in meetings with school leadership teams and in making presentations to all teachers. The consultants undertook research for principals on issues raised by principals.</w:t>
            </w:r>
          </w:p>
          <w:p w:rsidR="00CB7932" w:rsidRPr="007E67C5" w:rsidRDefault="00CB7932" w:rsidP="00011B40">
            <w:pPr>
              <w:rPr>
                <w:bCs/>
                <w:szCs w:val="22"/>
              </w:rPr>
            </w:pPr>
          </w:p>
          <w:p w:rsidR="006B08DB" w:rsidRPr="00CB7932" w:rsidRDefault="006B08DB" w:rsidP="00011B40">
            <w:pPr>
              <w:rPr>
                <w:b/>
                <w:bCs/>
                <w:sz w:val="24"/>
                <w:szCs w:val="24"/>
              </w:rPr>
            </w:pPr>
            <w:r w:rsidRPr="00CB7932">
              <w:rPr>
                <w:b/>
                <w:bCs/>
                <w:sz w:val="24"/>
                <w:szCs w:val="24"/>
              </w:rPr>
              <w:t>On-line professional learning (</w:t>
            </w:r>
            <w:proofErr w:type="spellStart"/>
            <w:r w:rsidRPr="00CB7932">
              <w:rPr>
                <w:b/>
                <w:bCs/>
                <w:sz w:val="24"/>
                <w:szCs w:val="24"/>
              </w:rPr>
              <w:t>AISSA</w:t>
            </w:r>
            <w:proofErr w:type="spellEnd"/>
            <w:r w:rsidRPr="00CB7932">
              <w:rPr>
                <w:b/>
                <w:bCs/>
                <w:sz w:val="24"/>
                <w:szCs w:val="24"/>
              </w:rPr>
              <w:t>)</w:t>
            </w:r>
          </w:p>
          <w:p w:rsidR="00CB7932" w:rsidRPr="00CB7932" w:rsidRDefault="00CB7932" w:rsidP="00011B40">
            <w:pPr>
              <w:rPr>
                <w:b/>
                <w:bCs/>
                <w:szCs w:val="24"/>
              </w:rPr>
            </w:pPr>
          </w:p>
          <w:p w:rsidR="006B08DB" w:rsidRDefault="006B08DB" w:rsidP="00011B40">
            <w:pPr>
              <w:rPr>
                <w:bCs/>
                <w:szCs w:val="22"/>
              </w:rPr>
            </w:pPr>
            <w:r w:rsidRPr="007E67C5">
              <w:rPr>
                <w:bCs/>
                <w:szCs w:val="22"/>
              </w:rPr>
              <w:t>Keynote presentations from the leadership program were available on-line to principals. Thirteen school leaders were fully funded members of the UK Leadership College, which provided access to online professional development for leaders.</w:t>
            </w:r>
          </w:p>
          <w:p w:rsidR="00CB7932" w:rsidRPr="007E67C5" w:rsidRDefault="00CB7932" w:rsidP="00011B40">
            <w:pPr>
              <w:rPr>
                <w:bCs/>
                <w:szCs w:val="22"/>
              </w:rPr>
            </w:pPr>
          </w:p>
          <w:p w:rsidR="006B08DB" w:rsidRPr="00CB7932" w:rsidRDefault="006B08DB" w:rsidP="00011B40">
            <w:pPr>
              <w:rPr>
                <w:b/>
                <w:bCs/>
                <w:sz w:val="24"/>
                <w:szCs w:val="24"/>
              </w:rPr>
            </w:pPr>
            <w:proofErr w:type="spellStart"/>
            <w:r w:rsidRPr="00CB7932">
              <w:rPr>
                <w:b/>
                <w:bCs/>
                <w:sz w:val="24"/>
                <w:szCs w:val="24"/>
              </w:rPr>
              <w:t>CESA</w:t>
            </w:r>
            <w:proofErr w:type="spellEnd"/>
            <w:r w:rsidRPr="00CB7932">
              <w:rPr>
                <w:b/>
                <w:bCs/>
                <w:sz w:val="24"/>
                <w:szCs w:val="24"/>
              </w:rPr>
              <w:t xml:space="preserve"> Principal Professional Development project</w:t>
            </w:r>
          </w:p>
          <w:p w:rsidR="00CB7932" w:rsidRPr="007E67C5" w:rsidRDefault="00CB7932" w:rsidP="00011B40">
            <w:pPr>
              <w:rPr>
                <w:szCs w:val="24"/>
              </w:rPr>
            </w:pPr>
          </w:p>
          <w:p w:rsidR="006B08DB" w:rsidRDefault="006B08DB" w:rsidP="00011B40">
            <w:pPr>
              <w:rPr>
                <w:szCs w:val="22"/>
              </w:rPr>
            </w:pPr>
            <w:r w:rsidRPr="007E67C5">
              <w:rPr>
                <w:szCs w:val="22"/>
              </w:rPr>
              <w:t xml:space="preserve">Commencing in June 2012 and continuing until mid-2013, the parties to the </w:t>
            </w:r>
            <w:proofErr w:type="spellStart"/>
            <w:r w:rsidRPr="007E67C5">
              <w:rPr>
                <w:szCs w:val="22"/>
              </w:rPr>
              <w:t>CESA</w:t>
            </w:r>
            <w:proofErr w:type="spellEnd"/>
            <w:r w:rsidRPr="007E67C5">
              <w:rPr>
                <w:i/>
                <w:szCs w:val="22"/>
              </w:rPr>
              <w:t xml:space="preserve"> Principal professional development</w:t>
            </w:r>
            <w:r w:rsidRPr="007E67C5">
              <w:rPr>
                <w:szCs w:val="22"/>
              </w:rPr>
              <w:t xml:space="preserve"> project were the Catholic Education Office (CEO), the South Australian Catholic Primary Principals’ Association and the Association of Principals of Catholic Secondary Schools.</w:t>
            </w:r>
          </w:p>
          <w:p w:rsidR="00CB7932" w:rsidRPr="007E67C5" w:rsidRDefault="00CB7932" w:rsidP="00011B40">
            <w:pPr>
              <w:rPr>
                <w:szCs w:val="22"/>
              </w:rPr>
            </w:pPr>
          </w:p>
          <w:p w:rsidR="006B08DB" w:rsidRPr="007E67C5" w:rsidRDefault="006B08DB" w:rsidP="00011B40">
            <w:pPr>
              <w:rPr>
                <w:szCs w:val="22"/>
              </w:rPr>
            </w:pPr>
            <w:r w:rsidRPr="007E67C5">
              <w:rPr>
                <w:szCs w:val="22"/>
              </w:rPr>
              <w:t>The project had four main components:</w:t>
            </w:r>
          </w:p>
          <w:p w:rsidR="006B08DB" w:rsidRPr="00CB7932" w:rsidRDefault="006B08DB" w:rsidP="00AE6D45">
            <w:pPr>
              <w:pStyle w:val="ListParagraph"/>
              <w:numPr>
                <w:ilvl w:val="0"/>
                <w:numId w:val="9"/>
              </w:numPr>
            </w:pPr>
            <w:r w:rsidRPr="00CB7932">
              <w:t>Collaborative learning projects</w:t>
            </w:r>
          </w:p>
          <w:p w:rsidR="006B08DB" w:rsidRPr="00CB7932" w:rsidRDefault="006B08DB" w:rsidP="00AE6D45">
            <w:pPr>
              <w:pStyle w:val="ListParagraph"/>
              <w:numPr>
                <w:ilvl w:val="0"/>
                <w:numId w:val="9"/>
              </w:numPr>
            </w:pPr>
            <w:r w:rsidRPr="00CB7932">
              <w:t>Showcase forum</w:t>
            </w:r>
          </w:p>
          <w:p w:rsidR="006B08DB" w:rsidRPr="00CB7932" w:rsidRDefault="006B08DB" w:rsidP="00AE6D45">
            <w:pPr>
              <w:pStyle w:val="ListParagraph"/>
              <w:numPr>
                <w:ilvl w:val="0"/>
                <w:numId w:val="9"/>
              </w:numPr>
            </w:pPr>
            <w:r w:rsidRPr="00CB7932">
              <w:t>Building school improvement capacity forum</w:t>
            </w:r>
          </w:p>
          <w:p w:rsidR="006B08DB" w:rsidRPr="00CB7932" w:rsidRDefault="006B08DB" w:rsidP="00AE6D45">
            <w:pPr>
              <w:pStyle w:val="ListParagraph"/>
              <w:numPr>
                <w:ilvl w:val="0"/>
                <w:numId w:val="9"/>
              </w:numPr>
            </w:pPr>
            <w:r w:rsidRPr="00CB7932">
              <w:rPr>
                <w:i/>
              </w:rPr>
              <w:t>Cultural proficiency</w:t>
            </w:r>
            <w:r w:rsidRPr="00CB7932">
              <w:t xml:space="preserve"> program</w:t>
            </w:r>
          </w:p>
          <w:p w:rsidR="00CB7932" w:rsidRDefault="00CB7932" w:rsidP="00011B40">
            <w:pPr>
              <w:rPr>
                <w:szCs w:val="24"/>
              </w:rPr>
            </w:pPr>
          </w:p>
          <w:p w:rsidR="006B08DB" w:rsidRPr="00CB7932" w:rsidRDefault="006B08DB" w:rsidP="00011B40">
            <w:pPr>
              <w:rPr>
                <w:b/>
                <w:sz w:val="24"/>
                <w:szCs w:val="24"/>
              </w:rPr>
            </w:pPr>
            <w:r w:rsidRPr="00CB7932">
              <w:rPr>
                <w:b/>
                <w:sz w:val="24"/>
                <w:szCs w:val="24"/>
              </w:rPr>
              <w:t>Collaborative learning projects</w:t>
            </w:r>
          </w:p>
          <w:p w:rsidR="00CB7932" w:rsidRPr="007E67C5" w:rsidRDefault="00CB7932" w:rsidP="00011B40">
            <w:pPr>
              <w:rPr>
                <w:szCs w:val="24"/>
              </w:rPr>
            </w:pPr>
          </w:p>
          <w:p w:rsidR="006B08DB" w:rsidRDefault="006B08DB" w:rsidP="00011B40">
            <w:pPr>
              <w:rPr>
                <w:szCs w:val="22"/>
              </w:rPr>
            </w:pPr>
            <w:r w:rsidRPr="007E67C5">
              <w:rPr>
                <w:szCs w:val="22"/>
              </w:rPr>
              <w:t xml:space="preserve">The collaborative learning projects were framed by the five professional practices of the </w:t>
            </w:r>
            <w:r w:rsidRPr="007E67C5">
              <w:rPr>
                <w:i/>
                <w:szCs w:val="22"/>
              </w:rPr>
              <w:t>Australian</w:t>
            </w:r>
            <w:r w:rsidRPr="007E67C5">
              <w:rPr>
                <w:szCs w:val="22"/>
              </w:rPr>
              <w:t xml:space="preserve"> </w:t>
            </w:r>
            <w:r w:rsidRPr="007E67C5">
              <w:rPr>
                <w:i/>
                <w:szCs w:val="22"/>
              </w:rPr>
              <w:t>professional standard for principals</w:t>
            </w:r>
            <w:r w:rsidRPr="007E67C5">
              <w:rPr>
                <w:szCs w:val="22"/>
              </w:rPr>
              <w:t>. Each collaborative learning project involved a cluster of current and emerging principals pursuing a negotiated professional inquiry question. Through this team process, learners supported and collaborated with each other to achieve an agreed common goal, through interaction with their peers.</w:t>
            </w:r>
          </w:p>
          <w:p w:rsidR="00CB7932" w:rsidRPr="007E67C5" w:rsidRDefault="00CB7932" w:rsidP="00011B40">
            <w:pPr>
              <w:rPr>
                <w:szCs w:val="22"/>
              </w:rPr>
            </w:pPr>
          </w:p>
          <w:p w:rsidR="006B08DB" w:rsidRPr="007E67C5" w:rsidRDefault="006B08DB" w:rsidP="00011B40">
            <w:pPr>
              <w:rPr>
                <w:szCs w:val="22"/>
              </w:rPr>
            </w:pPr>
            <w:r w:rsidRPr="007E67C5">
              <w:rPr>
                <w:szCs w:val="22"/>
              </w:rPr>
              <w:t>The principals’ associations received funding to establish six collaborative learning projects (</w:t>
            </w:r>
            <w:proofErr w:type="spellStart"/>
            <w:r w:rsidRPr="007E67C5">
              <w:rPr>
                <w:szCs w:val="22"/>
              </w:rPr>
              <w:t>CLP</w:t>
            </w:r>
            <w:proofErr w:type="spellEnd"/>
            <w:r w:rsidRPr="007E67C5">
              <w:rPr>
                <w:szCs w:val="22"/>
              </w:rPr>
              <w:t>), to provide opportunities for current and aspiring leaders to:</w:t>
            </w:r>
          </w:p>
          <w:p w:rsidR="006B08DB" w:rsidRPr="00CB7932" w:rsidRDefault="006B08DB" w:rsidP="00AE6D45">
            <w:pPr>
              <w:pStyle w:val="ListParagraph"/>
              <w:numPr>
                <w:ilvl w:val="0"/>
                <w:numId w:val="7"/>
              </w:numPr>
              <w:tabs>
                <w:tab w:val="clear" w:pos="720"/>
                <w:tab w:val="num" w:pos="1134"/>
              </w:tabs>
              <w:ind w:left="1134" w:hanging="425"/>
              <w:rPr>
                <w:rFonts w:cstheme="minorHAnsi"/>
              </w:rPr>
            </w:pPr>
            <w:r w:rsidRPr="00CB7932">
              <w:rPr>
                <w:rFonts w:cstheme="minorHAnsi"/>
              </w:rPr>
              <w:lastRenderedPageBreak/>
              <w:t>build their capacity to lead and manage change</w:t>
            </w:r>
          </w:p>
          <w:p w:rsidR="006B08DB" w:rsidRPr="00CB7932" w:rsidRDefault="006B08DB" w:rsidP="00AE6D45">
            <w:pPr>
              <w:pStyle w:val="ListParagraph"/>
              <w:numPr>
                <w:ilvl w:val="0"/>
                <w:numId w:val="7"/>
              </w:numPr>
              <w:tabs>
                <w:tab w:val="clear" w:pos="720"/>
                <w:tab w:val="num" w:pos="1134"/>
              </w:tabs>
              <w:ind w:left="1134" w:hanging="425"/>
              <w:rPr>
                <w:rFonts w:cstheme="minorHAnsi"/>
              </w:rPr>
            </w:pPr>
            <w:r w:rsidRPr="00CB7932">
              <w:rPr>
                <w:rFonts w:cstheme="minorHAnsi"/>
              </w:rPr>
              <w:t>collaborate with other principals to contribute to school and system improvement</w:t>
            </w:r>
          </w:p>
          <w:p w:rsidR="006B08DB" w:rsidRPr="00CB7932" w:rsidRDefault="006B08DB" w:rsidP="00AE6D45">
            <w:pPr>
              <w:pStyle w:val="ListParagraph"/>
              <w:numPr>
                <w:ilvl w:val="0"/>
                <w:numId w:val="7"/>
              </w:numPr>
              <w:tabs>
                <w:tab w:val="clear" w:pos="720"/>
                <w:tab w:val="num" w:pos="1134"/>
              </w:tabs>
              <w:ind w:left="1134" w:hanging="425"/>
              <w:rPr>
                <w:rFonts w:cstheme="minorHAnsi"/>
              </w:rPr>
            </w:pPr>
            <w:r w:rsidRPr="00CB7932">
              <w:rPr>
                <w:rFonts w:cstheme="minorHAnsi"/>
              </w:rPr>
              <w:t>use evidence-based methodologies to determine priority areas</w:t>
            </w:r>
          </w:p>
          <w:p w:rsidR="006B08DB" w:rsidRPr="00CB7932" w:rsidRDefault="006B08DB" w:rsidP="00AE6D45">
            <w:pPr>
              <w:pStyle w:val="ListParagraph"/>
              <w:numPr>
                <w:ilvl w:val="0"/>
                <w:numId w:val="7"/>
              </w:numPr>
              <w:tabs>
                <w:tab w:val="clear" w:pos="720"/>
                <w:tab w:val="num" w:pos="1134"/>
              </w:tabs>
              <w:ind w:left="1134" w:hanging="425"/>
              <w:rPr>
                <w:rFonts w:cstheme="minorHAnsi"/>
              </w:rPr>
            </w:pPr>
            <w:r w:rsidRPr="00CB7932">
              <w:rPr>
                <w:rFonts w:cstheme="minorHAnsi"/>
              </w:rPr>
              <w:t>engage in robust inquiry processes</w:t>
            </w:r>
          </w:p>
          <w:p w:rsidR="006B08DB" w:rsidRPr="00CB7932" w:rsidRDefault="006B08DB" w:rsidP="00AE6D45">
            <w:pPr>
              <w:pStyle w:val="ListParagraph"/>
              <w:numPr>
                <w:ilvl w:val="0"/>
                <w:numId w:val="7"/>
              </w:numPr>
              <w:tabs>
                <w:tab w:val="clear" w:pos="720"/>
                <w:tab w:val="num" w:pos="1134"/>
              </w:tabs>
              <w:ind w:left="1134" w:hanging="425"/>
              <w:rPr>
                <w:rFonts w:cstheme="minorHAnsi"/>
              </w:rPr>
            </w:pPr>
            <w:r w:rsidRPr="00CB7932">
              <w:rPr>
                <w:rFonts w:cstheme="minorHAnsi"/>
              </w:rPr>
              <w:t>validate the impact of their leadership on school and system improvement</w:t>
            </w:r>
          </w:p>
          <w:p w:rsidR="006B08DB" w:rsidRPr="00CB7932" w:rsidRDefault="006B08DB" w:rsidP="00AE6D45">
            <w:pPr>
              <w:pStyle w:val="ListParagraph"/>
              <w:numPr>
                <w:ilvl w:val="0"/>
                <w:numId w:val="7"/>
              </w:numPr>
              <w:tabs>
                <w:tab w:val="clear" w:pos="720"/>
                <w:tab w:val="num" w:pos="1134"/>
              </w:tabs>
              <w:ind w:left="1134" w:hanging="425"/>
              <w:rPr>
                <w:rFonts w:cstheme="minorHAnsi"/>
              </w:rPr>
            </w:pPr>
            <w:r w:rsidRPr="00CB7932">
              <w:rPr>
                <w:rFonts w:cstheme="minorHAnsi"/>
              </w:rPr>
              <w:t>review and evaluate project outcomes</w:t>
            </w:r>
          </w:p>
          <w:p w:rsidR="006B08DB" w:rsidRPr="00CB7932" w:rsidRDefault="006B08DB" w:rsidP="00AE6D45">
            <w:pPr>
              <w:pStyle w:val="ListParagraph"/>
              <w:numPr>
                <w:ilvl w:val="0"/>
                <w:numId w:val="7"/>
              </w:numPr>
              <w:tabs>
                <w:tab w:val="clear" w:pos="720"/>
                <w:tab w:val="num" w:pos="1134"/>
              </w:tabs>
              <w:ind w:left="1134" w:hanging="425"/>
              <w:rPr>
                <w:rFonts w:cstheme="minorHAnsi"/>
              </w:rPr>
            </w:pPr>
            <w:proofErr w:type="gramStart"/>
            <w:r w:rsidRPr="00CB7932">
              <w:rPr>
                <w:rFonts w:cstheme="minorHAnsi"/>
              </w:rPr>
              <w:t>report</w:t>
            </w:r>
            <w:proofErr w:type="gramEnd"/>
            <w:r w:rsidRPr="00CB7932">
              <w:rPr>
                <w:rFonts w:cstheme="minorHAnsi"/>
              </w:rPr>
              <w:t>, showcase and share successes.</w:t>
            </w:r>
          </w:p>
          <w:p w:rsidR="006B08DB" w:rsidRPr="007E67C5" w:rsidRDefault="006B08DB" w:rsidP="00011B40">
            <w:pPr>
              <w:rPr>
                <w:szCs w:val="22"/>
              </w:rPr>
            </w:pPr>
            <w:r w:rsidRPr="007E67C5">
              <w:rPr>
                <w:szCs w:val="22"/>
              </w:rPr>
              <w:t>The six professional inquiry questions were:</w:t>
            </w:r>
          </w:p>
          <w:p w:rsidR="006B08DB" w:rsidRPr="00CB7932" w:rsidRDefault="006B08DB" w:rsidP="00AE6D45">
            <w:pPr>
              <w:pStyle w:val="ListParagraph"/>
              <w:numPr>
                <w:ilvl w:val="0"/>
                <w:numId w:val="10"/>
              </w:numPr>
            </w:pPr>
            <w:r w:rsidRPr="00CB7932">
              <w:rPr>
                <w:u w:val="single"/>
              </w:rPr>
              <w:t xml:space="preserve">Within the rural context </w:t>
            </w:r>
            <w:r w:rsidRPr="00CB7932">
              <w:t xml:space="preserve">what do we as principals of rural schools need to know, understand and do to build the capacity and sustainability of middle level leadership to support continuous improvement in teaching and learning? </w:t>
            </w:r>
          </w:p>
          <w:p w:rsidR="006B08DB" w:rsidRPr="00CB7932" w:rsidRDefault="006B08DB" w:rsidP="00AE6D45">
            <w:pPr>
              <w:pStyle w:val="ListParagraph"/>
              <w:numPr>
                <w:ilvl w:val="0"/>
                <w:numId w:val="10"/>
              </w:numPr>
            </w:pPr>
            <w:r w:rsidRPr="00CB7932">
              <w:t xml:space="preserve">As a principal, what do I need to know, understand and do to ensure that the </w:t>
            </w:r>
            <w:r w:rsidRPr="00CB7932">
              <w:rPr>
                <w:u w:val="single"/>
              </w:rPr>
              <w:t xml:space="preserve">professional learning model </w:t>
            </w:r>
            <w:r w:rsidRPr="00CB7932">
              <w:t xml:space="preserve">in my school is rigorous and effective and results in enhanced student performance? </w:t>
            </w:r>
          </w:p>
          <w:p w:rsidR="006B08DB" w:rsidRPr="00CB7932" w:rsidRDefault="006B08DB" w:rsidP="00AE6D45">
            <w:pPr>
              <w:pStyle w:val="ListParagraph"/>
              <w:numPr>
                <w:ilvl w:val="0"/>
                <w:numId w:val="10"/>
              </w:numPr>
            </w:pPr>
            <w:r w:rsidRPr="00CB7932">
              <w:t xml:space="preserve">As a leader of teaching and learning what do I need to know, understand and do to build the capacity of my </w:t>
            </w:r>
            <w:r w:rsidRPr="00CB7932">
              <w:rPr>
                <w:u w:val="single"/>
              </w:rPr>
              <w:t xml:space="preserve">school leadership team </w:t>
            </w:r>
            <w:r w:rsidRPr="00CB7932">
              <w:t xml:space="preserve">to work together to achieve whole school improvement? </w:t>
            </w:r>
          </w:p>
          <w:p w:rsidR="006B08DB" w:rsidRPr="00CB7932" w:rsidRDefault="006B08DB" w:rsidP="00AE6D45">
            <w:pPr>
              <w:pStyle w:val="ListParagraph"/>
              <w:numPr>
                <w:ilvl w:val="0"/>
                <w:numId w:val="10"/>
              </w:numPr>
            </w:pPr>
            <w:r w:rsidRPr="00CB7932">
              <w:t xml:space="preserve">As a leader of teaching and learning what do I need to know to inspire confident </w:t>
            </w:r>
            <w:r w:rsidRPr="00CB7932">
              <w:rPr>
                <w:u w:val="single"/>
              </w:rPr>
              <w:t xml:space="preserve">self-reflecting teachers </w:t>
            </w:r>
            <w:r w:rsidRPr="00CB7932">
              <w:t xml:space="preserve">in order to sustain high quality teaching and learning? </w:t>
            </w:r>
          </w:p>
          <w:p w:rsidR="006B08DB" w:rsidRPr="00CB7932" w:rsidRDefault="006B08DB" w:rsidP="00AE6D45">
            <w:pPr>
              <w:pStyle w:val="ListParagraph"/>
              <w:numPr>
                <w:ilvl w:val="0"/>
                <w:numId w:val="10"/>
              </w:numPr>
            </w:pPr>
            <w:r w:rsidRPr="00CB7932">
              <w:t xml:space="preserve">As a leader of teaching and learning what do I need to know and understand about how </w:t>
            </w:r>
            <w:r w:rsidRPr="00CB7932">
              <w:rPr>
                <w:u w:val="single"/>
              </w:rPr>
              <w:t xml:space="preserve">feedback together with effective instruction </w:t>
            </w:r>
            <w:r w:rsidRPr="00CB7932">
              <w:t>can enhance learning in the classroom?</w:t>
            </w:r>
          </w:p>
          <w:p w:rsidR="006B08DB" w:rsidRPr="00CB7932" w:rsidRDefault="006B08DB" w:rsidP="00AE6D45">
            <w:pPr>
              <w:pStyle w:val="ListParagraph"/>
              <w:numPr>
                <w:ilvl w:val="0"/>
                <w:numId w:val="10"/>
              </w:numPr>
            </w:pPr>
            <w:r w:rsidRPr="00CB7932">
              <w:t xml:space="preserve">As school leaders what do we need to know and understand in order to lead and challenge our school communities </w:t>
            </w:r>
            <w:r w:rsidRPr="00CB7932">
              <w:rPr>
                <w:u w:val="single"/>
              </w:rPr>
              <w:t xml:space="preserve">to integrate </w:t>
            </w:r>
            <w:proofErr w:type="spellStart"/>
            <w:r w:rsidRPr="00CB7932">
              <w:rPr>
                <w:u w:val="single"/>
              </w:rPr>
              <w:t>ICTs</w:t>
            </w:r>
            <w:proofErr w:type="spellEnd"/>
            <w:r w:rsidRPr="00CB7932">
              <w:rPr>
                <w:u w:val="single"/>
              </w:rPr>
              <w:t xml:space="preserve"> </w:t>
            </w:r>
            <w:r w:rsidRPr="00CB7932">
              <w:t xml:space="preserve">to enhance contemporary learning? </w:t>
            </w:r>
          </w:p>
          <w:p w:rsidR="006B08DB" w:rsidRDefault="006B08DB" w:rsidP="00011B40">
            <w:pPr>
              <w:rPr>
                <w:szCs w:val="22"/>
              </w:rPr>
            </w:pPr>
            <w:r w:rsidRPr="007E67C5">
              <w:rPr>
                <w:szCs w:val="22"/>
              </w:rPr>
              <w:t xml:space="preserve">Two of the projects had a primary school focus, and four projects centred on secondary schools. Thirty of the 103 SA Catholic schools were represented by the 30 principals and 12 emerging principals participated in a </w:t>
            </w:r>
            <w:proofErr w:type="spellStart"/>
            <w:r w:rsidRPr="007E67C5">
              <w:rPr>
                <w:szCs w:val="22"/>
              </w:rPr>
              <w:t>CLP</w:t>
            </w:r>
            <w:proofErr w:type="spellEnd"/>
            <w:r w:rsidRPr="007E67C5">
              <w:rPr>
                <w:szCs w:val="22"/>
              </w:rPr>
              <w:t xml:space="preserve">. </w:t>
            </w:r>
          </w:p>
          <w:p w:rsidR="00CB7932" w:rsidRPr="007E67C5" w:rsidRDefault="00CB7932" w:rsidP="00011B40">
            <w:pPr>
              <w:rPr>
                <w:szCs w:val="22"/>
              </w:rPr>
            </w:pPr>
          </w:p>
          <w:p w:rsidR="006B08DB" w:rsidRDefault="006B08DB" w:rsidP="00011B40">
            <w:pPr>
              <w:rPr>
                <w:szCs w:val="22"/>
              </w:rPr>
            </w:pPr>
            <w:r w:rsidRPr="007E67C5">
              <w:rPr>
                <w:szCs w:val="22"/>
              </w:rPr>
              <w:t xml:space="preserve">Each collaborative learning project submitted a final report. In addition, the two principal associations provided a formal report to the CEO outlining the benefits, success factors and challenges associated with the project. </w:t>
            </w:r>
          </w:p>
          <w:p w:rsidR="00CB7932" w:rsidRPr="007E67C5" w:rsidRDefault="00CB7932" w:rsidP="00011B40">
            <w:pPr>
              <w:rPr>
                <w:szCs w:val="22"/>
              </w:rPr>
            </w:pPr>
          </w:p>
          <w:p w:rsidR="006B08DB" w:rsidRPr="007E67C5" w:rsidRDefault="006B08DB" w:rsidP="00011B40">
            <w:pPr>
              <w:rPr>
                <w:szCs w:val="22"/>
              </w:rPr>
            </w:pPr>
            <w:r w:rsidRPr="007E67C5">
              <w:rPr>
                <w:szCs w:val="22"/>
              </w:rPr>
              <w:t>These reports indicated the following overall benefits for principals:</w:t>
            </w:r>
          </w:p>
          <w:p w:rsidR="006B08DB" w:rsidRPr="00CB7932" w:rsidRDefault="006B08DB" w:rsidP="00AE6D45">
            <w:pPr>
              <w:pStyle w:val="ListParagraph"/>
              <w:numPr>
                <w:ilvl w:val="0"/>
                <w:numId w:val="7"/>
              </w:numPr>
              <w:tabs>
                <w:tab w:val="clear" w:pos="720"/>
                <w:tab w:val="num" w:pos="1134"/>
              </w:tabs>
              <w:ind w:left="1134" w:hanging="425"/>
              <w:rPr>
                <w:rFonts w:cstheme="minorHAnsi"/>
              </w:rPr>
            </w:pPr>
            <w:r w:rsidRPr="00CB7932">
              <w:rPr>
                <w:rFonts w:cstheme="minorHAnsi"/>
              </w:rPr>
              <w:t>Professional expertise – this project facilitated access to high quality professionals who provided expert knowledge, individual direction, visioning and support</w:t>
            </w:r>
          </w:p>
          <w:p w:rsidR="006B08DB" w:rsidRPr="00CB7932" w:rsidRDefault="006B08DB" w:rsidP="00AE6D45">
            <w:pPr>
              <w:pStyle w:val="ListParagraph"/>
              <w:numPr>
                <w:ilvl w:val="0"/>
                <w:numId w:val="7"/>
              </w:numPr>
              <w:tabs>
                <w:tab w:val="clear" w:pos="720"/>
                <w:tab w:val="num" w:pos="1134"/>
              </w:tabs>
              <w:ind w:left="1134" w:hanging="425"/>
              <w:rPr>
                <w:rFonts w:cstheme="minorHAnsi"/>
              </w:rPr>
            </w:pPr>
            <w:r w:rsidRPr="00CB7932">
              <w:rPr>
                <w:rFonts w:cstheme="minorHAnsi"/>
              </w:rPr>
              <w:t>Collaboration – this project provided opportunities for principals to work collaboratively and supported the development of collegial support and mentoring</w:t>
            </w:r>
          </w:p>
          <w:p w:rsidR="006B08DB" w:rsidRPr="00CB7932" w:rsidRDefault="006B08DB" w:rsidP="00AE6D45">
            <w:pPr>
              <w:pStyle w:val="ListParagraph"/>
              <w:numPr>
                <w:ilvl w:val="0"/>
                <w:numId w:val="7"/>
              </w:numPr>
              <w:tabs>
                <w:tab w:val="clear" w:pos="720"/>
                <w:tab w:val="num" w:pos="1134"/>
              </w:tabs>
              <w:ind w:left="1134" w:hanging="425"/>
              <w:rPr>
                <w:rFonts w:cstheme="minorHAnsi"/>
              </w:rPr>
            </w:pPr>
            <w:r w:rsidRPr="00CB7932">
              <w:rPr>
                <w:rFonts w:cstheme="minorHAnsi"/>
              </w:rPr>
              <w:t>Sustainability – because projects were based on individual needs of principals and their schools, this has led to sustained change and growth at the school level</w:t>
            </w:r>
          </w:p>
          <w:p w:rsidR="006B08DB" w:rsidRPr="00CB7932" w:rsidRDefault="006B08DB" w:rsidP="00AE6D45">
            <w:pPr>
              <w:pStyle w:val="ListParagraph"/>
              <w:numPr>
                <w:ilvl w:val="0"/>
                <w:numId w:val="7"/>
              </w:numPr>
              <w:tabs>
                <w:tab w:val="clear" w:pos="720"/>
                <w:tab w:val="num" w:pos="1134"/>
              </w:tabs>
              <w:ind w:left="1134" w:hanging="425"/>
              <w:rPr>
                <w:rFonts w:cstheme="minorHAnsi"/>
              </w:rPr>
            </w:pPr>
            <w:r w:rsidRPr="00CB7932">
              <w:rPr>
                <w:rFonts w:cstheme="minorHAnsi"/>
              </w:rPr>
              <w:t>Current best practice – the research component encouraged learning about current best practice and contemporary education issues</w:t>
            </w:r>
          </w:p>
          <w:p w:rsidR="006B08DB" w:rsidRPr="00CB7932" w:rsidRDefault="006B08DB" w:rsidP="00AE6D45">
            <w:pPr>
              <w:pStyle w:val="ListParagraph"/>
              <w:numPr>
                <w:ilvl w:val="0"/>
                <w:numId w:val="7"/>
              </w:numPr>
              <w:tabs>
                <w:tab w:val="clear" w:pos="720"/>
                <w:tab w:val="num" w:pos="1134"/>
              </w:tabs>
              <w:ind w:left="1134" w:hanging="425"/>
              <w:rPr>
                <w:rFonts w:cstheme="minorHAnsi"/>
              </w:rPr>
            </w:pPr>
            <w:r w:rsidRPr="00CB7932">
              <w:rPr>
                <w:rFonts w:cstheme="minorHAnsi"/>
                <w:i/>
              </w:rPr>
              <w:t>Australian professional standard for principals</w:t>
            </w:r>
            <w:r w:rsidRPr="00CB7932">
              <w:rPr>
                <w:rFonts w:cstheme="minorHAnsi"/>
              </w:rPr>
              <w:t xml:space="preserve"> – a greater understanding of the standard was a key outcome of this project.</w:t>
            </w:r>
          </w:p>
          <w:p w:rsidR="006B08DB" w:rsidRPr="007E67C5" w:rsidRDefault="006B08DB" w:rsidP="00011B40">
            <w:pPr>
              <w:rPr>
                <w:szCs w:val="22"/>
              </w:rPr>
            </w:pPr>
            <w:r w:rsidRPr="007E67C5">
              <w:rPr>
                <w:szCs w:val="22"/>
              </w:rPr>
              <w:t xml:space="preserve">Key success factors of the </w:t>
            </w:r>
            <w:proofErr w:type="spellStart"/>
            <w:r w:rsidRPr="007E67C5">
              <w:rPr>
                <w:szCs w:val="22"/>
              </w:rPr>
              <w:t>CLPs</w:t>
            </w:r>
            <w:proofErr w:type="spellEnd"/>
            <w:r w:rsidRPr="007E67C5">
              <w:rPr>
                <w:szCs w:val="22"/>
              </w:rPr>
              <w:t xml:space="preserve"> </w:t>
            </w:r>
          </w:p>
          <w:p w:rsidR="006B08DB" w:rsidRPr="00CB7932" w:rsidRDefault="006B08DB" w:rsidP="00AE6D45">
            <w:pPr>
              <w:pStyle w:val="ListParagraph"/>
              <w:numPr>
                <w:ilvl w:val="0"/>
                <w:numId w:val="7"/>
              </w:numPr>
              <w:tabs>
                <w:tab w:val="clear" w:pos="720"/>
                <w:tab w:val="num" w:pos="1134"/>
              </w:tabs>
              <w:ind w:left="1134" w:hanging="425"/>
              <w:rPr>
                <w:rFonts w:cstheme="minorHAnsi"/>
              </w:rPr>
            </w:pPr>
            <w:r w:rsidRPr="00CB7932">
              <w:rPr>
                <w:rFonts w:cstheme="minorHAnsi"/>
              </w:rPr>
              <w:t xml:space="preserve">The involvement of the two principal associations enabled the projects to support the work of principals in their schools. Each </w:t>
            </w:r>
            <w:proofErr w:type="spellStart"/>
            <w:r w:rsidRPr="00CB7932">
              <w:rPr>
                <w:rFonts w:cstheme="minorHAnsi"/>
              </w:rPr>
              <w:t>CLP</w:t>
            </w:r>
            <w:proofErr w:type="spellEnd"/>
            <w:r w:rsidRPr="00CB7932">
              <w:rPr>
                <w:rFonts w:cstheme="minorHAnsi"/>
              </w:rPr>
              <w:t xml:space="preserve"> topic could be ‘nuanced’ to meet the specific needs of each principal whilst still addressing the common professional inquiry question.</w:t>
            </w:r>
          </w:p>
          <w:p w:rsidR="006B08DB" w:rsidRPr="00CB7932" w:rsidRDefault="006B08DB" w:rsidP="00AE6D45">
            <w:pPr>
              <w:pStyle w:val="ListParagraph"/>
              <w:numPr>
                <w:ilvl w:val="0"/>
                <w:numId w:val="7"/>
              </w:numPr>
              <w:tabs>
                <w:tab w:val="clear" w:pos="720"/>
                <w:tab w:val="num" w:pos="1134"/>
              </w:tabs>
              <w:ind w:left="1134" w:hanging="425"/>
              <w:rPr>
                <w:rFonts w:cstheme="minorHAnsi"/>
              </w:rPr>
            </w:pPr>
            <w:r w:rsidRPr="00CB7932">
              <w:rPr>
                <w:rFonts w:cstheme="minorHAnsi"/>
              </w:rPr>
              <w:t xml:space="preserve">The projects were identified and chosen by principals to meet their specific needs and contexts. </w:t>
            </w:r>
          </w:p>
          <w:p w:rsidR="006B08DB" w:rsidRPr="00CB7932" w:rsidRDefault="006B08DB" w:rsidP="00AE6D45">
            <w:pPr>
              <w:pStyle w:val="ListParagraph"/>
              <w:numPr>
                <w:ilvl w:val="0"/>
                <w:numId w:val="7"/>
              </w:numPr>
              <w:tabs>
                <w:tab w:val="clear" w:pos="720"/>
                <w:tab w:val="num" w:pos="1134"/>
              </w:tabs>
              <w:ind w:left="1134" w:hanging="425"/>
              <w:rPr>
                <w:rFonts w:cstheme="minorHAnsi"/>
              </w:rPr>
            </w:pPr>
            <w:r w:rsidRPr="00CB7932">
              <w:rPr>
                <w:rFonts w:cstheme="minorHAnsi"/>
              </w:rPr>
              <w:t xml:space="preserve">The </w:t>
            </w:r>
            <w:proofErr w:type="spellStart"/>
            <w:r w:rsidRPr="00CB7932">
              <w:rPr>
                <w:rFonts w:cstheme="minorHAnsi"/>
              </w:rPr>
              <w:t>CLPs</w:t>
            </w:r>
            <w:proofErr w:type="spellEnd"/>
            <w:r w:rsidRPr="00CB7932">
              <w:rPr>
                <w:rFonts w:cstheme="minorHAnsi"/>
              </w:rPr>
              <w:t xml:space="preserve"> encouraged ‘ownership’ by principals, which led to commitment, self-reflection, and </w:t>
            </w:r>
            <w:r w:rsidRPr="00CB7932">
              <w:rPr>
                <w:rFonts w:cstheme="minorHAnsi"/>
              </w:rPr>
              <w:lastRenderedPageBreak/>
              <w:t>professional development.</w:t>
            </w:r>
          </w:p>
          <w:p w:rsidR="006B08DB" w:rsidRPr="00CB7932" w:rsidRDefault="006B08DB" w:rsidP="00AE6D45">
            <w:pPr>
              <w:pStyle w:val="ListParagraph"/>
              <w:numPr>
                <w:ilvl w:val="0"/>
                <w:numId w:val="7"/>
              </w:numPr>
              <w:tabs>
                <w:tab w:val="clear" w:pos="720"/>
                <w:tab w:val="num" w:pos="1134"/>
              </w:tabs>
              <w:ind w:left="1134" w:hanging="425"/>
              <w:rPr>
                <w:rFonts w:cstheme="minorHAnsi"/>
              </w:rPr>
            </w:pPr>
            <w:r w:rsidRPr="00CB7932">
              <w:rPr>
                <w:rFonts w:cstheme="minorHAnsi"/>
              </w:rPr>
              <w:t xml:space="preserve">The ‘expert partners’ who worked with each </w:t>
            </w:r>
            <w:proofErr w:type="spellStart"/>
            <w:r w:rsidRPr="00CB7932">
              <w:rPr>
                <w:rFonts w:cstheme="minorHAnsi"/>
              </w:rPr>
              <w:t>CLP</w:t>
            </w:r>
            <w:proofErr w:type="spellEnd"/>
            <w:r w:rsidRPr="00CB7932">
              <w:rPr>
                <w:rFonts w:cstheme="minorHAnsi"/>
              </w:rPr>
              <w:t xml:space="preserve"> provided expert input, up-to-date research and knowledge and informed advice which ensured that the professional learning was high quality, relevant, evidence-based and collaborative.</w:t>
            </w:r>
          </w:p>
          <w:p w:rsidR="006B08DB" w:rsidRDefault="006B08DB" w:rsidP="00011B40">
            <w:pPr>
              <w:rPr>
                <w:szCs w:val="22"/>
              </w:rPr>
            </w:pPr>
            <w:r w:rsidRPr="007E67C5">
              <w:rPr>
                <w:szCs w:val="22"/>
              </w:rPr>
              <w:t xml:space="preserve">One of the collaborative learning projects became involved in an additional project with </w:t>
            </w:r>
            <w:proofErr w:type="spellStart"/>
            <w:r w:rsidRPr="007E67C5">
              <w:rPr>
                <w:szCs w:val="22"/>
              </w:rPr>
              <w:t>AITSL</w:t>
            </w:r>
            <w:proofErr w:type="spellEnd"/>
            <w:r w:rsidRPr="007E67C5">
              <w:rPr>
                <w:szCs w:val="22"/>
              </w:rPr>
              <w:t xml:space="preserve">, investigating the potential advantages to principals of participating in online learning programs. This is a joint project between </w:t>
            </w:r>
            <w:proofErr w:type="spellStart"/>
            <w:r w:rsidRPr="007E67C5">
              <w:rPr>
                <w:szCs w:val="22"/>
              </w:rPr>
              <w:t>CESA</w:t>
            </w:r>
            <w:proofErr w:type="spellEnd"/>
            <w:r w:rsidRPr="007E67C5">
              <w:rPr>
                <w:szCs w:val="22"/>
              </w:rPr>
              <w:t xml:space="preserve"> and </w:t>
            </w:r>
            <w:proofErr w:type="spellStart"/>
            <w:r w:rsidRPr="007E67C5">
              <w:rPr>
                <w:szCs w:val="22"/>
              </w:rPr>
              <w:t>DECD</w:t>
            </w:r>
            <w:proofErr w:type="spellEnd"/>
            <w:r w:rsidRPr="007E67C5">
              <w:rPr>
                <w:szCs w:val="22"/>
              </w:rPr>
              <w:t xml:space="preserve"> and is led by Adjunct Professor Helen Nixon and Dr Rosie </w:t>
            </w:r>
            <w:proofErr w:type="spellStart"/>
            <w:r w:rsidRPr="007E67C5">
              <w:rPr>
                <w:szCs w:val="22"/>
              </w:rPr>
              <w:t>Kerin</w:t>
            </w:r>
            <w:proofErr w:type="spellEnd"/>
            <w:r w:rsidRPr="007E67C5">
              <w:rPr>
                <w:szCs w:val="22"/>
              </w:rPr>
              <w:t>, together with international researcher Dr Alma Harris. The research question is: How do online professional learning opportunities and resources, augmented by a specific focus on self-reflection and appraisal, inform principal knowledge, understanding and practice?</w:t>
            </w:r>
          </w:p>
          <w:p w:rsidR="00CB7932" w:rsidRPr="007E67C5" w:rsidRDefault="00CB7932" w:rsidP="00011B40">
            <w:pPr>
              <w:rPr>
                <w:szCs w:val="22"/>
              </w:rPr>
            </w:pPr>
          </w:p>
          <w:p w:rsidR="006B08DB" w:rsidRDefault="006B08DB" w:rsidP="00011B40">
            <w:pPr>
              <w:rPr>
                <w:szCs w:val="22"/>
              </w:rPr>
            </w:pPr>
            <w:r w:rsidRPr="007E67C5">
              <w:rPr>
                <w:szCs w:val="22"/>
              </w:rPr>
              <w:t>Three principals are involved in this project, which will cease in September 2013.</w:t>
            </w:r>
          </w:p>
          <w:p w:rsidR="00CB7932" w:rsidRPr="007E67C5" w:rsidRDefault="00CB7932" w:rsidP="00011B40">
            <w:pPr>
              <w:rPr>
                <w:szCs w:val="22"/>
              </w:rPr>
            </w:pPr>
          </w:p>
          <w:p w:rsidR="006B08DB" w:rsidRDefault="006B08DB" w:rsidP="00011B40">
            <w:pPr>
              <w:rPr>
                <w:szCs w:val="22"/>
              </w:rPr>
            </w:pPr>
            <w:r w:rsidRPr="007E67C5">
              <w:rPr>
                <w:szCs w:val="22"/>
              </w:rPr>
              <w:t xml:space="preserve">All the collaborative learning project reports were published online through the </w:t>
            </w:r>
            <w:proofErr w:type="spellStart"/>
            <w:r w:rsidRPr="007E67C5">
              <w:rPr>
                <w:szCs w:val="22"/>
              </w:rPr>
              <w:t>CESA</w:t>
            </w:r>
            <w:proofErr w:type="spellEnd"/>
            <w:r w:rsidRPr="007E67C5">
              <w:rPr>
                <w:szCs w:val="22"/>
              </w:rPr>
              <w:t xml:space="preserve"> Intranet for all Catholic school principals.</w:t>
            </w:r>
          </w:p>
          <w:p w:rsidR="00CB7932" w:rsidRPr="007E67C5" w:rsidRDefault="00CB7932" w:rsidP="00011B40">
            <w:pPr>
              <w:rPr>
                <w:szCs w:val="22"/>
              </w:rPr>
            </w:pPr>
          </w:p>
          <w:p w:rsidR="006B08DB" w:rsidRDefault="006B08DB" w:rsidP="00011B40">
            <w:pPr>
              <w:rPr>
                <w:b/>
                <w:szCs w:val="24"/>
              </w:rPr>
            </w:pPr>
            <w:r w:rsidRPr="00CB7932">
              <w:rPr>
                <w:b/>
                <w:szCs w:val="24"/>
              </w:rPr>
              <w:t>Showcase forum</w:t>
            </w:r>
          </w:p>
          <w:p w:rsidR="006B08DB" w:rsidRDefault="006B08DB" w:rsidP="00011B40">
            <w:pPr>
              <w:rPr>
                <w:szCs w:val="22"/>
              </w:rPr>
            </w:pPr>
            <w:r w:rsidRPr="007E67C5">
              <w:rPr>
                <w:szCs w:val="22"/>
              </w:rPr>
              <w:t xml:space="preserve">The </w:t>
            </w:r>
            <w:proofErr w:type="spellStart"/>
            <w:r w:rsidRPr="007E67C5">
              <w:rPr>
                <w:szCs w:val="22"/>
              </w:rPr>
              <w:t>CESA</w:t>
            </w:r>
            <w:proofErr w:type="spellEnd"/>
            <w:r w:rsidRPr="007E67C5">
              <w:rPr>
                <w:szCs w:val="22"/>
              </w:rPr>
              <w:t xml:space="preserve"> </w:t>
            </w:r>
            <w:proofErr w:type="spellStart"/>
            <w:r w:rsidRPr="007E67C5">
              <w:rPr>
                <w:szCs w:val="22"/>
              </w:rPr>
              <w:t>PPD</w:t>
            </w:r>
            <w:proofErr w:type="spellEnd"/>
            <w:r w:rsidRPr="007E67C5">
              <w:rPr>
                <w:szCs w:val="22"/>
              </w:rPr>
              <w:t xml:space="preserve"> showcase took place on 20 May 2013 and provided an opportunity for all collaborative learning projects (</w:t>
            </w:r>
            <w:proofErr w:type="spellStart"/>
            <w:r w:rsidRPr="007E67C5">
              <w:rPr>
                <w:szCs w:val="22"/>
              </w:rPr>
              <w:t>CLPs</w:t>
            </w:r>
            <w:proofErr w:type="spellEnd"/>
            <w:r w:rsidRPr="007E67C5">
              <w:rPr>
                <w:szCs w:val="22"/>
              </w:rPr>
              <w:t xml:space="preserve">) to share their learning with all Catholic schools. </w:t>
            </w:r>
          </w:p>
          <w:p w:rsidR="00CB7932" w:rsidRPr="007E67C5" w:rsidRDefault="00CB7932" w:rsidP="00011B40">
            <w:pPr>
              <w:rPr>
                <w:szCs w:val="22"/>
              </w:rPr>
            </w:pPr>
          </w:p>
          <w:p w:rsidR="006B08DB" w:rsidRPr="007E67C5" w:rsidRDefault="006B08DB" w:rsidP="00011B40">
            <w:pPr>
              <w:rPr>
                <w:szCs w:val="22"/>
              </w:rPr>
            </w:pPr>
            <w:r w:rsidRPr="007E67C5">
              <w:rPr>
                <w:bCs/>
                <w:iCs/>
                <w:szCs w:val="22"/>
              </w:rPr>
              <w:t>Thirty principals and eight emerging principals, from 38 SA Catholic schools attended, with t</w:t>
            </w:r>
            <w:r w:rsidRPr="007E67C5">
              <w:rPr>
                <w:szCs w:val="22"/>
              </w:rPr>
              <w:t xml:space="preserve">he showcase presentations focused on the professional inquiry questions of each of the six collaborative learning projects: </w:t>
            </w:r>
          </w:p>
          <w:p w:rsidR="006B08DB" w:rsidRDefault="006B08DB" w:rsidP="00011B40">
            <w:pPr>
              <w:rPr>
                <w:szCs w:val="22"/>
              </w:rPr>
            </w:pPr>
            <w:r w:rsidRPr="007E67C5">
              <w:rPr>
                <w:szCs w:val="22"/>
              </w:rPr>
              <w:t>The showcase presentations were distributed to all Catholic school principals.</w:t>
            </w:r>
          </w:p>
          <w:p w:rsidR="00CB7932" w:rsidRPr="007E67C5" w:rsidRDefault="00CB7932" w:rsidP="00011B40">
            <w:pPr>
              <w:rPr>
                <w:szCs w:val="22"/>
              </w:rPr>
            </w:pPr>
          </w:p>
          <w:p w:rsidR="006B08DB" w:rsidRDefault="006B08DB" w:rsidP="00011B40">
            <w:pPr>
              <w:rPr>
                <w:b/>
                <w:szCs w:val="24"/>
              </w:rPr>
            </w:pPr>
            <w:r w:rsidRPr="00CB7932">
              <w:rPr>
                <w:b/>
                <w:szCs w:val="24"/>
              </w:rPr>
              <w:t>Building school improvement capacity</w:t>
            </w:r>
          </w:p>
          <w:p w:rsidR="006B08DB" w:rsidRDefault="006B08DB" w:rsidP="00011B40">
            <w:pPr>
              <w:rPr>
                <w:szCs w:val="22"/>
              </w:rPr>
            </w:pPr>
            <w:r w:rsidRPr="007E67C5">
              <w:rPr>
                <w:szCs w:val="22"/>
              </w:rPr>
              <w:t xml:space="preserve">The original contract with DEEWR committed </w:t>
            </w:r>
            <w:proofErr w:type="spellStart"/>
            <w:r w:rsidRPr="007E67C5">
              <w:rPr>
                <w:szCs w:val="22"/>
              </w:rPr>
              <w:t>CESA</w:t>
            </w:r>
            <w:proofErr w:type="spellEnd"/>
            <w:r w:rsidRPr="007E67C5">
              <w:rPr>
                <w:szCs w:val="22"/>
              </w:rPr>
              <w:t xml:space="preserve"> to presenting one forum on building school improvement capacity. </w:t>
            </w:r>
          </w:p>
          <w:p w:rsidR="00CB7932" w:rsidRPr="007E67C5" w:rsidRDefault="00CB7932" w:rsidP="00011B40">
            <w:pPr>
              <w:rPr>
                <w:szCs w:val="22"/>
              </w:rPr>
            </w:pPr>
          </w:p>
          <w:p w:rsidR="006B08DB" w:rsidRDefault="006B08DB" w:rsidP="00011B40">
            <w:pPr>
              <w:rPr>
                <w:szCs w:val="22"/>
              </w:rPr>
            </w:pPr>
            <w:r w:rsidRPr="007E67C5">
              <w:rPr>
                <w:szCs w:val="22"/>
              </w:rPr>
              <w:t xml:space="preserve">The first forum, held in November 2012, was entitled ‘Leading learning – How to get there from here?’ and led by Dr Ben Jensen, Grattan Institute and Vic </w:t>
            </w:r>
            <w:proofErr w:type="spellStart"/>
            <w:r w:rsidRPr="007E67C5">
              <w:rPr>
                <w:szCs w:val="22"/>
              </w:rPr>
              <w:t>Zbar</w:t>
            </w:r>
            <w:proofErr w:type="spellEnd"/>
            <w:r w:rsidRPr="007E67C5">
              <w:rPr>
                <w:szCs w:val="22"/>
              </w:rPr>
              <w:t xml:space="preserve">, from </w:t>
            </w:r>
            <w:proofErr w:type="spellStart"/>
            <w:r w:rsidRPr="007E67C5">
              <w:rPr>
                <w:szCs w:val="22"/>
              </w:rPr>
              <w:t>Zbar</w:t>
            </w:r>
            <w:proofErr w:type="spellEnd"/>
            <w:r w:rsidRPr="007E67C5">
              <w:rPr>
                <w:szCs w:val="22"/>
              </w:rPr>
              <w:t xml:space="preserve"> Consulting. Both are prominent specialists in the area of school improvement. </w:t>
            </w:r>
          </w:p>
          <w:p w:rsidR="00CB7932" w:rsidRPr="007E67C5" w:rsidRDefault="00CB7932" w:rsidP="00011B40">
            <w:pPr>
              <w:rPr>
                <w:szCs w:val="22"/>
              </w:rPr>
            </w:pPr>
          </w:p>
          <w:p w:rsidR="006B08DB" w:rsidRDefault="006B08DB" w:rsidP="00011B40">
            <w:pPr>
              <w:rPr>
                <w:szCs w:val="22"/>
              </w:rPr>
            </w:pPr>
            <w:r w:rsidRPr="007E67C5">
              <w:rPr>
                <w:szCs w:val="22"/>
              </w:rPr>
              <w:t xml:space="preserve">Due to the success of the first forum, and in response to significant feedback and interest from principals, an additional forum was held in March 2013. Vic </w:t>
            </w:r>
            <w:proofErr w:type="spellStart"/>
            <w:r w:rsidRPr="007E67C5">
              <w:rPr>
                <w:szCs w:val="22"/>
              </w:rPr>
              <w:t>Zbar</w:t>
            </w:r>
            <w:proofErr w:type="spellEnd"/>
            <w:r w:rsidRPr="007E67C5">
              <w:rPr>
                <w:szCs w:val="22"/>
              </w:rPr>
              <w:t xml:space="preserve"> facilitated the second forum with a particular focus on theories of action for school improvement. </w:t>
            </w:r>
          </w:p>
          <w:p w:rsidR="00CB7932" w:rsidRPr="007E67C5" w:rsidRDefault="00CB7932" w:rsidP="00011B40">
            <w:pPr>
              <w:rPr>
                <w:szCs w:val="22"/>
              </w:rPr>
            </w:pPr>
          </w:p>
          <w:p w:rsidR="006B08DB" w:rsidRDefault="006B08DB" w:rsidP="00011B40">
            <w:pPr>
              <w:rPr>
                <w:szCs w:val="22"/>
              </w:rPr>
            </w:pPr>
            <w:r w:rsidRPr="007E67C5">
              <w:rPr>
                <w:szCs w:val="22"/>
              </w:rPr>
              <w:t>By addressing local and international issues and research, these two forums provided high quality learning experiences through the services of recognised experts in school improvement and change management. Across the two forums the participants consisted of 73 principals and 31 emerging principals from 97 SA Catholic schools.</w:t>
            </w:r>
          </w:p>
          <w:p w:rsidR="00CB7932" w:rsidRPr="007E67C5" w:rsidRDefault="00CB7932" w:rsidP="00011B40">
            <w:pPr>
              <w:rPr>
                <w:szCs w:val="22"/>
              </w:rPr>
            </w:pPr>
          </w:p>
          <w:p w:rsidR="006B08DB" w:rsidRDefault="006B08DB" w:rsidP="00011B40">
            <w:pPr>
              <w:rPr>
                <w:szCs w:val="22"/>
              </w:rPr>
            </w:pPr>
            <w:r w:rsidRPr="007E67C5">
              <w:rPr>
                <w:szCs w:val="22"/>
              </w:rPr>
              <w:t>The forum papers were published online through the CEO Intranet for all Catholic school principals.</w:t>
            </w:r>
          </w:p>
          <w:p w:rsidR="00CB7932" w:rsidRPr="007E67C5" w:rsidRDefault="00CB7932" w:rsidP="00011B40">
            <w:pPr>
              <w:rPr>
                <w:szCs w:val="22"/>
              </w:rPr>
            </w:pPr>
          </w:p>
          <w:p w:rsidR="006B08DB" w:rsidRPr="00CB7932" w:rsidRDefault="006B08DB" w:rsidP="00011B40">
            <w:pPr>
              <w:rPr>
                <w:b/>
                <w:szCs w:val="24"/>
              </w:rPr>
            </w:pPr>
            <w:r w:rsidRPr="00CB7932">
              <w:rPr>
                <w:b/>
                <w:szCs w:val="24"/>
              </w:rPr>
              <w:t>Cultural Proficiency program</w:t>
            </w:r>
          </w:p>
          <w:p w:rsidR="006B08DB" w:rsidRPr="007E67C5" w:rsidRDefault="006B08DB" w:rsidP="00011B40">
            <w:pPr>
              <w:rPr>
                <w:i/>
                <w:szCs w:val="22"/>
              </w:rPr>
            </w:pPr>
            <w:r w:rsidRPr="007E67C5">
              <w:rPr>
                <w:i/>
                <w:szCs w:val="22"/>
              </w:rPr>
              <w:t>Cultural proficiency</w:t>
            </w:r>
            <w:r w:rsidRPr="007E67C5">
              <w:rPr>
                <w:szCs w:val="22"/>
              </w:rPr>
              <w:t xml:space="preserve"> is one of the five </w:t>
            </w:r>
            <w:proofErr w:type="spellStart"/>
            <w:r w:rsidRPr="007E67C5">
              <w:rPr>
                <w:szCs w:val="22"/>
              </w:rPr>
              <w:t>CESA</w:t>
            </w:r>
            <w:proofErr w:type="spellEnd"/>
            <w:r w:rsidRPr="007E67C5">
              <w:rPr>
                <w:szCs w:val="22"/>
              </w:rPr>
              <w:t xml:space="preserve"> Indigenous education strategic priorities, the others being </w:t>
            </w:r>
            <w:r w:rsidRPr="007E67C5">
              <w:rPr>
                <w:i/>
                <w:szCs w:val="22"/>
              </w:rPr>
              <w:t xml:space="preserve">Effective teaching and </w:t>
            </w:r>
            <w:r w:rsidRPr="007E67C5">
              <w:rPr>
                <w:szCs w:val="22"/>
              </w:rPr>
              <w:t xml:space="preserve">learning, Wellbeing and resilience, Personalised learning, and </w:t>
            </w:r>
            <w:r w:rsidRPr="007E67C5">
              <w:rPr>
                <w:i/>
                <w:szCs w:val="22"/>
              </w:rPr>
              <w:t>Community engagement and connection.</w:t>
            </w:r>
          </w:p>
          <w:p w:rsidR="006B08DB" w:rsidRDefault="006B08DB" w:rsidP="00011B40">
            <w:pPr>
              <w:rPr>
                <w:szCs w:val="22"/>
              </w:rPr>
            </w:pPr>
            <w:r w:rsidRPr="007E67C5">
              <w:rPr>
                <w:szCs w:val="22"/>
              </w:rPr>
              <w:lastRenderedPageBreak/>
              <w:t xml:space="preserve">Five Catholic schools, with fewer than five Indigenous student enrolments each, were involved in the </w:t>
            </w:r>
            <w:proofErr w:type="spellStart"/>
            <w:r w:rsidRPr="007E67C5">
              <w:rPr>
                <w:szCs w:val="22"/>
              </w:rPr>
              <w:t>NPPPD</w:t>
            </w:r>
            <w:proofErr w:type="spellEnd"/>
            <w:r w:rsidRPr="007E67C5">
              <w:rPr>
                <w:szCs w:val="22"/>
              </w:rPr>
              <w:t xml:space="preserve"> </w:t>
            </w:r>
            <w:r w:rsidRPr="007E67C5">
              <w:rPr>
                <w:i/>
                <w:szCs w:val="22"/>
              </w:rPr>
              <w:t>Cultural proficiency</w:t>
            </w:r>
            <w:r w:rsidRPr="007E67C5">
              <w:rPr>
                <w:szCs w:val="22"/>
              </w:rPr>
              <w:t xml:space="preserve"> program. Funds from this program supported (in part) each of these five schools to undertake a </w:t>
            </w:r>
            <w:r w:rsidRPr="007E67C5">
              <w:rPr>
                <w:i/>
                <w:szCs w:val="22"/>
              </w:rPr>
              <w:t>Dare to lead school snapshot</w:t>
            </w:r>
            <w:r w:rsidRPr="007E67C5">
              <w:rPr>
                <w:szCs w:val="22"/>
              </w:rPr>
              <w:t xml:space="preserve"> audit, completed in 2012. </w:t>
            </w:r>
          </w:p>
          <w:p w:rsidR="00CB7932" w:rsidRPr="007E67C5" w:rsidRDefault="00CB7932" w:rsidP="00011B40">
            <w:pPr>
              <w:rPr>
                <w:szCs w:val="22"/>
              </w:rPr>
            </w:pPr>
          </w:p>
          <w:p w:rsidR="006B08DB" w:rsidRPr="007E67C5" w:rsidRDefault="006B08DB" w:rsidP="00011B40">
            <w:pPr>
              <w:rPr>
                <w:szCs w:val="22"/>
              </w:rPr>
            </w:pPr>
            <w:r w:rsidRPr="007E67C5">
              <w:rPr>
                <w:szCs w:val="22"/>
              </w:rPr>
              <w:t xml:space="preserve">Early in 2013 the leadership teams of these schools were invited to contribute to a cross sector review of the </w:t>
            </w:r>
            <w:proofErr w:type="spellStart"/>
            <w:r w:rsidRPr="007E67C5">
              <w:rPr>
                <w:szCs w:val="22"/>
              </w:rPr>
              <w:t>CESA</w:t>
            </w:r>
            <w:proofErr w:type="spellEnd"/>
            <w:r w:rsidRPr="007E67C5">
              <w:rPr>
                <w:szCs w:val="22"/>
              </w:rPr>
              <w:t xml:space="preserve"> Indigenous education strategic priorities, through a meta-analysis of the </w:t>
            </w:r>
            <w:r w:rsidRPr="007E67C5">
              <w:rPr>
                <w:i/>
                <w:szCs w:val="22"/>
              </w:rPr>
              <w:t>Dare to lead</w:t>
            </w:r>
            <w:r w:rsidRPr="007E67C5">
              <w:rPr>
                <w:szCs w:val="22"/>
              </w:rPr>
              <w:t xml:space="preserve"> snapshots (audits). </w:t>
            </w:r>
          </w:p>
          <w:p w:rsidR="006B08DB" w:rsidRPr="007E67C5" w:rsidRDefault="006B08DB" w:rsidP="00011B40">
            <w:pPr>
              <w:rPr>
                <w:szCs w:val="22"/>
              </w:rPr>
            </w:pPr>
            <w:r w:rsidRPr="007E67C5">
              <w:rPr>
                <w:szCs w:val="22"/>
              </w:rPr>
              <w:t>A workshop will be held on 4 July 2013, at which an external evaluator will facilitate a process where session participants will:</w:t>
            </w:r>
          </w:p>
          <w:p w:rsidR="006B08DB" w:rsidRPr="00CB7932" w:rsidRDefault="006B08DB" w:rsidP="00AE6D45">
            <w:pPr>
              <w:pStyle w:val="ListParagraph"/>
              <w:numPr>
                <w:ilvl w:val="0"/>
                <w:numId w:val="11"/>
              </w:numPr>
            </w:pPr>
            <w:r w:rsidRPr="00CB7932">
              <w:t xml:space="preserve">share a preliminary analysis of the </w:t>
            </w:r>
            <w:r w:rsidRPr="00CB7932">
              <w:rPr>
                <w:i/>
              </w:rPr>
              <w:t>Dare to lead</w:t>
            </w:r>
            <w:r w:rsidRPr="00CB7932">
              <w:t xml:space="preserve"> snapshot report</w:t>
            </w:r>
          </w:p>
          <w:p w:rsidR="006B08DB" w:rsidRPr="00CB7932" w:rsidRDefault="006B08DB" w:rsidP="00AE6D45">
            <w:pPr>
              <w:pStyle w:val="ListParagraph"/>
              <w:numPr>
                <w:ilvl w:val="0"/>
                <w:numId w:val="11"/>
              </w:numPr>
            </w:pPr>
            <w:r w:rsidRPr="00CB7932">
              <w:t>summarise the learning gleaned from the report</w:t>
            </w:r>
          </w:p>
          <w:p w:rsidR="006B08DB" w:rsidRPr="00CB7932" w:rsidRDefault="006B08DB" w:rsidP="00AE6D45">
            <w:pPr>
              <w:pStyle w:val="ListParagraph"/>
              <w:numPr>
                <w:ilvl w:val="0"/>
                <w:numId w:val="11"/>
              </w:numPr>
            </w:pPr>
            <w:proofErr w:type="gramStart"/>
            <w:r w:rsidRPr="00CB7932">
              <w:t>outline</w:t>
            </w:r>
            <w:proofErr w:type="gramEnd"/>
            <w:r w:rsidRPr="00CB7932">
              <w:t xml:space="preserve"> their next steps. </w:t>
            </w:r>
          </w:p>
          <w:p w:rsidR="006B08DB" w:rsidRDefault="006B08DB" w:rsidP="00011B40">
            <w:pPr>
              <w:rPr>
                <w:szCs w:val="22"/>
              </w:rPr>
            </w:pPr>
            <w:r w:rsidRPr="007E67C5">
              <w:rPr>
                <w:szCs w:val="22"/>
              </w:rPr>
              <w:t>This professional learning experience will provide participants with an effective model with which to apply data, in order to determine trends and strategic reforms across the sector and also at the school level. The processes applied will be easily transferable across school communities and to leaders’ own specific context and agendas.</w:t>
            </w:r>
          </w:p>
          <w:p w:rsidR="00CB7932" w:rsidRPr="007E67C5" w:rsidRDefault="00CB7932" w:rsidP="00011B40">
            <w:pPr>
              <w:rPr>
                <w:szCs w:val="22"/>
              </w:rPr>
            </w:pPr>
          </w:p>
          <w:p w:rsidR="006B08DB" w:rsidRPr="00CB7932" w:rsidRDefault="006B08DB" w:rsidP="00011B40">
            <w:pPr>
              <w:rPr>
                <w:b/>
                <w:sz w:val="24"/>
                <w:szCs w:val="24"/>
              </w:rPr>
            </w:pPr>
            <w:proofErr w:type="spellStart"/>
            <w:r w:rsidRPr="00CB7932">
              <w:rPr>
                <w:b/>
                <w:sz w:val="24"/>
                <w:szCs w:val="24"/>
              </w:rPr>
              <w:t>DECD</w:t>
            </w:r>
            <w:proofErr w:type="spellEnd"/>
            <w:r w:rsidRPr="00CB7932">
              <w:rPr>
                <w:b/>
                <w:sz w:val="24"/>
                <w:szCs w:val="24"/>
              </w:rPr>
              <w:t xml:space="preserve"> Principal professional development programs</w:t>
            </w:r>
          </w:p>
          <w:p w:rsidR="006B08DB" w:rsidRPr="007E67C5" w:rsidRDefault="006B08DB" w:rsidP="00011B40">
            <w:pPr>
              <w:rPr>
                <w:szCs w:val="22"/>
              </w:rPr>
            </w:pPr>
            <w:r w:rsidRPr="007E67C5">
              <w:rPr>
                <w:szCs w:val="22"/>
              </w:rPr>
              <w:t xml:space="preserve">The </w:t>
            </w:r>
            <w:proofErr w:type="spellStart"/>
            <w:r w:rsidRPr="00CB7932">
              <w:rPr>
                <w:b/>
                <w:szCs w:val="22"/>
              </w:rPr>
              <w:t>DECD</w:t>
            </w:r>
            <w:proofErr w:type="spellEnd"/>
            <w:r w:rsidRPr="007E67C5">
              <w:rPr>
                <w:szCs w:val="22"/>
              </w:rPr>
              <w:t xml:space="preserve"> </w:t>
            </w:r>
            <w:r w:rsidRPr="007E67C5">
              <w:rPr>
                <w:i/>
                <w:szCs w:val="22"/>
              </w:rPr>
              <w:t>Principal professional development</w:t>
            </w:r>
            <w:r w:rsidRPr="007E67C5">
              <w:rPr>
                <w:szCs w:val="22"/>
              </w:rPr>
              <w:t xml:space="preserve"> programs were shaped around three priorities:</w:t>
            </w:r>
          </w:p>
          <w:p w:rsidR="006B08DB" w:rsidRPr="007E67C5" w:rsidRDefault="006B08DB" w:rsidP="00AE6D45">
            <w:pPr>
              <w:pStyle w:val="ListParagraph"/>
              <w:numPr>
                <w:ilvl w:val="0"/>
                <w:numId w:val="12"/>
              </w:numPr>
            </w:pPr>
            <w:r w:rsidRPr="007E67C5">
              <w:t>Catering for the specific needs of categories of principals</w:t>
            </w:r>
          </w:p>
          <w:p w:rsidR="006B08DB" w:rsidRPr="007E67C5" w:rsidRDefault="006B08DB" w:rsidP="00AE6D45">
            <w:pPr>
              <w:pStyle w:val="ListParagraph"/>
              <w:numPr>
                <w:ilvl w:val="0"/>
                <w:numId w:val="12"/>
              </w:numPr>
            </w:pPr>
            <w:r w:rsidRPr="007E67C5">
              <w:t xml:space="preserve">Focusing on the development of Aboriginal leaders </w:t>
            </w:r>
          </w:p>
          <w:p w:rsidR="006B08DB" w:rsidRPr="007E67C5" w:rsidRDefault="006B08DB" w:rsidP="00AE6D45">
            <w:pPr>
              <w:pStyle w:val="ListParagraph"/>
              <w:numPr>
                <w:ilvl w:val="0"/>
                <w:numId w:val="12"/>
              </w:numPr>
            </w:pPr>
            <w:r w:rsidRPr="007E67C5">
              <w:t>Enabling experienced leaders to mentor new leaders.</w:t>
            </w:r>
          </w:p>
          <w:p w:rsidR="006B08DB" w:rsidRPr="007E67C5" w:rsidRDefault="006B08DB" w:rsidP="00011B40">
            <w:pPr>
              <w:rPr>
                <w:szCs w:val="22"/>
              </w:rPr>
            </w:pPr>
            <w:r w:rsidRPr="007E67C5">
              <w:rPr>
                <w:szCs w:val="22"/>
              </w:rPr>
              <w:t xml:space="preserve">During 2012 leadership programs that cater for the specific needs of the following principal categories: aspiring, new, current, and high performing leaders were further developed. These programs identified resources and provided blended professional learning experiences </w:t>
            </w:r>
            <w:proofErr w:type="spellStart"/>
            <w:r w:rsidRPr="007E67C5">
              <w:rPr>
                <w:szCs w:val="22"/>
              </w:rPr>
              <w:t>ie</w:t>
            </w:r>
            <w:proofErr w:type="spellEnd"/>
            <w:r w:rsidRPr="007E67C5">
              <w:rPr>
                <w:szCs w:val="22"/>
              </w:rPr>
              <w:t>, combination of full day face-to-face workshops and online sessions. Evaluation of workshops and between-session activities resulted in programs being refined for 2013 to ensure they remain relevant, collaborative, futures focused and sustained. During 2013:</w:t>
            </w:r>
          </w:p>
          <w:p w:rsidR="006B08DB" w:rsidRPr="005A00FE" w:rsidRDefault="006B08DB" w:rsidP="00AE6D45">
            <w:pPr>
              <w:pStyle w:val="ListParagraph"/>
              <w:numPr>
                <w:ilvl w:val="0"/>
                <w:numId w:val="7"/>
              </w:numPr>
              <w:tabs>
                <w:tab w:val="clear" w:pos="720"/>
                <w:tab w:val="num" w:pos="1134"/>
              </w:tabs>
              <w:ind w:left="1134" w:hanging="425"/>
              <w:rPr>
                <w:rFonts w:cstheme="minorHAnsi"/>
              </w:rPr>
            </w:pPr>
            <w:r w:rsidRPr="005A00FE">
              <w:rPr>
                <w:rFonts w:cstheme="minorHAnsi"/>
              </w:rPr>
              <w:t xml:space="preserve">104 aspiring leaders are attending the </w:t>
            </w:r>
            <w:proofErr w:type="spellStart"/>
            <w:r w:rsidRPr="005A00FE">
              <w:rPr>
                <w:rFonts w:cstheme="minorHAnsi"/>
              </w:rPr>
              <w:t>QSchool</w:t>
            </w:r>
            <w:proofErr w:type="spellEnd"/>
            <w:r w:rsidRPr="005A00FE">
              <w:rPr>
                <w:rFonts w:cstheme="minorHAnsi"/>
              </w:rPr>
              <w:t xml:space="preserve"> program </w:t>
            </w:r>
          </w:p>
          <w:p w:rsidR="006B08DB" w:rsidRPr="005A00FE" w:rsidRDefault="006B08DB" w:rsidP="00AE6D45">
            <w:pPr>
              <w:pStyle w:val="ListParagraph"/>
              <w:numPr>
                <w:ilvl w:val="0"/>
                <w:numId w:val="7"/>
              </w:numPr>
              <w:tabs>
                <w:tab w:val="clear" w:pos="720"/>
                <w:tab w:val="num" w:pos="1134"/>
              </w:tabs>
              <w:ind w:left="1134" w:hanging="425"/>
              <w:rPr>
                <w:rFonts w:cstheme="minorHAnsi"/>
              </w:rPr>
            </w:pPr>
            <w:r w:rsidRPr="005A00FE">
              <w:rPr>
                <w:rFonts w:cstheme="minorHAnsi"/>
              </w:rPr>
              <w:t>37 new leaders completed the Leaders induction program</w:t>
            </w:r>
          </w:p>
          <w:p w:rsidR="006B08DB" w:rsidRPr="007E67C5" w:rsidRDefault="006B08DB" w:rsidP="00AE6D45">
            <w:pPr>
              <w:pStyle w:val="ListParagraph"/>
              <w:numPr>
                <w:ilvl w:val="0"/>
                <w:numId w:val="7"/>
              </w:numPr>
              <w:tabs>
                <w:tab w:val="clear" w:pos="720"/>
                <w:tab w:val="num" w:pos="1134"/>
              </w:tabs>
              <w:ind w:left="1134" w:hanging="425"/>
            </w:pPr>
            <w:r w:rsidRPr="005A00FE">
              <w:rPr>
                <w:rFonts w:cstheme="minorHAnsi"/>
              </w:rPr>
              <w:t>125 experienced</w:t>
            </w:r>
            <w:r w:rsidRPr="007E67C5">
              <w:t xml:space="preserve"> principals, identified as high performing, have attended the accredited programs focusing on mediation, conflict resolution and effective time management leadership programs.</w:t>
            </w:r>
          </w:p>
          <w:p w:rsidR="006B08DB" w:rsidRDefault="006B08DB" w:rsidP="00011B40">
            <w:pPr>
              <w:rPr>
                <w:szCs w:val="22"/>
              </w:rPr>
            </w:pPr>
            <w:r w:rsidRPr="007E67C5">
              <w:rPr>
                <w:szCs w:val="22"/>
              </w:rPr>
              <w:t>In 2013 researching and mapping of current national and international programs has continued and informed the development of projects for high performing principals.</w:t>
            </w:r>
          </w:p>
          <w:p w:rsidR="005A00FE" w:rsidRPr="007E67C5" w:rsidRDefault="005A00FE" w:rsidP="00011B40">
            <w:pPr>
              <w:rPr>
                <w:szCs w:val="22"/>
              </w:rPr>
            </w:pPr>
          </w:p>
          <w:p w:rsidR="006B08DB" w:rsidRDefault="006B08DB" w:rsidP="00011B40">
            <w:pPr>
              <w:rPr>
                <w:szCs w:val="22"/>
              </w:rPr>
            </w:pPr>
            <w:r w:rsidRPr="007E67C5">
              <w:rPr>
                <w:szCs w:val="22"/>
              </w:rPr>
              <w:t xml:space="preserve">Additionally in 2013, there has been a continued emphasis on the </w:t>
            </w:r>
            <w:r w:rsidRPr="007E67C5">
              <w:rPr>
                <w:i/>
                <w:szCs w:val="22"/>
              </w:rPr>
              <w:t xml:space="preserve">Australian professional standard for principals. </w:t>
            </w:r>
            <w:r w:rsidRPr="007E67C5">
              <w:rPr>
                <w:szCs w:val="22"/>
              </w:rPr>
              <w:t xml:space="preserve">While all principal professional learning programs have been aligned with the standard, the release of a new principal position and role statement using the standard’s five professional practices has created demand for further examination of the standard. Workshops on the standard have been conducted with 170 aspiring and 280 current leaders in both metropolitan and rural regions. These workshops have introduced the online self-reflection tool, which enables leaders to gather evidence of achievement within the standard’s five professional practices. </w:t>
            </w:r>
          </w:p>
          <w:p w:rsidR="005A00FE" w:rsidRPr="007E67C5" w:rsidRDefault="005A00FE" w:rsidP="00011B40">
            <w:pPr>
              <w:rPr>
                <w:szCs w:val="22"/>
              </w:rPr>
            </w:pPr>
          </w:p>
          <w:p w:rsidR="006B08DB" w:rsidRPr="007E67C5" w:rsidRDefault="006B08DB" w:rsidP="00011B40">
            <w:pPr>
              <w:rPr>
                <w:szCs w:val="22"/>
              </w:rPr>
            </w:pPr>
            <w:r w:rsidRPr="007E67C5">
              <w:rPr>
                <w:szCs w:val="22"/>
              </w:rPr>
              <w:t>The establishment of leadership development/assessment centre and the appointment of a manager will contribute to the exploration of innovative strategies to identify a talent pool of prospective principals. A trial development program has been created and approved for 20 current and aspiring leaders. The outcomes of this trial will be reported in December 2013 will inform the larger principal assessment and development program to be implemented from 2014.</w:t>
            </w:r>
          </w:p>
          <w:p w:rsidR="006B08DB" w:rsidRDefault="006B08DB" w:rsidP="00011B40">
            <w:pPr>
              <w:rPr>
                <w:szCs w:val="22"/>
              </w:rPr>
            </w:pPr>
            <w:r w:rsidRPr="007E67C5">
              <w:rPr>
                <w:szCs w:val="22"/>
              </w:rPr>
              <w:lastRenderedPageBreak/>
              <w:t xml:space="preserve">The emphasis on the development of Aboriginal leaders continued in 2013. Following the 2012 appointment of a leadership consultant with expertise in working with Aboriginal teachers and leaders, the register of Aboriginal teachers and leaders has been maintained in 2013. This register has been used to provide information to these aspiring leaders and teachers about professional development opportunities and support them to apply for and take up opportunities. Two Aboriginal leaders have participated in principal professional development programs in the first half of 2013. Leadership resources, materials and workshops have supported four new leaders working in Aboriginal schools. In 2013, </w:t>
            </w:r>
            <w:proofErr w:type="spellStart"/>
            <w:r w:rsidRPr="007E67C5">
              <w:rPr>
                <w:szCs w:val="22"/>
              </w:rPr>
              <w:t>DECD</w:t>
            </w:r>
            <w:proofErr w:type="spellEnd"/>
            <w:r w:rsidRPr="007E67C5">
              <w:rPr>
                <w:szCs w:val="22"/>
              </w:rPr>
              <w:t xml:space="preserve"> has further developed, promoted and supported professional development opportunities for Aboriginal teachers wishing to become school leaders in </w:t>
            </w:r>
            <w:proofErr w:type="spellStart"/>
            <w:r w:rsidRPr="007E67C5">
              <w:rPr>
                <w:szCs w:val="22"/>
              </w:rPr>
              <w:t>DECD</w:t>
            </w:r>
            <w:proofErr w:type="spellEnd"/>
            <w:r w:rsidRPr="007E67C5">
              <w:rPr>
                <w:szCs w:val="22"/>
              </w:rPr>
              <w:t xml:space="preserve"> schools. In 2013, two aspiring leaders have been selected through the </w:t>
            </w:r>
            <w:r w:rsidRPr="007E67C5">
              <w:rPr>
                <w:i/>
                <w:szCs w:val="22"/>
              </w:rPr>
              <w:t xml:space="preserve">Dr </w:t>
            </w:r>
            <w:proofErr w:type="spellStart"/>
            <w:r w:rsidRPr="007E67C5">
              <w:rPr>
                <w:i/>
                <w:szCs w:val="22"/>
              </w:rPr>
              <w:t>Alitya</w:t>
            </w:r>
            <w:proofErr w:type="spellEnd"/>
            <w:r w:rsidRPr="007E67C5">
              <w:rPr>
                <w:i/>
                <w:szCs w:val="22"/>
              </w:rPr>
              <w:t xml:space="preserve"> </w:t>
            </w:r>
            <w:proofErr w:type="spellStart"/>
            <w:r w:rsidRPr="007E67C5">
              <w:rPr>
                <w:i/>
                <w:szCs w:val="22"/>
              </w:rPr>
              <w:t>Rigney</w:t>
            </w:r>
            <w:proofErr w:type="spellEnd"/>
            <w:r w:rsidRPr="007E67C5">
              <w:rPr>
                <w:i/>
                <w:szCs w:val="22"/>
              </w:rPr>
              <w:t xml:space="preserve"> Aboriginal Leadership scholarship</w:t>
            </w:r>
            <w:r w:rsidRPr="007E67C5">
              <w:rPr>
                <w:szCs w:val="22"/>
              </w:rPr>
              <w:t xml:space="preserve"> program to participate in intensive leadership development, work shadowing and mentoring programs.</w:t>
            </w:r>
          </w:p>
          <w:p w:rsidR="005A00FE" w:rsidRPr="007E67C5" w:rsidRDefault="005A00FE" w:rsidP="00011B40">
            <w:pPr>
              <w:rPr>
                <w:szCs w:val="22"/>
              </w:rPr>
            </w:pPr>
          </w:p>
          <w:p w:rsidR="006B08DB" w:rsidRDefault="006B08DB" w:rsidP="00011B40">
            <w:pPr>
              <w:rPr>
                <w:highlight w:val="cyan"/>
              </w:rPr>
            </w:pPr>
            <w:r w:rsidRPr="007E67C5">
              <w:rPr>
                <w:szCs w:val="22"/>
              </w:rPr>
              <w:t xml:space="preserve">In 2013 the accredited mentoring program and enhanced work shadowing opportunities extended the program, initiated in 2012. Forty-five highly experienced leaders, who had completed the two-day mentoring workshop (with over half receiving accreditation in the competency-based </w:t>
            </w:r>
            <w:r w:rsidRPr="007E67C5">
              <w:rPr>
                <w:i/>
                <w:szCs w:val="22"/>
              </w:rPr>
              <w:t>Australian quality training framework</w:t>
            </w:r>
            <w:r w:rsidRPr="007E67C5">
              <w:rPr>
                <w:szCs w:val="22"/>
              </w:rPr>
              <w:t xml:space="preserve">, Advanced Diploma unit entitled </w:t>
            </w:r>
            <w:r w:rsidRPr="007E67C5">
              <w:rPr>
                <w:i/>
                <w:szCs w:val="22"/>
              </w:rPr>
              <w:t>Provide mentoring support to colleagues</w:t>
            </w:r>
            <w:r w:rsidRPr="007E67C5">
              <w:rPr>
                <w:szCs w:val="22"/>
              </w:rPr>
              <w:t>), continued their role as mentors to less experienced leaders. They attended, with their mentee, an additional workshop on mentoring and hosted their mentee in five days of work shadowing. They will present their reflections at the end of 2013. This year an additional 11 high performing principals have been identified to participate in the mentoring course and matched with 11 leaders in their first three years of leadership.</w:t>
            </w:r>
          </w:p>
        </w:tc>
      </w:tr>
    </w:tbl>
    <w:p w:rsidR="006C1700" w:rsidRDefault="006C1700" w:rsidP="00832B45">
      <w:pPr>
        <w:rPr>
          <w:rFonts w:ascii="Arial" w:hAnsi="Arial" w:cs="Arial"/>
          <w:color w:val="000000"/>
          <w:szCs w:val="22"/>
          <w:lang w:val="en-US" w:eastAsia="en-AU"/>
        </w:rPr>
        <w:sectPr w:rsidR="006C1700" w:rsidSect="002158B1">
          <w:footerReference w:type="first" r:id="rId14"/>
          <w:pgSz w:w="12240" w:h="15840"/>
          <w:pgMar w:top="1440" w:right="1325" w:bottom="1440" w:left="1276" w:header="720" w:footer="720" w:gutter="0"/>
          <w:pgNumType w:start="1"/>
          <w:cols w:space="720"/>
          <w:noEndnote/>
          <w:docGrid w:linePitch="326"/>
        </w:sectPr>
      </w:pPr>
    </w:p>
    <w:tbl>
      <w:tblPr>
        <w:tblW w:w="143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060"/>
        <w:gridCol w:w="5750"/>
      </w:tblGrid>
      <w:tr w:rsidR="006B08DB" w:rsidRPr="007E67C5" w:rsidTr="00632B23">
        <w:trPr>
          <w:trHeight w:val="784"/>
          <w:tblHeader/>
        </w:trPr>
        <w:tc>
          <w:tcPr>
            <w:tcW w:w="5508" w:type="dxa"/>
            <w:shd w:val="clear" w:color="auto" w:fill="1F497D" w:themeFill="text2"/>
            <w:tcMar>
              <w:top w:w="57" w:type="dxa"/>
              <w:bottom w:w="57" w:type="dxa"/>
            </w:tcMar>
            <w:vAlign w:val="center"/>
          </w:tcPr>
          <w:p w:rsidR="006B08DB" w:rsidRPr="007E67C5" w:rsidRDefault="006B08DB" w:rsidP="001B165D">
            <w:pPr>
              <w:spacing w:before="120" w:after="60"/>
              <w:ind w:left="34"/>
              <w:rPr>
                <w:rFonts w:cstheme="minorHAnsi"/>
                <w:b/>
                <w:bCs/>
                <w:color w:val="FFFFFF" w:themeColor="background1"/>
                <w:szCs w:val="24"/>
              </w:rPr>
            </w:pPr>
            <w:r w:rsidRPr="007E67C5">
              <w:rPr>
                <w:rFonts w:ascii="Arial" w:hAnsi="Arial" w:cs="Arial"/>
                <w:color w:val="000000"/>
                <w:szCs w:val="22"/>
                <w:lang w:eastAsia="en-AU"/>
              </w:rPr>
              <w:lastRenderedPageBreak/>
              <w:br w:type="page"/>
            </w:r>
            <w:r w:rsidRPr="007E67C5">
              <w:rPr>
                <w:rFonts w:cstheme="minorHAnsi"/>
                <w:b/>
                <w:bCs/>
                <w:color w:val="FFFFFF" w:themeColor="background1"/>
                <w:szCs w:val="24"/>
              </w:rPr>
              <w:t>Description of activity (module)</w:t>
            </w:r>
          </w:p>
        </w:tc>
        <w:tc>
          <w:tcPr>
            <w:tcW w:w="3060" w:type="dxa"/>
            <w:shd w:val="clear" w:color="auto" w:fill="1F497D" w:themeFill="text2"/>
            <w:tcMar>
              <w:top w:w="57" w:type="dxa"/>
              <w:bottom w:w="57" w:type="dxa"/>
            </w:tcMar>
            <w:vAlign w:val="center"/>
          </w:tcPr>
          <w:p w:rsidR="006B08DB" w:rsidRPr="007E67C5" w:rsidRDefault="006B08DB" w:rsidP="001B165D">
            <w:pPr>
              <w:spacing w:before="120"/>
              <w:rPr>
                <w:rFonts w:cstheme="minorHAnsi"/>
                <w:b/>
                <w:bCs/>
                <w:color w:val="FFFFFF" w:themeColor="background1"/>
                <w:szCs w:val="24"/>
              </w:rPr>
            </w:pPr>
            <w:r w:rsidRPr="007E67C5">
              <w:rPr>
                <w:rFonts w:cstheme="minorHAnsi"/>
                <w:b/>
                <w:bCs/>
                <w:color w:val="FFFFFF" w:themeColor="background1"/>
                <w:szCs w:val="24"/>
              </w:rPr>
              <w:t>Milestones</w:t>
            </w:r>
          </w:p>
          <w:p w:rsidR="006B08DB" w:rsidRPr="007E67C5" w:rsidRDefault="006B08DB" w:rsidP="001B165D">
            <w:pPr>
              <w:spacing w:after="60"/>
              <w:rPr>
                <w:rFonts w:cstheme="minorHAnsi"/>
                <w:b/>
                <w:color w:val="FFFFFF" w:themeColor="background1"/>
                <w:szCs w:val="24"/>
              </w:rPr>
            </w:pPr>
            <w:r w:rsidRPr="007E67C5">
              <w:rPr>
                <w:rFonts w:cstheme="minorHAnsi"/>
                <w:b/>
                <w:bCs/>
                <w:color w:val="FFFFFF" w:themeColor="background1"/>
                <w:szCs w:val="24"/>
              </w:rPr>
              <w:t>January – June 2013</w:t>
            </w:r>
          </w:p>
        </w:tc>
        <w:tc>
          <w:tcPr>
            <w:tcW w:w="5750" w:type="dxa"/>
            <w:shd w:val="clear" w:color="auto" w:fill="1F497D" w:themeFill="text2"/>
            <w:tcMar>
              <w:top w:w="57" w:type="dxa"/>
              <w:bottom w:w="57" w:type="dxa"/>
            </w:tcMar>
            <w:vAlign w:val="center"/>
          </w:tcPr>
          <w:p w:rsidR="006B08DB" w:rsidRPr="007E67C5" w:rsidRDefault="006B08DB" w:rsidP="001B165D">
            <w:pPr>
              <w:spacing w:before="120" w:after="60"/>
              <w:rPr>
                <w:rFonts w:cstheme="minorHAnsi"/>
                <w:b/>
                <w:bCs/>
                <w:color w:val="FFFFFF" w:themeColor="background1"/>
                <w:szCs w:val="24"/>
              </w:rPr>
            </w:pPr>
            <w:r w:rsidRPr="007E67C5">
              <w:rPr>
                <w:rFonts w:cstheme="minorHAnsi"/>
                <w:b/>
                <w:bCs/>
                <w:color w:val="FFFFFF" w:themeColor="background1"/>
                <w:szCs w:val="24"/>
              </w:rPr>
              <w:t>Progress against milestones to date</w:t>
            </w:r>
          </w:p>
        </w:tc>
      </w:tr>
      <w:tr w:rsidR="006B08DB" w:rsidRPr="007E67C5" w:rsidTr="00632B23">
        <w:trPr>
          <w:trHeight w:val="4905"/>
        </w:trPr>
        <w:tc>
          <w:tcPr>
            <w:tcW w:w="5508" w:type="dxa"/>
            <w:shd w:val="clear" w:color="auto" w:fill="auto"/>
            <w:tcMar>
              <w:top w:w="57" w:type="dxa"/>
              <w:bottom w:w="57" w:type="dxa"/>
            </w:tcMar>
          </w:tcPr>
          <w:p w:rsidR="006B08DB" w:rsidRPr="007E67C5" w:rsidRDefault="006B08DB" w:rsidP="00B928E0">
            <w:proofErr w:type="spellStart"/>
            <w:r w:rsidRPr="007E67C5">
              <w:t>AISSA</w:t>
            </w:r>
            <w:proofErr w:type="spellEnd"/>
            <w:r w:rsidRPr="007E67C5">
              <w:t xml:space="preserve"> Leadership program for principals and emerging principals</w:t>
            </w:r>
          </w:p>
          <w:p w:rsidR="006B08DB" w:rsidRPr="007E67C5" w:rsidRDefault="006B08DB" w:rsidP="00B928E0">
            <w:r w:rsidRPr="007E67C5">
              <w:t xml:space="preserve">The program will be delivered predominantly through keynote addresses and workshops. It is intended that at different stages the program will include, amongst other topics, building personal leadership capacity, leading building school capacity, leading teacher evaluation and development, the role of the school leader in actioning the Australian Curriculum Aboriginal and Torres Strait Islander cross curriculum priority and leading educational practice in early childhood settings. </w:t>
            </w:r>
            <w:r w:rsidRPr="007E67C5">
              <w:rPr>
                <w:b/>
                <w:bCs/>
              </w:rPr>
              <w:t>(</w:t>
            </w:r>
            <w:proofErr w:type="spellStart"/>
            <w:r w:rsidRPr="007E67C5">
              <w:rPr>
                <w:b/>
                <w:bCs/>
              </w:rPr>
              <w:t>AISSA</w:t>
            </w:r>
            <w:proofErr w:type="spellEnd"/>
            <w:r w:rsidRPr="007E67C5">
              <w:rPr>
                <w:b/>
                <w:bCs/>
              </w:rPr>
              <w:t>)</w:t>
            </w:r>
          </w:p>
          <w:p w:rsidR="006B08DB" w:rsidRPr="007E67C5" w:rsidRDefault="006B08DB" w:rsidP="00B928E0">
            <w:r w:rsidRPr="007E67C5">
              <w:t>PRINCIPLES</w:t>
            </w:r>
          </w:p>
          <w:p w:rsidR="006B08DB" w:rsidRPr="007E67C5" w:rsidRDefault="006B08DB" w:rsidP="00AE6D45">
            <w:pPr>
              <w:pStyle w:val="ListParagraph"/>
              <w:numPr>
                <w:ilvl w:val="0"/>
                <w:numId w:val="13"/>
              </w:numPr>
              <w:ind w:left="743" w:hanging="425"/>
            </w:pPr>
            <w:r w:rsidRPr="007E67C5">
              <w:t xml:space="preserve">Align with </w:t>
            </w:r>
            <w:r w:rsidRPr="005A00FE">
              <w:rPr>
                <w:i/>
              </w:rPr>
              <w:t>Australian professional standard for principals</w:t>
            </w:r>
          </w:p>
          <w:p w:rsidR="006B08DB" w:rsidRPr="007E67C5" w:rsidRDefault="006B08DB" w:rsidP="00AE6D45">
            <w:pPr>
              <w:pStyle w:val="ListParagraph"/>
              <w:numPr>
                <w:ilvl w:val="0"/>
                <w:numId w:val="13"/>
              </w:numPr>
              <w:ind w:left="743" w:hanging="425"/>
            </w:pPr>
            <w:r w:rsidRPr="007E67C5">
              <w:t>Supporting principals to lead institutional change to enable implementation of Australian Curriculum</w:t>
            </w:r>
          </w:p>
          <w:p w:rsidR="006B08DB" w:rsidRPr="007E67C5" w:rsidRDefault="006B08DB" w:rsidP="00AE6D45">
            <w:pPr>
              <w:pStyle w:val="ListParagraph"/>
              <w:numPr>
                <w:ilvl w:val="0"/>
                <w:numId w:val="13"/>
              </w:numPr>
              <w:ind w:left="743" w:hanging="425"/>
            </w:pPr>
            <w:r w:rsidRPr="007E67C5">
              <w:t>Local priority</w:t>
            </w:r>
          </w:p>
          <w:p w:rsidR="006B08DB" w:rsidRPr="007E67C5" w:rsidRDefault="006B08DB" w:rsidP="00AE6D45">
            <w:pPr>
              <w:pStyle w:val="ListParagraph"/>
              <w:numPr>
                <w:ilvl w:val="0"/>
                <w:numId w:val="13"/>
              </w:numPr>
              <w:ind w:left="743" w:hanging="425"/>
            </w:pPr>
            <w:r w:rsidRPr="007E67C5">
              <w:t>Regional and remote</w:t>
            </w:r>
          </w:p>
        </w:tc>
        <w:tc>
          <w:tcPr>
            <w:tcW w:w="3060" w:type="dxa"/>
            <w:shd w:val="clear" w:color="auto" w:fill="auto"/>
            <w:tcMar>
              <w:top w:w="57" w:type="dxa"/>
              <w:bottom w:w="57" w:type="dxa"/>
            </w:tcMar>
          </w:tcPr>
          <w:p w:rsidR="006B08DB" w:rsidRPr="007E67C5" w:rsidRDefault="006B08DB" w:rsidP="00B928E0">
            <w:r w:rsidRPr="007E67C5">
              <w:t>At least 8 events</w:t>
            </w:r>
          </w:p>
          <w:p w:rsidR="006B08DB" w:rsidRPr="007E67C5" w:rsidRDefault="006B08DB" w:rsidP="00B928E0"/>
          <w:p w:rsidR="006B08DB" w:rsidRPr="007E67C5" w:rsidRDefault="006B08DB" w:rsidP="00B928E0"/>
          <w:p w:rsidR="006B08DB" w:rsidRPr="007E67C5" w:rsidRDefault="006B08DB" w:rsidP="00B928E0"/>
        </w:tc>
        <w:tc>
          <w:tcPr>
            <w:tcW w:w="5750" w:type="dxa"/>
            <w:shd w:val="clear" w:color="auto" w:fill="auto"/>
            <w:tcMar>
              <w:top w:w="57" w:type="dxa"/>
              <w:bottom w:w="57" w:type="dxa"/>
            </w:tcMar>
          </w:tcPr>
          <w:p w:rsidR="006B08DB" w:rsidRPr="005A00FE" w:rsidRDefault="006B08DB" w:rsidP="00B928E0">
            <w:pPr>
              <w:rPr>
                <w:b/>
              </w:rPr>
            </w:pPr>
            <w:r w:rsidRPr="005A00FE">
              <w:rPr>
                <w:b/>
              </w:rPr>
              <w:t>ACHIEVED</w:t>
            </w:r>
          </w:p>
          <w:p w:rsidR="006B08DB" w:rsidRPr="007E67C5" w:rsidRDefault="006B08DB" w:rsidP="00B928E0">
            <w:r w:rsidRPr="007E67C5">
              <w:t xml:space="preserve">The </w:t>
            </w:r>
            <w:proofErr w:type="spellStart"/>
            <w:r w:rsidRPr="007E67C5">
              <w:rPr>
                <w:i/>
              </w:rPr>
              <w:t>AISSA</w:t>
            </w:r>
            <w:proofErr w:type="spellEnd"/>
            <w:r w:rsidRPr="007E67C5">
              <w:rPr>
                <w:i/>
              </w:rPr>
              <w:t xml:space="preserve"> Leadership program</w:t>
            </w:r>
            <w:r w:rsidRPr="007E67C5">
              <w:t xml:space="preserve"> </w:t>
            </w:r>
            <w:r w:rsidRPr="007E67C5">
              <w:rPr>
                <w:i/>
              </w:rPr>
              <w:t xml:space="preserve">2013 </w:t>
            </w:r>
            <w:r w:rsidRPr="007E67C5">
              <w:t>includes keynote addresses and workshops. Areas covered until 30 June 2013 included the following:</w:t>
            </w:r>
          </w:p>
          <w:p w:rsidR="006B08DB" w:rsidRPr="007E67C5" w:rsidRDefault="006B08DB" w:rsidP="00AE6D45">
            <w:pPr>
              <w:pStyle w:val="ListParagraph"/>
              <w:numPr>
                <w:ilvl w:val="0"/>
                <w:numId w:val="14"/>
              </w:numPr>
              <w:tabs>
                <w:tab w:val="clear" w:pos="720"/>
                <w:tab w:val="num" w:pos="397"/>
              </w:tabs>
              <w:ind w:left="822" w:hanging="425"/>
            </w:pPr>
            <w:r w:rsidRPr="007E67C5">
              <w:t>High performance leadership: Building personal leadership capacity</w:t>
            </w:r>
          </w:p>
          <w:p w:rsidR="006B08DB" w:rsidRPr="007E67C5" w:rsidRDefault="006B08DB" w:rsidP="00AE6D45">
            <w:pPr>
              <w:pStyle w:val="ListParagraph"/>
              <w:numPr>
                <w:ilvl w:val="0"/>
                <w:numId w:val="14"/>
              </w:numPr>
              <w:tabs>
                <w:tab w:val="clear" w:pos="720"/>
                <w:tab w:val="num" w:pos="397"/>
              </w:tabs>
              <w:ind w:left="822" w:hanging="425"/>
            </w:pPr>
            <w:r w:rsidRPr="007E67C5">
              <w:t>The Australian Curriculum: Creating capacity for transformation in schools</w:t>
            </w:r>
          </w:p>
          <w:p w:rsidR="006B08DB" w:rsidRPr="007E67C5" w:rsidRDefault="006B08DB" w:rsidP="00AE6D45">
            <w:pPr>
              <w:pStyle w:val="ListParagraph"/>
              <w:numPr>
                <w:ilvl w:val="0"/>
                <w:numId w:val="14"/>
              </w:numPr>
              <w:tabs>
                <w:tab w:val="clear" w:pos="720"/>
                <w:tab w:val="num" w:pos="397"/>
              </w:tabs>
              <w:ind w:left="822" w:hanging="425"/>
            </w:pPr>
            <w:r w:rsidRPr="007E67C5">
              <w:t>Creating a performance and development culture: Moving from theory to action</w:t>
            </w:r>
          </w:p>
          <w:p w:rsidR="006B08DB" w:rsidRPr="007E67C5" w:rsidRDefault="006B08DB" w:rsidP="00AE6D45">
            <w:pPr>
              <w:pStyle w:val="ListParagraph"/>
              <w:numPr>
                <w:ilvl w:val="0"/>
                <w:numId w:val="14"/>
              </w:numPr>
              <w:tabs>
                <w:tab w:val="clear" w:pos="720"/>
                <w:tab w:val="num" w:pos="397"/>
              </w:tabs>
              <w:ind w:left="822" w:hanging="425"/>
            </w:pPr>
            <w:r w:rsidRPr="007E67C5">
              <w:t>Leadership development for middle managers</w:t>
            </w:r>
          </w:p>
          <w:p w:rsidR="006B08DB" w:rsidRPr="007E67C5" w:rsidRDefault="006B08DB" w:rsidP="00AE6D45">
            <w:pPr>
              <w:pStyle w:val="ListParagraph"/>
              <w:numPr>
                <w:ilvl w:val="0"/>
                <w:numId w:val="14"/>
              </w:numPr>
              <w:tabs>
                <w:tab w:val="clear" w:pos="720"/>
                <w:tab w:val="num" w:pos="397"/>
              </w:tabs>
              <w:ind w:left="822" w:hanging="425"/>
            </w:pPr>
            <w:r w:rsidRPr="007E67C5">
              <w:t>Leadership and advocacy in early childhood education: Positioning children at the centre.</w:t>
            </w:r>
          </w:p>
          <w:p w:rsidR="006B08DB" w:rsidRPr="007E67C5" w:rsidRDefault="006B08DB" w:rsidP="00B928E0">
            <w:r w:rsidRPr="007E67C5">
              <w:t>Presenters included: Margery Evans, Professor Geoff Masters, Greg Whitby, Robert Randall, Emeritus Professor Alan Reid, Dr Ben Levin, Dr Jim Knight, Dr Deborah Harcourt, Rick Tudor, Lois Peeler, Paul Browning, Craig Glass, Jane Fraser and Dr Barbara Watterson.</w:t>
            </w:r>
          </w:p>
          <w:p w:rsidR="005A00FE" w:rsidRDefault="005A00FE" w:rsidP="00B928E0"/>
          <w:p w:rsidR="006B08DB" w:rsidRPr="007E67C5" w:rsidRDefault="006B08DB" w:rsidP="00B928E0">
            <w:r w:rsidRPr="007E67C5">
              <w:t xml:space="preserve">From January 2013 there have been 13 workshops with a total of 574 participants bringing the total since July 2012 to 26 workshops with a total of 927 participants. </w:t>
            </w:r>
          </w:p>
          <w:p w:rsidR="005A00FE" w:rsidRDefault="005A00FE" w:rsidP="00B928E0"/>
          <w:p w:rsidR="006B08DB" w:rsidRPr="007E67C5" w:rsidRDefault="006B08DB" w:rsidP="00B928E0">
            <w:pPr>
              <w:rPr>
                <w:color w:val="FF0000"/>
              </w:rPr>
            </w:pPr>
            <w:r w:rsidRPr="007E67C5">
              <w:t>All principals in the independent sector had the opportunity to participate in the program and emerging principals may participate if supported by their school.</w:t>
            </w:r>
          </w:p>
        </w:tc>
      </w:tr>
      <w:tr w:rsidR="006B08DB" w:rsidRPr="007E67C5" w:rsidTr="00632B23">
        <w:tc>
          <w:tcPr>
            <w:tcW w:w="5508" w:type="dxa"/>
            <w:shd w:val="clear" w:color="auto" w:fill="auto"/>
            <w:tcMar>
              <w:top w:w="57" w:type="dxa"/>
              <w:bottom w:w="57" w:type="dxa"/>
            </w:tcMar>
          </w:tcPr>
          <w:p w:rsidR="006B08DB" w:rsidRDefault="006B08DB" w:rsidP="00B928E0">
            <w:r w:rsidRPr="007E67C5">
              <w:rPr>
                <w:rStyle w:val="MilestoneheadingChar"/>
                <w:rFonts w:asciiTheme="minorHAnsi" w:hAnsiTheme="minorHAnsi" w:cstheme="minorHAnsi"/>
                <w:color w:val="000000" w:themeColor="text1"/>
                <w:szCs w:val="22"/>
              </w:rPr>
              <w:t>Professional learning for principals and emerging principals on leading the implementation of the Australian Curriculum,</w:t>
            </w:r>
            <w:r w:rsidRPr="007E67C5">
              <w:t xml:space="preserve"> including achievement standards, the incorporation of the general capabilities and the cross </w:t>
            </w:r>
            <w:r w:rsidRPr="007E67C5">
              <w:lastRenderedPageBreak/>
              <w:t>curriculum priorities.</w:t>
            </w:r>
          </w:p>
          <w:p w:rsidR="005A00FE" w:rsidRPr="007E67C5" w:rsidRDefault="005A00FE" w:rsidP="00B928E0"/>
          <w:p w:rsidR="006B08DB" w:rsidRDefault="006B08DB" w:rsidP="00B928E0">
            <w:r w:rsidRPr="007E67C5">
              <w:t xml:space="preserve">The program will include keynote presentations, workshops, facilitated discussions with small groups of principals and individual mentoring for principals. </w:t>
            </w:r>
          </w:p>
          <w:p w:rsidR="005A00FE" w:rsidRPr="007E67C5" w:rsidRDefault="005A00FE" w:rsidP="00B928E0"/>
          <w:p w:rsidR="005A00FE" w:rsidRDefault="006B08DB" w:rsidP="00B928E0">
            <w:r w:rsidRPr="007E67C5">
              <w:t>The individual mentoring will be available to all principals and will include the opportunity for ‘in school’ mentoring, including in regional areas. All principals will have the opportunity to attend the keynote presentations and workshops. Emerging principals may attend the keynote presentations and workshops if supported by their school.</w:t>
            </w:r>
          </w:p>
          <w:p w:rsidR="006B08DB" w:rsidRDefault="006B08DB" w:rsidP="00B928E0">
            <w:pPr>
              <w:rPr>
                <w:b/>
              </w:rPr>
            </w:pPr>
            <w:r w:rsidRPr="007E67C5">
              <w:rPr>
                <w:b/>
              </w:rPr>
              <w:t>(</w:t>
            </w:r>
            <w:proofErr w:type="spellStart"/>
            <w:r w:rsidRPr="007E67C5">
              <w:rPr>
                <w:b/>
              </w:rPr>
              <w:t>AISSA</w:t>
            </w:r>
            <w:proofErr w:type="spellEnd"/>
            <w:r w:rsidRPr="007E67C5">
              <w:rPr>
                <w:b/>
              </w:rPr>
              <w:t>)</w:t>
            </w:r>
          </w:p>
          <w:p w:rsidR="005A00FE" w:rsidRPr="007E67C5" w:rsidRDefault="005A00FE" w:rsidP="00B928E0">
            <w:pPr>
              <w:rPr>
                <w:b/>
              </w:rPr>
            </w:pPr>
          </w:p>
          <w:p w:rsidR="006B08DB" w:rsidRPr="007E67C5" w:rsidRDefault="006B08DB" w:rsidP="00B928E0">
            <w:r w:rsidRPr="007E67C5">
              <w:t>PRINCIPLES</w:t>
            </w:r>
          </w:p>
          <w:p w:rsidR="006B08DB" w:rsidRPr="005A00FE" w:rsidRDefault="006B08DB" w:rsidP="00AE6D45">
            <w:pPr>
              <w:pStyle w:val="ListParagraph"/>
              <w:numPr>
                <w:ilvl w:val="0"/>
                <w:numId w:val="13"/>
              </w:numPr>
              <w:ind w:left="743" w:hanging="425"/>
              <w:rPr>
                <w:i/>
              </w:rPr>
            </w:pPr>
            <w:r w:rsidRPr="007E67C5">
              <w:t xml:space="preserve">Align with </w:t>
            </w:r>
            <w:r w:rsidRPr="005A00FE">
              <w:rPr>
                <w:i/>
              </w:rPr>
              <w:t>Australian professional standard for principals</w:t>
            </w:r>
          </w:p>
          <w:p w:rsidR="006B08DB" w:rsidRPr="007E67C5" w:rsidRDefault="006B08DB" w:rsidP="00AE6D45">
            <w:pPr>
              <w:pStyle w:val="ListParagraph"/>
              <w:numPr>
                <w:ilvl w:val="0"/>
                <w:numId w:val="13"/>
              </w:numPr>
              <w:ind w:left="743" w:hanging="425"/>
            </w:pPr>
            <w:r w:rsidRPr="007E67C5">
              <w:t>Supporting principals to lead institutional change to enable implementation of the Australian Curriculum</w:t>
            </w:r>
          </w:p>
          <w:p w:rsidR="006B08DB" w:rsidRPr="007E67C5" w:rsidRDefault="006B08DB" w:rsidP="00AE6D45">
            <w:pPr>
              <w:pStyle w:val="ListParagraph"/>
              <w:numPr>
                <w:ilvl w:val="0"/>
                <w:numId w:val="13"/>
              </w:numPr>
              <w:ind w:left="743" w:hanging="425"/>
            </w:pPr>
            <w:r w:rsidRPr="007E67C5">
              <w:t>Local priority</w:t>
            </w:r>
          </w:p>
          <w:p w:rsidR="006B08DB" w:rsidRPr="007E67C5" w:rsidRDefault="006B08DB" w:rsidP="00AE6D45">
            <w:pPr>
              <w:pStyle w:val="ListParagraph"/>
              <w:numPr>
                <w:ilvl w:val="0"/>
                <w:numId w:val="13"/>
              </w:numPr>
              <w:ind w:left="743" w:hanging="425"/>
            </w:pPr>
            <w:r w:rsidRPr="007E67C5">
              <w:t>Regional and remote</w:t>
            </w:r>
          </w:p>
          <w:p w:rsidR="006B08DB" w:rsidRPr="007E67C5" w:rsidRDefault="006B08DB" w:rsidP="00B928E0"/>
        </w:tc>
        <w:tc>
          <w:tcPr>
            <w:tcW w:w="3060" w:type="dxa"/>
            <w:shd w:val="clear" w:color="auto" w:fill="auto"/>
            <w:tcMar>
              <w:top w:w="57" w:type="dxa"/>
              <w:bottom w:w="57" w:type="dxa"/>
            </w:tcMar>
          </w:tcPr>
          <w:p w:rsidR="006B08DB" w:rsidRPr="007E67C5" w:rsidRDefault="006B08DB" w:rsidP="00B928E0">
            <w:r w:rsidRPr="007E67C5">
              <w:lastRenderedPageBreak/>
              <w:t>At least 3 events</w:t>
            </w:r>
          </w:p>
          <w:p w:rsidR="006B08DB" w:rsidRPr="007E67C5" w:rsidRDefault="006B08DB" w:rsidP="00B928E0"/>
          <w:p w:rsidR="006B08DB" w:rsidRPr="007E67C5" w:rsidRDefault="006B08DB" w:rsidP="00B928E0">
            <w:r w:rsidRPr="007E67C5">
              <w:t xml:space="preserve">Mentoring provided to principals on leading the </w:t>
            </w:r>
            <w:r w:rsidRPr="007E67C5">
              <w:lastRenderedPageBreak/>
              <w:t>implementation of the Australian Curriculum</w:t>
            </w:r>
          </w:p>
          <w:p w:rsidR="006B08DB" w:rsidRPr="007E67C5" w:rsidRDefault="006B08DB" w:rsidP="00B928E0"/>
        </w:tc>
        <w:tc>
          <w:tcPr>
            <w:tcW w:w="5750" w:type="dxa"/>
            <w:shd w:val="clear" w:color="auto" w:fill="auto"/>
            <w:tcMar>
              <w:top w:w="57" w:type="dxa"/>
              <w:bottom w:w="57" w:type="dxa"/>
            </w:tcMar>
          </w:tcPr>
          <w:p w:rsidR="006B08DB" w:rsidRPr="005A00FE" w:rsidRDefault="006B08DB" w:rsidP="00B928E0">
            <w:pPr>
              <w:rPr>
                <w:b/>
              </w:rPr>
            </w:pPr>
            <w:r w:rsidRPr="005A00FE">
              <w:rPr>
                <w:b/>
              </w:rPr>
              <w:lastRenderedPageBreak/>
              <w:t>ACHIEVED</w:t>
            </w:r>
          </w:p>
          <w:p w:rsidR="006B08DB" w:rsidRPr="007E67C5" w:rsidRDefault="006B08DB" w:rsidP="00B928E0">
            <w:r w:rsidRPr="007E67C5">
              <w:t xml:space="preserve">The </w:t>
            </w:r>
            <w:proofErr w:type="spellStart"/>
            <w:r w:rsidRPr="007E67C5">
              <w:t>AISSA</w:t>
            </w:r>
            <w:proofErr w:type="spellEnd"/>
            <w:r w:rsidRPr="007E67C5">
              <w:t xml:space="preserve"> </w:t>
            </w:r>
            <w:r w:rsidRPr="007E67C5">
              <w:rPr>
                <w:i/>
              </w:rPr>
              <w:t>Leadership program 2013</w:t>
            </w:r>
            <w:r w:rsidRPr="007E67C5">
              <w:t xml:space="preserve"> includes keynote addresses and workshops on The Australian Curriculum: Creating capacity for transformation in schools, with 4 </w:t>
            </w:r>
            <w:r w:rsidRPr="007E67C5">
              <w:lastRenderedPageBreak/>
              <w:t>workshops held by 30 June 2013.</w:t>
            </w:r>
          </w:p>
          <w:p w:rsidR="006B08DB" w:rsidRPr="007E67C5" w:rsidRDefault="006B08DB" w:rsidP="00B928E0">
            <w:r w:rsidRPr="007E67C5">
              <w:t>Areas covered included:</w:t>
            </w:r>
          </w:p>
          <w:p w:rsidR="006B08DB" w:rsidRPr="005A00FE" w:rsidRDefault="006B08DB" w:rsidP="00AE6D45">
            <w:pPr>
              <w:pStyle w:val="ListParagraph"/>
              <w:numPr>
                <w:ilvl w:val="0"/>
                <w:numId w:val="14"/>
              </w:numPr>
              <w:tabs>
                <w:tab w:val="clear" w:pos="720"/>
                <w:tab w:val="num" w:pos="397"/>
              </w:tabs>
              <w:ind w:left="822" w:hanging="425"/>
              <w:rPr>
                <w:i/>
              </w:rPr>
            </w:pPr>
            <w:r w:rsidRPr="005A00FE">
              <w:rPr>
                <w:i/>
              </w:rPr>
              <w:t>Creating capacity for transformation</w:t>
            </w:r>
          </w:p>
          <w:p w:rsidR="006B08DB" w:rsidRPr="005A00FE" w:rsidRDefault="006B08DB" w:rsidP="00AE6D45">
            <w:pPr>
              <w:pStyle w:val="ListParagraph"/>
              <w:numPr>
                <w:ilvl w:val="0"/>
                <w:numId w:val="14"/>
              </w:numPr>
              <w:tabs>
                <w:tab w:val="clear" w:pos="720"/>
                <w:tab w:val="num" w:pos="397"/>
              </w:tabs>
              <w:ind w:left="822" w:hanging="425"/>
              <w:rPr>
                <w:i/>
              </w:rPr>
            </w:pPr>
            <w:r w:rsidRPr="005A00FE">
              <w:rPr>
                <w:i/>
              </w:rPr>
              <w:t>Quality Learning through the general capabilities: Opportunities and challenges</w:t>
            </w:r>
          </w:p>
          <w:p w:rsidR="006B08DB" w:rsidRPr="005A00FE" w:rsidRDefault="006B08DB" w:rsidP="00AE6D45">
            <w:pPr>
              <w:pStyle w:val="ListParagraph"/>
              <w:numPr>
                <w:ilvl w:val="0"/>
                <w:numId w:val="14"/>
              </w:numPr>
              <w:tabs>
                <w:tab w:val="clear" w:pos="720"/>
                <w:tab w:val="num" w:pos="397"/>
              </w:tabs>
              <w:ind w:left="822" w:hanging="425"/>
              <w:rPr>
                <w:i/>
              </w:rPr>
            </w:pPr>
            <w:r w:rsidRPr="005A00FE">
              <w:rPr>
                <w:i/>
              </w:rPr>
              <w:t>Leadership for learning and the Australian Curriculum</w:t>
            </w:r>
          </w:p>
          <w:p w:rsidR="006B08DB" w:rsidRPr="005A00FE" w:rsidRDefault="006B08DB" w:rsidP="00AE6D45">
            <w:pPr>
              <w:pStyle w:val="ListParagraph"/>
              <w:numPr>
                <w:ilvl w:val="0"/>
                <w:numId w:val="14"/>
              </w:numPr>
              <w:tabs>
                <w:tab w:val="clear" w:pos="720"/>
                <w:tab w:val="num" w:pos="397"/>
              </w:tabs>
              <w:ind w:left="822" w:hanging="425"/>
              <w:rPr>
                <w:i/>
              </w:rPr>
            </w:pPr>
            <w:r w:rsidRPr="005A00FE">
              <w:rPr>
                <w:i/>
              </w:rPr>
              <w:t>Embedding Aboriginal and Torres Strait Islander histories and cultures</w:t>
            </w:r>
          </w:p>
          <w:p w:rsidR="006B08DB" w:rsidRPr="005A00FE" w:rsidRDefault="006B08DB" w:rsidP="00AE6D45">
            <w:pPr>
              <w:pStyle w:val="ListParagraph"/>
              <w:numPr>
                <w:ilvl w:val="0"/>
                <w:numId w:val="14"/>
              </w:numPr>
              <w:tabs>
                <w:tab w:val="clear" w:pos="720"/>
                <w:tab w:val="num" w:pos="397"/>
              </w:tabs>
              <w:ind w:left="822" w:hanging="425"/>
              <w:rPr>
                <w:i/>
              </w:rPr>
            </w:pPr>
            <w:r w:rsidRPr="005A00FE">
              <w:rPr>
                <w:i/>
              </w:rPr>
              <w:t>Leading assessment reform and the Australian Curriculum.</w:t>
            </w:r>
          </w:p>
          <w:p w:rsidR="006B08DB" w:rsidRDefault="006B08DB" w:rsidP="00B928E0">
            <w:r w:rsidRPr="007E67C5">
              <w:t>Presenters included: Greg Whitby, Robert Randall, Emeritus Professor Alan Reid, Rick Tudor, Lois Peeler and Professor Geoff Masters.</w:t>
            </w:r>
          </w:p>
          <w:p w:rsidR="005A00FE" w:rsidRPr="007E67C5" w:rsidRDefault="005A00FE" w:rsidP="00B928E0"/>
          <w:p w:rsidR="006B08DB" w:rsidRDefault="006B08DB" w:rsidP="00B928E0">
            <w:r w:rsidRPr="007E67C5">
              <w:t>There were 165 participants.</w:t>
            </w:r>
          </w:p>
          <w:p w:rsidR="005A00FE" w:rsidRPr="007E67C5" w:rsidRDefault="005A00FE" w:rsidP="00B928E0"/>
          <w:p w:rsidR="006B08DB" w:rsidRPr="007E67C5" w:rsidRDefault="006B08DB" w:rsidP="00B928E0">
            <w:pPr>
              <w:rPr>
                <w:color w:val="FF0000"/>
              </w:rPr>
            </w:pPr>
            <w:r w:rsidRPr="007E67C5">
              <w:t>Two mentors for principals on leading the implementation of the Australian Curriculum worked with individual principals. Mentoring was offered to all principals, including the opportunity for ‘in school’ mentoring. The mentors worked with the majority of principals.</w:t>
            </w:r>
          </w:p>
        </w:tc>
      </w:tr>
      <w:tr w:rsidR="006B08DB" w:rsidRPr="007E67C5" w:rsidTr="00632B23">
        <w:tc>
          <w:tcPr>
            <w:tcW w:w="5508" w:type="dxa"/>
            <w:shd w:val="clear" w:color="auto" w:fill="auto"/>
            <w:tcMar>
              <w:top w:w="57" w:type="dxa"/>
              <w:bottom w:w="57" w:type="dxa"/>
            </w:tcMar>
          </w:tcPr>
          <w:p w:rsidR="006B08DB" w:rsidRPr="007E67C5" w:rsidRDefault="006B08DB" w:rsidP="00B928E0">
            <w:pPr>
              <w:rPr>
                <w:b/>
                <w:bCs/>
              </w:rPr>
            </w:pPr>
            <w:r w:rsidRPr="007E67C5">
              <w:rPr>
                <w:b/>
                <w:bCs/>
              </w:rPr>
              <w:lastRenderedPageBreak/>
              <w:t>Principals to have the opportunity to access professional learning through the use of online technology, including principals in regional areas</w:t>
            </w:r>
          </w:p>
          <w:p w:rsidR="005A00FE" w:rsidRDefault="006B08DB" w:rsidP="00B928E0">
            <w:pPr>
              <w:rPr>
                <w:rStyle w:val="MilestoneparagraphCharChar"/>
                <w:rFonts w:asciiTheme="minorHAnsi" w:eastAsia="Beijing" w:hAnsiTheme="minorHAnsi" w:cstheme="minorHAnsi"/>
                <w:b/>
                <w:bCs/>
                <w:color w:val="000000" w:themeColor="text1"/>
                <w:szCs w:val="22"/>
              </w:rPr>
            </w:pPr>
            <w:r w:rsidRPr="007E67C5">
              <w:rPr>
                <w:rStyle w:val="MilestoneparagraphCharChar"/>
                <w:rFonts w:asciiTheme="minorHAnsi" w:eastAsia="Beijing" w:hAnsiTheme="minorHAnsi" w:cstheme="minorHAnsi"/>
                <w:color w:val="000000" w:themeColor="text1"/>
                <w:szCs w:val="22"/>
              </w:rPr>
              <w:t>A key focus will be on providing opportunities for principals in regional areas to remotely access professional learning provided in Adelaide and possibly elsewhere.</w:t>
            </w:r>
            <w:r w:rsidRPr="007E67C5">
              <w:rPr>
                <w:rStyle w:val="MilestoneparagraphCharChar"/>
                <w:rFonts w:asciiTheme="minorHAnsi" w:eastAsia="Beijing" w:hAnsiTheme="minorHAnsi" w:cstheme="minorHAnsi"/>
                <w:b/>
                <w:bCs/>
                <w:color w:val="000000" w:themeColor="text1"/>
                <w:szCs w:val="22"/>
              </w:rPr>
              <w:t xml:space="preserve"> </w:t>
            </w:r>
          </w:p>
          <w:p w:rsidR="006B08DB" w:rsidRDefault="006B08DB" w:rsidP="00B928E0">
            <w:pPr>
              <w:rPr>
                <w:rStyle w:val="MilestoneparagraphCharChar"/>
                <w:rFonts w:asciiTheme="minorHAnsi" w:eastAsia="Beijing" w:hAnsiTheme="minorHAnsi" w:cstheme="minorHAnsi"/>
                <w:b/>
                <w:bCs/>
                <w:color w:val="000000" w:themeColor="text1"/>
                <w:szCs w:val="22"/>
              </w:rPr>
            </w:pPr>
            <w:r w:rsidRPr="007E67C5">
              <w:rPr>
                <w:rStyle w:val="MilestoneparagraphCharChar"/>
                <w:rFonts w:asciiTheme="minorHAnsi" w:eastAsia="Beijing" w:hAnsiTheme="minorHAnsi" w:cstheme="minorHAnsi"/>
                <w:b/>
                <w:bCs/>
                <w:color w:val="000000" w:themeColor="text1"/>
                <w:szCs w:val="22"/>
              </w:rPr>
              <w:t>(</w:t>
            </w:r>
            <w:proofErr w:type="spellStart"/>
            <w:r w:rsidRPr="007E67C5">
              <w:rPr>
                <w:rStyle w:val="MilestoneparagraphCharChar"/>
                <w:rFonts w:asciiTheme="minorHAnsi" w:eastAsia="Beijing" w:hAnsiTheme="minorHAnsi" w:cstheme="minorHAnsi"/>
                <w:b/>
                <w:bCs/>
                <w:color w:val="000000" w:themeColor="text1"/>
                <w:szCs w:val="22"/>
              </w:rPr>
              <w:t>AISSA</w:t>
            </w:r>
            <w:proofErr w:type="spellEnd"/>
            <w:r w:rsidRPr="007E67C5">
              <w:rPr>
                <w:rStyle w:val="MilestoneparagraphCharChar"/>
                <w:rFonts w:asciiTheme="minorHAnsi" w:eastAsia="Beijing" w:hAnsiTheme="minorHAnsi" w:cstheme="minorHAnsi"/>
                <w:b/>
                <w:bCs/>
                <w:color w:val="000000" w:themeColor="text1"/>
                <w:szCs w:val="22"/>
              </w:rPr>
              <w:t>)</w:t>
            </w:r>
          </w:p>
          <w:p w:rsidR="005A00FE" w:rsidRPr="007E67C5" w:rsidRDefault="005A00FE" w:rsidP="00B928E0">
            <w:pPr>
              <w:rPr>
                <w:rStyle w:val="MilestoneparagraphCharChar"/>
                <w:rFonts w:asciiTheme="minorHAnsi" w:eastAsia="Beijing" w:hAnsiTheme="minorHAnsi" w:cstheme="minorHAnsi"/>
                <w:b/>
                <w:bCs/>
                <w:color w:val="000000" w:themeColor="text1"/>
                <w:szCs w:val="22"/>
              </w:rPr>
            </w:pPr>
          </w:p>
          <w:p w:rsidR="006B08DB" w:rsidRPr="007E67C5" w:rsidRDefault="006B08DB" w:rsidP="00B928E0">
            <w:r w:rsidRPr="007E67C5">
              <w:t>PRINCIPLES</w:t>
            </w:r>
          </w:p>
          <w:p w:rsidR="006B08DB" w:rsidRPr="005A00FE" w:rsidRDefault="006B08DB" w:rsidP="00AE6D45">
            <w:pPr>
              <w:pStyle w:val="ListParagraph"/>
              <w:numPr>
                <w:ilvl w:val="0"/>
                <w:numId w:val="13"/>
              </w:numPr>
              <w:ind w:left="743" w:hanging="425"/>
            </w:pPr>
            <w:r w:rsidRPr="005A00FE">
              <w:t>Align with Australian professional standard for principals</w:t>
            </w:r>
          </w:p>
          <w:p w:rsidR="006B08DB" w:rsidRPr="005A00FE" w:rsidRDefault="006B08DB" w:rsidP="00AE6D45">
            <w:pPr>
              <w:pStyle w:val="ListParagraph"/>
              <w:numPr>
                <w:ilvl w:val="0"/>
                <w:numId w:val="13"/>
              </w:numPr>
              <w:ind w:left="743" w:hanging="425"/>
            </w:pPr>
            <w:r w:rsidRPr="005A00FE">
              <w:t>Supporting principals to lead institutional change to enable implementation of the Australian Curriculum</w:t>
            </w:r>
          </w:p>
          <w:p w:rsidR="006B08DB" w:rsidRPr="005A00FE" w:rsidRDefault="006B08DB" w:rsidP="00AE6D45">
            <w:pPr>
              <w:pStyle w:val="ListParagraph"/>
              <w:numPr>
                <w:ilvl w:val="0"/>
                <w:numId w:val="13"/>
              </w:numPr>
              <w:ind w:left="743" w:hanging="425"/>
            </w:pPr>
            <w:r w:rsidRPr="005A00FE">
              <w:t>Local priority</w:t>
            </w:r>
          </w:p>
          <w:p w:rsidR="006B08DB" w:rsidRPr="005A00FE" w:rsidRDefault="006B08DB" w:rsidP="00AE6D45">
            <w:pPr>
              <w:pStyle w:val="ListParagraph"/>
              <w:numPr>
                <w:ilvl w:val="0"/>
                <w:numId w:val="13"/>
              </w:numPr>
              <w:ind w:left="743" w:hanging="425"/>
            </w:pPr>
            <w:r w:rsidRPr="005A00FE">
              <w:t>Regional and remote</w:t>
            </w:r>
          </w:p>
          <w:p w:rsidR="006B08DB" w:rsidRPr="007E67C5" w:rsidRDefault="006B08DB" w:rsidP="00AE6D45">
            <w:pPr>
              <w:pStyle w:val="ListParagraph"/>
              <w:numPr>
                <w:ilvl w:val="0"/>
                <w:numId w:val="13"/>
              </w:numPr>
              <w:ind w:left="743" w:hanging="425"/>
            </w:pPr>
            <w:r w:rsidRPr="005A00FE">
              <w:t>Share outcomes of collaborative learning online</w:t>
            </w:r>
          </w:p>
        </w:tc>
        <w:tc>
          <w:tcPr>
            <w:tcW w:w="3060" w:type="dxa"/>
            <w:shd w:val="clear" w:color="auto" w:fill="auto"/>
            <w:tcMar>
              <w:top w:w="57" w:type="dxa"/>
              <w:bottom w:w="57" w:type="dxa"/>
            </w:tcMar>
          </w:tcPr>
          <w:p w:rsidR="006B08DB" w:rsidRPr="007E67C5" w:rsidRDefault="006B08DB" w:rsidP="00B928E0">
            <w:r w:rsidRPr="007E67C5">
              <w:lastRenderedPageBreak/>
              <w:t>Opportunities to access professional learning through the use of online technology offered to principals</w:t>
            </w:r>
          </w:p>
          <w:p w:rsidR="006B08DB" w:rsidRPr="007E67C5" w:rsidRDefault="006B08DB" w:rsidP="00B928E0"/>
        </w:tc>
        <w:tc>
          <w:tcPr>
            <w:tcW w:w="5750" w:type="dxa"/>
            <w:shd w:val="clear" w:color="auto" w:fill="auto"/>
            <w:tcMar>
              <w:top w:w="57" w:type="dxa"/>
              <w:bottom w:w="57" w:type="dxa"/>
            </w:tcMar>
          </w:tcPr>
          <w:p w:rsidR="006B08DB" w:rsidRPr="005A00FE" w:rsidRDefault="006B08DB" w:rsidP="00B928E0">
            <w:pPr>
              <w:rPr>
                <w:b/>
              </w:rPr>
            </w:pPr>
            <w:r w:rsidRPr="005A00FE">
              <w:rPr>
                <w:b/>
              </w:rPr>
              <w:t>ACHIEVED</w:t>
            </w:r>
          </w:p>
          <w:p w:rsidR="006B08DB" w:rsidRPr="007E67C5" w:rsidRDefault="006B08DB" w:rsidP="00B928E0">
            <w:r w:rsidRPr="007E67C5">
              <w:t>13 school leaders were provided with access to the UK Leadership College via information technology.</w:t>
            </w:r>
          </w:p>
          <w:p w:rsidR="005A00FE" w:rsidRDefault="005A00FE" w:rsidP="00B928E0"/>
          <w:p w:rsidR="006B08DB" w:rsidRPr="007E67C5" w:rsidRDefault="006B08DB" w:rsidP="00B928E0">
            <w:r w:rsidRPr="007E67C5">
              <w:t xml:space="preserve">Most of the key note addresses during the </w:t>
            </w:r>
            <w:proofErr w:type="spellStart"/>
            <w:r w:rsidRPr="007E67C5">
              <w:rPr>
                <w:i/>
              </w:rPr>
              <w:t>AISSA</w:t>
            </w:r>
            <w:proofErr w:type="spellEnd"/>
            <w:r w:rsidRPr="007E67C5">
              <w:rPr>
                <w:i/>
              </w:rPr>
              <w:t xml:space="preserve"> Leadership program</w:t>
            </w:r>
            <w:r w:rsidRPr="007E67C5">
              <w:t xml:space="preserve"> were made available online to principals along with the leadership resources provided at the workshops.</w:t>
            </w:r>
          </w:p>
          <w:p w:rsidR="006B08DB" w:rsidRPr="007E67C5" w:rsidRDefault="006B08DB" w:rsidP="00B928E0"/>
          <w:p w:rsidR="006B08DB" w:rsidRPr="007E67C5" w:rsidRDefault="006B08DB" w:rsidP="00B928E0"/>
          <w:p w:rsidR="006B08DB" w:rsidRPr="007E67C5" w:rsidRDefault="006B08DB" w:rsidP="00B928E0"/>
          <w:p w:rsidR="006B08DB" w:rsidRPr="007E67C5" w:rsidRDefault="006B08DB" w:rsidP="00B928E0">
            <w:pPr>
              <w:rPr>
                <w:color w:val="FF0000"/>
              </w:rPr>
            </w:pPr>
          </w:p>
        </w:tc>
      </w:tr>
      <w:tr w:rsidR="006B08DB" w:rsidRPr="007E67C5" w:rsidTr="00632B23">
        <w:tc>
          <w:tcPr>
            <w:tcW w:w="5508" w:type="dxa"/>
            <w:shd w:val="clear" w:color="auto" w:fill="auto"/>
            <w:tcMar>
              <w:top w:w="57" w:type="dxa"/>
              <w:bottom w:w="57" w:type="dxa"/>
            </w:tcMar>
          </w:tcPr>
          <w:p w:rsidR="006B08DB" w:rsidRDefault="006B08DB" w:rsidP="00B928E0">
            <w:pPr>
              <w:rPr>
                <w:b/>
              </w:rPr>
            </w:pPr>
            <w:r w:rsidRPr="005A00FE">
              <w:rPr>
                <w:b/>
              </w:rPr>
              <w:lastRenderedPageBreak/>
              <w:t>Collaborative learning projects</w:t>
            </w:r>
          </w:p>
          <w:p w:rsidR="005A00FE" w:rsidRPr="005A00FE" w:rsidRDefault="005A00FE" w:rsidP="00B928E0">
            <w:pPr>
              <w:rPr>
                <w:b/>
              </w:rPr>
            </w:pPr>
          </w:p>
          <w:p w:rsidR="006B08DB" w:rsidRPr="007E67C5" w:rsidRDefault="006B08DB" w:rsidP="00B928E0">
            <w:r w:rsidRPr="007E67C5">
              <w:t xml:space="preserve">Collaborative learning projects will be framed by the five professional practices of the </w:t>
            </w:r>
            <w:r w:rsidRPr="007E67C5">
              <w:rPr>
                <w:i/>
              </w:rPr>
              <w:t>Australian professional standard for principals</w:t>
            </w:r>
            <w:r w:rsidRPr="007E67C5">
              <w:t xml:space="preserve"> as contextualised by the sector imperatives arising from the 2011 Catholic Education South Australia (</w:t>
            </w:r>
            <w:proofErr w:type="spellStart"/>
            <w:r w:rsidRPr="007E67C5">
              <w:t>CESA</w:t>
            </w:r>
            <w:proofErr w:type="spellEnd"/>
            <w:r w:rsidRPr="007E67C5">
              <w:t xml:space="preserve">) </w:t>
            </w:r>
            <w:r w:rsidRPr="007E67C5">
              <w:rPr>
                <w:i/>
              </w:rPr>
              <w:t>Review of services</w:t>
            </w:r>
            <w:r w:rsidRPr="007E67C5">
              <w:t>, namely</w:t>
            </w:r>
          </w:p>
          <w:p w:rsidR="006B08DB" w:rsidRPr="007E67C5" w:rsidRDefault="006B08DB" w:rsidP="00AE6D45">
            <w:pPr>
              <w:pStyle w:val="ListParagraph"/>
              <w:numPr>
                <w:ilvl w:val="0"/>
                <w:numId w:val="13"/>
              </w:numPr>
              <w:ind w:left="743" w:hanging="425"/>
            </w:pPr>
            <w:r w:rsidRPr="007E67C5">
              <w:t>School improvement and capacity building</w:t>
            </w:r>
          </w:p>
          <w:p w:rsidR="006B08DB" w:rsidRPr="007E67C5" w:rsidRDefault="006B08DB" w:rsidP="00AE6D45">
            <w:pPr>
              <w:pStyle w:val="ListParagraph"/>
              <w:numPr>
                <w:ilvl w:val="0"/>
                <w:numId w:val="13"/>
              </w:numPr>
              <w:ind w:left="743" w:hanging="425"/>
            </w:pPr>
            <w:r w:rsidRPr="007E67C5">
              <w:t>Student outcomes</w:t>
            </w:r>
          </w:p>
          <w:p w:rsidR="006B08DB" w:rsidRPr="007E67C5" w:rsidRDefault="006B08DB" w:rsidP="00AE6D45">
            <w:pPr>
              <w:pStyle w:val="ListParagraph"/>
              <w:numPr>
                <w:ilvl w:val="0"/>
                <w:numId w:val="13"/>
              </w:numPr>
              <w:ind w:left="743" w:hanging="425"/>
            </w:pPr>
            <w:r w:rsidRPr="007E67C5">
              <w:t>Religious identity</w:t>
            </w:r>
          </w:p>
          <w:p w:rsidR="006B08DB" w:rsidRPr="007E67C5" w:rsidRDefault="006B08DB" w:rsidP="00AE6D45">
            <w:pPr>
              <w:pStyle w:val="ListParagraph"/>
              <w:numPr>
                <w:ilvl w:val="0"/>
                <w:numId w:val="13"/>
              </w:numPr>
              <w:ind w:left="743" w:hanging="425"/>
            </w:pPr>
            <w:r w:rsidRPr="007E67C5">
              <w:t>Financial stewardship</w:t>
            </w:r>
          </w:p>
          <w:p w:rsidR="006B08DB" w:rsidRDefault="006B08DB" w:rsidP="00B928E0">
            <w:pPr>
              <w:rPr>
                <w:b/>
              </w:rPr>
            </w:pPr>
            <w:r w:rsidRPr="007E67C5">
              <w:t xml:space="preserve">Each collaborative learning project will involve a cluster of current and emerging principals pursuing a negotiated professional inquiry question. </w:t>
            </w:r>
            <w:r w:rsidRPr="007E67C5">
              <w:rPr>
                <w:b/>
              </w:rPr>
              <w:t>(</w:t>
            </w:r>
            <w:proofErr w:type="spellStart"/>
            <w:r w:rsidRPr="007E67C5">
              <w:rPr>
                <w:b/>
              </w:rPr>
              <w:t>CESA</w:t>
            </w:r>
            <w:proofErr w:type="spellEnd"/>
            <w:r w:rsidRPr="007E67C5">
              <w:rPr>
                <w:b/>
              </w:rPr>
              <w:t>)</w:t>
            </w:r>
          </w:p>
          <w:p w:rsidR="005A00FE" w:rsidRPr="007E67C5" w:rsidRDefault="005A00FE" w:rsidP="00B928E0">
            <w:pPr>
              <w:rPr>
                <w:b/>
              </w:rPr>
            </w:pPr>
          </w:p>
          <w:p w:rsidR="006B08DB" w:rsidRPr="007E67C5" w:rsidRDefault="006B08DB" w:rsidP="00B928E0">
            <w:r w:rsidRPr="007E67C5">
              <w:t>PRINCIPLES</w:t>
            </w:r>
          </w:p>
          <w:p w:rsidR="005A00FE" w:rsidRDefault="005A00FE" w:rsidP="00B928E0"/>
          <w:p w:rsidR="006B08DB" w:rsidRPr="007E67C5" w:rsidRDefault="006B08DB" w:rsidP="00B928E0">
            <w:r w:rsidRPr="007E67C5">
              <w:t>All collaborative learning projects will:</w:t>
            </w:r>
          </w:p>
          <w:p w:rsidR="006B08DB" w:rsidRPr="005A00FE" w:rsidRDefault="006B08DB" w:rsidP="00AE6D45">
            <w:pPr>
              <w:pStyle w:val="ListParagraph"/>
              <w:numPr>
                <w:ilvl w:val="0"/>
                <w:numId w:val="13"/>
              </w:numPr>
              <w:ind w:left="743" w:hanging="425"/>
              <w:rPr>
                <w:i/>
              </w:rPr>
            </w:pPr>
            <w:r w:rsidRPr="007E67C5">
              <w:lastRenderedPageBreak/>
              <w:t xml:space="preserve">align with </w:t>
            </w:r>
            <w:r w:rsidRPr="005A00FE">
              <w:rPr>
                <w:i/>
              </w:rPr>
              <w:t>Australian professional standard for principals</w:t>
            </w:r>
          </w:p>
          <w:p w:rsidR="006B08DB" w:rsidRPr="007E67C5" w:rsidRDefault="006B08DB" w:rsidP="00AE6D45">
            <w:pPr>
              <w:pStyle w:val="ListParagraph"/>
              <w:numPr>
                <w:ilvl w:val="0"/>
                <w:numId w:val="13"/>
              </w:numPr>
              <w:ind w:left="743" w:hanging="425"/>
            </w:pPr>
            <w:r w:rsidRPr="007E67C5">
              <w:t>share outcomes of collaborative learning online</w:t>
            </w:r>
          </w:p>
          <w:p w:rsidR="006B08DB" w:rsidRPr="007E67C5" w:rsidRDefault="006B08DB" w:rsidP="00AE6D45">
            <w:pPr>
              <w:pStyle w:val="ListParagraph"/>
              <w:numPr>
                <w:ilvl w:val="0"/>
                <w:numId w:val="13"/>
              </w:numPr>
              <w:ind w:left="743" w:hanging="425"/>
            </w:pPr>
            <w:r w:rsidRPr="007E67C5">
              <w:t>be accessible to leaders of regional and remote schools</w:t>
            </w:r>
          </w:p>
          <w:p w:rsidR="006B08DB" w:rsidRPr="007E67C5" w:rsidRDefault="006B08DB" w:rsidP="00AE6D45">
            <w:pPr>
              <w:pStyle w:val="ListParagraph"/>
              <w:numPr>
                <w:ilvl w:val="0"/>
                <w:numId w:val="13"/>
              </w:numPr>
              <w:ind w:left="743" w:hanging="425"/>
            </w:pPr>
            <w:r w:rsidRPr="007E67C5">
              <w:t xml:space="preserve">address either </w:t>
            </w:r>
            <w:r w:rsidRPr="005A00FE">
              <w:rPr>
                <w:i/>
              </w:rPr>
              <w:t>Supporting principals to lead institutional change for implementation of the Australian Curriculum</w:t>
            </w:r>
            <w:r w:rsidRPr="007E67C5">
              <w:t xml:space="preserve"> (1, 2); OR </w:t>
            </w:r>
            <w:r w:rsidRPr="005A00FE">
              <w:rPr>
                <w:i/>
              </w:rPr>
              <w:t>Strategies for interacting more productively with local Aboriginal and Torres Strait Islander communities</w:t>
            </w:r>
            <w:r w:rsidRPr="007E67C5">
              <w:t xml:space="preserve"> (1); OR </w:t>
            </w:r>
            <w:r w:rsidRPr="005A00FE">
              <w:rPr>
                <w:i/>
              </w:rPr>
              <w:t>Local priorities</w:t>
            </w:r>
            <w:r w:rsidRPr="005A00FE">
              <w:t xml:space="preserve"> </w:t>
            </w:r>
            <w:r w:rsidRPr="007E67C5">
              <w:t>(1, 2, 3 &amp; 4)</w:t>
            </w:r>
          </w:p>
        </w:tc>
        <w:tc>
          <w:tcPr>
            <w:tcW w:w="3060" w:type="dxa"/>
            <w:shd w:val="clear" w:color="auto" w:fill="auto"/>
            <w:tcMar>
              <w:top w:w="57" w:type="dxa"/>
              <w:bottom w:w="57" w:type="dxa"/>
            </w:tcMar>
          </w:tcPr>
          <w:p w:rsidR="006B08DB" w:rsidRPr="007E67C5" w:rsidRDefault="006B08DB" w:rsidP="00B928E0">
            <w:r w:rsidRPr="007E67C5">
              <w:lastRenderedPageBreak/>
              <w:t>6 collaborative learning projects established</w:t>
            </w:r>
          </w:p>
          <w:p w:rsidR="006B08DB" w:rsidRPr="007E67C5" w:rsidRDefault="006B08DB" w:rsidP="00B928E0"/>
          <w:p w:rsidR="006B08DB" w:rsidRPr="007E67C5" w:rsidRDefault="006B08DB" w:rsidP="00B928E0">
            <w:r w:rsidRPr="007E67C5">
              <w:t>Final reports from each collaborative learning project published online</w:t>
            </w:r>
          </w:p>
          <w:p w:rsidR="006B08DB" w:rsidRPr="007E67C5" w:rsidRDefault="006B08DB" w:rsidP="00B928E0"/>
          <w:p w:rsidR="006B08DB" w:rsidRPr="007E67C5" w:rsidRDefault="006B08DB" w:rsidP="00B928E0">
            <w:r w:rsidRPr="007E67C5">
              <w:t>Summary showcase held</w:t>
            </w:r>
          </w:p>
          <w:p w:rsidR="006B08DB" w:rsidRPr="007E67C5" w:rsidRDefault="006B08DB" w:rsidP="00B928E0">
            <w:r w:rsidRPr="007E67C5">
              <w:t>Showcase presentations distributed to all principals</w:t>
            </w:r>
          </w:p>
          <w:p w:rsidR="006B08DB" w:rsidRPr="007E67C5" w:rsidRDefault="006B08DB" w:rsidP="00B928E0"/>
          <w:p w:rsidR="006B08DB" w:rsidRPr="007E67C5" w:rsidRDefault="006B08DB" w:rsidP="00B928E0"/>
          <w:p w:rsidR="006B08DB" w:rsidRPr="007E67C5" w:rsidRDefault="006B08DB" w:rsidP="00B928E0"/>
          <w:p w:rsidR="006B08DB" w:rsidRPr="007E67C5" w:rsidRDefault="006B08DB" w:rsidP="00B928E0"/>
          <w:p w:rsidR="006B08DB" w:rsidRPr="007E67C5" w:rsidRDefault="006B08DB" w:rsidP="00B928E0"/>
          <w:p w:rsidR="006B08DB" w:rsidRPr="007E67C5" w:rsidRDefault="006B08DB" w:rsidP="00B928E0"/>
          <w:p w:rsidR="006B08DB" w:rsidRPr="007E67C5" w:rsidRDefault="006B08DB" w:rsidP="00B928E0"/>
          <w:p w:rsidR="006B08DB" w:rsidRPr="007E67C5" w:rsidRDefault="006B08DB" w:rsidP="00B928E0"/>
        </w:tc>
        <w:tc>
          <w:tcPr>
            <w:tcW w:w="5750" w:type="dxa"/>
            <w:shd w:val="clear" w:color="auto" w:fill="auto"/>
            <w:tcMar>
              <w:top w:w="57" w:type="dxa"/>
              <w:bottom w:w="57" w:type="dxa"/>
            </w:tcMar>
          </w:tcPr>
          <w:p w:rsidR="006B08DB" w:rsidRPr="005A00FE" w:rsidRDefault="006B08DB" w:rsidP="00B928E0">
            <w:pPr>
              <w:rPr>
                <w:b/>
              </w:rPr>
            </w:pPr>
            <w:r w:rsidRPr="005A00FE">
              <w:rPr>
                <w:b/>
              </w:rPr>
              <w:t>ACHIEVED</w:t>
            </w:r>
          </w:p>
          <w:p w:rsidR="006B08DB" w:rsidRDefault="006B08DB" w:rsidP="00B928E0">
            <w:r w:rsidRPr="007E67C5">
              <w:t>6 collaborative learning projects (</w:t>
            </w:r>
            <w:proofErr w:type="spellStart"/>
            <w:r w:rsidRPr="007E67C5">
              <w:t>CLPs</w:t>
            </w:r>
            <w:proofErr w:type="spellEnd"/>
            <w:r w:rsidRPr="007E67C5">
              <w:t>) were completed with the South Australian Catholic Primary Principals Association (</w:t>
            </w:r>
            <w:proofErr w:type="spellStart"/>
            <w:r w:rsidRPr="007E67C5">
              <w:t>SACPPA</w:t>
            </w:r>
            <w:proofErr w:type="spellEnd"/>
            <w:r w:rsidRPr="007E67C5">
              <w:t>) and the Association of Principals of Catholic Secondary Schools (</w:t>
            </w:r>
            <w:proofErr w:type="spellStart"/>
            <w:r w:rsidRPr="007E67C5">
              <w:t>APCSS</w:t>
            </w:r>
            <w:proofErr w:type="spellEnd"/>
            <w:r w:rsidRPr="007E67C5">
              <w:t>).</w:t>
            </w:r>
          </w:p>
          <w:p w:rsidR="005A00FE" w:rsidRPr="007E67C5" w:rsidRDefault="005A00FE" w:rsidP="00B928E0"/>
          <w:p w:rsidR="006B08DB" w:rsidRDefault="006B08DB" w:rsidP="00B928E0">
            <w:r w:rsidRPr="007E67C5">
              <w:t>30 principals and 12 emerging principals participated in the 6 collaborative learning projects.</w:t>
            </w:r>
          </w:p>
          <w:p w:rsidR="005A00FE" w:rsidRPr="007E67C5" w:rsidRDefault="005A00FE" w:rsidP="00B928E0"/>
          <w:p w:rsidR="006B08DB" w:rsidRDefault="006B08DB" w:rsidP="00B928E0">
            <w:r w:rsidRPr="007E67C5">
              <w:t xml:space="preserve">All 6 collaborative learning project reports were published online through the </w:t>
            </w:r>
            <w:proofErr w:type="spellStart"/>
            <w:r w:rsidRPr="007E67C5">
              <w:t>CESA</w:t>
            </w:r>
            <w:proofErr w:type="spellEnd"/>
            <w:r w:rsidRPr="007E67C5">
              <w:t xml:space="preserve"> Intranet for all Catholic school principals</w:t>
            </w:r>
          </w:p>
          <w:p w:rsidR="005A00FE" w:rsidRPr="007E67C5" w:rsidRDefault="005A00FE" w:rsidP="00B928E0"/>
          <w:p w:rsidR="006B08DB" w:rsidRDefault="006B08DB" w:rsidP="00B928E0">
            <w:r w:rsidRPr="007E67C5">
              <w:t>A showcase to disseminate the outcomes of the 6 collaborative learning projects was held on 20 May 2013.</w:t>
            </w:r>
          </w:p>
          <w:p w:rsidR="005A00FE" w:rsidRPr="007E67C5" w:rsidRDefault="005A00FE" w:rsidP="00B928E0"/>
          <w:p w:rsidR="006B08DB" w:rsidRDefault="006B08DB" w:rsidP="00B928E0">
            <w:r w:rsidRPr="007E67C5">
              <w:t>56 people attended the showcase, of whom 38 were principals/emerging principals</w:t>
            </w:r>
          </w:p>
          <w:p w:rsidR="005A00FE" w:rsidRPr="007E67C5" w:rsidRDefault="005A00FE" w:rsidP="00B928E0"/>
          <w:p w:rsidR="006B08DB" w:rsidRDefault="006B08DB" w:rsidP="00B928E0">
            <w:r w:rsidRPr="007E67C5">
              <w:rPr>
                <w:b/>
              </w:rPr>
              <w:t>Additional activity</w:t>
            </w:r>
            <w:r w:rsidRPr="007E67C5">
              <w:t xml:space="preserve"> – 3 principals from one of the </w:t>
            </w:r>
            <w:r w:rsidRPr="007E67C5">
              <w:lastRenderedPageBreak/>
              <w:t xml:space="preserve">collaborative learning projects are currently engaged in an action research project initiated by </w:t>
            </w:r>
            <w:proofErr w:type="spellStart"/>
            <w:r w:rsidRPr="007E67C5">
              <w:t>AITSL</w:t>
            </w:r>
            <w:proofErr w:type="spellEnd"/>
            <w:r w:rsidRPr="007E67C5">
              <w:t>. The project includes the involvement of local and international university experts. This project will be completed by September 2013</w:t>
            </w:r>
          </w:p>
          <w:p w:rsidR="005A00FE" w:rsidRPr="007E67C5" w:rsidRDefault="005A00FE" w:rsidP="00B928E0"/>
          <w:p w:rsidR="006B08DB" w:rsidRPr="007E67C5" w:rsidRDefault="006B08DB" w:rsidP="00B928E0">
            <w:r w:rsidRPr="007E67C5">
              <w:t xml:space="preserve">Feedback from </w:t>
            </w:r>
            <w:proofErr w:type="spellStart"/>
            <w:r w:rsidRPr="007E67C5">
              <w:t>CLP</w:t>
            </w:r>
            <w:proofErr w:type="spellEnd"/>
            <w:r w:rsidRPr="007E67C5">
              <w:t xml:space="preserve"> reports indicates that this milestone was fully met</w:t>
            </w:r>
          </w:p>
          <w:p w:rsidR="006B08DB" w:rsidRPr="007E67C5" w:rsidRDefault="006B08DB" w:rsidP="00B928E0">
            <w:pPr>
              <w:rPr>
                <w:color w:val="00B050"/>
              </w:rPr>
            </w:pPr>
          </w:p>
        </w:tc>
      </w:tr>
      <w:tr w:rsidR="006B08DB" w:rsidRPr="007E67C5" w:rsidTr="00632B23">
        <w:tc>
          <w:tcPr>
            <w:tcW w:w="5508" w:type="dxa"/>
            <w:shd w:val="clear" w:color="auto" w:fill="auto"/>
            <w:tcMar>
              <w:top w:w="57" w:type="dxa"/>
              <w:bottom w:w="57" w:type="dxa"/>
            </w:tcMar>
          </w:tcPr>
          <w:p w:rsidR="006B08DB" w:rsidRDefault="006B08DB" w:rsidP="00B928E0">
            <w:pPr>
              <w:rPr>
                <w:rStyle w:val="MilestoneparagraphCharChar"/>
                <w:rFonts w:asciiTheme="minorHAnsi" w:eastAsia="Beijing" w:hAnsiTheme="minorHAnsi" w:cstheme="minorHAnsi"/>
                <w:b/>
                <w:bCs/>
                <w:color w:val="000000" w:themeColor="text1"/>
                <w:szCs w:val="22"/>
              </w:rPr>
            </w:pPr>
            <w:r w:rsidRPr="007E67C5">
              <w:rPr>
                <w:rStyle w:val="MilestoneheadingChar"/>
                <w:rFonts w:asciiTheme="minorHAnsi" w:hAnsiTheme="minorHAnsi" w:cstheme="minorHAnsi"/>
                <w:color w:val="000000" w:themeColor="text1"/>
                <w:szCs w:val="22"/>
              </w:rPr>
              <w:lastRenderedPageBreak/>
              <w:t>Building school improvement capacity forum</w:t>
            </w:r>
            <w:r w:rsidRPr="007E67C5">
              <w:t xml:space="preserve"> </w:t>
            </w:r>
            <w:r w:rsidRPr="007E67C5">
              <w:rPr>
                <w:rStyle w:val="MilestoneparagraphCharChar"/>
                <w:rFonts w:asciiTheme="minorHAnsi" w:eastAsia="Beijing" w:hAnsiTheme="minorHAnsi" w:cstheme="minorHAnsi"/>
                <w:color w:val="000000" w:themeColor="text1"/>
                <w:szCs w:val="22"/>
              </w:rPr>
              <w:t>will provide high quality learning experiences through the services of an internationally recognised expert in school improvement and change management associated with international issues and movements.</w:t>
            </w:r>
            <w:r w:rsidRPr="007E67C5">
              <w:rPr>
                <w:b/>
              </w:rPr>
              <w:t xml:space="preserve"> </w:t>
            </w:r>
            <w:r w:rsidRPr="007E67C5">
              <w:rPr>
                <w:rStyle w:val="MilestoneparagraphCharChar"/>
                <w:rFonts w:asciiTheme="minorHAnsi" w:eastAsia="Beijing" w:hAnsiTheme="minorHAnsi" w:cstheme="minorHAnsi"/>
                <w:b/>
                <w:bCs/>
                <w:color w:val="000000" w:themeColor="text1"/>
                <w:szCs w:val="22"/>
              </w:rPr>
              <w:t>(</w:t>
            </w:r>
            <w:proofErr w:type="spellStart"/>
            <w:r w:rsidRPr="007E67C5">
              <w:rPr>
                <w:rStyle w:val="MilestoneparagraphCharChar"/>
                <w:rFonts w:asciiTheme="minorHAnsi" w:eastAsia="Beijing" w:hAnsiTheme="minorHAnsi" w:cstheme="minorHAnsi"/>
                <w:b/>
                <w:bCs/>
                <w:color w:val="000000" w:themeColor="text1"/>
                <w:szCs w:val="22"/>
              </w:rPr>
              <w:t>CESA</w:t>
            </w:r>
            <w:proofErr w:type="spellEnd"/>
            <w:r w:rsidRPr="007E67C5">
              <w:rPr>
                <w:rStyle w:val="MilestoneparagraphCharChar"/>
                <w:rFonts w:asciiTheme="minorHAnsi" w:eastAsia="Beijing" w:hAnsiTheme="minorHAnsi" w:cstheme="minorHAnsi"/>
                <w:b/>
                <w:bCs/>
                <w:color w:val="000000" w:themeColor="text1"/>
                <w:szCs w:val="22"/>
              </w:rPr>
              <w:t>)</w:t>
            </w:r>
          </w:p>
          <w:p w:rsidR="005A00FE" w:rsidRPr="007E67C5" w:rsidRDefault="005A00FE" w:rsidP="00B928E0">
            <w:pPr>
              <w:rPr>
                <w:b/>
              </w:rPr>
            </w:pPr>
          </w:p>
          <w:p w:rsidR="006B08DB" w:rsidRPr="007E67C5" w:rsidRDefault="006B08DB" w:rsidP="00B928E0">
            <w:r w:rsidRPr="007E67C5">
              <w:t>PRINCIPLES</w:t>
            </w:r>
          </w:p>
          <w:p w:rsidR="006B08DB" w:rsidRPr="005A00FE" w:rsidRDefault="006B08DB" w:rsidP="00AE6D45">
            <w:pPr>
              <w:pStyle w:val="ListParagraph"/>
              <w:numPr>
                <w:ilvl w:val="0"/>
                <w:numId w:val="13"/>
              </w:numPr>
              <w:ind w:left="743" w:hanging="425"/>
              <w:rPr>
                <w:i/>
              </w:rPr>
            </w:pPr>
            <w:r w:rsidRPr="007E67C5">
              <w:t xml:space="preserve">Align with </w:t>
            </w:r>
            <w:r w:rsidRPr="005A00FE">
              <w:rPr>
                <w:i/>
              </w:rPr>
              <w:t>Australian professional standard for principals</w:t>
            </w:r>
          </w:p>
          <w:p w:rsidR="006B08DB" w:rsidRPr="007E67C5" w:rsidRDefault="006B08DB" w:rsidP="00AE6D45">
            <w:pPr>
              <w:pStyle w:val="ListParagraph"/>
              <w:numPr>
                <w:ilvl w:val="0"/>
                <w:numId w:val="13"/>
              </w:numPr>
              <w:ind w:left="743" w:hanging="425"/>
            </w:pPr>
            <w:r w:rsidRPr="007E67C5">
              <w:t>Supporting principals to lead institutional change re the Australian Curriculum and more effective pedagogies</w:t>
            </w:r>
          </w:p>
          <w:p w:rsidR="006B08DB" w:rsidRPr="007E67C5" w:rsidRDefault="006B08DB" w:rsidP="00AE6D45">
            <w:pPr>
              <w:pStyle w:val="ListParagraph"/>
              <w:numPr>
                <w:ilvl w:val="0"/>
                <w:numId w:val="13"/>
              </w:numPr>
              <w:ind w:left="743" w:hanging="425"/>
            </w:pPr>
            <w:r w:rsidRPr="007E67C5">
              <w:t>Addressing local sector priority of developing a school improvement framework</w:t>
            </w:r>
          </w:p>
          <w:p w:rsidR="006B08DB" w:rsidRPr="007E67C5" w:rsidRDefault="006B08DB" w:rsidP="00AE6D45">
            <w:pPr>
              <w:pStyle w:val="ListParagraph"/>
              <w:numPr>
                <w:ilvl w:val="0"/>
                <w:numId w:val="13"/>
              </w:numPr>
              <w:ind w:left="743" w:hanging="425"/>
            </w:pPr>
            <w:r w:rsidRPr="007E67C5">
              <w:t>Accessible to current and emerging principals in regional and remote schools</w:t>
            </w:r>
          </w:p>
          <w:p w:rsidR="006B08DB" w:rsidRPr="007E67C5" w:rsidRDefault="006B08DB" w:rsidP="00AE6D45">
            <w:pPr>
              <w:pStyle w:val="ListParagraph"/>
              <w:numPr>
                <w:ilvl w:val="0"/>
                <w:numId w:val="13"/>
              </w:numPr>
              <w:ind w:left="743" w:hanging="425"/>
            </w:pPr>
            <w:r w:rsidRPr="007E67C5">
              <w:t>Develop tools/resources for national sharing</w:t>
            </w:r>
          </w:p>
        </w:tc>
        <w:tc>
          <w:tcPr>
            <w:tcW w:w="3060" w:type="dxa"/>
            <w:shd w:val="clear" w:color="auto" w:fill="auto"/>
            <w:tcMar>
              <w:top w:w="57" w:type="dxa"/>
              <w:bottom w:w="57" w:type="dxa"/>
            </w:tcMar>
          </w:tcPr>
          <w:p w:rsidR="006B08DB" w:rsidRPr="007E67C5" w:rsidRDefault="006B08DB" w:rsidP="00B928E0">
            <w:r w:rsidRPr="007E67C5">
              <w:t>Forum papers published online</w:t>
            </w:r>
          </w:p>
          <w:p w:rsidR="006B08DB" w:rsidRPr="007E67C5" w:rsidRDefault="006B08DB" w:rsidP="00B928E0"/>
        </w:tc>
        <w:tc>
          <w:tcPr>
            <w:tcW w:w="5750" w:type="dxa"/>
            <w:shd w:val="clear" w:color="auto" w:fill="auto"/>
            <w:tcMar>
              <w:top w:w="57" w:type="dxa"/>
              <w:bottom w:w="57" w:type="dxa"/>
            </w:tcMar>
          </w:tcPr>
          <w:p w:rsidR="006B08DB" w:rsidRPr="005A00FE" w:rsidRDefault="006B08DB" w:rsidP="00B928E0">
            <w:pPr>
              <w:rPr>
                <w:b/>
              </w:rPr>
            </w:pPr>
            <w:r w:rsidRPr="005A00FE">
              <w:rPr>
                <w:b/>
              </w:rPr>
              <w:t>ACHIEVED</w:t>
            </w:r>
          </w:p>
          <w:p w:rsidR="006B08DB" w:rsidRDefault="006B08DB" w:rsidP="00B928E0">
            <w:r w:rsidRPr="007E67C5">
              <w:t xml:space="preserve">A successful </w:t>
            </w:r>
            <w:r w:rsidRPr="007E67C5">
              <w:rPr>
                <w:i/>
              </w:rPr>
              <w:t>Building school improvement capacity forum</w:t>
            </w:r>
            <w:r w:rsidRPr="007E67C5">
              <w:t xml:space="preserve"> </w:t>
            </w:r>
            <w:r w:rsidRPr="007E67C5">
              <w:rPr>
                <w:i/>
                <w:iCs/>
              </w:rPr>
              <w:t xml:space="preserve">building </w:t>
            </w:r>
            <w:r w:rsidRPr="007E67C5">
              <w:t xml:space="preserve">entitled </w:t>
            </w:r>
            <w:r w:rsidRPr="007E67C5">
              <w:rPr>
                <w:i/>
              </w:rPr>
              <w:t>Leading learning – How to get there from here?</w:t>
            </w:r>
            <w:r w:rsidRPr="007E67C5">
              <w:t xml:space="preserve"> </w:t>
            </w:r>
            <w:proofErr w:type="gramStart"/>
            <w:r w:rsidRPr="007E67C5">
              <w:t>was</w:t>
            </w:r>
            <w:proofErr w:type="gramEnd"/>
            <w:r w:rsidRPr="007E67C5">
              <w:t xml:space="preserve"> held on 8 November 2012.</w:t>
            </w:r>
          </w:p>
          <w:p w:rsidR="005A00FE" w:rsidRPr="007E67C5" w:rsidRDefault="005A00FE" w:rsidP="00B928E0"/>
          <w:p w:rsidR="006B08DB" w:rsidRPr="007E67C5" w:rsidRDefault="006B08DB" w:rsidP="00B928E0">
            <w:r w:rsidRPr="007E67C5">
              <w:t>80 principals/emerging principals/CEO staff attended this forum</w:t>
            </w:r>
          </w:p>
          <w:p w:rsidR="005A00FE" w:rsidRDefault="005A00FE" w:rsidP="00B928E0">
            <w:pPr>
              <w:rPr>
                <w:b/>
              </w:rPr>
            </w:pPr>
          </w:p>
          <w:p w:rsidR="006B08DB" w:rsidRDefault="006B08DB" w:rsidP="00B928E0">
            <w:r w:rsidRPr="007E67C5">
              <w:rPr>
                <w:b/>
              </w:rPr>
              <w:t>Additional activity</w:t>
            </w:r>
            <w:r w:rsidRPr="007E67C5">
              <w:t xml:space="preserve"> – As a result of strong and positive feedback from principals after the first forum, a further event was held on 15 March 2013. This forum explored </w:t>
            </w:r>
            <w:r w:rsidRPr="007E67C5">
              <w:rPr>
                <w:i/>
              </w:rPr>
              <w:t>Theories of action</w:t>
            </w:r>
            <w:r w:rsidRPr="007E67C5">
              <w:t>, which lead to more effective teaching and included a tool for enhancing current strategies around school improvement</w:t>
            </w:r>
          </w:p>
          <w:p w:rsidR="005A00FE" w:rsidRPr="007E67C5" w:rsidRDefault="005A00FE" w:rsidP="00B928E0"/>
          <w:p w:rsidR="006B08DB" w:rsidRPr="007E67C5" w:rsidRDefault="006B08DB" w:rsidP="00B928E0">
            <w:r w:rsidRPr="007E67C5">
              <w:t>52 principals/emerging principals and CEO staff attended this forum</w:t>
            </w:r>
          </w:p>
          <w:p w:rsidR="005A00FE" w:rsidRDefault="005A00FE" w:rsidP="00B928E0"/>
          <w:p w:rsidR="006B08DB" w:rsidRPr="007E67C5" w:rsidRDefault="006B08DB" w:rsidP="00B928E0">
            <w:r w:rsidRPr="007E67C5">
              <w:t xml:space="preserve">These forums were planned in consultation with the primary </w:t>
            </w:r>
            <w:r w:rsidRPr="007E67C5">
              <w:lastRenderedPageBreak/>
              <w:t>and secondary principals’ associations (</w:t>
            </w:r>
            <w:proofErr w:type="spellStart"/>
            <w:r w:rsidRPr="007E67C5">
              <w:t>SACPPA</w:t>
            </w:r>
            <w:proofErr w:type="spellEnd"/>
            <w:r w:rsidRPr="007E67C5">
              <w:t xml:space="preserve"> and </w:t>
            </w:r>
            <w:proofErr w:type="spellStart"/>
            <w:r w:rsidRPr="007E67C5">
              <w:t>APCSS</w:t>
            </w:r>
            <w:proofErr w:type="spellEnd"/>
            <w:r w:rsidRPr="007E67C5">
              <w:t>) and other stakeholders to ensure maximum relevance and benefit for principals</w:t>
            </w:r>
          </w:p>
          <w:p w:rsidR="005A00FE" w:rsidRDefault="005A00FE" w:rsidP="00B928E0"/>
          <w:p w:rsidR="006B08DB" w:rsidRPr="007E67C5" w:rsidRDefault="006B08DB" w:rsidP="00B928E0">
            <w:r w:rsidRPr="007E67C5">
              <w:t xml:space="preserve">The forum papers were published online through the </w:t>
            </w:r>
            <w:proofErr w:type="spellStart"/>
            <w:r w:rsidRPr="007E67C5">
              <w:t>CESA</w:t>
            </w:r>
            <w:proofErr w:type="spellEnd"/>
            <w:r w:rsidRPr="007E67C5">
              <w:t xml:space="preserve"> Intranet for all Catholic school principals</w:t>
            </w:r>
          </w:p>
          <w:p w:rsidR="006B08DB" w:rsidRPr="007E67C5" w:rsidRDefault="006B08DB" w:rsidP="00B928E0">
            <w:r w:rsidRPr="007E67C5">
              <w:t>Feedback from forum participants indicates that this milestone was fully met</w:t>
            </w:r>
          </w:p>
        </w:tc>
      </w:tr>
      <w:tr w:rsidR="006B08DB" w:rsidRPr="007E67C5" w:rsidTr="00632B23">
        <w:tc>
          <w:tcPr>
            <w:tcW w:w="5508" w:type="dxa"/>
            <w:shd w:val="clear" w:color="auto" w:fill="auto"/>
            <w:tcMar>
              <w:top w:w="57" w:type="dxa"/>
              <w:bottom w:w="57" w:type="dxa"/>
            </w:tcMar>
          </w:tcPr>
          <w:p w:rsidR="006B08DB" w:rsidRPr="005A00FE" w:rsidRDefault="006B08DB" w:rsidP="00B928E0">
            <w:pPr>
              <w:rPr>
                <w:rStyle w:val="MilestoneparagraphCharChar"/>
                <w:rFonts w:asciiTheme="minorHAnsi" w:eastAsia="Beijing" w:hAnsiTheme="minorHAnsi" w:cstheme="minorHAnsi"/>
                <w:b/>
                <w:color w:val="000000" w:themeColor="text1"/>
                <w:szCs w:val="22"/>
              </w:rPr>
            </w:pPr>
            <w:r w:rsidRPr="005A00FE">
              <w:rPr>
                <w:rStyle w:val="MilestoneparagraphCharChar"/>
                <w:rFonts w:asciiTheme="minorHAnsi" w:eastAsia="Beijing" w:hAnsiTheme="minorHAnsi" w:cstheme="minorHAnsi"/>
                <w:b/>
                <w:color w:val="000000" w:themeColor="text1"/>
                <w:szCs w:val="22"/>
              </w:rPr>
              <w:lastRenderedPageBreak/>
              <w:t>Prioritise the development of Aboriginal leaders</w:t>
            </w:r>
          </w:p>
          <w:p w:rsidR="006B08DB" w:rsidRDefault="006B08DB" w:rsidP="00B928E0">
            <w:pPr>
              <w:rPr>
                <w:rStyle w:val="MilestoneparagraphCharChar"/>
                <w:rFonts w:asciiTheme="minorHAnsi" w:eastAsia="Beijing" w:hAnsiTheme="minorHAnsi" w:cstheme="minorHAnsi"/>
                <w:b/>
                <w:color w:val="000000" w:themeColor="text1"/>
                <w:szCs w:val="22"/>
              </w:rPr>
            </w:pPr>
            <w:r w:rsidRPr="007E67C5">
              <w:rPr>
                <w:rStyle w:val="MilestoneparagraphCharChar"/>
                <w:rFonts w:asciiTheme="minorHAnsi" w:eastAsia="Beijing" w:hAnsiTheme="minorHAnsi" w:cstheme="minorHAnsi"/>
                <w:color w:val="000000" w:themeColor="text1"/>
                <w:szCs w:val="22"/>
              </w:rPr>
              <w:t>Establish strategies to support participation of Aboriginal teachers and leaders.</w:t>
            </w:r>
            <w:r w:rsidRPr="007E67C5">
              <w:rPr>
                <w:rStyle w:val="MilestoneparagraphCharChar"/>
                <w:rFonts w:asciiTheme="minorHAnsi" w:eastAsia="Beijing" w:hAnsiTheme="minorHAnsi" w:cstheme="minorHAnsi"/>
                <w:b/>
                <w:color w:val="000000" w:themeColor="text1"/>
                <w:szCs w:val="22"/>
              </w:rPr>
              <w:t xml:space="preserve"> (</w:t>
            </w:r>
            <w:proofErr w:type="spellStart"/>
            <w:r w:rsidRPr="007E67C5">
              <w:rPr>
                <w:rStyle w:val="MilestoneparagraphCharChar"/>
                <w:rFonts w:asciiTheme="minorHAnsi" w:eastAsia="Beijing" w:hAnsiTheme="minorHAnsi" w:cstheme="minorHAnsi"/>
                <w:b/>
                <w:color w:val="000000" w:themeColor="text1"/>
                <w:szCs w:val="22"/>
              </w:rPr>
              <w:t>DECD</w:t>
            </w:r>
            <w:proofErr w:type="spellEnd"/>
            <w:r w:rsidRPr="007E67C5">
              <w:rPr>
                <w:rStyle w:val="MilestoneparagraphCharChar"/>
                <w:rFonts w:asciiTheme="minorHAnsi" w:eastAsia="Beijing" w:hAnsiTheme="minorHAnsi" w:cstheme="minorHAnsi"/>
                <w:b/>
                <w:color w:val="000000" w:themeColor="text1"/>
                <w:szCs w:val="22"/>
              </w:rPr>
              <w:t>)</w:t>
            </w:r>
          </w:p>
          <w:p w:rsidR="005A00FE" w:rsidRPr="007E67C5" w:rsidRDefault="005A00FE" w:rsidP="00B928E0">
            <w:pPr>
              <w:rPr>
                <w:rStyle w:val="MilestoneparagraphCharChar"/>
                <w:rFonts w:asciiTheme="minorHAnsi" w:eastAsia="Beijing" w:hAnsiTheme="minorHAnsi" w:cstheme="minorHAnsi"/>
                <w:b/>
                <w:color w:val="000000" w:themeColor="text1"/>
                <w:szCs w:val="22"/>
              </w:rPr>
            </w:pPr>
          </w:p>
          <w:p w:rsidR="006B08DB" w:rsidRPr="007E67C5" w:rsidRDefault="006B08DB" w:rsidP="00B928E0">
            <w:pPr>
              <w:rPr>
                <w:rStyle w:val="MilestoneparagraphCharChar"/>
                <w:rFonts w:asciiTheme="minorHAnsi" w:eastAsia="Beijing" w:hAnsiTheme="minorHAnsi" w:cstheme="minorHAnsi"/>
                <w:color w:val="000000" w:themeColor="text1"/>
                <w:szCs w:val="22"/>
              </w:rPr>
            </w:pPr>
            <w:r w:rsidRPr="007E67C5">
              <w:rPr>
                <w:rStyle w:val="MilestoneparagraphCharChar"/>
                <w:rFonts w:asciiTheme="minorHAnsi" w:eastAsia="Beijing" w:hAnsiTheme="minorHAnsi" w:cstheme="minorHAnsi"/>
                <w:color w:val="000000" w:themeColor="text1"/>
                <w:szCs w:val="22"/>
              </w:rPr>
              <w:t>PRINCIPLES</w:t>
            </w:r>
          </w:p>
          <w:p w:rsidR="006B08DB" w:rsidRPr="005A00FE" w:rsidRDefault="006B08DB" w:rsidP="00AE6D45">
            <w:pPr>
              <w:pStyle w:val="ListParagraph"/>
              <w:numPr>
                <w:ilvl w:val="0"/>
                <w:numId w:val="13"/>
              </w:numPr>
              <w:ind w:left="743" w:hanging="425"/>
            </w:pPr>
            <w:r w:rsidRPr="005A00FE">
              <w:t>Building capacity of principals to engage with local Aboriginal and Torres Strait Islander communities</w:t>
            </w:r>
          </w:p>
          <w:p w:rsidR="006B08DB" w:rsidRPr="005A00FE" w:rsidRDefault="006B08DB" w:rsidP="00AE6D45">
            <w:pPr>
              <w:pStyle w:val="ListParagraph"/>
              <w:numPr>
                <w:ilvl w:val="0"/>
                <w:numId w:val="13"/>
              </w:numPr>
              <w:ind w:left="743" w:hanging="425"/>
            </w:pPr>
            <w:r w:rsidRPr="005A00FE">
              <w:t>Improving development of and support for Aboriginal and Torres Strait Islander principals and emerging principals</w:t>
            </w:r>
          </w:p>
          <w:p w:rsidR="006B08DB" w:rsidRPr="005A00FE" w:rsidRDefault="006B08DB" w:rsidP="00AE6D45">
            <w:pPr>
              <w:pStyle w:val="ListParagraph"/>
              <w:numPr>
                <w:ilvl w:val="0"/>
                <w:numId w:val="13"/>
              </w:numPr>
              <w:ind w:left="743" w:hanging="425"/>
            </w:pPr>
            <w:r w:rsidRPr="005A00FE">
              <w:t>Local priority</w:t>
            </w:r>
          </w:p>
          <w:p w:rsidR="006B08DB" w:rsidRPr="007E67C5" w:rsidRDefault="006B08DB" w:rsidP="00AE6D45">
            <w:pPr>
              <w:pStyle w:val="ListParagraph"/>
              <w:numPr>
                <w:ilvl w:val="0"/>
                <w:numId w:val="13"/>
              </w:numPr>
              <w:ind w:left="743" w:hanging="425"/>
              <w:rPr>
                <w:rStyle w:val="MilestoneparagraphCharChar"/>
                <w:rFonts w:asciiTheme="minorHAnsi" w:eastAsia="Beijing" w:hAnsiTheme="minorHAnsi" w:cstheme="minorHAnsi"/>
                <w:color w:val="000000" w:themeColor="text1"/>
                <w:szCs w:val="22"/>
              </w:rPr>
            </w:pPr>
            <w:r w:rsidRPr="005A00FE">
              <w:t>Regional and remote</w:t>
            </w:r>
          </w:p>
        </w:tc>
        <w:tc>
          <w:tcPr>
            <w:tcW w:w="3060" w:type="dxa"/>
            <w:shd w:val="clear" w:color="auto" w:fill="auto"/>
            <w:tcMar>
              <w:top w:w="57" w:type="dxa"/>
              <w:bottom w:w="57" w:type="dxa"/>
            </w:tcMar>
          </w:tcPr>
          <w:p w:rsidR="006B08DB" w:rsidRDefault="006B08DB" w:rsidP="00B928E0">
            <w:pPr>
              <w:rPr>
                <w:rStyle w:val="MilestoneparagraphCharChar"/>
                <w:rFonts w:asciiTheme="minorHAnsi" w:eastAsia="Beijing" w:hAnsiTheme="minorHAnsi" w:cstheme="minorHAnsi"/>
                <w:color w:val="000000" w:themeColor="text1"/>
                <w:szCs w:val="22"/>
              </w:rPr>
            </w:pPr>
            <w:r w:rsidRPr="007E67C5">
              <w:rPr>
                <w:rStyle w:val="MilestoneparagraphCharChar"/>
                <w:rFonts w:asciiTheme="minorHAnsi" w:eastAsia="Beijing" w:hAnsiTheme="minorHAnsi" w:cstheme="minorHAnsi"/>
                <w:color w:val="000000" w:themeColor="text1"/>
                <w:szCs w:val="22"/>
              </w:rPr>
              <w:t>Aboriginal teachers and leaders participate in leadership programs</w:t>
            </w:r>
          </w:p>
          <w:p w:rsidR="00DA3A35" w:rsidRPr="007E67C5" w:rsidRDefault="00DA3A35" w:rsidP="00B928E0">
            <w:pPr>
              <w:rPr>
                <w:rStyle w:val="MilestoneparagraphCharChar"/>
                <w:rFonts w:asciiTheme="minorHAnsi" w:eastAsia="Beijing" w:hAnsiTheme="minorHAnsi" w:cstheme="minorHAnsi"/>
                <w:color w:val="000000" w:themeColor="text1"/>
                <w:szCs w:val="22"/>
              </w:rPr>
            </w:pPr>
          </w:p>
          <w:p w:rsidR="006B08DB" w:rsidRPr="007E67C5" w:rsidRDefault="006B08DB" w:rsidP="00B928E0">
            <w:pPr>
              <w:rPr>
                <w:rStyle w:val="MilestoneparagraphCharChar"/>
                <w:rFonts w:asciiTheme="minorHAnsi" w:eastAsia="Beijing" w:hAnsiTheme="minorHAnsi" w:cstheme="minorHAnsi"/>
                <w:color w:val="000000" w:themeColor="text1"/>
                <w:szCs w:val="22"/>
              </w:rPr>
            </w:pPr>
            <w:r w:rsidRPr="007E67C5">
              <w:rPr>
                <w:rStyle w:val="MilestoneparagraphCharChar"/>
                <w:rFonts w:asciiTheme="minorHAnsi" w:eastAsia="Beijing" w:hAnsiTheme="minorHAnsi" w:cstheme="minorHAnsi"/>
                <w:color w:val="000000" w:themeColor="text1"/>
                <w:szCs w:val="22"/>
              </w:rPr>
              <w:t>(Advance Diploma 4 x 1 full day workshops for current leaders</w:t>
            </w:r>
          </w:p>
          <w:p w:rsidR="00DA3A35" w:rsidRDefault="00DA3A35" w:rsidP="00B928E0">
            <w:pPr>
              <w:rPr>
                <w:rStyle w:val="MilestoneparagraphCharChar"/>
                <w:rFonts w:asciiTheme="minorHAnsi" w:eastAsia="Beijing" w:hAnsiTheme="minorHAnsi" w:cstheme="minorHAnsi"/>
                <w:color w:val="000000" w:themeColor="text1"/>
                <w:szCs w:val="22"/>
              </w:rPr>
            </w:pPr>
          </w:p>
          <w:p w:rsidR="006B08DB" w:rsidRPr="007E67C5" w:rsidRDefault="006B08DB" w:rsidP="00B928E0">
            <w:pPr>
              <w:rPr>
                <w:rStyle w:val="MilestoneparagraphCharChar"/>
                <w:rFonts w:asciiTheme="minorHAnsi" w:eastAsia="Beijing" w:hAnsiTheme="minorHAnsi" w:cstheme="minorHAnsi"/>
                <w:color w:val="000000" w:themeColor="text1"/>
                <w:szCs w:val="22"/>
              </w:rPr>
            </w:pPr>
            <w:r w:rsidRPr="007E67C5">
              <w:rPr>
                <w:rStyle w:val="MilestoneparagraphCharChar"/>
                <w:rFonts w:asciiTheme="minorHAnsi" w:eastAsia="Beijing" w:hAnsiTheme="minorHAnsi" w:cstheme="minorHAnsi"/>
                <w:color w:val="000000" w:themeColor="text1"/>
                <w:szCs w:val="22"/>
              </w:rPr>
              <w:t xml:space="preserve">Leaders Induction 5 </w:t>
            </w:r>
            <w:proofErr w:type="spellStart"/>
            <w:r w:rsidRPr="007E67C5">
              <w:rPr>
                <w:rStyle w:val="MilestoneparagraphCharChar"/>
                <w:rFonts w:asciiTheme="minorHAnsi" w:eastAsia="Beijing" w:hAnsiTheme="minorHAnsi" w:cstheme="minorHAnsi"/>
                <w:color w:val="000000" w:themeColor="text1"/>
                <w:szCs w:val="22"/>
              </w:rPr>
              <w:t>x1</w:t>
            </w:r>
            <w:proofErr w:type="spellEnd"/>
            <w:r w:rsidRPr="007E67C5">
              <w:rPr>
                <w:rStyle w:val="MilestoneparagraphCharChar"/>
                <w:rFonts w:asciiTheme="minorHAnsi" w:eastAsia="Beijing" w:hAnsiTheme="minorHAnsi" w:cstheme="minorHAnsi"/>
                <w:color w:val="000000" w:themeColor="text1"/>
                <w:szCs w:val="22"/>
              </w:rPr>
              <w:t xml:space="preserve"> full day workshops for new leaders</w:t>
            </w:r>
          </w:p>
          <w:p w:rsidR="00DA3A35" w:rsidRDefault="00DA3A35" w:rsidP="00B928E0">
            <w:pPr>
              <w:rPr>
                <w:rStyle w:val="MilestoneparagraphCharChar"/>
                <w:rFonts w:asciiTheme="minorHAnsi" w:eastAsia="Beijing" w:hAnsiTheme="minorHAnsi" w:cstheme="minorHAnsi"/>
                <w:color w:val="000000" w:themeColor="text1"/>
                <w:szCs w:val="22"/>
              </w:rPr>
            </w:pPr>
          </w:p>
          <w:p w:rsidR="006B08DB" w:rsidRPr="007E67C5" w:rsidRDefault="006B08DB" w:rsidP="00B928E0">
            <w:pPr>
              <w:rPr>
                <w:rStyle w:val="MilestoneparagraphCharChar"/>
                <w:rFonts w:asciiTheme="minorHAnsi" w:eastAsia="Beijing" w:hAnsiTheme="minorHAnsi" w:cstheme="minorHAnsi"/>
                <w:color w:val="000000" w:themeColor="text1"/>
                <w:szCs w:val="22"/>
              </w:rPr>
            </w:pPr>
            <w:r w:rsidRPr="007E67C5">
              <w:rPr>
                <w:rStyle w:val="MilestoneparagraphCharChar"/>
                <w:rFonts w:asciiTheme="minorHAnsi" w:eastAsia="Beijing" w:hAnsiTheme="minorHAnsi" w:cstheme="minorHAnsi"/>
                <w:color w:val="000000" w:themeColor="text1"/>
                <w:szCs w:val="22"/>
              </w:rPr>
              <w:t xml:space="preserve">2 </w:t>
            </w:r>
            <w:proofErr w:type="spellStart"/>
            <w:r w:rsidRPr="007E67C5">
              <w:rPr>
                <w:rStyle w:val="MilestoneparagraphCharChar"/>
                <w:rFonts w:asciiTheme="minorHAnsi" w:eastAsia="Beijing" w:hAnsiTheme="minorHAnsi" w:cstheme="minorHAnsi"/>
                <w:color w:val="000000" w:themeColor="text1"/>
                <w:szCs w:val="22"/>
              </w:rPr>
              <w:t>x1</w:t>
            </w:r>
            <w:proofErr w:type="spellEnd"/>
            <w:r w:rsidRPr="007E67C5">
              <w:rPr>
                <w:rStyle w:val="MilestoneparagraphCharChar"/>
                <w:rFonts w:asciiTheme="minorHAnsi" w:eastAsia="Beijing" w:hAnsiTheme="minorHAnsi" w:cstheme="minorHAnsi"/>
                <w:color w:val="000000" w:themeColor="text1"/>
                <w:szCs w:val="22"/>
              </w:rPr>
              <w:t xml:space="preserve"> full day workshops for aspiring leaders)</w:t>
            </w:r>
          </w:p>
          <w:p w:rsidR="006B08DB" w:rsidRPr="007E67C5" w:rsidRDefault="006B08DB" w:rsidP="00B928E0">
            <w:pPr>
              <w:rPr>
                <w:rStyle w:val="MilestoneparagraphCharChar"/>
                <w:rFonts w:asciiTheme="minorHAnsi" w:eastAsia="Beijing" w:hAnsiTheme="minorHAnsi" w:cstheme="minorHAnsi"/>
                <w:color w:val="000000" w:themeColor="text1"/>
                <w:szCs w:val="22"/>
              </w:rPr>
            </w:pPr>
          </w:p>
          <w:p w:rsidR="006B08DB" w:rsidRPr="007E67C5" w:rsidRDefault="006B08DB" w:rsidP="00B928E0">
            <w:pPr>
              <w:rPr>
                <w:rStyle w:val="MilestoneparagraphCharChar"/>
                <w:rFonts w:asciiTheme="minorHAnsi" w:eastAsia="Beijing" w:hAnsiTheme="minorHAnsi" w:cstheme="minorHAnsi"/>
                <w:color w:val="000000" w:themeColor="text1"/>
                <w:szCs w:val="22"/>
              </w:rPr>
            </w:pPr>
          </w:p>
          <w:p w:rsidR="006B08DB" w:rsidRPr="007E67C5" w:rsidRDefault="006B08DB" w:rsidP="00B928E0">
            <w:pPr>
              <w:rPr>
                <w:rStyle w:val="MilestoneparagraphCharChar"/>
                <w:rFonts w:asciiTheme="minorHAnsi" w:eastAsia="Beijing" w:hAnsiTheme="minorHAnsi" w:cstheme="minorHAnsi"/>
                <w:color w:val="000000" w:themeColor="text1"/>
                <w:szCs w:val="22"/>
              </w:rPr>
            </w:pPr>
          </w:p>
        </w:tc>
        <w:tc>
          <w:tcPr>
            <w:tcW w:w="5750" w:type="dxa"/>
            <w:shd w:val="clear" w:color="auto" w:fill="auto"/>
            <w:tcMar>
              <w:top w:w="57" w:type="dxa"/>
              <w:bottom w:w="57" w:type="dxa"/>
            </w:tcMar>
          </w:tcPr>
          <w:p w:rsidR="006B08DB" w:rsidRPr="007E67C5" w:rsidRDefault="006B08DB" w:rsidP="00B928E0">
            <w:pPr>
              <w:rPr>
                <w:rStyle w:val="MilestoneparagraphCharChar"/>
                <w:rFonts w:asciiTheme="minorHAnsi" w:eastAsia="Beijing" w:hAnsiTheme="minorHAnsi" w:cstheme="minorHAnsi"/>
                <w:b/>
                <w:color w:val="000000" w:themeColor="text1"/>
                <w:szCs w:val="22"/>
              </w:rPr>
            </w:pPr>
            <w:r w:rsidRPr="007E67C5">
              <w:rPr>
                <w:rStyle w:val="MilestoneparagraphCharChar"/>
                <w:rFonts w:asciiTheme="minorHAnsi" w:eastAsia="Beijing" w:hAnsiTheme="minorHAnsi" w:cstheme="minorHAnsi"/>
                <w:b/>
                <w:color w:val="000000" w:themeColor="text1"/>
                <w:szCs w:val="22"/>
              </w:rPr>
              <w:t>ACHIEVED</w:t>
            </w:r>
          </w:p>
          <w:p w:rsidR="006B08DB" w:rsidRDefault="006B08DB" w:rsidP="00B928E0">
            <w:pPr>
              <w:rPr>
                <w:rStyle w:val="MilestoneparagraphCharChar"/>
                <w:rFonts w:asciiTheme="minorHAnsi" w:eastAsia="Beijing" w:hAnsiTheme="minorHAnsi" w:cstheme="minorHAnsi"/>
                <w:color w:val="000000" w:themeColor="text1"/>
                <w:szCs w:val="22"/>
              </w:rPr>
            </w:pPr>
            <w:r w:rsidRPr="007E67C5">
              <w:rPr>
                <w:rStyle w:val="MilestoneparagraphCharChar"/>
                <w:rFonts w:asciiTheme="minorHAnsi" w:eastAsia="Beijing" w:hAnsiTheme="minorHAnsi" w:cstheme="minorHAnsi"/>
                <w:color w:val="000000" w:themeColor="text1"/>
                <w:szCs w:val="22"/>
              </w:rPr>
              <w:t>During 2012 a leadership consultant was appointed to encourage Aboriginal teachers and aspiring leaders to take up leadership development opportunities. A register of more than 100 leaders and teachers who identify as Aboriginal/Torres Strait Islander was established and information about professional development opportunities and supporting them to apply for and take up the opportunities.</w:t>
            </w:r>
          </w:p>
          <w:p w:rsidR="00DA3A35" w:rsidRPr="007E67C5" w:rsidRDefault="00DA3A35" w:rsidP="00B928E0">
            <w:pPr>
              <w:rPr>
                <w:rStyle w:val="MilestoneparagraphCharChar"/>
                <w:rFonts w:asciiTheme="minorHAnsi" w:eastAsia="Beijing" w:hAnsiTheme="minorHAnsi" w:cstheme="minorHAnsi"/>
                <w:color w:val="000000" w:themeColor="text1"/>
                <w:szCs w:val="22"/>
              </w:rPr>
            </w:pPr>
          </w:p>
          <w:p w:rsidR="006B08DB" w:rsidRDefault="006B08DB" w:rsidP="00B928E0">
            <w:pPr>
              <w:rPr>
                <w:rStyle w:val="MilestoneparagraphCharChar"/>
                <w:rFonts w:asciiTheme="minorHAnsi" w:eastAsia="Beijing" w:hAnsiTheme="minorHAnsi" w:cstheme="minorHAnsi"/>
                <w:color w:val="000000" w:themeColor="text1"/>
                <w:szCs w:val="22"/>
              </w:rPr>
            </w:pPr>
            <w:r w:rsidRPr="007E67C5">
              <w:rPr>
                <w:rStyle w:val="MilestoneparagraphCharChar"/>
                <w:rFonts w:asciiTheme="minorHAnsi" w:eastAsia="Beijing" w:hAnsiTheme="minorHAnsi" w:cstheme="minorHAnsi"/>
                <w:color w:val="000000" w:themeColor="text1"/>
                <w:szCs w:val="22"/>
              </w:rPr>
              <w:t>This process has been retained for 2013 and has resulted in 1 Aboriginal person attending the aspiring leaders program and 1 Aboriginal leader enrolling in the Advanced Diploma.</w:t>
            </w:r>
          </w:p>
          <w:p w:rsidR="00DA3A35" w:rsidRPr="007E67C5" w:rsidRDefault="00DA3A35" w:rsidP="00B928E0">
            <w:pPr>
              <w:rPr>
                <w:rStyle w:val="MilestoneparagraphCharChar"/>
                <w:rFonts w:asciiTheme="minorHAnsi" w:eastAsia="Beijing" w:hAnsiTheme="minorHAnsi" w:cstheme="minorHAnsi"/>
                <w:color w:val="000000" w:themeColor="text1"/>
                <w:szCs w:val="22"/>
              </w:rPr>
            </w:pPr>
          </w:p>
          <w:p w:rsidR="006B08DB" w:rsidRDefault="006B08DB" w:rsidP="00B928E0">
            <w:pPr>
              <w:rPr>
                <w:rStyle w:val="MilestoneparagraphCharChar"/>
                <w:rFonts w:asciiTheme="minorHAnsi" w:eastAsia="Beijing" w:hAnsiTheme="minorHAnsi" w:cstheme="minorHAnsi"/>
                <w:color w:val="000000" w:themeColor="text1"/>
                <w:szCs w:val="22"/>
              </w:rPr>
            </w:pPr>
            <w:r w:rsidRPr="007E67C5">
              <w:rPr>
                <w:rStyle w:val="MilestoneparagraphCharChar"/>
                <w:rFonts w:asciiTheme="minorHAnsi" w:eastAsia="Beijing" w:hAnsiTheme="minorHAnsi" w:cstheme="minorHAnsi"/>
                <w:color w:val="000000" w:themeColor="text1"/>
                <w:szCs w:val="22"/>
              </w:rPr>
              <w:t xml:space="preserve">In 2013, 3 new leaders from the </w:t>
            </w:r>
            <w:proofErr w:type="spellStart"/>
            <w:r w:rsidRPr="007E67C5">
              <w:rPr>
                <w:rStyle w:val="MilestoneparagraphCharChar"/>
                <w:rFonts w:asciiTheme="minorHAnsi" w:eastAsia="Beijing" w:hAnsiTheme="minorHAnsi" w:cstheme="minorHAnsi"/>
                <w:color w:val="000000" w:themeColor="text1"/>
                <w:szCs w:val="22"/>
              </w:rPr>
              <w:t>Anangu</w:t>
            </w:r>
            <w:proofErr w:type="spellEnd"/>
            <w:r w:rsidRPr="007E67C5">
              <w:rPr>
                <w:rStyle w:val="MilestoneparagraphCharChar"/>
                <w:rFonts w:asciiTheme="minorHAnsi" w:eastAsia="Beijing" w:hAnsiTheme="minorHAnsi" w:cstheme="minorHAnsi"/>
                <w:color w:val="000000" w:themeColor="text1"/>
                <w:szCs w:val="22"/>
              </w:rPr>
              <w:t xml:space="preserve"> Pitjantjatjara </w:t>
            </w:r>
            <w:proofErr w:type="spellStart"/>
            <w:r w:rsidRPr="007E67C5">
              <w:rPr>
                <w:rStyle w:val="MilestoneparagraphCharChar"/>
                <w:rFonts w:asciiTheme="minorHAnsi" w:eastAsia="Beijing" w:hAnsiTheme="minorHAnsi" w:cstheme="minorHAnsi"/>
                <w:color w:val="000000" w:themeColor="text1"/>
                <w:szCs w:val="22"/>
              </w:rPr>
              <w:t>Yankunytjatjara</w:t>
            </w:r>
            <w:proofErr w:type="spellEnd"/>
            <w:r w:rsidRPr="007E67C5">
              <w:rPr>
                <w:rStyle w:val="MilestoneparagraphCharChar"/>
                <w:rFonts w:asciiTheme="minorHAnsi" w:eastAsia="Beijing" w:hAnsiTheme="minorHAnsi" w:cstheme="minorHAnsi"/>
                <w:color w:val="000000" w:themeColor="text1"/>
                <w:szCs w:val="22"/>
              </w:rPr>
              <w:t xml:space="preserve"> (</w:t>
            </w:r>
            <w:proofErr w:type="spellStart"/>
            <w:r w:rsidRPr="007E67C5">
              <w:rPr>
                <w:rStyle w:val="MilestoneparagraphCharChar"/>
                <w:rFonts w:asciiTheme="minorHAnsi" w:eastAsia="Beijing" w:hAnsiTheme="minorHAnsi" w:cstheme="minorHAnsi"/>
                <w:color w:val="000000" w:themeColor="text1"/>
                <w:szCs w:val="22"/>
              </w:rPr>
              <w:t>APY</w:t>
            </w:r>
            <w:proofErr w:type="spellEnd"/>
            <w:r w:rsidRPr="007E67C5">
              <w:rPr>
                <w:rStyle w:val="MilestoneparagraphCharChar"/>
                <w:rFonts w:asciiTheme="minorHAnsi" w:eastAsia="Beijing" w:hAnsiTheme="minorHAnsi" w:cstheme="minorHAnsi"/>
                <w:color w:val="000000" w:themeColor="text1"/>
                <w:szCs w:val="22"/>
              </w:rPr>
              <w:t xml:space="preserve">) lands have participated in the </w:t>
            </w:r>
            <w:r w:rsidRPr="007E67C5">
              <w:rPr>
                <w:rStyle w:val="MilestoneparagraphCharChar"/>
                <w:rFonts w:asciiTheme="minorHAnsi" w:eastAsia="Beijing" w:hAnsiTheme="minorHAnsi" w:cstheme="minorHAnsi"/>
                <w:i/>
                <w:color w:val="000000" w:themeColor="text1"/>
                <w:szCs w:val="22"/>
              </w:rPr>
              <w:t>Leaders induction</w:t>
            </w:r>
            <w:r w:rsidRPr="007E67C5">
              <w:rPr>
                <w:rStyle w:val="MilestoneparagraphCharChar"/>
                <w:rFonts w:asciiTheme="minorHAnsi" w:eastAsia="Beijing" w:hAnsiTheme="minorHAnsi" w:cstheme="minorHAnsi"/>
                <w:color w:val="000000" w:themeColor="text1"/>
                <w:szCs w:val="22"/>
              </w:rPr>
              <w:t xml:space="preserve"> program. 1 other leader from the </w:t>
            </w:r>
            <w:proofErr w:type="spellStart"/>
            <w:r w:rsidRPr="007E67C5">
              <w:rPr>
                <w:rStyle w:val="MilestoneparagraphCharChar"/>
                <w:rFonts w:asciiTheme="minorHAnsi" w:eastAsia="Beijing" w:hAnsiTheme="minorHAnsi" w:cstheme="minorHAnsi"/>
                <w:color w:val="000000" w:themeColor="text1"/>
                <w:szCs w:val="22"/>
              </w:rPr>
              <w:t>APY</w:t>
            </w:r>
            <w:proofErr w:type="spellEnd"/>
            <w:r w:rsidRPr="007E67C5">
              <w:rPr>
                <w:rStyle w:val="MilestoneparagraphCharChar"/>
                <w:rFonts w:asciiTheme="minorHAnsi" w:eastAsia="Beijing" w:hAnsiTheme="minorHAnsi" w:cstheme="minorHAnsi"/>
                <w:color w:val="000000" w:themeColor="text1"/>
                <w:szCs w:val="22"/>
              </w:rPr>
              <w:t xml:space="preserve"> lands is part of the </w:t>
            </w:r>
            <w:r w:rsidRPr="007E67C5">
              <w:rPr>
                <w:rStyle w:val="MilestoneparagraphCharChar"/>
                <w:rFonts w:asciiTheme="minorHAnsi" w:eastAsia="Beijing" w:hAnsiTheme="minorHAnsi" w:cstheme="minorHAnsi"/>
                <w:i/>
                <w:color w:val="000000" w:themeColor="text1"/>
                <w:szCs w:val="22"/>
              </w:rPr>
              <w:t>Work shadowing/Mentee scholarship</w:t>
            </w:r>
            <w:r w:rsidRPr="007E67C5">
              <w:rPr>
                <w:rStyle w:val="MilestoneparagraphCharChar"/>
                <w:rFonts w:asciiTheme="minorHAnsi" w:eastAsia="Beijing" w:hAnsiTheme="minorHAnsi" w:cstheme="minorHAnsi"/>
                <w:color w:val="000000" w:themeColor="text1"/>
                <w:szCs w:val="22"/>
              </w:rPr>
              <w:t xml:space="preserve"> program and has enrolled in the Advanced Diploma</w:t>
            </w:r>
          </w:p>
          <w:p w:rsidR="00DA3A35" w:rsidRPr="007E67C5" w:rsidRDefault="00DA3A35" w:rsidP="00B928E0">
            <w:pPr>
              <w:rPr>
                <w:rStyle w:val="MilestoneparagraphCharChar"/>
                <w:rFonts w:asciiTheme="minorHAnsi" w:eastAsia="Beijing" w:hAnsiTheme="minorHAnsi" w:cstheme="minorHAnsi"/>
                <w:color w:val="000000" w:themeColor="text1"/>
                <w:szCs w:val="22"/>
              </w:rPr>
            </w:pPr>
          </w:p>
          <w:p w:rsidR="006B08DB" w:rsidRPr="007E67C5" w:rsidRDefault="006B08DB" w:rsidP="00B928E0">
            <w:pPr>
              <w:rPr>
                <w:rStyle w:val="MilestoneparagraphCharChar"/>
                <w:rFonts w:asciiTheme="minorHAnsi" w:eastAsia="Beijing" w:hAnsiTheme="minorHAnsi" w:cstheme="minorHAnsi"/>
                <w:color w:val="000000" w:themeColor="text1"/>
                <w:szCs w:val="22"/>
              </w:rPr>
            </w:pPr>
            <w:r w:rsidRPr="007E67C5">
              <w:rPr>
                <w:rStyle w:val="MilestoneparagraphCharChar"/>
                <w:rFonts w:asciiTheme="minorHAnsi" w:eastAsia="Beijing" w:hAnsiTheme="minorHAnsi" w:cstheme="minorHAnsi"/>
                <w:color w:val="000000" w:themeColor="text1"/>
                <w:szCs w:val="22"/>
              </w:rPr>
              <w:t xml:space="preserve">In the first half of 2013 </w:t>
            </w:r>
            <w:proofErr w:type="spellStart"/>
            <w:r w:rsidRPr="007E67C5">
              <w:rPr>
                <w:rStyle w:val="MilestoneparagraphCharChar"/>
                <w:rFonts w:asciiTheme="minorHAnsi" w:eastAsia="Beijing" w:hAnsiTheme="minorHAnsi" w:cstheme="minorHAnsi"/>
                <w:color w:val="000000" w:themeColor="text1"/>
                <w:szCs w:val="22"/>
              </w:rPr>
              <w:t>DECD</w:t>
            </w:r>
            <w:proofErr w:type="spellEnd"/>
            <w:r w:rsidRPr="007E67C5">
              <w:rPr>
                <w:rStyle w:val="MilestoneparagraphCharChar"/>
                <w:rFonts w:asciiTheme="minorHAnsi" w:eastAsia="Beijing" w:hAnsiTheme="minorHAnsi" w:cstheme="minorHAnsi"/>
                <w:color w:val="000000" w:themeColor="text1"/>
                <w:szCs w:val="22"/>
              </w:rPr>
              <w:t xml:space="preserve"> has further developed, promoted and supported professional development opportunities for Aboriginal teachers wishing to become </w:t>
            </w:r>
            <w:r w:rsidRPr="007E67C5">
              <w:rPr>
                <w:rStyle w:val="MilestoneparagraphCharChar"/>
                <w:rFonts w:asciiTheme="minorHAnsi" w:eastAsia="Beijing" w:hAnsiTheme="minorHAnsi" w:cstheme="minorHAnsi"/>
                <w:color w:val="000000" w:themeColor="text1"/>
                <w:szCs w:val="22"/>
              </w:rPr>
              <w:lastRenderedPageBreak/>
              <w:t xml:space="preserve">school leaders in </w:t>
            </w:r>
            <w:proofErr w:type="spellStart"/>
            <w:r w:rsidRPr="007E67C5">
              <w:rPr>
                <w:rStyle w:val="MilestoneparagraphCharChar"/>
                <w:rFonts w:asciiTheme="minorHAnsi" w:eastAsia="Beijing" w:hAnsiTheme="minorHAnsi" w:cstheme="minorHAnsi"/>
                <w:color w:val="000000" w:themeColor="text1"/>
                <w:szCs w:val="22"/>
              </w:rPr>
              <w:t>DECD</w:t>
            </w:r>
            <w:proofErr w:type="spellEnd"/>
            <w:r w:rsidRPr="007E67C5">
              <w:rPr>
                <w:rStyle w:val="MilestoneparagraphCharChar"/>
                <w:rFonts w:asciiTheme="minorHAnsi" w:eastAsia="Beijing" w:hAnsiTheme="minorHAnsi" w:cstheme="minorHAnsi"/>
                <w:color w:val="000000" w:themeColor="text1"/>
                <w:szCs w:val="22"/>
              </w:rPr>
              <w:t xml:space="preserve"> schools. </w:t>
            </w:r>
          </w:p>
          <w:p w:rsidR="00DA3A35" w:rsidRDefault="00DA3A35" w:rsidP="00B928E0">
            <w:pPr>
              <w:rPr>
                <w:rStyle w:val="MilestoneparagraphCharChar"/>
                <w:rFonts w:asciiTheme="minorHAnsi" w:eastAsia="Beijing" w:hAnsiTheme="minorHAnsi" w:cstheme="minorHAnsi"/>
                <w:color w:val="000000" w:themeColor="text1"/>
                <w:szCs w:val="22"/>
              </w:rPr>
            </w:pPr>
          </w:p>
          <w:p w:rsidR="006B08DB" w:rsidRPr="007E67C5" w:rsidRDefault="006B08DB" w:rsidP="00B928E0">
            <w:pPr>
              <w:rPr>
                <w:rStyle w:val="MilestoneparagraphCharChar"/>
                <w:rFonts w:asciiTheme="minorHAnsi" w:eastAsia="Beijing" w:hAnsiTheme="minorHAnsi" w:cstheme="minorHAnsi"/>
                <w:color w:val="000000" w:themeColor="text1"/>
                <w:szCs w:val="22"/>
              </w:rPr>
            </w:pPr>
            <w:r w:rsidRPr="007E67C5">
              <w:rPr>
                <w:rStyle w:val="MilestoneparagraphCharChar"/>
                <w:rFonts w:asciiTheme="minorHAnsi" w:eastAsia="Beijing" w:hAnsiTheme="minorHAnsi" w:cstheme="minorHAnsi"/>
                <w:color w:val="000000" w:themeColor="text1"/>
                <w:szCs w:val="22"/>
              </w:rPr>
              <w:t xml:space="preserve">2 aspiring leaders have been selected through the </w:t>
            </w:r>
            <w:proofErr w:type="spellStart"/>
            <w:r w:rsidRPr="007E67C5">
              <w:rPr>
                <w:rStyle w:val="MilestoneparagraphCharChar"/>
                <w:rFonts w:asciiTheme="minorHAnsi" w:eastAsia="Beijing" w:hAnsiTheme="minorHAnsi" w:cstheme="minorHAnsi"/>
                <w:color w:val="000000" w:themeColor="text1"/>
                <w:szCs w:val="22"/>
              </w:rPr>
              <w:t>Alitya</w:t>
            </w:r>
            <w:proofErr w:type="spellEnd"/>
            <w:r w:rsidRPr="007E67C5">
              <w:rPr>
                <w:rStyle w:val="MilestoneparagraphCharChar"/>
                <w:rFonts w:asciiTheme="minorHAnsi" w:eastAsia="Beijing" w:hAnsiTheme="minorHAnsi" w:cstheme="minorHAnsi"/>
                <w:color w:val="000000" w:themeColor="text1"/>
                <w:szCs w:val="22"/>
              </w:rPr>
              <w:t xml:space="preserve"> </w:t>
            </w:r>
            <w:proofErr w:type="spellStart"/>
            <w:r w:rsidRPr="007E67C5">
              <w:rPr>
                <w:rStyle w:val="MilestoneparagraphCharChar"/>
                <w:rFonts w:asciiTheme="minorHAnsi" w:eastAsia="Beijing" w:hAnsiTheme="minorHAnsi" w:cstheme="minorHAnsi"/>
                <w:color w:val="000000" w:themeColor="text1"/>
                <w:szCs w:val="22"/>
              </w:rPr>
              <w:t>Rigney</w:t>
            </w:r>
            <w:proofErr w:type="spellEnd"/>
            <w:r w:rsidRPr="007E67C5">
              <w:rPr>
                <w:rStyle w:val="MilestoneparagraphCharChar"/>
                <w:rFonts w:asciiTheme="minorHAnsi" w:eastAsia="Beijing" w:hAnsiTheme="minorHAnsi" w:cstheme="minorHAnsi"/>
                <w:color w:val="000000" w:themeColor="text1"/>
                <w:szCs w:val="22"/>
              </w:rPr>
              <w:t xml:space="preserve"> Aboriginal </w:t>
            </w:r>
            <w:r w:rsidRPr="007E67C5">
              <w:rPr>
                <w:rStyle w:val="MilestoneparagraphCharChar"/>
                <w:rFonts w:asciiTheme="minorHAnsi" w:eastAsia="Beijing" w:hAnsiTheme="minorHAnsi" w:cstheme="minorHAnsi"/>
                <w:i/>
                <w:color w:val="000000" w:themeColor="text1"/>
                <w:szCs w:val="22"/>
              </w:rPr>
              <w:t>Leadership scholarship</w:t>
            </w:r>
            <w:r w:rsidRPr="007E67C5">
              <w:rPr>
                <w:rStyle w:val="MilestoneparagraphCharChar"/>
                <w:rFonts w:asciiTheme="minorHAnsi" w:eastAsia="Beijing" w:hAnsiTheme="minorHAnsi" w:cstheme="minorHAnsi"/>
                <w:color w:val="000000" w:themeColor="text1"/>
                <w:szCs w:val="22"/>
              </w:rPr>
              <w:t xml:space="preserve"> program to participate in intensive leadership development and mentoring programs</w:t>
            </w:r>
          </w:p>
          <w:p w:rsidR="006B08DB" w:rsidRPr="007E67C5" w:rsidRDefault="006B08DB" w:rsidP="00B928E0">
            <w:pPr>
              <w:rPr>
                <w:rStyle w:val="MilestoneparagraphCharChar"/>
                <w:rFonts w:asciiTheme="minorHAnsi" w:eastAsia="Beijing" w:hAnsiTheme="minorHAnsi" w:cstheme="minorHAnsi"/>
                <w:color w:val="000000" w:themeColor="text1"/>
                <w:szCs w:val="22"/>
              </w:rPr>
            </w:pPr>
          </w:p>
        </w:tc>
      </w:tr>
      <w:tr w:rsidR="006B08DB" w:rsidRPr="007E67C5" w:rsidTr="00632B23">
        <w:tc>
          <w:tcPr>
            <w:tcW w:w="5508" w:type="dxa"/>
            <w:shd w:val="clear" w:color="auto" w:fill="auto"/>
            <w:tcMar>
              <w:top w:w="57" w:type="dxa"/>
              <w:bottom w:w="57" w:type="dxa"/>
            </w:tcMar>
          </w:tcPr>
          <w:p w:rsidR="006B08DB" w:rsidRPr="007E67C5" w:rsidRDefault="006B08DB" w:rsidP="00B928E0">
            <w:pPr>
              <w:rPr>
                <w:rStyle w:val="MilestoneparagraphCharChar"/>
                <w:rFonts w:asciiTheme="minorHAnsi" w:eastAsia="Beijing" w:hAnsiTheme="minorHAnsi" w:cstheme="minorHAnsi"/>
                <w:color w:val="000000" w:themeColor="text1"/>
                <w:szCs w:val="22"/>
              </w:rPr>
            </w:pPr>
            <w:r w:rsidRPr="007E67C5">
              <w:rPr>
                <w:rStyle w:val="MilestoneparagraphCharChar"/>
                <w:rFonts w:asciiTheme="minorHAnsi" w:eastAsia="Beijing" w:hAnsiTheme="minorHAnsi" w:cstheme="minorHAnsi"/>
                <w:b/>
                <w:color w:val="000000" w:themeColor="text1"/>
                <w:szCs w:val="22"/>
              </w:rPr>
              <w:lastRenderedPageBreak/>
              <w:t>Exploring innovative strategies to identify a talent pool of prospective principals</w:t>
            </w:r>
            <w:r w:rsidRPr="007E67C5">
              <w:rPr>
                <w:rStyle w:val="MilestoneparagraphCharChar"/>
                <w:rFonts w:asciiTheme="minorHAnsi" w:eastAsia="Beijing" w:hAnsiTheme="minorHAnsi" w:cstheme="minorHAnsi"/>
                <w:color w:val="000000" w:themeColor="text1"/>
                <w:szCs w:val="22"/>
              </w:rPr>
              <w:t xml:space="preserve"> through the establishment of leadership development/ assessment centre. </w:t>
            </w:r>
            <w:r w:rsidRPr="007E67C5">
              <w:rPr>
                <w:rStyle w:val="MilestoneparagraphCharChar"/>
                <w:rFonts w:asciiTheme="minorHAnsi" w:eastAsia="Beijing" w:hAnsiTheme="minorHAnsi" w:cstheme="minorHAnsi"/>
                <w:b/>
                <w:color w:val="000000" w:themeColor="text1"/>
                <w:szCs w:val="22"/>
              </w:rPr>
              <w:t>(</w:t>
            </w:r>
            <w:proofErr w:type="spellStart"/>
            <w:r w:rsidRPr="007E67C5">
              <w:rPr>
                <w:rStyle w:val="MilestoneparagraphCharChar"/>
                <w:rFonts w:asciiTheme="minorHAnsi" w:eastAsia="Beijing" w:hAnsiTheme="minorHAnsi" w:cstheme="minorHAnsi"/>
                <w:b/>
                <w:color w:val="000000" w:themeColor="text1"/>
                <w:szCs w:val="22"/>
              </w:rPr>
              <w:t>DECD</w:t>
            </w:r>
            <w:proofErr w:type="spellEnd"/>
            <w:r w:rsidRPr="007E67C5">
              <w:rPr>
                <w:rStyle w:val="MilestoneparagraphCharChar"/>
                <w:rFonts w:asciiTheme="minorHAnsi" w:eastAsia="Beijing" w:hAnsiTheme="minorHAnsi" w:cstheme="minorHAnsi"/>
                <w:b/>
                <w:color w:val="000000" w:themeColor="text1"/>
                <w:szCs w:val="22"/>
              </w:rPr>
              <w:t>)</w:t>
            </w:r>
          </w:p>
          <w:p w:rsidR="006B08DB" w:rsidRPr="007E67C5" w:rsidRDefault="006B08DB" w:rsidP="00B928E0">
            <w:pPr>
              <w:rPr>
                <w:rStyle w:val="MilestoneparagraphCharChar"/>
                <w:rFonts w:asciiTheme="minorHAnsi" w:eastAsia="Beijing" w:hAnsiTheme="minorHAnsi" w:cstheme="minorHAnsi"/>
                <w:color w:val="000000" w:themeColor="text1"/>
                <w:szCs w:val="22"/>
              </w:rPr>
            </w:pPr>
            <w:r w:rsidRPr="007E67C5">
              <w:rPr>
                <w:rStyle w:val="MilestoneparagraphCharChar"/>
                <w:rFonts w:asciiTheme="minorHAnsi" w:eastAsia="Beijing" w:hAnsiTheme="minorHAnsi" w:cstheme="minorHAnsi"/>
                <w:color w:val="000000" w:themeColor="text1"/>
                <w:szCs w:val="22"/>
              </w:rPr>
              <w:t>PRINCIPLES</w:t>
            </w:r>
          </w:p>
          <w:p w:rsidR="006B08DB" w:rsidRPr="007E67C5" w:rsidRDefault="006B08DB" w:rsidP="00AE6D45">
            <w:pPr>
              <w:pStyle w:val="ListParagraph"/>
              <w:numPr>
                <w:ilvl w:val="0"/>
                <w:numId w:val="13"/>
              </w:numPr>
              <w:ind w:left="743" w:hanging="425"/>
              <w:rPr>
                <w:rStyle w:val="MilestoneparagraphCharChar"/>
                <w:rFonts w:asciiTheme="minorHAnsi" w:eastAsia="Beijing" w:hAnsiTheme="minorHAnsi" w:cstheme="minorHAnsi"/>
                <w:color w:val="000000" w:themeColor="text1"/>
                <w:szCs w:val="22"/>
              </w:rPr>
            </w:pPr>
            <w:r w:rsidRPr="007E67C5">
              <w:rPr>
                <w:rStyle w:val="MilestoneparagraphCharChar"/>
                <w:rFonts w:asciiTheme="minorHAnsi" w:eastAsia="Beijing" w:hAnsiTheme="minorHAnsi" w:cstheme="minorHAnsi"/>
                <w:color w:val="000000" w:themeColor="text1"/>
                <w:szCs w:val="22"/>
              </w:rPr>
              <w:t xml:space="preserve">Align with </w:t>
            </w:r>
            <w:r w:rsidRPr="007E67C5">
              <w:rPr>
                <w:rStyle w:val="MilestoneparagraphCharChar"/>
                <w:rFonts w:asciiTheme="minorHAnsi" w:eastAsia="Beijing" w:hAnsiTheme="minorHAnsi" w:cstheme="minorHAnsi"/>
                <w:i/>
                <w:color w:val="000000" w:themeColor="text1"/>
                <w:szCs w:val="22"/>
              </w:rPr>
              <w:t>Australian professional standard for principals</w:t>
            </w:r>
          </w:p>
          <w:p w:rsidR="006B08DB" w:rsidRPr="007E67C5" w:rsidRDefault="006B08DB" w:rsidP="00AE6D45">
            <w:pPr>
              <w:pStyle w:val="ListParagraph"/>
              <w:numPr>
                <w:ilvl w:val="0"/>
                <w:numId w:val="13"/>
              </w:numPr>
              <w:ind w:left="743" w:hanging="425"/>
              <w:rPr>
                <w:rStyle w:val="MilestoneparagraphCharChar"/>
                <w:rFonts w:asciiTheme="minorHAnsi" w:eastAsia="Beijing" w:hAnsiTheme="minorHAnsi" w:cstheme="minorHAnsi"/>
                <w:color w:val="000000" w:themeColor="text1"/>
                <w:szCs w:val="22"/>
              </w:rPr>
            </w:pPr>
            <w:r w:rsidRPr="007E67C5">
              <w:rPr>
                <w:rStyle w:val="MilestoneparagraphCharChar"/>
                <w:rFonts w:asciiTheme="minorHAnsi" w:eastAsia="Beijing" w:hAnsiTheme="minorHAnsi" w:cstheme="minorHAnsi"/>
                <w:color w:val="000000" w:themeColor="text1"/>
                <w:szCs w:val="22"/>
              </w:rPr>
              <w:t>Local priority</w:t>
            </w:r>
          </w:p>
          <w:p w:rsidR="006B08DB" w:rsidRPr="007E67C5" w:rsidRDefault="006B08DB" w:rsidP="00B928E0">
            <w:pPr>
              <w:rPr>
                <w:rStyle w:val="MilestoneparagraphCharChar"/>
                <w:rFonts w:asciiTheme="minorHAnsi" w:eastAsia="Beijing" w:hAnsiTheme="minorHAnsi" w:cstheme="minorHAnsi"/>
                <w:color w:val="000000" w:themeColor="text1"/>
                <w:szCs w:val="22"/>
              </w:rPr>
            </w:pPr>
          </w:p>
        </w:tc>
        <w:tc>
          <w:tcPr>
            <w:tcW w:w="3060" w:type="dxa"/>
            <w:shd w:val="clear" w:color="auto" w:fill="auto"/>
            <w:tcMar>
              <w:top w:w="57" w:type="dxa"/>
              <w:bottom w:w="57" w:type="dxa"/>
            </w:tcMar>
          </w:tcPr>
          <w:p w:rsidR="006B08DB" w:rsidRPr="007E67C5" w:rsidRDefault="006B08DB" w:rsidP="00B928E0">
            <w:pPr>
              <w:rPr>
                <w:rStyle w:val="MilestoneparagraphCharChar"/>
                <w:rFonts w:asciiTheme="minorHAnsi" w:eastAsia="Beijing" w:hAnsiTheme="minorHAnsi" w:cstheme="minorHAnsi"/>
                <w:color w:val="000000" w:themeColor="text1"/>
                <w:szCs w:val="22"/>
              </w:rPr>
            </w:pPr>
            <w:r w:rsidRPr="007E67C5">
              <w:rPr>
                <w:rStyle w:val="MilestoneparagraphCharChar"/>
                <w:rFonts w:asciiTheme="minorHAnsi" w:eastAsia="Beijing" w:hAnsiTheme="minorHAnsi" w:cstheme="minorHAnsi"/>
                <w:color w:val="000000" w:themeColor="text1"/>
                <w:szCs w:val="22"/>
              </w:rPr>
              <w:t>Research and trial with 20 leaders to inform larger development program for aspiring leaders</w:t>
            </w:r>
          </w:p>
        </w:tc>
        <w:tc>
          <w:tcPr>
            <w:tcW w:w="5750" w:type="dxa"/>
            <w:shd w:val="clear" w:color="auto" w:fill="auto"/>
            <w:tcMar>
              <w:top w:w="57" w:type="dxa"/>
              <w:bottom w:w="57" w:type="dxa"/>
            </w:tcMar>
          </w:tcPr>
          <w:p w:rsidR="006B08DB" w:rsidRPr="007E67C5" w:rsidRDefault="006B08DB" w:rsidP="00B928E0">
            <w:pPr>
              <w:rPr>
                <w:rStyle w:val="MilestoneparagraphCharChar"/>
                <w:rFonts w:asciiTheme="minorHAnsi" w:eastAsia="Beijing" w:hAnsiTheme="minorHAnsi" w:cstheme="minorHAnsi"/>
                <w:b/>
                <w:color w:val="000000" w:themeColor="text1"/>
                <w:szCs w:val="22"/>
              </w:rPr>
            </w:pPr>
            <w:r w:rsidRPr="007E67C5">
              <w:rPr>
                <w:rStyle w:val="MilestoneparagraphCharChar"/>
                <w:rFonts w:asciiTheme="minorHAnsi" w:eastAsia="Beijing" w:hAnsiTheme="minorHAnsi" w:cstheme="minorHAnsi"/>
                <w:b/>
                <w:color w:val="000000" w:themeColor="text1"/>
                <w:szCs w:val="22"/>
              </w:rPr>
              <w:t>ACHIEVED</w:t>
            </w:r>
          </w:p>
          <w:p w:rsidR="006B08DB" w:rsidRDefault="006B08DB" w:rsidP="00B928E0">
            <w:pPr>
              <w:rPr>
                <w:rStyle w:val="MilestoneparagraphCharChar"/>
                <w:rFonts w:asciiTheme="minorHAnsi" w:eastAsia="Beijing" w:hAnsiTheme="minorHAnsi" w:cstheme="minorHAnsi"/>
                <w:color w:val="000000" w:themeColor="text1"/>
                <w:szCs w:val="22"/>
              </w:rPr>
            </w:pPr>
            <w:r w:rsidRPr="007E67C5">
              <w:rPr>
                <w:rStyle w:val="MilestoneparagraphCharChar"/>
                <w:rFonts w:asciiTheme="minorHAnsi" w:eastAsia="Beijing" w:hAnsiTheme="minorHAnsi" w:cstheme="minorHAnsi"/>
                <w:color w:val="000000" w:themeColor="text1"/>
                <w:szCs w:val="22"/>
              </w:rPr>
              <w:t>A manager has been appointed for the Development Centre. Research into assessment and development centres has been conducted. The mapping and alignment with the standard of development opportunities is now complete</w:t>
            </w:r>
          </w:p>
          <w:p w:rsidR="00DA3A35" w:rsidRPr="007E67C5" w:rsidRDefault="00DA3A35" w:rsidP="00B928E0">
            <w:pPr>
              <w:rPr>
                <w:rStyle w:val="MilestoneparagraphCharChar"/>
                <w:rFonts w:asciiTheme="minorHAnsi" w:eastAsia="Beijing" w:hAnsiTheme="minorHAnsi" w:cstheme="minorHAnsi"/>
                <w:color w:val="000000" w:themeColor="text1"/>
                <w:szCs w:val="22"/>
              </w:rPr>
            </w:pPr>
          </w:p>
          <w:p w:rsidR="006B08DB" w:rsidRPr="007E67C5" w:rsidRDefault="006B08DB" w:rsidP="00B928E0">
            <w:pPr>
              <w:rPr>
                <w:rStyle w:val="MilestoneparagraphCharChar"/>
                <w:rFonts w:asciiTheme="minorHAnsi" w:eastAsia="Beijing" w:hAnsiTheme="minorHAnsi" w:cstheme="minorHAnsi"/>
                <w:color w:val="000000" w:themeColor="text1"/>
                <w:szCs w:val="22"/>
              </w:rPr>
            </w:pPr>
            <w:r w:rsidRPr="007E67C5">
              <w:rPr>
                <w:rStyle w:val="MilestoneparagraphCharChar"/>
                <w:rFonts w:asciiTheme="minorHAnsi" w:eastAsia="Beijing" w:hAnsiTheme="minorHAnsi" w:cstheme="minorHAnsi"/>
                <w:color w:val="000000" w:themeColor="text1"/>
                <w:szCs w:val="22"/>
              </w:rPr>
              <w:t>A trial development program has been created and approved for 20 current and aspiring leaders. The outcomes of this trial will be reported in December 2013 will inform the larger principal assessment and development program to be implemented from 2014</w:t>
            </w:r>
          </w:p>
          <w:p w:rsidR="006B08DB" w:rsidRPr="007E67C5" w:rsidRDefault="006B08DB" w:rsidP="00B928E0">
            <w:pPr>
              <w:rPr>
                <w:rStyle w:val="MilestoneparagraphCharChar"/>
                <w:rFonts w:asciiTheme="minorHAnsi" w:eastAsia="Beijing" w:hAnsiTheme="minorHAnsi" w:cstheme="minorHAnsi"/>
                <w:color w:val="000000" w:themeColor="text1"/>
                <w:szCs w:val="22"/>
              </w:rPr>
            </w:pPr>
          </w:p>
        </w:tc>
      </w:tr>
      <w:tr w:rsidR="006B08DB" w:rsidRPr="007E67C5" w:rsidTr="00632B23">
        <w:tc>
          <w:tcPr>
            <w:tcW w:w="5508" w:type="dxa"/>
            <w:shd w:val="clear" w:color="auto" w:fill="auto"/>
            <w:tcMar>
              <w:top w:w="57" w:type="dxa"/>
              <w:bottom w:w="57" w:type="dxa"/>
            </w:tcMar>
          </w:tcPr>
          <w:p w:rsidR="006B08DB" w:rsidRDefault="006B08DB" w:rsidP="00B928E0">
            <w:pPr>
              <w:rPr>
                <w:rStyle w:val="MilestoneparagraphCharChar"/>
                <w:rFonts w:asciiTheme="minorHAnsi" w:eastAsia="Beijing" w:hAnsiTheme="minorHAnsi" w:cstheme="minorHAnsi"/>
                <w:b/>
                <w:szCs w:val="22"/>
              </w:rPr>
            </w:pPr>
            <w:r w:rsidRPr="007E67C5">
              <w:rPr>
                <w:rStyle w:val="MilestoneparagraphCharChar"/>
                <w:rFonts w:asciiTheme="minorHAnsi" w:eastAsia="Beijing" w:hAnsiTheme="minorHAnsi" w:cstheme="minorHAnsi"/>
                <w:b/>
                <w:color w:val="000000" w:themeColor="text1"/>
                <w:szCs w:val="22"/>
              </w:rPr>
              <w:t xml:space="preserve">Engage principals in using the </w:t>
            </w:r>
            <w:r w:rsidRPr="007E67C5">
              <w:rPr>
                <w:rStyle w:val="MilestoneparagraphCharChar"/>
                <w:rFonts w:asciiTheme="minorHAnsi" w:eastAsia="Beijing" w:hAnsiTheme="minorHAnsi" w:cstheme="minorHAnsi"/>
                <w:i/>
                <w:color w:val="000000" w:themeColor="text1"/>
                <w:szCs w:val="22"/>
              </w:rPr>
              <w:t xml:space="preserve">Australian professional standard for principals </w:t>
            </w:r>
            <w:r w:rsidRPr="007E67C5">
              <w:rPr>
                <w:rStyle w:val="MilestoneparagraphCharChar"/>
                <w:rFonts w:asciiTheme="minorHAnsi" w:eastAsia="Beijing" w:hAnsiTheme="minorHAnsi" w:cstheme="minorHAnsi"/>
                <w:color w:val="000000" w:themeColor="text1"/>
                <w:szCs w:val="22"/>
              </w:rPr>
              <w:t xml:space="preserve">to create a new position and role description by providing opportunities for participation in Capacity 2 processes. </w:t>
            </w:r>
            <w:r w:rsidRPr="007E67C5">
              <w:rPr>
                <w:rStyle w:val="MilestoneparagraphCharChar"/>
                <w:rFonts w:asciiTheme="minorHAnsi" w:eastAsia="Beijing" w:hAnsiTheme="minorHAnsi" w:cstheme="minorHAnsi"/>
                <w:b/>
                <w:szCs w:val="22"/>
              </w:rPr>
              <w:t>(</w:t>
            </w:r>
            <w:proofErr w:type="spellStart"/>
            <w:r w:rsidRPr="007E67C5">
              <w:rPr>
                <w:rStyle w:val="MilestoneparagraphCharChar"/>
                <w:rFonts w:asciiTheme="minorHAnsi" w:eastAsia="Beijing" w:hAnsiTheme="minorHAnsi" w:cstheme="minorHAnsi"/>
                <w:b/>
                <w:szCs w:val="22"/>
              </w:rPr>
              <w:t>DECD</w:t>
            </w:r>
            <w:proofErr w:type="spellEnd"/>
            <w:r w:rsidRPr="007E67C5">
              <w:rPr>
                <w:rStyle w:val="MilestoneparagraphCharChar"/>
                <w:rFonts w:asciiTheme="minorHAnsi" w:eastAsia="Beijing" w:hAnsiTheme="minorHAnsi" w:cstheme="minorHAnsi"/>
                <w:b/>
                <w:szCs w:val="22"/>
              </w:rPr>
              <w:t>)</w:t>
            </w:r>
          </w:p>
          <w:p w:rsidR="00DA3A35" w:rsidRPr="007E67C5" w:rsidRDefault="00DA3A35" w:rsidP="00B928E0">
            <w:pPr>
              <w:rPr>
                <w:rStyle w:val="MilestoneparagraphCharChar"/>
                <w:rFonts w:asciiTheme="minorHAnsi" w:eastAsia="Beijing" w:hAnsiTheme="minorHAnsi" w:cstheme="minorHAnsi"/>
                <w:color w:val="000000" w:themeColor="text1"/>
                <w:szCs w:val="22"/>
              </w:rPr>
            </w:pPr>
          </w:p>
          <w:p w:rsidR="006B08DB" w:rsidRPr="007E67C5" w:rsidRDefault="006B08DB" w:rsidP="00B928E0">
            <w:pPr>
              <w:rPr>
                <w:rStyle w:val="MilestoneparagraphCharChar"/>
                <w:rFonts w:asciiTheme="minorHAnsi" w:eastAsia="Beijing" w:hAnsiTheme="minorHAnsi" w:cstheme="minorHAnsi"/>
                <w:color w:val="000000" w:themeColor="text1"/>
                <w:szCs w:val="22"/>
              </w:rPr>
            </w:pPr>
            <w:r w:rsidRPr="007E67C5">
              <w:rPr>
                <w:rStyle w:val="MilestoneparagraphCharChar"/>
                <w:rFonts w:asciiTheme="minorHAnsi" w:eastAsia="Beijing" w:hAnsiTheme="minorHAnsi" w:cstheme="minorHAnsi"/>
                <w:color w:val="000000" w:themeColor="text1"/>
                <w:szCs w:val="22"/>
              </w:rPr>
              <w:t>PRINCIPLES</w:t>
            </w:r>
          </w:p>
          <w:p w:rsidR="006B08DB" w:rsidRPr="00DA3A35" w:rsidRDefault="006B08DB" w:rsidP="00AE6D45">
            <w:pPr>
              <w:pStyle w:val="ListParagraph"/>
              <w:numPr>
                <w:ilvl w:val="0"/>
                <w:numId w:val="13"/>
              </w:numPr>
              <w:ind w:left="743" w:hanging="425"/>
              <w:rPr>
                <w:rStyle w:val="MilestoneparagraphCharChar"/>
                <w:rFonts w:asciiTheme="minorHAnsi" w:eastAsia="Beijing" w:hAnsiTheme="minorHAnsi" w:cstheme="minorHAnsi"/>
                <w:i/>
                <w:color w:val="000000" w:themeColor="text1"/>
                <w:szCs w:val="22"/>
              </w:rPr>
            </w:pPr>
            <w:r w:rsidRPr="007E67C5">
              <w:rPr>
                <w:rStyle w:val="MilestoneparagraphCharChar"/>
                <w:rFonts w:asciiTheme="minorHAnsi" w:eastAsia="Beijing" w:hAnsiTheme="minorHAnsi" w:cstheme="minorHAnsi"/>
                <w:color w:val="000000" w:themeColor="text1"/>
                <w:szCs w:val="22"/>
              </w:rPr>
              <w:t xml:space="preserve">Align with </w:t>
            </w:r>
            <w:r w:rsidRPr="00DA3A35">
              <w:rPr>
                <w:rStyle w:val="MilestoneparagraphCharChar"/>
                <w:rFonts w:asciiTheme="minorHAnsi" w:eastAsia="Beijing" w:hAnsiTheme="minorHAnsi" w:cstheme="minorHAnsi"/>
                <w:i/>
                <w:color w:val="000000" w:themeColor="text1"/>
                <w:szCs w:val="22"/>
              </w:rPr>
              <w:t>Australian professional standard for principals</w:t>
            </w:r>
          </w:p>
          <w:p w:rsidR="006B08DB" w:rsidRPr="007E67C5" w:rsidRDefault="006B08DB" w:rsidP="00AE6D45">
            <w:pPr>
              <w:pStyle w:val="ListParagraph"/>
              <w:numPr>
                <w:ilvl w:val="0"/>
                <w:numId w:val="13"/>
              </w:numPr>
              <w:ind w:left="743" w:hanging="425"/>
              <w:rPr>
                <w:rStyle w:val="MilestoneparagraphCharChar"/>
                <w:rFonts w:asciiTheme="minorHAnsi" w:eastAsia="Beijing" w:hAnsiTheme="minorHAnsi" w:cstheme="minorHAnsi"/>
                <w:color w:val="000000" w:themeColor="text1"/>
                <w:szCs w:val="22"/>
              </w:rPr>
            </w:pPr>
            <w:r w:rsidRPr="007E67C5">
              <w:rPr>
                <w:rStyle w:val="MilestoneparagraphCharChar"/>
                <w:rFonts w:asciiTheme="minorHAnsi" w:eastAsia="Beijing" w:hAnsiTheme="minorHAnsi" w:cstheme="minorHAnsi"/>
                <w:color w:val="000000" w:themeColor="text1"/>
                <w:szCs w:val="22"/>
              </w:rPr>
              <w:t>Sharing outcomes of collaborative learning on-line</w:t>
            </w:r>
          </w:p>
          <w:p w:rsidR="006B08DB" w:rsidRPr="007E67C5" w:rsidRDefault="006B08DB" w:rsidP="00AE6D45">
            <w:pPr>
              <w:pStyle w:val="ListParagraph"/>
              <w:numPr>
                <w:ilvl w:val="0"/>
                <w:numId w:val="13"/>
              </w:numPr>
              <w:ind w:left="743" w:hanging="425"/>
              <w:rPr>
                <w:rStyle w:val="MilestoneparagraphCharChar"/>
                <w:rFonts w:asciiTheme="minorHAnsi" w:eastAsia="Beijing" w:hAnsiTheme="minorHAnsi" w:cstheme="minorHAnsi"/>
                <w:color w:val="000000" w:themeColor="text1"/>
                <w:szCs w:val="22"/>
              </w:rPr>
            </w:pPr>
            <w:r w:rsidRPr="007E67C5">
              <w:rPr>
                <w:rStyle w:val="MilestoneparagraphCharChar"/>
                <w:rFonts w:asciiTheme="minorHAnsi" w:eastAsia="Beijing" w:hAnsiTheme="minorHAnsi" w:cstheme="minorHAnsi"/>
                <w:color w:val="000000" w:themeColor="text1"/>
                <w:szCs w:val="22"/>
              </w:rPr>
              <w:t>Local priority</w:t>
            </w:r>
          </w:p>
          <w:p w:rsidR="006B08DB" w:rsidRPr="007E67C5" w:rsidRDefault="006B08DB" w:rsidP="00AE6D45">
            <w:pPr>
              <w:pStyle w:val="ListParagraph"/>
              <w:numPr>
                <w:ilvl w:val="0"/>
                <w:numId w:val="13"/>
              </w:numPr>
              <w:ind w:left="743" w:hanging="425"/>
              <w:rPr>
                <w:rStyle w:val="MilestoneparagraphCharChar"/>
                <w:rFonts w:asciiTheme="minorHAnsi" w:eastAsia="Beijing" w:hAnsiTheme="minorHAnsi" w:cstheme="minorHAnsi"/>
                <w:color w:val="000000" w:themeColor="text1"/>
                <w:szCs w:val="22"/>
              </w:rPr>
            </w:pPr>
            <w:r w:rsidRPr="007E67C5">
              <w:rPr>
                <w:rStyle w:val="MilestoneparagraphCharChar"/>
                <w:rFonts w:asciiTheme="minorHAnsi" w:eastAsia="Beijing" w:hAnsiTheme="minorHAnsi" w:cstheme="minorHAnsi"/>
                <w:color w:val="000000" w:themeColor="text1"/>
                <w:szCs w:val="22"/>
              </w:rPr>
              <w:t>Regional and remote</w:t>
            </w:r>
          </w:p>
        </w:tc>
        <w:tc>
          <w:tcPr>
            <w:tcW w:w="3060" w:type="dxa"/>
            <w:shd w:val="clear" w:color="auto" w:fill="auto"/>
            <w:tcMar>
              <w:top w:w="57" w:type="dxa"/>
              <w:bottom w:w="57" w:type="dxa"/>
            </w:tcMar>
          </w:tcPr>
          <w:p w:rsidR="006B08DB" w:rsidRPr="007E67C5" w:rsidRDefault="006B08DB" w:rsidP="00B928E0">
            <w:pPr>
              <w:rPr>
                <w:rStyle w:val="MilestoneparagraphCharChar"/>
                <w:rFonts w:asciiTheme="minorHAnsi" w:eastAsia="Beijing" w:hAnsiTheme="minorHAnsi" w:cstheme="minorHAnsi"/>
                <w:color w:val="000000" w:themeColor="text1"/>
                <w:szCs w:val="22"/>
              </w:rPr>
            </w:pPr>
            <w:r w:rsidRPr="007E67C5">
              <w:rPr>
                <w:rStyle w:val="MilestoneparagraphCharChar"/>
                <w:rFonts w:asciiTheme="minorHAnsi" w:eastAsia="Beijing" w:hAnsiTheme="minorHAnsi" w:cstheme="minorHAnsi"/>
                <w:color w:val="000000" w:themeColor="text1"/>
                <w:szCs w:val="22"/>
              </w:rPr>
              <w:t>12 ‘regional change champions’ trained in Capacity 2 process</w:t>
            </w:r>
          </w:p>
        </w:tc>
        <w:tc>
          <w:tcPr>
            <w:tcW w:w="5750" w:type="dxa"/>
            <w:shd w:val="clear" w:color="auto" w:fill="auto"/>
            <w:tcMar>
              <w:top w:w="57" w:type="dxa"/>
              <w:bottom w:w="57" w:type="dxa"/>
            </w:tcMar>
          </w:tcPr>
          <w:p w:rsidR="006B08DB" w:rsidRPr="007E67C5" w:rsidRDefault="006B08DB" w:rsidP="00B928E0">
            <w:pPr>
              <w:rPr>
                <w:rStyle w:val="MilestoneparagraphCharChar"/>
                <w:rFonts w:asciiTheme="minorHAnsi" w:eastAsia="Beijing" w:hAnsiTheme="minorHAnsi" w:cstheme="minorHAnsi"/>
                <w:b/>
                <w:color w:val="000000" w:themeColor="text1"/>
                <w:szCs w:val="22"/>
              </w:rPr>
            </w:pPr>
            <w:r w:rsidRPr="007E67C5">
              <w:rPr>
                <w:rStyle w:val="MilestoneparagraphCharChar"/>
                <w:rFonts w:asciiTheme="minorHAnsi" w:eastAsia="Beijing" w:hAnsiTheme="minorHAnsi" w:cstheme="minorHAnsi"/>
                <w:b/>
                <w:color w:val="000000" w:themeColor="text1"/>
                <w:szCs w:val="22"/>
              </w:rPr>
              <w:t>ACHIEVED</w:t>
            </w:r>
          </w:p>
          <w:p w:rsidR="006B08DB" w:rsidRPr="007E67C5" w:rsidRDefault="006B08DB" w:rsidP="00B928E0">
            <w:pPr>
              <w:rPr>
                <w:rStyle w:val="MilestoneparagraphCharChar"/>
                <w:rFonts w:asciiTheme="minorHAnsi" w:eastAsia="Beijing" w:hAnsiTheme="minorHAnsi" w:cstheme="minorHAnsi"/>
                <w:color w:val="000000" w:themeColor="text1"/>
                <w:szCs w:val="22"/>
              </w:rPr>
            </w:pPr>
            <w:r w:rsidRPr="007E67C5">
              <w:rPr>
                <w:rStyle w:val="MilestoneparagraphCharChar"/>
                <w:rFonts w:asciiTheme="minorHAnsi" w:eastAsia="Beijing" w:hAnsiTheme="minorHAnsi" w:cstheme="minorHAnsi"/>
                <w:color w:val="000000" w:themeColor="text1"/>
                <w:szCs w:val="22"/>
              </w:rPr>
              <w:t>The new principal position and role statement has been developed.</w:t>
            </w:r>
          </w:p>
          <w:p w:rsidR="00DA3A35" w:rsidRDefault="00DA3A35" w:rsidP="00B928E0">
            <w:pPr>
              <w:rPr>
                <w:rStyle w:val="MilestoneparagraphCharChar"/>
                <w:rFonts w:asciiTheme="minorHAnsi" w:eastAsia="Beijing" w:hAnsiTheme="minorHAnsi" w:cstheme="minorHAnsi"/>
                <w:color w:val="000000" w:themeColor="text1"/>
                <w:szCs w:val="22"/>
              </w:rPr>
            </w:pPr>
          </w:p>
          <w:p w:rsidR="006B08DB" w:rsidRPr="007E67C5" w:rsidRDefault="006B08DB" w:rsidP="00B928E0">
            <w:pPr>
              <w:rPr>
                <w:rStyle w:val="MilestoneparagraphCharChar"/>
                <w:rFonts w:asciiTheme="minorHAnsi" w:eastAsia="Beijing" w:hAnsiTheme="minorHAnsi" w:cstheme="minorHAnsi"/>
                <w:color w:val="000000" w:themeColor="text1"/>
                <w:szCs w:val="22"/>
              </w:rPr>
            </w:pPr>
            <w:r w:rsidRPr="007E67C5">
              <w:rPr>
                <w:rStyle w:val="MilestoneparagraphCharChar"/>
                <w:rFonts w:asciiTheme="minorHAnsi" w:eastAsia="Beijing" w:hAnsiTheme="minorHAnsi" w:cstheme="minorHAnsi"/>
                <w:color w:val="000000" w:themeColor="text1"/>
                <w:szCs w:val="22"/>
              </w:rPr>
              <w:t>The online self-reflection tool, which enables leaders to gather evidence of achievement within the standard’s 5 professional practices and to critically reflect on their development, has been workshopped with leaders in both metropolitan and rural regions.</w:t>
            </w:r>
          </w:p>
          <w:p w:rsidR="00DA3A35" w:rsidRDefault="00DA3A35" w:rsidP="00B928E0">
            <w:pPr>
              <w:rPr>
                <w:rStyle w:val="MilestoneparagraphCharChar"/>
                <w:rFonts w:asciiTheme="minorHAnsi" w:eastAsia="Beijing" w:hAnsiTheme="minorHAnsi" w:cstheme="minorHAnsi"/>
                <w:color w:val="000000" w:themeColor="text1"/>
                <w:szCs w:val="22"/>
              </w:rPr>
            </w:pPr>
          </w:p>
          <w:p w:rsidR="006B08DB" w:rsidRPr="007E67C5" w:rsidRDefault="006B08DB" w:rsidP="00B928E0">
            <w:pPr>
              <w:rPr>
                <w:rStyle w:val="MilestoneparagraphCharChar"/>
                <w:rFonts w:asciiTheme="minorHAnsi" w:eastAsia="Beijing" w:hAnsiTheme="minorHAnsi" w:cstheme="minorHAnsi"/>
                <w:color w:val="000000" w:themeColor="text1"/>
                <w:szCs w:val="22"/>
              </w:rPr>
            </w:pPr>
            <w:r w:rsidRPr="007E67C5">
              <w:rPr>
                <w:rStyle w:val="MilestoneparagraphCharChar"/>
                <w:rFonts w:asciiTheme="minorHAnsi" w:eastAsia="Beijing" w:hAnsiTheme="minorHAnsi" w:cstheme="minorHAnsi"/>
                <w:color w:val="000000" w:themeColor="text1"/>
                <w:szCs w:val="22"/>
              </w:rPr>
              <w:t>Workshops on the standard have been conducted with 170 aspiring and 280 current leaders.</w:t>
            </w:r>
          </w:p>
          <w:p w:rsidR="006B08DB" w:rsidRPr="007E67C5" w:rsidRDefault="006B08DB" w:rsidP="00B928E0">
            <w:pPr>
              <w:rPr>
                <w:rStyle w:val="MilestoneparagraphCharChar"/>
                <w:rFonts w:asciiTheme="minorHAnsi" w:eastAsia="Beijing" w:hAnsiTheme="minorHAnsi" w:cstheme="minorHAnsi"/>
                <w:color w:val="000000" w:themeColor="text1"/>
                <w:szCs w:val="22"/>
              </w:rPr>
            </w:pPr>
          </w:p>
          <w:p w:rsidR="006B08DB" w:rsidRPr="007E67C5" w:rsidRDefault="006B08DB" w:rsidP="00B928E0">
            <w:pPr>
              <w:rPr>
                <w:rStyle w:val="MilestoneparagraphCharChar"/>
                <w:rFonts w:asciiTheme="minorHAnsi" w:eastAsia="Beijing" w:hAnsiTheme="minorHAnsi" w:cstheme="minorHAnsi"/>
                <w:color w:val="000000" w:themeColor="text1"/>
                <w:szCs w:val="22"/>
              </w:rPr>
            </w:pPr>
          </w:p>
        </w:tc>
      </w:tr>
    </w:tbl>
    <w:p w:rsidR="00B8527D" w:rsidRPr="00B8527D" w:rsidRDefault="00B8527D" w:rsidP="00B8527D">
      <w:pPr>
        <w:autoSpaceDE w:val="0"/>
        <w:autoSpaceDN w:val="0"/>
        <w:adjustRightInd w:val="0"/>
        <w:spacing w:before="120" w:after="120"/>
        <w:ind w:right="-249"/>
        <w:rPr>
          <w:rFonts w:ascii="Calibri" w:hAnsi="Calibri"/>
          <w:b/>
          <w:i/>
          <w:szCs w:val="24"/>
        </w:rPr>
        <w:sectPr w:rsidR="00B8527D" w:rsidRPr="00B8527D" w:rsidSect="00EE69FF">
          <w:pgSz w:w="15840" w:h="12240" w:orient="landscape"/>
          <w:pgMar w:top="1276" w:right="1440" w:bottom="1325" w:left="1440" w:header="720" w:footer="720" w:gutter="0"/>
          <w:pgNumType w:start="1"/>
          <w:cols w:space="720"/>
          <w:noEndnote/>
          <w:docGrid w:linePitch="326"/>
        </w:sectPr>
      </w:pPr>
    </w:p>
    <w:bookmarkStart w:id="7" w:name="_Toc379547554"/>
    <w:p w:rsidR="00F66D68" w:rsidRPr="00EF710E" w:rsidRDefault="006B08DB" w:rsidP="00EF710E">
      <w:pPr>
        <w:pStyle w:val="Heading1"/>
      </w:pPr>
      <w:r>
        <w:rPr>
          <w:b w:val="0"/>
          <w:bCs w:val="0"/>
          <w:noProof/>
          <w:lang w:eastAsia="en-AU"/>
        </w:rPr>
        <w:lastRenderedPageBreak/>
        <mc:AlternateContent>
          <mc:Choice Requires="wps">
            <w:drawing>
              <wp:anchor distT="0" distB="0" distL="114300" distR="114300" simplePos="0" relativeHeight="251676672" behindDoc="0" locked="0" layoutInCell="1" allowOverlap="1" wp14:anchorId="3ECAF777" wp14:editId="0B8455B1">
                <wp:simplePos x="0" y="0"/>
                <wp:positionH relativeFrom="column">
                  <wp:posOffset>-17046</wp:posOffset>
                </wp:positionH>
                <wp:positionV relativeFrom="paragraph">
                  <wp:posOffset>-26119</wp:posOffset>
                </wp:positionV>
                <wp:extent cx="6038850" cy="781585"/>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6038850" cy="781585"/>
                        </a:xfrm>
                        <a:prstGeom prst="rect">
                          <a:avLst/>
                        </a:prstGeom>
                        <a:solidFill>
                          <a:schemeClr val="accent2">
                            <a:alpha val="27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1.35pt;margin-top:-2.05pt;width:475.5pt;height:61.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" fillcolor="#c0504d [3205]" strokecolor="#622423 [1605]" strokeweight="2pt">
                <v:fill opacity="17733f"/>
              </v:rect>
            </w:pict>
          </mc:Fallback>
        </mc:AlternateContent>
      </w:r>
      <w:r w:rsidR="00F66D68" w:rsidRPr="00EF710E">
        <w:t xml:space="preserve">Section 2 – </w:t>
      </w:r>
      <w:r w:rsidRPr="006B08DB">
        <w:t xml:space="preserve">Communities Making a Difference </w:t>
      </w:r>
      <w:r>
        <w:t>(</w:t>
      </w:r>
      <w:r w:rsidR="00F66D68" w:rsidRPr="00EF710E">
        <w:t>Low SES School Communities</w:t>
      </w:r>
      <w:r>
        <w:t>)</w:t>
      </w:r>
      <w:bookmarkEnd w:id="7"/>
      <w:r w:rsidR="00F66D68" w:rsidRPr="00EF710E">
        <w:t xml:space="preserve"> </w:t>
      </w:r>
    </w:p>
    <w:p w:rsidR="00F66D68" w:rsidRDefault="00F66D68" w:rsidP="00F66D68">
      <w:pPr>
        <w:rPr>
          <w:rFonts w:ascii="Arial" w:hAnsi="Arial" w:cs="Arial"/>
          <w:color w:val="0070C0"/>
        </w:rPr>
      </w:pPr>
    </w:p>
    <w:tbl>
      <w:tblPr>
        <w:tblW w:w="9498" w:type="dxa"/>
        <w:tblInd w:w="108" w:type="dxa"/>
        <w:tblLook w:val="01E0" w:firstRow="1" w:lastRow="1" w:firstColumn="1" w:lastColumn="1" w:noHBand="0" w:noVBand="0"/>
      </w:tblPr>
      <w:tblGrid>
        <w:gridCol w:w="9615"/>
      </w:tblGrid>
      <w:tr w:rsidR="007A446E" w:rsidTr="007A446E">
        <w:tc>
          <w:tcPr>
            <w:tcW w:w="9498" w:type="dxa"/>
            <w:tcBorders>
              <w:top w:val="single" w:sz="4" w:space="0" w:color="auto"/>
              <w:left w:val="single" w:sz="4" w:space="0" w:color="auto"/>
              <w:bottom w:val="single" w:sz="4" w:space="0" w:color="auto"/>
              <w:right w:val="single" w:sz="4" w:space="0" w:color="auto"/>
            </w:tcBorders>
            <w:hideMark/>
          </w:tcPr>
          <w:p w:rsidR="007A446E" w:rsidRDefault="007A446E">
            <w:pPr>
              <w:autoSpaceDE w:val="0"/>
              <w:autoSpaceDN w:val="0"/>
              <w:adjustRightInd w:val="0"/>
              <w:spacing w:before="120" w:after="120"/>
              <w:rPr>
                <w:rFonts w:ascii="Calibri" w:hAnsi="Calibri" w:cs="Arial"/>
                <w:b/>
                <w:szCs w:val="24"/>
              </w:rPr>
            </w:pPr>
            <w:bookmarkStart w:id="8" w:name="_Toc379547555"/>
            <w:r w:rsidRPr="007A446E">
              <w:rPr>
                <w:rStyle w:val="Heading2Char"/>
              </w:rPr>
              <w:t>Significant Achievements/Highlights</w:t>
            </w:r>
            <w:bookmarkEnd w:id="8"/>
            <w:r>
              <w:rPr>
                <w:rFonts w:ascii="Calibri" w:hAnsi="Calibri"/>
                <w:b/>
              </w:rPr>
              <w:t xml:space="preserve"> - 1</w:t>
            </w:r>
            <w:r>
              <w:rPr>
                <w:rFonts w:ascii="Calibri" w:hAnsi="Calibri"/>
                <w:b/>
                <w:szCs w:val="24"/>
              </w:rPr>
              <w:t xml:space="preserve"> January to 30 June 2013</w:t>
            </w:r>
          </w:p>
          <w:p w:rsidR="006B08DB" w:rsidRPr="00B30F24" w:rsidRDefault="006B08DB" w:rsidP="00B928E0">
            <w:r w:rsidRPr="00B30F24">
              <w:t>Through the Communities Making a Difference National Partnership (</w:t>
            </w:r>
            <w:proofErr w:type="spellStart"/>
            <w:r w:rsidRPr="00B30F24">
              <w:t>CMaD</w:t>
            </w:r>
            <w:proofErr w:type="spellEnd"/>
            <w:r w:rsidRPr="00B30F24">
              <w:t xml:space="preserve"> NP) South Australia is working to achieve improved educational outcomes for students in two different ways:</w:t>
            </w:r>
          </w:p>
          <w:p w:rsidR="006B08DB" w:rsidRPr="00DA3A35" w:rsidRDefault="006B08DB" w:rsidP="00AE6D45">
            <w:pPr>
              <w:pStyle w:val="ListParagraph"/>
              <w:numPr>
                <w:ilvl w:val="0"/>
                <w:numId w:val="7"/>
              </w:numPr>
              <w:tabs>
                <w:tab w:val="clear" w:pos="720"/>
                <w:tab w:val="num" w:pos="1134"/>
              </w:tabs>
              <w:ind w:left="1134" w:hanging="425"/>
              <w:rPr>
                <w:rFonts w:cstheme="minorHAnsi"/>
              </w:rPr>
            </w:pPr>
            <w:r w:rsidRPr="00DA3A35">
              <w:rPr>
                <w:rFonts w:cstheme="minorHAnsi"/>
              </w:rPr>
              <w:t>Through specifically identified schools participating in ‘whole-of-school’ strategies and approaches (all three schooling sectors)</w:t>
            </w:r>
          </w:p>
          <w:p w:rsidR="006B08DB" w:rsidRPr="00DA3A35" w:rsidRDefault="006B08DB" w:rsidP="00AE6D45">
            <w:pPr>
              <w:pStyle w:val="ListParagraph"/>
              <w:numPr>
                <w:ilvl w:val="0"/>
                <w:numId w:val="7"/>
              </w:numPr>
              <w:tabs>
                <w:tab w:val="clear" w:pos="720"/>
                <w:tab w:val="num" w:pos="1134"/>
              </w:tabs>
              <w:ind w:left="1134" w:hanging="425"/>
              <w:rPr>
                <w:rFonts w:cstheme="minorHAnsi"/>
              </w:rPr>
            </w:pPr>
            <w:proofErr w:type="gramStart"/>
            <w:r w:rsidRPr="00DA3A35">
              <w:rPr>
                <w:rFonts w:cstheme="minorHAnsi"/>
              </w:rPr>
              <w:t>through</w:t>
            </w:r>
            <w:proofErr w:type="gramEnd"/>
            <w:r w:rsidRPr="00DA3A35">
              <w:rPr>
                <w:rFonts w:cstheme="minorHAnsi"/>
              </w:rPr>
              <w:t xml:space="preserve"> ‘individualised targeted support’ strategies and approaches for students who are disconnected and disengaged from learning and education pathways (government sector).</w:t>
            </w:r>
          </w:p>
          <w:p w:rsidR="006B08DB" w:rsidRDefault="006B08DB" w:rsidP="00B928E0">
            <w:r w:rsidRPr="00B30F24">
              <w:t xml:space="preserve">Schools and sectors have strengthened and consolidated their implementation activity. The momentum for school improvement and action, generated by the extent and depth of </w:t>
            </w:r>
            <w:proofErr w:type="spellStart"/>
            <w:r w:rsidRPr="00B30F24">
              <w:t>CMaD</w:t>
            </w:r>
            <w:proofErr w:type="spellEnd"/>
            <w:r w:rsidRPr="00B30F24">
              <w:t xml:space="preserve"> NP activity, is spreading more broadly across the schooling sectors and, where appropriate, initiatives are becoming embedded and systematised.</w:t>
            </w:r>
          </w:p>
          <w:p w:rsidR="00E709D5" w:rsidRPr="00B30F24" w:rsidRDefault="00E709D5" w:rsidP="00B928E0"/>
          <w:p w:rsidR="006B08DB" w:rsidRDefault="006B08DB" w:rsidP="00B928E0">
            <w:r w:rsidRPr="00B30F24">
              <w:t xml:space="preserve">Positive trends and impacts are being seen within </w:t>
            </w:r>
            <w:proofErr w:type="spellStart"/>
            <w:r w:rsidRPr="00B30F24">
              <w:t>CMaD</w:t>
            </w:r>
            <w:proofErr w:type="spellEnd"/>
            <w:r w:rsidRPr="00B30F24">
              <w:t xml:space="preserve"> NP schools and in their students’ attendance and achievement as a result of the hard and continuous work of implementation. Each sector has developed an approach suitable to the context and needs of their school communities.</w:t>
            </w:r>
          </w:p>
          <w:p w:rsidR="00E709D5" w:rsidRPr="00B30F24" w:rsidRDefault="00E709D5" w:rsidP="00B928E0"/>
          <w:p w:rsidR="006B08DB" w:rsidRDefault="006B08DB" w:rsidP="00B928E0">
            <w:r w:rsidRPr="00B30F24">
              <w:t xml:space="preserve">In 2010, the </w:t>
            </w:r>
            <w:proofErr w:type="spellStart"/>
            <w:r w:rsidRPr="00B30F24">
              <w:rPr>
                <w:b/>
              </w:rPr>
              <w:t>AISSA</w:t>
            </w:r>
            <w:proofErr w:type="spellEnd"/>
            <w:r w:rsidRPr="00B30F24">
              <w:t xml:space="preserve"> School Review and Development team was established and a diagnostic review methodology was developed. The School Review and Development team has since undertaken and completed diagnostic reviews in seven schools to help them identify areas of improvement. By 2012, the majority of schools have acted on these reviews and continued to roll out elements of their school improvement plans directly related to these reviews conducted in 2010. School principals continue to work with </w:t>
            </w:r>
            <w:proofErr w:type="spellStart"/>
            <w:r w:rsidRPr="00B30F24">
              <w:t>AISSA</w:t>
            </w:r>
            <w:proofErr w:type="spellEnd"/>
            <w:r w:rsidRPr="00B30F24">
              <w:t xml:space="preserve"> and external expertise to implement changes identified in the school improvement plans. Two schools have reviewed their school improvement plans and are currently making further adjustments in line with the progress already made.</w:t>
            </w:r>
          </w:p>
          <w:p w:rsidR="00E709D5" w:rsidRPr="00B30F24" w:rsidRDefault="00E709D5" w:rsidP="00B928E0"/>
          <w:p w:rsidR="006B08DB" w:rsidRDefault="006B08DB" w:rsidP="00B928E0">
            <w:r w:rsidRPr="00B30F24">
              <w:t xml:space="preserve">By 2013, all of the school reviews were in place and are still actively </w:t>
            </w:r>
            <w:proofErr w:type="gramStart"/>
            <w:r w:rsidRPr="00B30F24">
              <w:t>implemented/followed</w:t>
            </w:r>
            <w:proofErr w:type="gramEnd"/>
            <w:r w:rsidRPr="00B30F24">
              <w:t xml:space="preserve">. All seven schools placed considerable focus on literacy and numeracy improvement, whole-school curriculum planning with the Australian Curriculum and the </w:t>
            </w:r>
            <w:r w:rsidRPr="00B30F24">
              <w:rPr>
                <w:i/>
              </w:rPr>
              <w:t>Australian professional standards for teachers</w:t>
            </w:r>
            <w:r w:rsidRPr="00B30F24">
              <w:t xml:space="preserve">. Within this, four schools also placed a focus on improvement on learning in the early years by implementing an oral development program called the </w:t>
            </w:r>
            <w:proofErr w:type="spellStart"/>
            <w:r w:rsidRPr="00B30F24">
              <w:rPr>
                <w:i/>
              </w:rPr>
              <w:t>Hanen</w:t>
            </w:r>
            <w:proofErr w:type="spellEnd"/>
            <w:r w:rsidRPr="00B30F24">
              <w:t xml:space="preserve"> program (see summary below). One school this year has used </w:t>
            </w:r>
            <w:proofErr w:type="spellStart"/>
            <w:r w:rsidRPr="00B30F24">
              <w:t>CMAD</w:t>
            </w:r>
            <w:proofErr w:type="spellEnd"/>
            <w:r w:rsidRPr="00B30F24">
              <w:t xml:space="preserve"> funding support to further target its focus on the </w:t>
            </w:r>
            <w:r w:rsidRPr="00B30F24">
              <w:rPr>
                <w:i/>
              </w:rPr>
              <w:t>Australian professional standards for teachers</w:t>
            </w:r>
            <w:r w:rsidRPr="00B30F24">
              <w:t xml:space="preserve"> by working with an international coaching consultant, </w:t>
            </w:r>
            <w:proofErr w:type="spellStart"/>
            <w:r w:rsidRPr="00B30F24">
              <w:t>GCI</w:t>
            </w:r>
            <w:proofErr w:type="spellEnd"/>
            <w:r w:rsidRPr="00B30F24">
              <w:t>. (See case study)</w:t>
            </w:r>
          </w:p>
          <w:p w:rsidR="00E709D5" w:rsidRPr="00B30F24" w:rsidRDefault="00E709D5" w:rsidP="00B928E0"/>
          <w:p w:rsidR="006B08DB" w:rsidRPr="00B30F24" w:rsidRDefault="006B08DB" w:rsidP="00B928E0">
            <w:r w:rsidRPr="00B30F24">
              <w:t>Other significant support continues to assist schools with their whole school numeracy, literacy and curriculum planning approaches. In 2013 these initiatives included the following:</w:t>
            </w:r>
          </w:p>
          <w:p w:rsidR="006B08DB" w:rsidRPr="00B30F24" w:rsidRDefault="006B08DB" w:rsidP="00AE6D45">
            <w:pPr>
              <w:pStyle w:val="ListParagraph"/>
              <w:numPr>
                <w:ilvl w:val="0"/>
                <w:numId w:val="15"/>
              </w:numPr>
            </w:pPr>
            <w:r w:rsidRPr="00B30F24">
              <w:t>Implementing the Australian Curriculum and training staff accordingly</w:t>
            </w:r>
          </w:p>
          <w:p w:rsidR="006B08DB" w:rsidRPr="00B30F24" w:rsidRDefault="006B08DB" w:rsidP="00AE6D45">
            <w:pPr>
              <w:pStyle w:val="ListParagraph"/>
              <w:numPr>
                <w:ilvl w:val="0"/>
                <w:numId w:val="15"/>
              </w:numPr>
              <w:tabs>
                <w:tab w:val="clear" w:pos="720"/>
                <w:tab w:val="num" w:pos="1452"/>
              </w:tabs>
              <w:ind w:left="1452" w:hanging="732"/>
            </w:pPr>
            <w:r w:rsidRPr="00B30F24">
              <w:t xml:space="preserve">Aligning </w:t>
            </w:r>
            <w:proofErr w:type="spellStart"/>
            <w:r w:rsidRPr="00B30F24">
              <w:t>ELC</w:t>
            </w:r>
            <w:proofErr w:type="spellEnd"/>
            <w:r w:rsidRPr="00B30F24">
              <w:t xml:space="preserve"> curriculum and college curriculum through support of </w:t>
            </w:r>
            <w:proofErr w:type="spellStart"/>
            <w:r w:rsidRPr="00B30F24">
              <w:t>AISSA</w:t>
            </w:r>
            <w:proofErr w:type="spellEnd"/>
            <w:r w:rsidRPr="00B30F24">
              <w:t xml:space="preserve"> teacher planning</w:t>
            </w:r>
          </w:p>
          <w:p w:rsidR="006B08DB" w:rsidRPr="00B30F24" w:rsidRDefault="006B08DB" w:rsidP="00AE6D45">
            <w:pPr>
              <w:pStyle w:val="ListParagraph"/>
              <w:numPr>
                <w:ilvl w:val="0"/>
                <w:numId w:val="15"/>
              </w:numPr>
              <w:tabs>
                <w:tab w:val="clear" w:pos="720"/>
                <w:tab w:val="num" w:pos="1452"/>
              </w:tabs>
              <w:ind w:left="1452" w:hanging="732"/>
            </w:pPr>
            <w:r w:rsidRPr="00B30F24">
              <w:t xml:space="preserve">Establishing reference groups for literacy, numeracy, reporting and assessment to function to develop whole-school strategies </w:t>
            </w:r>
          </w:p>
          <w:p w:rsidR="006B08DB" w:rsidRDefault="006B08DB" w:rsidP="00B928E0">
            <w:r w:rsidRPr="00B30F24">
              <w:t xml:space="preserve">Many schools have taken up a focus on differentiating curriculum as described by the </w:t>
            </w:r>
            <w:r w:rsidRPr="00B30F24">
              <w:rPr>
                <w:i/>
              </w:rPr>
              <w:t xml:space="preserve">Australian professional standards for teachers </w:t>
            </w:r>
            <w:r w:rsidRPr="00B30F24">
              <w:t>(1.5 ‘</w:t>
            </w:r>
            <w:r w:rsidRPr="00B30F24">
              <w:rPr>
                <w:i/>
              </w:rPr>
              <w:t>Differentiate teaching to meet the specific learning needs of students across the full range of abilities’</w:t>
            </w:r>
            <w:r w:rsidRPr="00B30F24">
              <w:t xml:space="preserve">). </w:t>
            </w:r>
          </w:p>
          <w:p w:rsidR="00E709D5" w:rsidRPr="00B30F24" w:rsidRDefault="00E709D5" w:rsidP="00B928E0"/>
          <w:p w:rsidR="006B08DB" w:rsidRPr="00B30F24" w:rsidRDefault="006B08DB" w:rsidP="00B928E0">
            <w:r w:rsidRPr="00B30F24">
              <w:t xml:space="preserve">Ongoing workshops on </w:t>
            </w:r>
            <w:r w:rsidRPr="00B30F24">
              <w:rPr>
                <w:i/>
              </w:rPr>
              <w:t>Assessment for learning</w:t>
            </w:r>
            <w:r w:rsidRPr="00B30F24">
              <w:t>, along with generic programming and unit planning professional continue to be conducted in three schools with a particular focus on 5.1 and 5.2</w:t>
            </w:r>
            <w:r w:rsidRPr="00B30F24">
              <w:rPr>
                <w:i/>
              </w:rPr>
              <w:t>…. Assess, provide feedback and report on student learning</w:t>
            </w:r>
            <w:r w:rsidRPr="00B30F24">
              <w:t xml:space="preserve">. Two schools continue to receive extensive assistance to develop their curriculum in line with the Australian Curriculum and to align their pedagogy to working </w:t>
            </w:r>
            <w:r w:rsidRPr="00B30F24">
              <w:lastRenderedPageBreak/>
              <w:t>with the Australian Curriculum achievement standards. Other support areas for schools included topics around:</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student diversity and the Australian Curriculum</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instructional coaching within the school setting</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unit planning for English, mathematics, science and history and phase 2 Australian Curriculum subjects</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digital resources diversification – online repositories</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assessment using achievement standards of the Australian Curriculum</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general capabilities and cross curriculum priorities with particular focus on mathematics and science along with primary integrated learning units</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unpacking Australian professional standards for teachers and collecting evidence particularly at the proficient and highly accomplished career stages</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teacher appraisal and planning for the next stage of professional growth</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use of the Australian Curriculum achievement standards to determine student performance</w:t>
            </w:r>
          </w:p>
          <w:p w:rsidR="006B08DB" w:rsidRPr="00E709D5" w:rsidRDefault="006B08DB" w:rsidP="00AE6D45">
            <w:pPr>
              <w:pStyle w:val="ListParagraph"/>
              <w:numPr>
                <w:ilvl w:val="0"/>
                <w:numId w:val="7"/>
              </w:numPr>
              <w:tabs>
                <w:tab w:val="clear" w:pos="720"/>
                <w:tab w:val="num" w:pos="1134"/>
              </w:tabs>
              <w:ind w:left="1134" w:hanging="425"/>
              <w:rPr>
                <w:rFonts w:cstheme="minorHAnsi"/>
              </w:rPr>
            </w:pPr>
            <w:proofErr w:type="gramStart"/>
            <w:r w:rsidRPr="00E709D5">
              <w:rPr>
                <w:rFonts w:cstheme="minorHAnsi"/>
              </w:rPr>
              <w:t>building</w:t>
            </w:r>
            <w:proofErr w:type="gramEnd"/>
            <w:r w:rsidRPr="00E709D5">
              <w:rPr>
                <w:rFonts w:cstheme="minorHAnsi"/>
              </w:rPr>
              <w:t xml:space="preserve"> leadership capacity in one school where there has been a change of principal and subsequently broaden their leadership capacity to ultimately improve overall school performance.</w:t>
            </w:r>
          </w:p>
          <w:p w:rsidR="006B08DB" w:rsidRDefault="006B08DB" w:rsidP="00B928E0">
            <w:pPr>
              <w:rPr>
                <w:szCs w:val="22"/>
              </w:rPr>
            </w:pPr>
            <w:r w:rsidRPr="007E67C5">
              <w:rPr>
                <w:szCs w:val="22"/>
              </w:rPr>
              <w:t xml:space="preserve">The majority of schools have now made significant progress with their </w:t>
            </w:r>
            <w:r w:rsidRPr="007E67C5">
              <w:rPr>
                <w:i/>
                <w:szCs w:val="22"/>
              </w:rPr>
              <w:t>Learning and teaching program</w:t>
            </w:r>
            <w:r w:rsidRPr="007E67C5">
              <w:rPr>
                <w:szCs w:val="22"/>
              </w:rPr>
              <w:t xml:space="preserve">, </w:t>
            </w:r>
            <w:r w:rsidRPr="007E67C5">
              <w:rPr>
                <w:i/>
                <w:szCs w:val="22"/>
              </w:rPr>
              <w:t>curriculum review</w:t>
            </w:r>
            <w:r w:rsidRPr="007E67C5">
              <w:rPr>
                <w:szCs w:val="22"/>
              </w:rPr>
              <w:t xml:space="preserve"> and building their teaching and learning capacity with information and communications technology. In addition, three schools that carried out teacher appraisal using a model developed through </w:t>
            </w:r>
            <w:proofErr w:type="spellStart"/>
            <w:r w:rsidRPr="007E67C5">
              <w:rPr>
                <w:szCs w:val="22"/>
              </w:rPr>
              <w:t>CMaD</w:t>
            </w:r>
            <w:proofErr w:type="spellEnd"/>
            <w:r w:rsidRPr="007E67C5">
              <w:rPr>
                <w:szCs w:val="22"/>
              </w:rPr>
              <w:t xml:space="preserve"> funding have in 2013 effectively built on those appraisals.</w:t>
            </w:r>
          </w:p>
          <w:p w:rsidR="00E709D5" w:rsidRPr="007E67C5" w:rsidRDefault="00E709D5" w:rsidP="00B928E0">
            <w:pPr>
              <w:rPr>
                <w:szCs w:val="22"/>
              </w:rPr>
            </w:pPr>
          </w:p>
          <w:p w:rsidR="006B08DB" w:rsidRDefault="006B08DB" w:rsidP="00B928E0">
            <w:pPr>
              <w:rPr>
                <w:szCs w:val="22"/>
              </w:rPr>
            </w:pPr>
            <w:r w:rsidRPr="007E67C5">
              <w:rPr>
                <w:szCs w:val="22"/>
              </w:rPr>
              <w:t>The 2012 parent workshop series undertaken by one school, focusing on early intervention strategies for young learners, including Indigenous students, which has seen great improvement in the attendance of Indigenous students at this site in 2013.</w:t>
            </w:r>
          </w:p>
          <w:p w:rsidR="00E709D5" w:rsidRPr="007E67C5" w:rsidRDefault="00E709D5" w:rsidP="00B928E0">
            <w:pPr>
              <w:rPr>
                <w:szCs w:val="22"/>
              </w:rPr>
            </w:pPr>
          </w:p>
          <w:p w:rsidR="006B08DB" w:rsidRPr="007E67C5" w:rsidRDefault="006B08DB" w:rsidP="00B928E0">
            <w:pPr>
              <w:rPr>
                <w:szCs w:val="22"/>
              </w:rPr>
            </w:pPr>
            <w:r w:rsidRPr="007E67C5">
              <w:rPr>
                <w:szCs w:val="22"/>
              </w:rPr>
              <w:t xml:space="preserve">Another school attributed their improvement in learning outcomes to the </w:t>
            </w:r>
            <w:proofErr w:type="spellStart"/>
            <w:r w:rsidRPr="007E67C5">
              <w:rPr>
                <w:szCs w:val="22"/>
              </w:rPr>
              <w:t>CMAD</w:t>
            </w:r>
            <w:proofErr w:type="spellEnd"/>
            <w:r w:rsidRPr="007E67C5">
              <w:rPr>
                <w:szCs w:val="22"/>
              </w:rPr>
              <w:t xml:space="preserve">-funded work around data for teaching and learning beginning in 2011. From the outset of the project the aim was to provide more targeted teaching from teachers by equipping them with the information about student learning.  </w:t>
            </w:r>
          </w:p>
          <w:p w:rsidR="00E709D5" w:rsidRDefault="00E709D5" w:rsidP="00B928E0">
            <w:pPr>
              <w:rPr>
                <w:szCs w:val="22"/>
              </w:rPr>
            </w:pPr>
          </w:p>
          <w:p w:rsidR="006B08DB" w:rsidRPr="007E67C5" w:rsidRDefault="006B08DB" w:rsidP="00B928E0">
            <w:pPr>
              <w:rPr>
                <w:szCs w:val="22"/>
              </w:rPr>
            </w:pPr>
            <w:r w:rsidRPr="007E67C5">
              <w:rPr>
                <w:szCs w:val="22"/>
              </w:rPr>
              <w:t xml:space="preserve">As a result of this project, this school was able to adapt the </w:t>
            </w:r>
            <w:r w:rsidRPr="007E67C5">
              <w:rPr>
                <w:i/>
                <w:szCs w:val="22"/>
              </w:rPr>
              <w:t>First steps writing continuum</w:t>
            </w:r>
            <w:r w:rsidRPr="007E67C5">
              <w:rPr>
                <w:szCs w:val="22"/>
              </w:rPr>
              <w:t xml:space="preserve"> onto to spread sheet for teachers so that cohorts of students could be tracked as well as individuals. It also provided a much more user-friendly way to see trends that may be developing within cohorts. Finally it gave teachers information at their fingertips that they could use to inform their teaching. During this project, the school triangulated data with the aim of supporting students to develop in their writing. The three sources of data were </w:t>
            </w:r>
            <w:proofErr w:type="spellStart"/>
            <w:r w:rsidRPr="007E67C5">
              <w:rPr>
                <w:szCs w:val="22"/>
              </w:rPr>
              <w:t>NAPLAN</w:t>
            </w:r>
            <w:proofErr w:type="spellEnd"/>
            <w:r w:rsidRPr="007E67C5">
              <w:rPr>
                <w:szCs w:val="22"/>
              </w:rPr>
              <w:t xml:space="preserve"> results, independently marked writing pieces and the first steps continuum results. The school then developed forms for recording the results of the triangulation as well as an action plan to implement change within the classroom. The area highlighted across the triangulation within student writing was the ability to generate ideas. In 2013, they have continued on our journey with this focus by training all junior school staff in the Australian Curriculum ‘capability’ of critical and creative thinking.</w:t>
            </w:r>
          </w:p>
          <w:p w:rsidR="00E709D5" w:rsidRDefault="00E709D5" w:rsidP="00B928E0">
            <w:pPr>
              <w:rPr>
                <w:szCs w:val="22"/>
              </w:rPr>
            </w:pPr>
          </w:p>
          <w:p w:rsidR="006B08DB" w:rsidRPr="007E67C5" w:rsidRDefault="006B08DB" w:rsidP="00B928E0">
            <w:pPr>
              <w:rPr>
                <w:szCs w:val="22"/>
              </w:rPr>
            </w:pPr>
            <w:r w:rsidRPr="007E67C5">
              <w:rPr>
                <w:szCs w:val="22"/>
              </w:rPr>
              <w:t xml:space="preserve">External specialists including speech pathologists, occupational therapists, psychologists, social workers and behaviour management experts have continued to provide services in country areas. </w:t>
            </w:r>
          </w:p>
          <w:p w:rsidR="00E709D5" w:rsidRDefault="00E709D5" w:rsidP="00B928E0">
            <w:pPr>
              <w:rPr>
                <w:szCs w:val="22"/>
              </w:rPr>
            </w:pPr>
          </w:p>
          <w:p w:rsidR="006B08DB" w:rsidRPr="007E67C5" w:rsidRDefault="006B08DB" w:rsidP="00B928E0">
            <w:pPr>
              <w:rPr>
                <w:szCs w:val="22"/>
              </w:rPr>
            </w:pPr>
            <w:r w:rsidRPr="007E67C5">
              <w:rPr>
                <w:szCs w:val="22"/>
              </w:rPr>
              <w:t>The following was provided to those working with special needs students in Communities Making a Difference schools:</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Support with applications for student assessment</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Support with applications for student verification</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Support with writing individual student support plans</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Support with enrolment policy/procedures for students with disabilities</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Support with post-school transition for students with disabilities</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Transition support: preschool to school, primary to secondary and school to school</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lastRenderedPageBreak/>
              <w:t xml:space="preserve">Clarification of </w:t>
            </w:r>
            <w:proofErr w:type="spellStart"/>
            <w:r w:rsidRPr="00E709D5">
              <w:rPr>
                <w:rFonts w:cstheme="minorHAnsi"/>
              </w:rPr>
              <w:t>DDA</w:t>
            </w:r>
            <w:proofErr w:type="spellEnd"/>
            <w:r w:rsidRPr="00E709D5">
              <w:rPr>
                <w:rFonts w:cstheme="minorHAnsi"/>
              </w:rPr>
              <w:t xml:space="preserve"> guidelines and advice to school principals around students with disabilities, including Indigenous students</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General and specific advice re classroom strategies and curriculum access for students with complex needs</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 xml:space="preserve">Advice around whole school support for students with disabilities </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 xml:space="preserve">Liaising with principals and lead teachers re individual students and curriculum issues.  </w:t>
            </w:r>
          </w:p>
          <w:p w:rsidR="006B08DB" w:rsidRPr="007E67C5" w:rsidRDefault="006B08DB" w:rsidP="00B928E0">
            <w:pPr>
              <w:rPr>
                <w:b/>
                <w:szCs w:val="22"/>
              </w:rPr>
            </w:pPr>
            <w:r w:rsidRPr="007E67C5">
              <w:rPr>
                <w:b/>
                <w:szCs w:val="22"/>
              </w:rPr>
              <w:t xml:space="preserve">The implementation of the </w:t>
            </w:r>
            <w:proofErr w:type="spellStart"/>
            <w:r w:rsidRPr="007E67C5">
              <w:rPr>
                <w:b/>
                <w:i/>
                <w:szCs w:val="22"/>
              </w:rPr>
              <w:t>Hanen</w:t>
            </w:r>
            <w:proofErr w:type="spellEnd"/>
            <w:r w:rsidRPr="007E67C5">
              <w:rPr>
                <w:b/>
                <w:szCs w:val="22"/>
              </w:rPr>
              <w:t xml:space="preserve"> program through assigned speech pathologist: Summary of Improvements</w:t>
            </w:r>
          </w:p>
          <w:p w:rsidR="006B08DB" w:rsidRDefault="006B08DB" w:rsidP="00B928E0">
            <w:pPr>
              <w:rPr>
                <w:szCs w:val="22"/>
              </w:rPr>
            </w:pPr>
            <w:r w:rsidRPr="007E67C5">
              <w:rPr>
                <w:bCs/>
                <w:szCs w:val="22"/>
              </w:rPr>
              <w:t xml:space="preserve">The internationally acclaimed </w:t>
            </w:r>
            <w:proofErr w:type="spellStart"/>
            <w:r w:rsidRPr="007E67C5">
              <w:rPr>
                <w:bCs/>
                <w:i/>
                <w:szCs w:val="22"/>
              </w:rPr>
              <w:t>Hanen</w:t>
            </w:r>
            <w:proofErr w:type="spellEnd"/>
            <w:r w:rsidRPr="007E67C5">
              <w:rPr>
                <w:bCs/>
                <w:szCs w:val="22"/>
              </w:rPr>
              <w:t xml:space="preserve"> program provides early childhood educators with the knowledge and skills needed to support young children’s language development. In addition to the professional learning, a speech pathologist with early childhood experience provided additional support at the school, working with the staff to implement the </w:t>
            </w:r>
            <w:proofErr w:type="spellStart"/>
            <w:r w:rsidRPr="007E67C5">
              <w:rPr>
                <w:bCs/>
                <w:i/>
                <w:szCs w:val="22"/>
              </w:rPr>
              <w:t>Hanen</w:t>
            </w:r>
            <w:proofErr w:type="spellEnd"/>
            <w:r w:rsidRPr="007E67C5">
              <w:rPr>
                <w:bCs/>
                <w:szCs w:val="22"/>
              </w:rPr>
              <w:t xml:space="preserve"> principles and support programming for the development of oral language and play skills. </w:t>
            </w:r>
            <w:r w:rsidRPr="007E67C5">
              <w:rPr>
                <w:szCs w:val="22"/>
              </w:rPr>
              <w:t>This includes facilitating optimum opportunities for children for communication and social development by identifying children’s conversational styles and the roles teachers play in interactions, and helping children to become better conversation partners. This fits in with the</w:t>
            </w:r>
            <w:r w:rsidRPr="007E67C5">
              <w:rPr>
                <w:i/>
                <w:szCs w:val="22"/>
              </w:rPr>
              <w:t xml:space="preserve"> Early years learning </w:t>
            </w:r>
            <w:r w:rsidRPr="007E67C5">
              <w:rPr>
                <w:szCs w:val="22"/>
              </w:rPr>
              <w:t>framework of Outcome 5: Children are effective communicators – children interact verbally and non-verbally with others for a range of purposes.</w:t>
            </w:r>
          </w:p>
          <w:p w:rsidR="00E709D5" w:rsidRPr="007E67C5" w:rsidRDefault="00E709D5" w:rsidP="00B928E0">
            <w:pPr>
              <w:rPr>
                <w:szCs w:val="22"/>
              </w:rPr>
            </w:pPr>
          </w:p>
          <w:p w:rsidR="006B08DB" w:rsidRPr="007E67C5" w:rsidRDefault="006B08DB" w:rsidP="00B928E0">
            <w:pPr>
              <w:rPr>
                <w:b/>
                <w:szCs w:val="22"/>
                <w:u w:val="single"/>
              </w:rPr>
            </w:pPr>
            <w:r w:rsidRPr="007E67C5">
              <w:rPr>
                <w:b/>
                <w:szCs w:val="22"/>
                <w:u w:val="single"/>
              </w:rPr>
              <w:t>Portside Christian College</w:t>
            </w:r>
          </w:p>
          <w:p w:rsidR="006B08DB" w:rsidRDefault="006B08DB" w:rsidP="00B928E0">
            <w:pPr>
              <w:rPr>
                <w:szCs w:val="22"/>
              </w:rPr>
            </w:pPr>
            <w:r w:rsidRPr="007E67C5">
              <w:rPr>
                <w:szCs w:val="22"/>
              </w:rPr>
              <w:t>The early childhood staff from Portside Christian College attended the two days of training at the end of 2012 with the program starting in Term 1, 2013. The college was provided with two days of support in Term 1 and one day of support in Term 2. Two Reception classes and the Early Learning Centre have been involved in the program. In the first term there was more observation of the classrooms and centres and the focus children than change in practise. The staff completed the action plans and the teachers were provided with advice on strategies that could be used in the classroom and centre.</w:t>
            </w:r>
          </w:p>
          <w:p w:rsidR="00E709D5" w:rsidRPr="007E67C5" w:rsidRDefault="00E709D5" w:rsidP="00B928E0">
            <w:pPr>
              <w:rPr>
                <w:szCs w:val="22"/>
              </w:rPr>
            </w:pPr>
          </w:p>
          <w:p w:rsidR="006B08DB" w:rsidRDefault="006B08DB" w:rsidP="00B928E0">
            <w:pPr>
              <w:rPr>
                <w:szCs w:val="22"/>
              </w:rPr>
            </w:pPr>
            <w:r w:rsidRPr="007E67C5">
              <w:rPr>
                <w:szCs w:val="22"/>
              </w:rPr>
              <w:t>There was evidence of changes in practice and growth in Term 2. Classrooms have been intentionally re-arranged to better facilitate social conversation and development, and have become more intentional in facilitating the ‘focus’ child’s language and social development.</w:t>
            </w:r>
          </w:p>
          <w:p w:rsidR="00E709D5" w:rsidRPr="007E67C5" w:rsidRDefault="00E709D5" w:rsidP="00B928E0">
            <w:pPr>
              <w:rPr>
                <w:szCs w:val="22"/>
              </w:rPr>
            </w:pPr>
          </w:p>
          <w:p w:rsidR="006B08DB" w:rsidRDefault="006B08DB" w:rsidP="00B928E0">
            <w:pPr>
              <w:rPr>
                <w:szCs w:val="22"/>
              </w:rPr>
            </w:pPr>
            <w:r w:rsidRPr="007E67C5">
              <w:rPr>
                <w:szCs w:val="22"/>
              </w:rPr>
              <w:t>Observation of students during play opportunities has led to the development of student centred action plans that describe and facilitate the ‘focus’ child’s language and social development.</w:t>
            </w:r>
          </w:p>
          <w:p w:rsidR="00E709D5" w:rsidRPr="007E67C5" w:rsidRDefault="00E709D5" w:rsidP="00B928E0">
            <w:pPr>
              <w:rPr>
                <w:szCs w:val="22"/>
              </w:rPr>
            </w:pPr>
          </w:p>
          <w:p w:rsidR="006B08DB" w:rsidRPr="007E67C5" w:rsidRDefault="006B08DB" w:rsidP="00B928E0">
            <w:pPr>
              <w:rPr>
                <w:b/>
                <w:szCs w:val="22"/>
                <w:u w:val="single"/>
              </w:rPr>
            </w:pPr>
            <w:proofErr w:type="spellStart"/>
            <w:r w:rsidRPr="007E67C5">
              <w:rPr>
                <w:b/>
                <w:szCs w:val="22"/>
                <w:u w:val="single"/>
              </w:rPr>
              <w:t>Murraylands</w:t>
            </w:r>
            <w:proofErr w:type="spellEnd"/>
            <w:r w:rsidRPr="007E67C5">
              <w:rPr>
                <w:b/>
                <w:szCs w:val="22"/>
                <w:u w:val="single"/>
              </w:rPr>
              <w:t xml:space="preserve"> Christian College</w:t>
            </w:r>
          </w:p>
          <w:p w:rsidR="006B08DB" w:rsidRDefault="006B08DB" w:rsidP="00B928E0">
            <w:pPr>
              <w:rPr>
                <w:szCs w:val="22"/>
              </w:rPr>
            </w:pPr>
            <w:proofErr w:type="spellStart"/>
            <w:r w:rsidRPr="007E67C5">
              <w:rPr>
                <w:szCs w:val="22"/>
              </w:rPr>
              <w:t>Murraylands</w:t>
            </w:r>
            <w:proofErr w:type="spellEnd"/>
            <w:r w:rsidRPr="007E67C5">
              <w:rPr>
                <w:szCs w:val="22"/>
              </w:rPr>
              <w:t xml:space="preserve"> Christian College commenced this program at the start of 2013. In the first term both the Reception and Early Learning Centre teachers were observed in the classroom using the strategies from the program to facilitate the ‘focus’ on children’s communication and social development. Strategies introduced through </w:t>
            </w:r>
            <w:proofErr w:type="spellStart"/>
            <w:r w:rsidRPr="007E67C5">
              <w:rPr>
                <w:i/>
                <w:szCs w:val="22"/>
              </w:rPr>
              <w:t>Hanen</w:t>
            </w:r>
            <w:proofErr w:type="spellEnd"/>
            <w:r w:rsidRPr="007E67C5">
              <w:rPr>
                <w:szCs w:val="22"/>
              </w:rPr>
              <w:t xml:space="preserve"> training have increased children’s confidence in talking, and in positive peer-to-peer interactions.</w:t>
            </w:r>
          </w:p>
          <w:p w:rsidR="00E709D5" w:rsidRPr="007E67C5" w:rsidRDefault="00E709D5" w:rsidP="00B928E0">
            <w:pPr>
              <w:rPr>
                <w:szCs w:val="22"/>
              </w:rPr>
            </w:pPr>
          </w:p>
          <w:p w:rsidR="006B08DB" w:rsidRDefault="006B08DB" w:rsidP="00B928E0">
            <w:pPr>
              <w:rPr>
                <w:szCs w:val="22"/>
              </w:rPr>
            </w:pPr>
            <w:r w:rsidRPr="007E67C5">
              <w:rPr>
                <w:szCs w:val="22"/>
              </w:rPr>
              <w:t>Changes in staffing at this school’s Early Learning Centre will see additional visits planned to support the development of teacher skills.</w:t>
            </w:r>
          </w:p>
          <w:p w:rsidR="00E709D5" w:rsidRPr="007E67C5" w:rsidRDefault="00E709D5" w:rsidP="00B928E0">
            <w:pPr>
              <w:rPr>
                <w:szCs w:val="22"/>
              </w:rPr>
            </w:pPr>
          </w:p>
          <w:p w:rsidR="006B08DB" w:rsidRDefault="006B08DB" w:rsidP="00B928E0">
            <w:pPr>
              <w:rPr>
                <w:szCs w:val="22"/>
              </w:rPr>
            </w:pPr>
            <w:r w:rsidRPr="007E67C5">
              <w:rPr>
                <w:szCs w:val="22"/>
              </w:rPr>
              <w:t xml:space="preserve">Consistent with the agreed Implementation Plan for the </w:t>
            </w:r>
            <w:r w:rsidRPr="007E67C5">
              <w:rPr>
                <w:b/>
                <w:szCs w:val="22"/>
              </w:rPr>
              <w:t>SA Catholic sector</w:t>
            </w:r>
            <w:r w:rsidRPr="007E67C5">
              <w:rPr>
                <w:szCs w:val="22"/>
              </w:rPr>
              <w:t xml:space="preserve">, and based on the phased allocation of Australian Government funding, the number of Catholic schools participating in the Communities Making a Difference National Partnership has decreased from 23 in 2012 to 12 in 2013. The 12 continuing schools are those with lowest SES rankings in the sector and were the first schools to begin in the </w:t>
            </w:r>
            <w:proofErr w:type="spellStart"/>
            <w:r w:rsidRPr="007E67C5">
              <w:rPr>
                <w:szCs w:val="22"/>
              </w:rPr>
              <w:t>CMaD</w:t>
            </w:r>
            <w:proofErr w:type="spellEnd"/>
            <w:r w:rsidRPr="007E67C5">
              <w:rPr>
                <w:szCs w:val="22"/>
              </w:rPr>
              <w:t xml:space="preserve"> NP in 2010.</w:t>
            </w:r>
          </w:p>
          <w:p w:rsidR="00E709D5" w:rsidRPr="007E67C5" w:rsidRDefault="00E709D5" w:rsidP="00B928E0">
            <w:pPr>
              <w:rPr>
                <w:szCs w:val="22"/>
              </w:rPr>
            </w:pPr>
          </w:p>
          <w:p w:rsidR="006B08DB" w:rsidRPr="007E67C5" w:rsidRDefault="006B08DB" w:rsidP="00B928E0">
            <w:pPr>
              <w:rPr>
                <w:szCs w:val="22"/>
              </w:rPr>
            </w:pPr>
            <w:r w:rsidRPr="007E67C5">
              <w:rPr>
                <w:szCs w:val="22"/>
              </w:rPr>
              <w:t xml:space="preserve">These schools have benefited greatly from the opportunity for direct interactions with Professor Michael </w:t>
            </w:r>
            <w:proofErr w:type="spellStart"/>
            <w:r w:rsidRPr="007E67C5">
              <w:rPr>
                <w:szCs w:val="22"/>
              </w:rPr>
              <w:t>Fullan</w:t>
            </w:r>
            <w:proofErr w:type="spellEnd"/>
            <w:r w:rsidRPr="007E67C5">
              <w:rPr>
                <w:szCs w:val="22"/>
              </w:rPr>
              <w:t xml:space="preserve"> in the past three years. The in-school processes for development of strategic plans for school improvement are now considerably more efficient, with more purposeful use of student assessment data to identify trends or areas for improvement, coupled with recognition of the need to persevere with strategies to achieve whole school change that can persist in the longer term.</w:t>
            </w:r>
          </w:p>
          <w:p w:rsidR="006B08DB" w:rsidRPr="007E67C5" w:rsidRDefault="006B08DB" w:rsidP="00B928E0">
            <w:pPr>
              <w:rPr>
                <w:szCs w:val="22"/>
              </w:rPr>
            </w:pPr>
            <w:r w:rsidRPr="007E67C5">
              <w:rPr>
                <w:szCs w:val="22"/>
              </w:rPr>
              <w:lastRenderedPageBreak/>
              <w:t xml:space="preserve">Encouraged by the </w:t>
            </w:r>
            <w:proofErr w:type="spellStart"/>
            <w:r w:rsidRPr="007E67C5">
              <w:rPr>
                <w:szCs w:val="22"/>
              </w:rPr>
              <w:t>CESA</w:t>
            </w:r>
            <w:proofErr w:type="spellEnd"/>
            <w:r w:rsidRPr="007E67C5">
              <w:rPr>
                <w:szCs w:val="22"/>
              </w:rPr>
              <w:t xml:space="preserve"> </w:t>
            </w:r>
            <w:proofErr w:type="spellStart"/>
            <w:r w:rsidRPr="007E67C5">
              <w:rPr>
                <w:szCs w:val="22"/>
              </w:rPr>
              <w:t>CMaD</w:t>
            </w:r>
            <w:proofErr w:type="spellEnd"/>
            <w:r w:rsidRPr="007E67C5">
              <w:rPr>
                <w:szCs w:val="22"/>
              </w:rPr>
              <w:t xml:space="preserve"> team and in implementing the ideas of Prof </w:t>
            </w:r>
            <w:proofErr w:type="spellStart"/>
            <w:r w:rsidRPr="007E67C5">
              <w:rPr>
                <w:szCs w:val="22"/>
              </w:rPr>
              <w:t>Fullan</w:t>
            </w:r>
            <w:proofErr w:type="spellEnd"/>
            <w:r w:rsidRPr="007E67C5">
              <w:rPr>
                <w:szCs w:val="22"/>
              </w:rPr>
              <w:t>, these schools are developing strategic plans that give priority to deeper implementation of focussed strategic initiatives aligned to key priority reform areas, especially:</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 xml:space="preserve">tailored and innovative learning opportunities </w:t>
            </w:r>
          </w:p>
          <w:p w:rsidR="006B08DB" w:rsidRPr="00E709D5" w:rsidRDefault="006B08DB" w:rsidP="00AE6D45">
            <w:pPr>
              <w:pStyle w:val="ListParagraph"/>
              <w:numPr>
                <w:ilvl w:val="0"/>
                <w:numId w:val="7"/>
              </w:numPr>
              <w:tabs>
                <w:tab w:val="clear" w:pos="720"/>
                <w:tab w:val="num" w:pos="1134"/>
              </w:tabs>
              <w:ind w:left="1134" w:hanging="425"/>
              <w:rPr>
                <w:rFonts w:cstheme="minorHAnsi"/>
              </w:rPr>
            </w:pPr>
            <w:proofErr w:type="gramStart"/>
            <w:r w:rsidRPr="00E709D5">
              <w:rPr>
                <w:rFonts w:cstheme="minorHAnsi"/>
              </w:rPr>
              <w:t>increased</w:t>
            </w:r>
            <w:proofErr w:type="gramEnd"/>
            <w:r w:rsidRPr="00E709D5">
              <w:rPr>
                <w:rFonts w:cstheme="minorHAnsi"/>
              </w:rPr>
              <w:t xml:space="preserve"> school accountability. </w:t>
            </w:r>
          </w:p>
          <w:p w:rsidR="006B08DB" w:rsidRPr="007E67C5" w:rsidRDefault="006B08DB" w:rsidP="00B928E0">
            <w:pPr>
              <w:rPr>
                <w:szCs w:val="22"/>
              </w:rPr>
            </w:pPr>
            <w:r w:rsidRPr="007E67C5">
              <w:rPr>
                <w:szCs w:val="22"/>
              </w:rPr>
              <w:t>Included among the school-generated artefacts that are evidence of the improved processes and structures being developed are:</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databases of student assessment data that are enabling longitudinal monitoring of students and the learning programs designed by their teachers</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shared practice agreements, in which teachers document and commit to ways of working with their students and with each other</w:t>
            </w:r>
          </w:p>
          <w:p w:rsidR="006B08DB" w:rsidRDefault="006B08DB" w:rsidP="00AE6D45">
            <w:pPr>
              <w:pStyle w:val="ListParagraph"/>
              <w:numPr>
                <w:ilvl w:val="0"/>
                <w:numId w:val="7"/>
              </w:numPr>
              <w:tabs>
                <w:tab w:val="clear" w:pos="720"/>
                <w:tab w:val="num" w:pos="1134"/>
              </w:tabs>
              <w:ind w:left="1134" w:hanging="425"/>
              <w:rPr>
                <w:rFonts w:cstheme="minorHAnsi"/>
              </w:rPr>
            </w:pPr>
            <w:proofErr w:type="gramStart"/>
            <w:r w:rsidRPr="00E709D5">
              <w:rPr>
                <w:rFonts w:cstheme="minorHAnsi"/>
              </w:rPr>
              <w:t>student</w:t>
            </w:r>
            <w:proofErr w:type="gramEnd"/>
            <w:r w:rsidRPr="00E709D5">
              <w:rPr>
                <w:rFonts w:cstheme="minorHAnsi"/>
              </w:rPr>
              <w:t xml:space="preserve"> numeracy folios, providing a vehicle for students and teachers to collaborate in identifying learning strengths and areas for improvement, based on work samples, assessment tasks and diagnostic tests.</w:t>
            </w:r>
          </w:p>
          <w:p w:rsidR="00E709D5" w:rsidRPr="00E709D5" w:rsidRDefault="00E709D5" w:rsidP="00E709D5">
            <w:pPr>
              <w:pStyle w:val="ListParagraph"/>
              <w:ind w:left="1134"/>
              <w:rPr>
                <w:rFonts w:cstheme="minorHAnsi"/>
              </w:rPr>
            </w:pPr>
          </w:p>
          <w:p w:rsidR="006B08DB" w:rsidRDefault="006B08DB" w:rsidP="00B928E0">
            <w:pPr>
              <w:rPr>
                <w:b/>
                <w:szCs w:val="24"/>
              </w:rPr>
            </w:pPr>
            <w:r w:rsidRPr="007E67C5">
              <w:rPr>
                <w:b/>
                <w:szCs w:val="24"/>
              </w:rPr>
              <w:t>Government sector</w:t>
            </w:r>
          </w:p>
          <w:p w:rsidR="00E709D5" w:rsidRPr="007E67C5" w:rsidRDefault="00E709D5" w:rsidP="00B928E0">
            <w:pPr>
              <w:rPr>
                <w:b/>
                <w:szCs w:val="24"/>
              </w:rPr>
            </w:pPr>
          </w:p>
          <w:p w:rsidR="006B08DB" w:rsidRDefault="006B08DB" w:rsidP="00B928E0">
            <w:pPr>
              <w:rPr>
                <w:b/>
                <w:szCs w:val="24"/>
              </w:rPr>
            </w:pPr>
            <w:r w:rsidRPr="007E67C5">
              <w:rPr>
                <w:b/>
                <w:szCs w:val="24"/>
              </w:rPr>
              <w:t>TARGETED STUDENT SUPPORT</w:t>
            </w:r>
          </w:p>
          <w:p w:rsidR="00E709D5" w:rsidRPr="007E67C5" w:rsidRDefault="00E709D5" w:rsidP="00B928E0">
            <w:pPr>
              <w:rPr>
                <w:b/>
                <w:szCs w:val="24"/>
              </w:rPr>
            </w:pPr>
          </w:p>
          <w:p w:rsidR="006B08DB" w:rsidRPr="007E67C5" w:rsidRDefault="006B08DB" w:rsidP="00B928E0">
            <w:pPr>
              <w:rPr>
                <w:b/>
                <w:szCs w:val="24"/>
              </w:rPr>
            </w:pPr>
            <w:r w:rsidRPr="007E67C5">
              <w:rPr>
                <w:b/>
                <w:szCs w:val="24"/>
              </w:rPr>
              <w:t>Innovative Community Action Networks (</w:t>
            </w:r>
            <w:proofErr w:type="spellStart"/>
            <w:r w:rsidRPr="007E67C5">
              <w:rPr>
                <w:b/>
                <w:szCs w:val="24"/>
              </w:rPr>
              <w:t>ICAN</w:t>
            </w:r>
            <w:proofErr w:type="spellEnd"/>
            <w:r w:rsidRPr="007E67C5">
              <w:rPr>
                <w:b/>
                <w:szCs w:val="24"/>
              </w:rPr>
              <w:t>)</w:t>
            </w:r>
          </w:p>
          <w:p w:rsidR="006B08DB" w:rsidRDefault="006B08DB" w:rsidP="00B928E0">
            <w:pPr>
              <w:rPr>
                <w:rFonts w:ascii="Calibri" w:hAnsi="Calibri" w:cs="Calibri"/>
                <w:szCs w:val="22"/>
              </w:rPr>
            </w:pPr>
            <w:r w:rsidRPr="007E67C5">
              <w:rPr>
                <w:rFonts w:ascii="Calibri" w:hAnsi="Calibri" w:cs="Calibri"/>
                <w:szCs w:val="22"/>
              </w:rPr>
              <w:t>The Innovative Community Action Networks (</w:t>
            </w:r>
            <w:proofErr w:type="spellStart"/>
            <w:r w:rsidRPr="007E67C5">
              <w:rPr>
                <w:rFonts w:ascii="Calibri" w:hAnsi="Calibri" w:cs="Calibri"/>
                <w:szCs w:val="22"/>
              </w:rPr>
              <w:t>ICAN</w:t>
            </w:r>
            <w:proofErr w:type="spellEnd"/>
            <w:r w:rsidRPr="007E67C5">
              <w:rPr>
                <w:rFonts w:ascii="Calibri" w:hAnsi="Calibri" w:cs="Calibri"/>
                <w:szCs w:val="22"/>
              </w:rPr>
              <w:t>) school and community partnership model provides support for the most vulnerable and disengaged children and young people aged between 10 and 19</w:t>
            </w:r>
            <w:r w:rsidRPr="007E67C5">
              <w:rPr>
                <w:rFonts w:ascii="Calibri" w:hAnsi="Calibri" w:cs="Calibri"/>
                <w:szCs w:val="22"/>
                <w:vertAlign w:val="superscript"/>
              </w:rPr>
              <w:footnoteReference w:id="1"/>
            </w:r>
            <w:r w:rsidRPr="007E67C5">
              <w:rPr>
                <w:rFonts w:ascii="Calibri" w:hAnsi="Calibri" w:cs="Calibri"/>
                <w:szCs w:val="22"/>
              </w:rPr>
              <w:t xml:space="preserve">.  This includes those children and young people who have disengaged from school due to multiple personal and family complexities that require additional support beyond that which the traditional classroom teaching staff can offer. Through an Innovative enrolment strategy known as Flexible Learning Option (FLO), </w:t>
            </w:r>
            <w:proofErr w:type="spellStart"/>
            <w:r w:rsidRPr="007E67C5">
              <w:rPr>
                <w:rFonts w:ascii="Calibri" w:hAnsi="Calibri" w:cs="Calibri"/>
                <w:szCs w:val="22"/>
              </w:rPr>
              <w:t>ICAN</w:t>
            </w:r>
            <w:proofErr w:type="spellEnd"/>
            <w:r w:rsidRPr="007E67C5">
              <w:rPr>
                <w:rFonts w:ascii="Calibri" w:hAnsi="Calibri" w:cs="Calibri"/>
                <w:szCs w:val="22"/>
              </w:rPr>
              <w:t xml:space="preserve">-supported students are provided with a personal case management service from a trained youth worker or social worker, who can work with the student and family to address significant barriers that have led to disengaging from school.  </w:t>
            </w:r>
          </w:p>
          <w:p w:rsidR="00E709D5" w:rsidRPr="007E67C5" w:rsidRDefault="00E709D5" w:rsidP="00B928E0">
            <w:pPr>
              <w:rPr>
                <w:rFonts w:ascii="Calibri" w:hAnsi="Calibri" w:cs="Calibri"/>
                <w:szCs w:val="22"/>
              </w:rPr>
            </w:pPr>
          </w:p>
          <w:p w:rsidR="006B08DB" w:rsidRPr="007E67C5" w:rsidRDefault="006B08DB" w:rsidP="00B928E0">
            <w:pPr>
              <w:rPr>
                <w:rFonts w:ascii="Calibri" w:hAnsi="Calibri" w:cs="Calibri"/>
                <w:szCs w:val="22"/>
              </w:rPr>
            </w:pPr>
            <w:r w:rsidRPr="007E67C5">
              <w:rPr>
                <w:rFonts w:ascii="Calibri" w:hAnsi="Calibri" w:cs="Calibri"/>
                <w:szCs w:val="22"/>
              </w:rPr>
              <w:t xml:space="preserve">There are three key student cohorts targeted for support through the </w:t>
            </w:r>
            <w:proofErr w:type="spellStart"/>
            <w:r w:rsidRPr="007E67C5">
              <w:rPr>
                <w:rFonts w:ascii="Calibri" w:hAnsi="Calibri" w:cs="Calibri"/>
                <w:szCs w:val="22"/>
              </w:rPr>
              <w:t>ICAN</w:t>
            </w:r>
            <w:proofErr w:type="spellEnd"/>
            <w:r w:rsidRPr="007E67C5">
              <w:rPr>
                <w:rFonts w:ascii="Calibri" w:hAnsi="Calibri" w:cs="Calibri"/>
                <w:szCs w:val="22"/>
              </w:rPr>
              <w:t xml:space="preserve"> strategy</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 xml:space="preserve">Support to predominantly senior secondary students who have or are highly at risk of disengagement </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Support to vulnerable primary school students and their families predominantly in Years 6 and 7 with complex needs and multiple barriers to participation</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Support to students in years 6-8 to ensure they successfully transition to senior secondary school– a known risk for disengagement.</w:t>
            </w:r>
          </w:p>
          <w:p w:rsidR="006B08DB" w:rsidRDefault="006B08DB" w:rsidP="00B928E0">
            <w:pPr>
              <w:rPr>
                <w:rFonts w:ascii="Calibri" w:eastAsia="Calibri" w:hAnsi="Calibri" w:cs="Calibri"/>
                <w:szCs w:val="22"/>
              </w:rPr>
            </w:pPr>
            <w:r w:rsidRPr="007E67C5">
              <w:rPr>
                <w:rFonts w:ascii="Calibri" w:eastAsia="Calibri" w:hAnsi="Calibri" w:cs="Calibri"/>
                <w:szCs w:val="22"/>
              </w:rPr>
              <w:t>Innovative Community Action Networks (</w:t>
            </w:r>
            <w:proofErr w:type="spellStart"/>
            <w:r w:rsidRPr="007E67C5">
              <w:rPr>
                <w:rFonts w:ascii="Calibri" w:eastAsia="Calibri" w:hAnsi="Calibri" w:cs="Calibri"/>
                <w:szCs w:val="22"/>
              </w:rPr>
              <w:t>ICAN</w:t>
            </w:r>
            <w:proofErr w:type="spellEnd"/>
            <w:r w:rsidRPr="007E67C5">
              <w:rPr>
                <w:rFonts w:ascii="Calibri" w:eastAsia="Calibri" w:hAnsi="Calibri" w:cs="Calibri"/>
                <w:szCs w:val="22"/>
              </w:rPr>
              <w:t xml:space="preserve">) provides significant support for Aboriginal and Torres Strait Islander and other disadvantaged students. Please refer to </w:t>
            </w:r>
            <w:r w:rsidRPr="007E67C5">
              <w:rPr>
                <w:rFonts w:ascii="Calibri" w:eastAsia="Calibri" w:hAnsi="Calibri" w:cs="Calibri"/>
                <w:i/>
                <w:szCs w:val="22"/>
              </w:rPr>
              <w:t xml:space="preserve">Support for other disadvantaged student cohorts – 1 January to 30 June 2013 </w:t>
            </w:r>
            <w:r w:rsidRPr="007E67C5">
              <w:rPr>
                <w:rFonts w:ascii="Calibri" w:eastAsia="Calibri" w:hAnsi="Calibri" w:cs="Calibri"/>
                <w:szCs w:val="22"/>
              </w:rPr>
              <w:t>for further information.</w:t>
            </w:r>
          </w:p>
          <w:p w:rsidR="00E709D5" w:rsidRPr="007E67C5" w:rsidRDefault="00E709D5" w:rsidP="00B928E0">
            <w:pPr>
              <w:rPr>
                <w:rFonts w:ascii="Calibri" w:eastAsia="Calibri" w:hAnsi="Calibri" w:cs="Calibri"/>
                <w:szCs w:val="22"/>
              </w:rPr>
            </w:pPr>
          </w:p>
          <w:p w:rsidR="006B08DB" w:rsidRPr="007E67C5" w:rsidRDefault="006B08DB" w:rsidP="00B928E0">
            <w:pPr>
              <w:rPr>
                <w:rFonts w:ascii="Calibri" w:hAnsi="Calibri" w:cs="Calibri"/>
                <w:b/>
                <w:szCs w:val="24"/>
              </w:rPr>
            </w:pPr>
            <w:proofErr w:type="spellStart"/>
            <w:r w:rsidRPr="007E67C5">
              <w:rPr>
                <w:rFonts w:ascii="Calibri" w:hAnsi="Calibri" w:cs="Calibri"/>
                <w:b/>
                <w:szCs w:val="24"/>
              </w:rPr>
              <w:t>ICAN</w:t>
            </w:r>
            <w:proofErr w:type="spellEnd"/>
            <w:r w:rsidRPr="007E67C5">
              <w:rPr>
                <w:rFonts w:ascii="Calibri" w:hAnsi="Calibri" w:cs="Calibri"/>
                <w:b/>
                <w:szCs w:val="24"/>
              </w:rPr>
              <w:t xml:space="preserve"> students Semester 1, 2013</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 xml:space="preserve">Flexible Learning Option (FLO) enrolments—4744 individual students across all </w:t>
            </w:r>
            <w:proofErr w:type="spellStart"/>
            <w:r w:rsidRPr="00E709D5">
              <w:rPr>
                <w:rFonts w:cstheme="minorHAnsi"/>
              </w:rPr>
              <w:t>ICAN</w:t>
            </w:r>
            <w:proofErr w:type="spellEnd"/>
            <w:r w:rsidRPr="00E709D5">
              <w:rPr>
                <w:rFonts w:cstheme="minorHAnsi"/>
              </w:rPr>
              <w:t xml:space="preserve"> areas are enrolled as FLO students in </w:t>
            </w:r>
            <w:proofErr w:type="spellStart"/>
            <w:r w:rsidRPr="00E709D5">
              <w:rPr>
                <w:rFonts w:cstheme="minorHAnsi"/>
              </w:rPr>
              <w:t>ICAN</w:t>
            </w:r>
            <w:proofErr w:type="spellEnd"/>
            <w:r w:rsidRPr="00E709D5">
              <w:rPr>
                <w:rFonts w:cstheme="minorHAnsi"/>
              </w:rPr>
              <w:t xml:space="preserve"> schools</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358 primary school FLO enrolled students were supported with case management services</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In addition, a further 243 Year 7 primary school students were provided case management services to strengthen support for a successful student transition into Year 8 secondary school</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lastRenderedPageBreak/>
              <w:t>$</w:t>
            </w:r>
            <w:proofErr w:type="spellStart"/>
            <w:r w:rsidRPr="00E709D5">
              <w:rPr>
                <w:rFonts w:cstheme="minorHAnsi"/>
              </w:rPr>
              <w:t>2.5M</w:t>
            </w:r>
            <w:proofErr w:type="spellEnd"/>
            <w:r w:rsidRPr="00E709D5">
              <w:rPr>
                <w:rFonts w:cstheme="minorHAnsi"/>
              </w:rPr>
              <w:t xml:space="preserve"> has been allocated to provide </w:t>
            </w:r>
            <w:proofErr w:type="spellStart"/>
            <w:r w:rsidRPr="00E709D5">
              <w:rPr>
                <w:rFonts w:cstheme="minorHAnsi"/>
              </w:rPr>
              <w:t>ICAN</w:t>
            </w:r>
            <w:proofErr w:type="spellEnd"/>
            <w:r w:rsidRPr="00E709D5">
              <w:rPr>
                <w:rFonts w:cstheme="minorHAnsi"/>
              </w:rPr>
              <w:t xml:space="preserve"> case management supplements to identify ‘at significant risk’ students in </w:t>
            </w:r>
            <w:proofErr w:type="spellStart"/>
            <w:r w:rsidRPr="00E709D5">
              <w:rPr>
                <w:rFonts w:cstheme="minorHAnsi"/>
              </w:rPr>
              <w:t>CMaD</w:t>
            </w:r>
            <w:proofErr w:type="spellEnd"/>
            <w:r w:rsidRPr="00E709D5">
              <w:rPr>
                <w:rFonts w:cstheme="minorHAnsi"/>
              </w:rPr>
              <w:t xml:space="preserve"> NP schools. A professional case manager was engaged to work with students, families and teachers to address barriers to learning for the 2013 school year</w:t>
            </w:r>
          </w:p>
          <w:p w:rsidR="006B08DB" w:rsidRPr="007E67C5" w:rsidRDefault="006B08DB" w:rsidP="00AE6D45">
            <w:pPr>
              <w:pStyle w:val="ListParagraph"/>
              <w:numPr>
                <w:ilvl w:val="0"/>
                <w:numId w:val="7"/>
              </w:numPr>
              <w:tabs>
                <w:tab w:val="clear" w:pos="720"/>
                <w:tab w:val="num" w:pos="1134"/>
              </w:tabs>
              <w:ind w:left="1134" w:hanging="425"/>
              <w:rPr>
                <w:rFonts w:cs="Calibri"/>
              </w:rPr>
            </w:pPr>
            <w:r w:rsidRPr="00E709D5">
              <w:rPr>
                <w:rFonts w:cstheme="minorHAnsi"/>
              </w:rPr>
              <w:t xml:space="preserve">During the 2012-13 financial year, </w:t>
            </w:r>
            <w:proofErr w:type="spellStart"/>
            <w:r w:rsidRPr="00E709D5">
              <w:rPr>
                <w:rFonts w:cstheme="minorHAnsi"/>
              </w:rPr>
              <w:t>ICAN</w:t>
            </w:r>
            <w:proofErr w:type="spellEnd"/>
            <w:r w:rsidRPr="00E709D5">
              <w:rPr>
                <w:rFonts w:cstheme="minorHAnsi"/>
              </w:rPr>
              <w:t xml:space="preserve"> community partnership grants supported over 4 000 students across 73 initiatives for 13 local </w:t>
            </w:r>
            <w:proofErr w:type="spellStart"/>
            <w:r w:rsidRPr="00E709D5">
              <w:rPr>
                <w:rFonts w:cstheme="minorHAnsi"/>
              </w:rPr>
              <w:t>ICAN</w:t>
            </w:r>
            <w:proofErr w:type="spellEnd"/>
            <w:r w:rsidRPr="00E709D5">
              <w:rPr>
                <w:rFonts w:cstheme="minorHAnsi"/>
              </w:rPr>
              <w:t xml:space="preserve"> management committees. These committees use this grant funding to address local barriers through the school and community partnership model. The initiatives address</w:t>
            </w:r>
            <w:r w:rsidRPr="007E67C5">
              <w:rPr>
                <w:rFonts w:cs="Calibri"/>
              </w:rPr>
              <w:t xml:space="preserve"> local needs in key priority areas:</w:t>
            </w:r>
          </w:p>
          <w:p w:rsidR="006B08DB" w:rsidRPr="00E709D5" w:rsidRDefault="006B08DB" w:rsidP="00AE6D45">
            <w:pPr>
              <w:pStyle w:val="ListParagraph"/>
              <w:numPr>
                <w:ilvl w:val="1"/>
                <w:numId w:val="7"/>
              </w:numPr>
              <w:rPr>
                <w:rFonts w:cstheme="minorHAnsi"/>
              </w:rPr>
            </w:pPr>
            <w:r w:rsidRPr="00E709D5">
              <w:rPr>
                <w:rFonts w:cstheme="minorHAnsi"/>
              </w:rPr>
              <w:t>Social and emotional health and wellbeing</w:t>
            </w:r>
          </w:p>
          <w:p w:rsidR="006B08DB" w:rsidRPr="00E709D5" w:rsidRDefault="006B08DB" w:rsidP="00AE6D45">
            <w:pPr>
              <w:pStyle w:val="ListParagraph"/>
              <w:numPr>
                <w:ilvl w:val="1"/>
                <w:numId w:val="7"/>
              </w:numPr>
              <w:rPr>
                <w:rFonts w:cstheme="minorHAnsi"/>
              </w:rPr>
            </w:pPr>
            <w:r w:rsidRPr="00E709D5">
              <w:rPr>
                <w:rFonts w:cstheme="minorHAnsi"/>
              </w:rPr>
              <w:t>Community learning spaces</w:t>
            </w:r>
          </w:p>
          <w:p w:rsidR="006B08DB" w:rsidRPr="00E709D5" w:rsidRDefault="006B08DB" w:rsidP="00AE6D45">
            <w:pPr>
              <w:pStyle w:val="ListParagraph"/>
              <w:numPr>
                <w:ilvl w:val="1"/>
                <w:numId w:val="7"/>
              </w:numPr>
              <w:rPr>
                <w:rFonts w:cstheme="minorHAnsi"/>
              </w:rPr>
            </w:pPr>
            <w:r w:rsidRPr="00E709D5">
              <w:rPr>
                <w:rFonts w:cstheme="minorHAnsi"/>
              </w:rPr>
              <w:t>Aboriginal literacy and transition</w:t>
            </w:r>
          </w:p>
          <w:p w:rsidR="006B08DB" w:rsidRPr="00E709D5" w:rsidRDefault="006B08DB" w:rsidP="00AE6D45">
            <w:pPr>
              <w:pStyle w:val="ListParagraph"/>
              <w:numPr>
                <w:ilvl w:val="1"/>
                <w:numId w:val="7"/>
              </w:numPr>
              <w:rPr>
                <w:rFonts w:cstheme="minorHAnsi"/>
              </w:rPr>
            </w:pPr>
            <w:r w:rsidRPr="00E709D5">
              <w:rPr>
                <w:rFonts w:cstheme="minorHAnsi"/>
              </w:rPr>
              <w:t>Access to innovative programs</w:t>
            </w:r>
          </w:p>
          <w:p w:rsidR="006B08DB" w:rsidRPr="00E709D5" w:rsidRDefault="006B08DB" w:rsidP="00AE6D45">
            <w:pPr>
              <w:pStyle w:val="ListParagraph"/>
              <w:numPr>
                <w:ilvl w:val="1"/>
                <w:numId w:val="7"/>
              </w:numPr>
              <w:rPr>
                <w:rFonts w:cstheme="minorHAnsi"/>
              </w:rPr>
            </w:pPr>
            <w:r w:rsidRPr="00E709D5">
              <w:rPr>
                <w:rFonts w:cstheme="minorHAnsi"/>
              </w:rPr>
              <w:t>Transitions (to secondary and employment)</w:t>
            </w:r>
          </w:p>
          <w:p w:rsidR="006B08DB" w:rsidRPr="00E709D5" w:rsidRDefault="006B08DB" w:rsidP="00AE6D45">
            <w:pPr>
              <w:pStyle w:val="ListParagraph"/>
              <w:numPr>
                <w:ilvl w:val="1"/>
                <w:numId w:val="7"/>
              </w:numPr>
              <w:rPr>
                <w:rFonts w:cstheme="minorHAnsi"/>
              </w:rPr>
            </w:pPr>
            <w:r w:rsidRPr="00E709D5">
              <w:rPr>
                <w:rFonts w:cstheme="minorHAnsi"/>
              </w:rPr>
              <w:t>Community and regional leadership</w:t>
            </w:r>
          </w:p>
          <w:p w:rsidR="006B08DB" w:rsidRPr="00E709D5" w:rsidRDefault="006B08DB" w:rsidP="00AE6D45">
            <w:pPr>
              <w:pStyle w:val="ListParagraph"/>
              <w:numPr>
                <w:ilvl w:val="1"/>
                <w:numId w:val="7"/>
              </w:numPr>
              <w:rPr>
                <w:rFonts w:cstheme="minorHAnsi"/>
              </w:rPr>
            </w:pPr>
            <w:r w:rsidRPr="00E709D5">
              <w:rPr>
                <w:rFonts w:cstheme="minorHAnsi"/>
              </w:rPr>
              <w:t>Early intervention</w:t>
            </w:r>
          </w:p>
          <w:p w:rsidR="006B08DB" w:rsidRPr="00E709D5" w:rsidRDefault="006B08DB" w:rsidP="00AE6D45">
            <w:pPr>
              <w:pStyle w:val="ListParagraph"/>
              <w:numPr>
                <w:ilvl w:val="1"/>
                <w:numId w:val="7"/>
              </w:numPr>
              <w:rPr>
                <w:rFonts w:cstheme="minorHAnsi"/>
              </w:rPr>
            </w:pPr>
            <w:r w:rsidRPr="00E709D5">
              <w:rPr>
                <w:rFonts w:cstheme="minorHAnsi"/>
              </w:rPr>
              <w:t>Parents and family carer support.</w:t>
            </w:r>
          </w:p>
          <w:p w:rsidR="006B08DB" w:rsidRPr="007E67C5" w:rsidRDefault="006B08DB" w:rsidP="00B928E0">
            <w:pPr>
              <w:rPr>
                <w:rFonts w:ascii="Calibri" w:hAnsi="Calibri" w:cs="Calibri"/>
                <w:b/>
                <w:szCs w:val="24"/>
              </w:rPr>
            </w:pPr>
            <w:r w:rsidRPr="007E67C5">
              <w:rPr>
                <w:rFonts w:ascii="Calibri" w:hAnsi="Calibri" w:cs="Calibri"/>
                <w:b/>
                <w:szCs w:val="24"/>
              </w:rPr>
              <w:t>Cross-government partnerships</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 xml:space="preserve">In Term 1 2013, the </w:t>
            </w:r>
            <w:proofErr w:type="spellStart"/>
            <w:r w:rsidRPr="00E709D5">
              <w:rPr>
                <w:rFonts w:cstheme="minorHAnsi"/>
              </w:rPr>
              <w:t>ICAN</w:t>
            </w:r>
            <w:proofErr w:type="spellEnd"/>
            <w:r w:rsidRPr="00E709D5">
              <w:rPr>
                <w:rFonts w:cstheme="minorHAnsi"/>
              </w:rPr>
              <w:t xml:space="preserve"> (</w:t>
            </w:r>
            <w:proofErr w:type="spellStart"/>
            <w:r w:rsidRPr="00E709D5">
              <w:rPr>
                <w:rFonts w:cstheme="minorHAnsi"/>
              </w:rPr>
              <w:t>DECD</w:t>
            </w:r>
            <w:proofErr w:type="spellEnd"/>
            <w:r w:rsidRPr="00E709D5">
              <w:rPr>
                <w:rFonts w:cstheme="minorHAnsi"/>
              </w:rPr>
              <w:t>) and the Department of Further Education, Employment, Science and Technology (</w:t>
            </w:r>
            <w:proofErr w:type="spellStart"/>
            <w:r w:rsidRPr="00E709D5">
              <w:rPr>
                <w:rFonts w:cstheme="minorHAnsi"/>
              </w:rPr>
              <w:t>DFEEST</w:t>
            </w:r>
            <w:proofErr w:type="spellEnd"/>
            <w:r w:rsidRPr="00E709D5">
              <w:rPr>
                <w:rFonts w:cstheme="minorHAnsi"/>
              </w:rPr>
              <w:t xml:space="preserve">) Skills For all pilot initiative has seen over 200 FLO students across the State enrol in a range of accredited vocational pathways ranging from Certificate II to Diploma courses. </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This pilot addresses the equity issue of FLO students’ lack of accessibility to vocational learning opportunities, through the Skills for all initiative, due to eligibility criteria.</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 xml:space="preserve"> A compulsory requirement of this pilot is that every FLO student is provided with the support of an </w:t>
            </w:r>
            <w:proofErr w:type="spellStart"/>
            <w:r w:rsidRPr="00E709D5">
              <w:rPr>
                <w:rFonts w:cstheme="minorHAnsi"/>
              </w:rPr>
              <w:t>ICAN</w:t>
            </w:r>
            <w:proofErr w:type="spellEnd"/>
            <w:r w:rsidRPr="00E709D5">
              <w:rPr>
                <w:rFonts w:cstheme="minorHAnsi"/>
              </w:rPr>
              <w:t xml:space="preserve"> case manager in partnership with the school and the registered training organisation (</w:t>
            </w:r>
            <w:proofErr w:type="spellStart"/>
            <w:r w:rsidRPr="00E709D5">
              <w:rPr>
                <w:rFonts w:cstheme="minorHAnsi"/>
              </w:rPr>
              <w:t>RTO</w:t>
            </w:r>
            <w:proofErr w:type="spellEnd"/>
            <w:r w:rsidRPr="00E709D5">
              <w:rPr>
                <w:rFonts w:cstheme="minorHAnsi"/>
              </w:rPr>
              <w:t>) to ensure that the student is fully supported and engaged in their learning.</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 xml:space="preserve">This cross-government partnership has attracted approximately </w:t>
            </w:r>
            <w:proofErr w:type="spellStart"/>
            <w:r w:rsidRPr="00E709D5">
              <w:rPr>
                <w:rFonts w:cstheme="minorHAnsi"/>
              </w:rPr>
              <w:t>400K</w:t>
            </w:r>
            <w:proofErr w:type="spellEnd"/>
            <w:r w:rsidRPr="00E709D5">
              <w:rPr>
                <w:rFonts w:cstheme="minorHAnsi"/>
              </w:rPr>
              <w:t xml:space="preserve"> in additional learning entitlements for these 200 FLO students and, as at March 2013, has achieved a 90% retention rate.</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The final evaluation of this pilot will occur in term 3, 2013. The outcome of this evaluation is expected to:</w:t>
            </w:r>
          </w:p>
          <w:p w:rsidR="006B08DB" w:rsidRPr="00E709D5" w:rsidRDefault="006B08DB" w:rsidP="00AE6D45">
            <w:pPr>
              <w:pStyle w:val="ListParagraph"/>
              <w:numPr>
                <w:ilvl w:val="1"/>
                <w:numId w:val="7"/>
              </w:numPr>
              <w:tabs>
                <w:tab w:val="num" w:pos="1134"/>
              </w:tabs>
              <w:rPr>
                <w:rFonts w:cstheme="minorHAnsi"/>
              </w:rPr>
            </w:pPr>
            <w:r w:rsidRPr="00E709D5">
              <w:rPr>
                <w:rFonts w:cstheme="minorHAnsi"/>
              </w:rPr>
              <w:t xml:space="preserve">embed this pilot program within current </w:t>
            </w:r>
            <w:proofErr w:type="spellStart"/>
            <w:r w:rsidRPr="00E709D5">
              <w:rPr>
                <w:rFonts w:cstheme="minorHAnsi"/>
              </w:rPr>
              <w:t>DFEEST</w:t>
            </w:r>
            <w:proofErr w:type="spellEnd"/>
            <w:r w:rsidRPr="00E709D5">
              <w:rPr>
                <w:rFonts w:cstheme="minorHAnsi"/>
              </w:rPr>
              <w:t xml:space="preserve"> and </w:t>
            </w:r>
            <w:proofErr w:type="spellStart"/>
            <w:r w:rsidRPr="00E709D5">
              <w:rPr>
                <w:rFonts w:cstheme="minorHAnsi"/>
              </w:rPr>
              <w:t>DECD</w:t>
            </w:r>
            <w:proofErr w:type="spellEnd"/>
            <w:r w:rsidRPr="00E709D5">
              <w:rPr>
                <w:rFonts w:cstheme="minorHAnsi"/>
              </w:rPr>
              <w:t xml:space="preserve"> FLO policy as an ongoing opportunity for South Australian FLO students</w:t>
            </w:r>
          </w:p>
          <w:p w:rsidR="006B08DB" w:rsidRPr="00E709D5" w:rsidRDefault="006B08DB" w:rsidP="00AE6D45">
            <w:pPr>
              <w:pStyle w:val="ListParagraph"/>
              <w:numPr>
                <w:ilvl w:val="1"/>
                <w:numId w:val="7"/>
              </w:numPr>
              <w:tabs>
                <w:tab w:val="num" w:pos="1134"/>
              </w:tabs>
              <w:rPr>
                <w:rFonts w:cstheme="minorHAnsi"/>
              </w:rPr>
            </w:pPr>
            <w:proofErr w:type="gramStart"/>
            <w:r w:rsidRPr="00E709D5">
              <w:rPr>
                <w:rFonts w:cstheme="minorHAnsi"/>
              </w:rPr>
              <w:t>provide</w:t>
            </w:r>
            <w:proofErr w:type="gramEnd"/>
            <w:r w:rsidRPr="00E709D5">
              <w:rPr>
                <w:rFonts w:cstheme="minorHAnsi"/>
              </w:rPr>
              <w:t xml:space="preserve"> best practice recommendations for all stakeholders.</w:t>
            </w:r>
          </w:p>
          <w:p w:rsidR="006B08DB" w:rsidRPr="007E67C5" w:rsidRDefault="006B08DB" w:rsidP="00B928E0">
            <w:pPr>
              <w:rPr>
                <w:rFonts w:ascii="Calibri" w:hAnsi="Calibri" w:cs="Calibri"/>
                <w:b/>
                <w:szCs w:val="24"/>
              </w:rPr>
            </w:pPr>
            <w:r w:rsidRPr="007E67C5">
              <w:rPr>
                <w:rFonts w:ascii="Calibri" w:hAnsi="Calibri" w:cs="Calibri"/>
                <w:b/>
                <w:szCs w:val="24"/>
              </w:rPr>
              <w:t>Community flexible learning coordinators</w:t>
            </w:r>
          </w:p>
          <w:p w:rsidR="006B08DB" w:rsidRDefault="006B08DB" w:rsidP="00B928E0">
            <w:pPr>
              <w:rPr>
                <w:rFonts w:ascii="Calibri" w:hAnsi="Calibri" w:cs="Calibri"/>
                <w:szCs w:val="22"/>
              </w:rPr>
            </w:pPr>
            <w:r w:rsidRPr="007E67C5">
              <w:rPr>
                <w:rFonts w:ascii="Calibri" w:hAnsi="Calibri" w:cs="Calibri"/>
                <w:szCs w:val="22"/>
              </w:rPr>
              <w:t xml:space="preserve">Since the beginning of 2013, 12 FTE community flexible learning coordinator positions have been created in nominated lead schools, working with clusters of </w:t>
            </w:r>
            <w:proofErr w:type="spellStart"/>
            <w:r w:rsidRPr="007E67C5">
              <w:rPr>
                <w:rFonts w:ascii="Calibri" w:hAnsi="Calibri" w:cs="Calibri"/>
                <w:szCs w:val="22"/>
              </w:rPr>
              <w:t>CMaD</w:t>
            </w:r>
            <w:proofErr w:type="spellEnd"/>
            <w:r w:rsidRPr="007E67C5">
              <w:rPr>
                <w:rFonts w:ascii="Calibri" w:hAnsi="Calibri" w:cs="Calibri"/>
                <w:szCs w:val="22"/>
              </w:rPr>
              <w:t xml:space="preserve"> National Partnerships schools. These positions are predominantly school-based and were developed to ensure a smooth transition process whereby, in 2014, the clusters of </w:t>
            </w:r>
            <w:proofErr w:type="spellStart"/>
            <w:r w:rsidRPr="007E67C5">
              <w:rPr>
                <w:rFonts w:ascii="Calibri" w:hAnsi="Calibri" w:cs="Calibri"/>
                <w:szCs w:val="22"/>
              </w:rPr>
              <w:t>CMaD</w:t>
            </w:r>
            <w:proofErr w:type="spellEnd"/>
            <w:r w:rsidRPr="007E67C5">
              <w:rPr>
                <w:rFonts w:ascii="Calibri" w:hAnsi="Calibri" w:cs="Calibri"/>
                <w:szCs w:val="22"/>
              </w:rPr>
              <w:t xml:space="preserve"> National Partnerships schools would be able to sustain implementation responsibility for the quality, tracking and monitoring of community based learning offered to FLO students.    </w:t>
            </w:r>
          </w:p>
          <w:p w:rsidR="00E709D5" w:rsidRPr="007E67C5" w:rsidRDefault="00E709D5" w:rsidP="00B928E0">
            <w:pPr>
              <w:rPr>
                <w:rFonts w:ascii="Calibri" w:hAnsi="Calibri" w:cs="Calibri"/>
                <w:szCs w:val="22"/>
              </w:rPr>
            </w:pPr>
          </w:p>
          <w:p w:rsidR="006B08DB" w:rsidRPr="007E67C5" w:rsidRDefault="006B08DB" w:rsidP="00B928E0">
            <w:pPr>
              <w:rPr>
                <w:rFonts w:ascii="Calibri" w:hAnsi="Calibri" w:cs="Calibri"/>
                <w:szCs w:val="22"/>
              </w:rPr>
            </w:pPr>
            <w:r w:rsidRPr="007E67C5">
              <w:rPr>
                <w:rFonts w:ascii="Calibri" w:hAnsi="Calibri" w:cs="Calibri"/>
                <w:szCs w:val="22"/>
              </w:rPr>
              <w:t>The role of the community flexible learning coordinator is to:</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promote and support improved learning outcomes for all groups of FLO learners, specifically those young people that have disengaged from mainstream schooling and are engaged in a community space ensuring that site based systems and processes are embedded for the monitoring and reporting of student’s attendance and engagement</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working collaboratively with and across identified school clusters and stakeholders providing educational leadership for current and new flexible learning options and pathways including the development of a plan for a self-sustaining cluster based leadership position</w:t>
            </w:r>
          </w:p>
          <w:p w:rsidR="006B08DB" w:rsidRPr="00E709D5" w:rsidRDefault="006B08DB" w:rsidP="00AE6D45">
            <w:pPr>
              <w:pStyle w:val="ListParagraph"/>
              <w:numPr>
                <w:ilvl w:val="0"/>
                <w:numId w:val="7"/>
              </w:numPr>
              <w:tabs>
                <w:tab w:val="clear" w:pos="720"/>
                <w:tab w:val="num" w:pos="1134"/>
              </w:tabs>
              <w:ind w:left="1134" w:hanging="425"/>
              <w:rPr>
                <w:rFonts w:cstheme="minorHAnsi"/>
              </w:rPr>
            </w:pPr>
            <w:proofErr w:type="gramStart"/>
            <w:r w:rsidRPr="00E709D5">
              <w:rPr>
                <w:rFonts w:cstheme="minorHAnsi"/>
              </w:rPr>
              <w:t>ensure</w:t>
            </w:r>
            <w:proofErr w:type="gramEnd"/>
            <w:r w:rsidRPr="00E709D5">
              <w:rPr>
                <w:rFonts w:cstheme="minorHAnsi"/>
              </w:rPr>
              <w:t xml:space="preserve"> that all FLO students have access to high quality; accredited community based </w:t>
            </w:r>
            <w:r w:rsidRPr="00E709D5">
              <w:rPr>
                <w:rFonts w:cstheme="minorHAnsi"/>
              </w:rPr>
              <w:lastRenderedPageBreak/>
              <w:t>learning programs and pathways including accurate and timely reporting of individual student educational outcomes.</w:t>
            </w:r>
          </w:p>
          <w:p w:rsidR="006B08DB" w:rsidRDefault="006B08DB" w:rsidP="00B928E0">
            <w:pPr>
              <w:rPr>
                <w:rFonts w:ascii="Calibri" w:hAnsi="Calibri" w:cs="Calibri"/>
                <w:szCs w:val="22"/>
              </w:rPr>
            </w:pPr>
            <w:r w:rsidRPr="007E67C5">
              <w:rPr>
                <w:rFonts w:ascii="Calibri" w:hAnsi="Calibri" w:cs="Calibri"/>
                <w:szCs w:val="22"/>
              </w:rPr>
              <w:t xml:space="preserve">This is primarily a demonstration model to trial the effectiveness of such positions in meeting the agreed outcomes. This strategy will be evaluated throughout 2013 with an interim report expected by the end of Term 3, 2013 and a final report being available to schools and other stakeholders early in 2014. </w:t>
            </w:r>
          </w:p>
          <w:p w:rsidR="00E709D5" w:rsidRPr="007E67C5" w:rsidRDefault="00E709D5" w:rsidP="00B928E0">
            <w:pPr>
              <w:rPr>
                <w:rFonts w:ascii="Calibri" w:hAnsi="Calibri" w:cs="Calibri"/>
                <w:szCs w:val="22"/>
              </w:rPr>
            </w:pPr>
          </w:p>
          <w:p w:rsidR="006B08DB" w:rsidRPr="007E67C5" w:rsidRDefault="006B08DB" w:rsidP="00B928E0">
            <w:pPr>
              <w:rPr>
                <w:rFonts w:ascii="Calibri" w:hAnsi="Calibri" w:cs="Calibri"/>
                <w:b/>
                <w:szCs w:val="24"/>
              </w:rPr>
            </w:pPr>
            <w:r w:rsidRPr="007E67C5">
              <w:rPr>
                <w:rFonts w:ascii="Calibri" w:hAnsi="Calibri" w:cs="Calibri"/>
                <w:b/>
                <w:szCs w:val="24"/>
              </w:rPr>
              <w:t>Learning resources</w:t>
            </w:r>
          </w:p>
          <w:p w:rsidR="006B08DB" w:rsidRPr="007E67C5" w:rsidRDefault="006B08DB" w:rsidP="00B928E0">
            <w:pPr>
              <w:rPr>
                <w:rFonts w:ascii="Calibri" w:hAnsi="Calibri" w:cs="Calibri"/>
                <w:szCs w:val="22"/>
              </w:rPr>
            </w:pPr>
            <w:r w:rsidRPr="007E67C5">
              <w:rPr>
                <w:rFonts w:ascii="Calibri" w:hAnsi="Calibri" w:cs="Calibri"/>
                <w:szCs w:val="22"/>
              </w:rPr>
              <w:t>Several resources have been developed specifically for the FLO cohort, to support the attainment of accredited learning outcomes and authentic learning pathways that focus on literacy, numeracy and employability skills. The resources include:</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 xml:space="preserve">the </w:t>
            </w:r>
            <w:r w:rsidRPr="00E709D5">
              <w:rPr>
                <w:rFonts w:cstheme="minorHAnsi"/>
                <w:i/>
              </w:rPr>
              <w:t>Flexible learning and transition portfolio</w:t>
            </w:r>
            <w:r w:rsidRPr="00E709D5">
              <w:rPr>
                <w:rFonts w:cstheme="minorHAnsi"/>
              </w:rPr>
              <w:t xml:space="preserve"> – which supports the case management process to identify barriers to engagement and assist young people to re-engage with learning and transition to further education, training or employment</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 xml:space="preserve">the </w:t>
            </w:r>
            <w:r w:rsidRPr="00E709D5">
              <w:rPr>
                <w:rFonts w:cstheme="minorHAnsi"/>
                <w:i/>
              </w:rPr>
              <w:t>Certificate I and II Education and Skills Development resource</w:t>
            </w:r>
            <w:r w:rsidRPr="00E709D5">
              <w:rPr>
                <w:rFonts w:cstheme="minorHAnsi"/>
              </w:rPr>
              <w:t xml:space="preserve"> – which supports the delivery of nationally accredited vocational courses, that focus on the development of language, literacy and numeracy competencies in order to increase students’ opportunities for participation in employment, training and community life</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 xml:space="preserve">a range of literacy and numeracy resources, developed in consultation with the </w:t>
            </w:r>
            <w:proofErr w:type="spellStart"/>
            <w:r w:rsidRPr="00E709D5">
              <w:rPr>
                <w:rFonts w:cstheme="minorHAnsi"/>
              </w:rPr>
              <w:t>SACE</w:t>
            </w:r>
            <w:proofErr w:type="spellEnd"/>
            <w:r w:rsidRPr="00E709D5">
              <w:rPr>
                <w:rFonts w:cstheme="minorHAnsi"/>
              </w:rPr>
              <w:t xml:space="preserve"> Board, ensures FLO students are able to access the South Australian Certificate of Education and maximise their opportunity to achieve the </w:t>
            </w:r>
            <w:proofErr w:type="spellStart"/>
            <w:r w:rsidRPr="00E709D5">
              <w:rPr>
                <w:rFonts w:cstheme="minorHAnsi"/>
              </w:rPr>
              <w:t>SACE</w:t>
            </w:r>
            <w:proofErr w:type="spellEnd"/>
            <w:r w:rsidRPr="00E709D5">
              <w:rPr>
                <w:rFonts w:cstheme="minorHAnsi"/>
              </w:rPr>
              <w:t xml:space="preserve"> qualification. </w:t>
            </w:r>
          </w:p>
          <w:p w:rsidR="006B08DB" w:rsidRDefault="006B08DB" w:rsidP="00B928E0">
            <w:pPr>
              <w:rPr>
                <w:rFonts w:ascii="Calibri" w:hAnsi="Calibri" w:cs="Calibri"/>
                <w:szCs w:val="22"/>
              </w:rPr>
            </w:pPr>
            <w:r w:rsidRPr="007E67C5">
              <w:rPr>
                <w:rFonts w:ascii="Calibri" w:hAnsi="Calibri" w:cs="Calibri"/>
                <w:szCs w:val="22"/>
              </w:rPr>
              <w:t>These resources are having a much broader application, with many schools and other state and interstate agencies using these resources with non-FLO students.</w:t>
            </w:r>
          </w:p>
          <w:p w:rsidR="00E709D5" w:rsidRPr="007E67C5" w:rsidRDefault="00E709D5" w:rsidP="00B928E0">
            <w:pPr>
              <w:rPr>
                <w:rFonts w:ascii="Calibri" w:hAnsi="Calibri" w:cs="Calibri"/>
                <w:szCs w:val="22"/>
              </w:rPr>
            </w:pPr>
          </w:p>
          <w:p w:rsidR="006B08DB" w:rsidRPr="007E67C5" w:rsidRDefault="006B08DB" w:rsidP="00B928E0">
            <w:pPr>
              <w:rPr>
                <w:rFonts w:ascii="Calibri" w:hAnsi="Calibri" w:cs="Calibri"/>
                <w:b/>
                <w:szCs w:val="22"/>
              </w:rPr>
            </w:pPr>
            <w:r w:rsidRPr="007E67C5">
              <w:rPr>
                <w:rFonts w:ascii="Calibri" w:hAnsi="Calibri" w:cs="Calibri"/>
                <w:b/>
                <w:szCs w:val="22"/>
              </w:rPr>
              <w:t>Evaluation</w:t>
            </w:r>
          </w:p>
          <w:p w:rsidR="006B08DB" w:rsidRPr="007E67C5" w:rsidRDefault="006B08DB" w:rsidP="00B928E0">
            <w:pPr>
              <w:rPr>
                <w:rFonts w:ascii="Calibri" w:hAnsi="Calibri" w:cs="Calibri"/>
                <w:szCs w:val="22"/>
              </w:rPr>
            </w:pPr>
            <w:r w:rsidRPr="007E67C5">
              <w:rPr>
                <w:rFonts w:ascii="Calibri" w:hAnsi="Calibri" w:cs="Calibri"/>
                <w:szCs w:val="22"/>
              </w:rPr>
              <w:t xml:space="preserve">In 2013, </w:t>
            </w:r>
            <w:proofErr w:type="spellStart"/>
            <w:r w:rsidRPr="007E67C5">
              <w:rPr>
                <w:rFonts w:ascii="Calibri" w:hAnsi="Calibri" w:cs="Calibri"/>
                <w:szCs w:val="22"/>
              </w:rPr>
              <w:t>ICAN</w:t>
            </w:r>
            <w:proofErr w:type="spellEnd"/>
            <w:r w:rsidRPr="007E67C5">
              <w:rPr>
                <w:rFonts w:ascii="Calibri" w:hAnsi="Calibri" w:cs="Calibri"/>
                <w:szCs w:val="22"/>
              </w:rPr>
              <w:t xml:space="preserve"> continued to have a positive impact on the wellbeing, as well as learning and earning outcomes for disengaged young people. An evaluation of </w:t>
            </w:r>
            <w:proofErr w:type="spellStart"/>
            <w:r w:rsidRPr="007E67C5">
              <w:rPr>
                <w:rFonts w:ascii="Calibri" w:hAnsi="Calibri" w:cs="Calibri"/>
                <w:szCs w:val="22"/>
              </w:rPr>
              <w:t>ICAN</w:t>
            </w:r>
            <w:proofErr w:type="spellEnd"/>
            <w:r w:rsidRPr="007E67C5">
              <w:rPr>
                <w:rFonts w:ascii="Calibri" w:hAnsi="Calibri" w:cs="Calibri"/>
                <w:szCs w:val="22"/>
              </w:rPr>
              <w:t xml:space="preserve"> by </w:t>
            </w:r>
            <w:proofErr w:type="spellStart"/>
            <w:r w:rsidRPr="007E67C5">
              <w:rPr>
                <w:rFonts w:ascii="Calibri" w:hAnsi="Calibri" w:cs="Calibri"/>
                <w:szCs w:val="22"/>
              </w:rPr>
              <w:t>ARTD</w:t>
            </w:r>
            <w:proofErr w:type="spellEnd"/>
            <w:r w:rsidRPr="007E67C5">
              <w:rPr>
                <w:rFonts w:ascii="Calibri" w:hAnsi="Calibri" w:cs="Calibri"/>
                <w:szCs w:val="22"/>
              </w:rPr>
              <w:t xml:space="preserve"> consultants confirmed these findings in a series of interviews, surveys and case studies. Reports so far have shown that:</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 xml:space="preserve">92% of school FLO coordinators believe that </w:t>
            </w:r>
            <w:proofErr w:type="spellStart"/>
            <w:r w:rsidRPr="00E709D5">
              <w:rPr>
                <w:rFonts w:cstheme="minorHAnsi"/>
              </w:rPr>
              <w:t>ICAN</w:t>
            </w:r>
            <w:proofErr w:type="spellEnd"/>
            <w:r w:rsidRPr="00E709D5">
              <w:rPr>
                <w:rFonts w:cstheme="minorHAnsi"/>
              </w:rPr>
              <w:t xml:space="preserve"> is having a positive impact on disengaged students</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 xml:space="preserve">91% of case managers were positive about the flexibility offered by </w:t>
            </w:r>
            <w:proofErr w:type="spellStart"/>
            <w:r w:rsidRPr="00E709D5">
              <w:rPr>
                <w:rFonts w:cstheme="minorHAnsi"/>
              </w:rPr>
              <w:t>ICAN</w:t>
            </w:r>
            <w:proofErr w:type="spellEnd"/>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 xml:space="preserve">93% of members of local community management committees believe that </w:t>
            </w:r>
            <w:proofErr w:type="spellStart"/>
            <w:r w:rsidRPr="00E709D5">
              <w:rPr>
                <w:rFonts w:cstheme="minorHAnsi"/>
              </w:rPr>
              <w:t>ICAN</w:t>
            </w:r>
            <w:proofErr w:type="spellEnd"/>
            <w:r w:rsidRPr="00E709D5">
              <w:rPr>
                <w:rFonts w:cstheme="minorHAnsi"/>
              </w:rPr>
              <w:t xml:space="preserve"> is having a positive impact on the local community providing better support for disengaged young people</w:t>
            </w:r>
          </w:p>
          <w:p w:rsidR="006B08DB" w:rsidRPr="00E709D5" w:rsidRDefault="006B08DB" w:rsidP="00AE6D45">
            <w:pPr>
              <w:pStyle w:val="ListParagraph"/>
              <w:numPr>
                <w:ilvl w:val="0"/>
                <w:numId w:val="7"/>
              </w:numPr>
              <w:tabs>
                <w:tab w:val="clear" w:pos="720"/>
                <w:tab w:val="num" w:pos="1134"/>
              </w:tabs>
              <w:ind w:left="1134" w:hanging="425"/>
              <w:rPr>
                <w:rFonts w:cstheme="minorHAnsi"/>
              </w:rPr>
            </w:pPr>
            <w:proofErr w:type="gramStart"/>
            <w:r w:rsidRPr="00E709D5">
              <w:rPr>
                <w:rFonts w:cstheme="minorHAnsi"/>
              </w:rPr>
              <w:t>development</w:t>
            </w:r>
            <w:proofErr w:type="gramEnd"/>
            <w:r w:rsidRPr="00E709D5">
              <w:rPr>
                <w:rFonts w:cstheme="minorHAnsi"/>
              </w:rPr>
              <w:t xml:space="preserve"> of accredited learning programs for FLO students is ongoing in order to meet the constantly evolving student need and interest.</w:t>
            </w:r>
          </w:p>
          <w:p w:rsidR="006B08DB" w:rsidRPr="007E67C5" w:rsidRDefault="006B08DB" w:rsidP="00B928E0">
            <w:pPr>
              <w:rPr>
                <w:rFonts w:ascii="Calibri" w:hAnsi="Calibri" w:cs="Calibri"/>
                <w:b/>
                <w:szCs w:val="22"/>
              </w:rPr>
            </w:pPr>
            <w:proofErr w:type="spellStart"/>
            <w:r w:rsidRPr="007E67C5">
              <w:rPr>
                <w:rFonts w:ascii="Calibri" w:hAnsi="Calibri" w:cs="Calibri"/>
                <w:b/>
                <w:szCs w:val="22"/>
              </w:rPr>
              <w:t>ICAN</w:t>
            </w:r>
            <w:proofErr w:type="spellEnd"/>
            <w:r w:rsidRPr="007E67C5">
              <w:rPr>
                <w:rFonts w:ascii="Calibri" w:hAnsi="Calibri" w:cs="Calibri"/>
                <w:b/>
                <w:szCs w:val="22"/>
              </w:rPr>
              <w:t xml:space="preserve"> student outcomes from 2012</w:t>
            </w:r>
          </w:p>
          <w:tbl>
            <w:tblPr>
              <w:tblStyle w:val="LightList-Accent1"/>
              <w:tblW w:w="8135" w:type="dxa"/>
              <w:tblInd w:w="557" w:type="dxa"/>
              <w:tblLook w:val="04A0" w:firstRow="1" w:lastRow="0" w:firstColumn="1" w:lastColumn="0" w:noHBand="0" w:noVBand="1"/>
            </w:tblPr>
            <w:tblGrid>
              <w:gridCol w:w="6379"/>
              <w:gridCol w:w="1756"/>
            </w:tblGrid>
            <w:tr w:rsidR="006B08DB" w:rsidRPr="007E67C5" w:rsidTr="001B165D">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6379" w:type="dxa"/>
                  <w:tcBorders>
                    <w:top w:val="single" w:sz="8" w:space="0" w:color="4F81BD" w:themeColor="accent1"/>
                    <w:bottom w:val="single" w:sz="8" w:space="0" w:color="4F81BD" w:themeColor="accent1"/>
                  </w:tcBorders>
                  <w:shd w:val="clear" w:color="auto" w:fill="1F497D" w:themeFill="text2"/>
                </w:tcPr>
                <w:p w:rsidR="006B08DB" w:rsidRPr="007E67C5" w:rsidRDefault="006B08DB" w:rsidP="00B928E0">
                  <w:pPr>
                    <w:rPr>
                      <w:rFonts w:ascii="Calibri" w:eastAsia="Calibri" w:hAnsi="Calibri" w:cs="Calibri"/>
                      <w:szCs w:val="22"/>
                    </w:rPr>
                  </w:pPr>
                  <w:r w:rsidRPr="007E67C5">
                    <w:rPr>
                      <w:rFonts w:ascii="Calibri" w:eastAsia="Calibri" w:hAnsi="Calibri" w:cs="Calibri"/>
                      <w:szCs w:val="22"/>
                    </w:rPr>
                    <w:t>FLO students completion in 2012 *</w:t>
                  </w:r>
                </w:p>
              </w:tc>
              <w:tc>
                <w:tcPr>
                  <w:tcW w:w="1756" w:type="dxa"/>
                  <w:tcBorders>
                    <w:top w:val="single" w:sz="8" w:space="0" w:color="4F81BD" w:themeColor="accent1"/>
                    <w:bottom w:val="single" w:sz="8" w:space="0" w:color="4F81BD" w:themeColor="accent1"/>
                  </w:tcBorders>
                  <w:shd w:val="clear" w:color="auto" w:fill="1F497D" w:themeFill="text2"/>
                </w:tcPr>
                <w:p w:rsidR="006B08DB" w:rsidRPr="007E67C5" w:rsidRDefault="006B08DB" w:rsidP="00B928E0">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Cs w:val="22"/>
                    </w:rPr>
                  </w:pPr>
                  <w:r w:rsidRPr="007E67C5">
                    <w:rPr>
                      <w:rFonts w:ascii="Calibri" w:eastAsia="Calibri" w:hAnsi="Calibri" w:cs="Calibri"/>
                      <w:szCs w:val="22"/>
                    </w:rPr>
                    <w:t xml:space="preserve">% of students </w:t>
                  </w:r>
                </w:p>
              </w:tc>
            </w:tr>
            <w:tr w:rsidR="006B08DB" w:rsidRPr="007E67C5" w:rsidTr="001B16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9" w:type="dxa"/>
                </w:tcPr>
                <w:p w:rsidR="006B08DB" w:rsidRPr="007E67C5" w:rsidRDefault="006B08DB" w:rsidP="00B928E0">
                  <w:pPr>
                    <w:rPr>
                      <w:rFonts w:ascii="Calibri" w:eastAsia="Calibri" w:hAnsi="Calibri" w:cs="Calibri"/>
                      <w:szCs w:val="22"/>
                    </w:rPr>
                  </w:pPr>
                  <w:r w:rsidRPr="007E67C5">
                    <w:rPr>
                      <w:rFonts w:ascii="Calibri" w:eastAsia="Calibri" w:hAnsi="Calibri" w:cs="Calibri"/>
                      <w:szCs w:val="22"/>
                    </w:rPr>
                    <w:t>Completed or partially completed a VET Certificate 1</w:t>
                  </w:r>
                </w:p>
              </w:tc>
              <w:tc>
                <w:tcPr>
                  <w:tcW w:w="1756" w:type="dxa"/>
                </w:tcPr>
                <w:p w:rsidR="006B08DB" w:rsidRPr="007E67C5" w:rsidRDefault="006B08DB" w:rsidP="00B928E0">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2"/>
                    </w:rPr>
                  </w:pPr>
                  <w:r w:rsidRPr="007E67C5">
                    <w:rPr>
                      <w:rFonts w:ascii="Calibri" w:eastAsia="Calibri" w:hAnsi="Calibri" w:cs="Calibri"/>
                      <w:szCs w:val="22"/>
                    </w:rPr>
                    <w:t>19%</w:t>
                  </w:r>
                </w:p>
              </w:tc>
            </w:tr>
            <w:tr w:rsidR="006B08DB" w:rsidRPr="007E67C5" w:rsidTr="001B165D">
              <w:tc>
                <w:tcPr>
                  <w:cnfStyle w:val="001000000000" w:firstRow="0" w:lastRow="0" w:firstColumn="1" w:lastColumn="0" w:oddVBand="0" w:evenVBand="0" w:oddHBand="0" w:evenHBand="0" w:firstRowFirstColumn="0" w:firstRowLastColumn="0" w:lastRowFirstColumn="0" w:lastRowLastColumn="0"/>
                  <w:tcW w:w="6379" w:type="dxa"/>
                </w:tcPr>
                <w:p w:rsidR="006B08DB" w:rsidRPr="007E67C5" w:rsidRDefault="006B08DB" w:rsidP="00B928E0">
                  <w:pPr>
                    <w:rPr>
                      <w:rFonts w:ascii="Calibri" w:eastAsia="Calibri" w:hAnsi="Calibri" w:cs="Calibri"/>
                      <w:szCs w:val="22"/>
                    </w:rPr>
                  </w:pPr>
                  <w:r w:rsidRPr="007E67C5">
                    <w:rPr>
                      <w:rFonts w:ascii="Calibri" w:eastAsia="Calibri" w:hAnsi="Calibri" w:cs="Calibri"/>
                      <w:szCs w:val="22"/>
                    </w:rPr>
                    <w:t>Completed or partially completed a VET Certificate 2</w:t>
                  </w:r>
                </w:p>
              </w:tc>
              <w:tc>
                <w:tcPr>
                  <w:tcW w:w="1756" w:type="dxa"/>
                </w:tcPr>
                <w:p w:rsidR="006B08DB" w:rsidRPr="007E67C5" w:rsidRDefault="006B08DB" w:rsidP="00B928E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7E67C5">
                    <w:rPr>
                      <w:rFonts w:ascii="Calibri" w:eastAsia="Calibri" w:hAnsi="Calibri" w:cs="Calibri"/>
                      <w:szCs w:val="22"/>
                    </w:rPr>
                    <w:t>20%</w:t>
                  </w:r>
                </w:p>
              </w:tc>
            </w:tr>
            <w:tr w:rsidR="006B08DB" w:rsidRPr="007E67C5" w:rsidTr="001B16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9" w:type="dxa"/>
                </w:tcPr>
                <w:p w:rsidR="006B08DB" w:rsidRPr="007E67C5" w:rsidRDefault="006B08DB" w:rsidP="00B928E0">
                  <w:pPr>
                    <w:rPr>
                      <w:rFonts w:ascii="Calibri" w:eastAsia="Calibri" w:hAnsi="Calibri" w:cs="Calibri"/>
                      <w:szCs w:val="22"/>
                    </w:rPr>
                  </w:pPr>
                  <w:r w:rsidRPr="007E67C5">
                    <w:rPr>
                      <w:rFonts w:ascii="Calibri" w:eastAsia="Calibri" w:hAnsi="Calibri" w:cs="Calibri"/>
                      <w:szCs w:val="22"/>
                    </w:rPr>
                    <w:t>Completed or partially completed a VET Certificate 3</w:t>
                  </w:r>
                </w:p>
              </w:tc>
              <w:tc>
                <w:tcPr>
                  <w:tcW w:w="1756" w:type="dxa"/>
                </w:tcPr>
                <w:p w:rsidR="006B08DB" w:rsidRPr="007E67C5" w:rsidRDefault="006B08DB" w:rsidP="00B928E0">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2"/>
                    </w:rPr>
                  </w:pPr>
                  <w:r w:rsidRPr="007E67C5">
                    <w:rPr>
                      <w:rFonts w:ascii="Calibri" w:eastAsia="Calibri" w:hAnsi="Calibri" w:cs="Calibri"/>
                      <w:szCs w:val="22"/>
                    </w:rPr>
                    <w:t>8%</w:t>
                  </w:r>
                </w:p>
              </w:tc>
            </w:tr>
            <w:tr w:rsidR="006B08DB" w:rsidRPr="007E67C5" w:rsidTr="001B165D">
              <w:trPr>
                <w:trHeight w:val="399"/>
              </w:trPr>
              <w:tc>
                <w:tcPr>
                  <w:cnfStyle w:val="001000000000" w:firstRow="0" w:lastRow="0" w:firstColumn="1" w:lastColumn="0" w:oddVBand="0" w:evenVBand="0" w:oddHBand="0" w:evenHBand="0" w:firstRowFirstColumn="0" w:firstRowLastColumn="0" w:lastRowFirstColumn="0" w:lastRowLastColumn="0"/>
                  <w:tcW w:w="6379" w:type="dxa"/>
                </w:tcPr>
                <w:p w:rsidR="006B08DB" w:rsidRPr="007E67C5" w:rsidRDefault="006B08DB" w:rsidP="00B928E0">
                  <w:pPr>
                    <w:rPr>
                      <w:rFonts w:ascii="Calibri" w:eastAsia="Calibri" w:hAnsi="Calibri" w:cs="Calibri"/>
                      <w:szCs w:val="22"/>
                    </w:rPr>
                  </w:pPr>
                  <w:r w:rsidRPr="007E67C5">
                    <w:rPr>
                      <w:rFonts w:ascii="Calibri" w:eastAsia="Calibri" w:hAnsi="Calibri" w:cs="Calibri"/>
                      <w:szCs w:val="22"/>
                    </w:rPr>
                    <w:t xml:space="preserve">Completed or partially completed subjects at </w:t>
                  </w:r>
                  <w:proofErr w:type="spellStart"/>
                  <w:r w:rsidRPr="007E67C5">
                    <w:rPr>
                      <w:rFonts w:ascii="Calibri" w:eastAsia="Calibri" w:hAnsi="Calibri" w:cs="Calibri"/>
                      <w:szCs w:val="22"/>
                    </w:rPr>
                    <w:t>SACE</w:t>
                  </w:r>
                  <w:proofErr w:type="spellEnd"/>
                  <w:r w:rsidRPr="007E67C5">
                    <w:rPr>
                      <w:rFonts w:ascii="Calibri" w:eastAsia="Calibri" w:hAnsi="Calibri" w:cs="Calibri"/>
                      <w:szCs w:val="22"/>
                    </w:rPr>
                    <w:t xml:space="preserve"> Stage 1 Level</w:t>
                  </w:r>
                </w:p>
              </w:tc>
              <w:tc>
                <w:tcPr>
                  <w:tcW w:w="1756" w:type="dxa"/>
                </w:tcPr>
                <w:p w:rsidR="006B08DB" w:rsidRPr="007E67C5" w:rsidRDefault="006B08DB" w:rsidP="00B928E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7E67C5">
                    <w:rPr>
                      <w:rFonts w:ascii="Calibri" w:eastAsia="Calibri" w:hAnsi="Calibri" w:cs="Calibri"/>
                      <w:szCs w:val="22"/>
                    </w:rPr>
                    <w:t>30%</w:t>
                  </w:r>
                </w:p>
              </w:tc>
            </w:tr>
            <w:tr w:rsidR="006B08DB" w:rsidRPr="007E67C5" w:rsidTr="001B165D">
              <w:trPr>
                <w:cnfStyle w:val="000000100000" w:firstRow="0" w:lastRow="0" w:firstColumn="0" w:lastColumn="0" w:oddVBand="0" w:evenVBand="0" w:oddHBand="1"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6379" w:type="dxa"/>
                </w:tcPr>
                <w:p w:rsidR="006B08DB" w:rsidRPr="007E67C5" w:rsidRDefault="006B08DB" w:rsidP="00B928E0">
                  <w:pPr>
                    <w:rPr>
                      <w:rFonts w:ascii="Calibri" w:eastAsia="Calibri" w:hAnsi="Calibri" w:cs="Calibri"/>
                      <w:szCs w:val="22"/>
                    </w:rPr>
                  </w:pPr>
                  <w:r w:rsidRPr="007E67C5">
                    <w:rPr>
                      <w:rFonts w:ascii="Calibri" w:eastAsia="Calibri" w:hAnsi="Calibri" w:cs="Calibri"/>
                      <w:szCs w:val="22"/>
                    </w:rPr>
                    <w:t xml:space="preserve">Were post-compulsory aged who did not continue with a FLO enrolment in 2013 and completed </w:t>
                  </w:r>
                  <w:proofErr w:type="spellStart"/>
                  <w:r w:rsidRPr="007E67C5">
                    <w:rPr>
                      <w:rFonts w:ascii="Calibri" w:eastAsia="Calibri" w:hAnsi="Calibri" w:cs="Calibri"/>
                      <w:szCs w:val="22"/>
                    </w:rPr>
                    <w:t>SACE</w:t>
                  </w:r>
                  <w:proofErr w:type="spellEnd"/>
                  <w:r w:rsidRPr="007E67C5">
                    <w:rPr>
                      <w:rFonts w:ascii="Calibri" w:eastAsia="Calibri" w:hAnsi="Calibri" w:cs="Calibri"/>
                      <w:szCs w:val="22"/>
                    </w:rPr>
                    <w:t xml:space="preserve"> or Certificate II equivalent</w:t>
                  </w:r>
                </w:p>
              </w:tc>
              <w:tc>
                <w:tcPr>
                  <w:tcW w:w="1756" w:type="dxa"/>
                </w:tcPr>
                <w:p w:rsidR="006B08DB" w:rsidRPr="007E67C5" w:rsidRDefault="006B08DB" w:rsidP="00B928E0">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2"/>
                    </w:rPr>
                  </w:pPr>
                  <w:r w:rsidRPr="007E67C5">
                    <w:rPr>
                      <w:rFonts w:ascii="Calibri" w:eastAsia="Calibri" w:hAnsi="Calibri" w:cs="Calibri"/>
                      <w:szCs w:val="22"/>
                    </w:rPr>
                    <w:t>20%</w:t>
                  </w:r>
                </w:p>
              </w:tc>
            </w:tr>
          </w:tbl>
          <w:p w:rsidR="006B08DB" w:rsidRPr="007E67C5" w:rsidRDefault="006B08DB" w:rsidP="00B928E0">
            <w:pPr>
              <w:rPr>
                <w:rFonts w:ascii="Calibri" w:hAnsi="Calibri" w:cs="Calibri"/>
                <w:sz w:val="18"/>
              </w:rPr>
            </w:pPr>
            <w:r w:rsidRPr="007E67C5">
              <w:rPr>
                <w:rFonts w:ascii="Calibri" w:hAnsi="Calibri" w:cs="Calibri"/>
                <w:sz w:val="18"/>
              </w:rPr>
              <w:t>* Students may be included in multiple ‘student outcomes’ categories.</w:t>
            </w:r>
          </w:p>
          <w:p w:rsidR="00E709D5" w:rsidRDefault="00E709D5" w:rsidP="00B928E0">
            <w:pPr>
              <w:rPr>
                <w:rFonts w:ascii="Calibri" w:hAnsi="Calibri" w:cs="Calibri"/>
                <w:szCs w:val="22"/>
              </w:rPr>
            </w:pPr>
          </w:p>
          <w:p w:rsidR="006B08DB" w:rsidRPr="007E67C5" w:rsidRDefault="006B08DB" w:rsidP="00B928E0">
            <w:pPr>
              <w:rPr>
                <w:rFonts w:ascii="Calibri" w:hAnsi="Calibri" w:cs="Calibri"/>
                <w:szCs w:val="22"/>
              </w:rPr>
            </w:pPr>
            <w:r w:rsidRPr="007E67C5">
              <w:rPr>
                <w:rFonts w:ascii="Calibri" w:hAnsi="Calibri" w:cs="Calibri"/>
                <w:szCs w:val="22"/>
              </w:rPr>
              <w:t>Other student outcomes include the following:</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 xml:space="preserve">75.1% of the 5 115 </w:t>
            </w:r>
            <w:proofErr w:type="spellStart"/>
            <w:r w:rsidRPr="00E709D5">
              <w:rPr>
                <w:rFonts w:cstheme="minorHAnsi"/>
              </w:rPr>
              <w:t>ICAN</w:t>
            </w:r>
            <w:proofErr w:type="spellEnd"/>
            <w:r w:rsidRPr="00E709D5">
              <w:rPr>
                <w:rFonts w:cstheme="minorHAnsi"/>
              </w:rPr>
              <w:t xml:space="preserve"> FLO students successfully re-engaged in a ‘learning or earning’ </w:t>
            </w:r>
            <w:r w:rsidRPr="00E709D5">
              <w:rPr>
                <w:rFonts w:cstheme="minorHAnsi"/>
              </w:rPr>
              <w:lastRenderedPageBreak/>
              <w:t>pathway in 2012</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 xml:space="preserve">84% of FLO level 4 </w:t>
            </w:r>
            <w:r w:rsidRPr="00E709D5">
              <w:rPr>
                <w:rFonts w:cstheme="minorHAnsi"/>
              </w:rPr>
              <w:footnoteReference w:id="2"/>
            </w:r>
            <w:r w:rsidRPr="00E709D5">
              <w:rPr>
                <w:rFonts w:cstheme="minorHAnsi"/>
              </w:rPr>
              <w:t xml:space="preserve"> students (over a third of the total FLO enrolments) have successfully re-engaged in a ‘learning or earning' pathway in 2012 </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 xml:space="preserve">During Term 3 of 2012, an </w:t>
            </w:r>
            <w:proofErr w:type="spellStart"/>
            <w:r w:rsidRPr="00E709D5">
              <w:rPr>
                <w:rFonts w:cstheme="minorHAnsi"/>
              </w:rPr>
              <w:t>ICAN</w:t>
            </w:r>
            <w:proofErr w:type="spellEnd"/>
            <w:r w:rsidRPr="00E709D5">
              <w:rPr>
                <w:rFonts w:cstheme="minorHAnsi"/>
              </w:rPr>
              <w:t xml:space="preserve"> data collection from schools with secondary FLO-enrolled students showed that 70% of secondary FLO enrolled students were engaged in accredited learning.</w:t>
            </w:r>
            <w:r w:rsidRPr="00E709D5">
              <w:rPr>
                <w:rFonts w:cstheme="minorHAnsi"/>
                <w:vertAlign w:val="superscript"/>
              </w:rPr>
              <w:footnoteReference w:id="3"/>
            </w:r>
          </w:p>
          <w:p w:rsidR="006B08DB" w:rsidRDefault="006B08DB" w:rsidP="00B928E0">
            <w:pPr>
              <w:rPr>
                <w:b/>
                <w:szCs w:val="22"/>
              </w:rPr>
            </w:pPr>
            <w:r w:rsidRPr="007E67C5">
              <w:rPr>
                <w:b/>
                <w:szCs w:val="22"/>
              </w:rPr>
              <w:t>Targeted student support (</w:t>
            </w:r>
            <w:proofErr w:type="spellStart"/>
            <w:r w:rsidRPr="007E67C5">
              <w:rPr>
                <w:b/>
                <w:szCs w:val="22"/>
              </w:rPr>
              <w:t>TSS</w:t>
            </w:r>
            <w:proofErr w:type="spellEnd"/>
            <w:r w:rsidRPr="007E67C5">
              <w:rPr>
                <w:b/>
                <w:szCs w:val="22"/>
              </w:rPr>
              <w:t>)</w:t>
            </w:r>
          </w:p>
          <w:p w:rsidR="00E709D5" w:rsidRPr="007E67C5" w:rsidRDefault="00E709D5" w:rsidP="00B928E0">
            <w:pPr>
              <w:rPr>
                <w:b/>
                <w:szCs w:val="22"/>
              </w:rPr>
            </w:pPr>
          </w:p>
          <w:p w:rsidR="006B08DB" w:rsidRPr="007E67C5" w:rsidRDefault="006B08DB" w:rsidP="00B928E0">
            <w:pPr>
              <w:rPr>
                <w:szCs w:val="22"/>
              </w:rPr>
            </w:pPr>
            <w:r w:rsidRPr="007E67C5">
              <w:rPr>
                <w:i/>
                <w:szCs w:val="22"/>
              </w:rPr>
              <w:t xml:space="preserve">Targeted student support </w:t>
            </w:r>
            <w:r w:rsidRPr="007E67C5">
              <w:rPr>
                <w:szCs w:val="22"/>
              </w:rPr>
              <w:t>(</w:t>
            </w:r>
            <w:proofErr w:type="spellStart"/>
            <w:r w:rsidRPr="007E67C5">
              <w:rPr>
                <w:szCs w:val="22"/>
              </w:rPr>
              <w:t>TSS</w:t>
            </w:r>
            <w:proofErr w:type="spellEnd"/>
            <w:r w:rsidRPr="007E67C5">
              <w:rPr>
                <w:szCs w:val="22"/>
              </w:rPr>
              <w:t xml:space="preserve">) funding has been provided to all </w:t>
            </w:r>
            <w:proofErr w:type="spellStart"/>
            <w:r w:rsidRPr="007E67C5">
              <w:rPr>
                <w:szCs w:val="22"/>
              </w:rPr>
              <w:t>CMaD</w:t>
            </w:r>
            <w:proofErr w:type="spellEnd"/>
            <w:r w:rsidRPr="007E67C5">
              <w:rPr>
                <w:szCs w:val="22"/>
              </w:rPr>
              <w:t xml:space="preserve"> NP schools. </w:t>
            </w:r>
            <w:proofErr w:type="spellStart"/>
            <w:r w:rsidRPr="007E67C5">
              <w:rPr>
                <w:szCs w:val="22"/>
              </w:rPr>
              <w:t>TSS</w:t>
            </w:r>
            <w:proofErr w:type="spellEnd"/>
            <w:r w:rsidRPr="007E67C5">
              <w:rPr>
                <w:szCs w:val="22"/>
              </w:rPr>
              <w:t xml:space="preserve"> funding is used by low-SES schools to target students who require additional support in the following:</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Developing effective social and emotional capabilities</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Improving student participation, engagement and achievement in a learning program</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Building aspirations and strengthen personal and career development skills</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Student transition between schooling, further learning and earning</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Assisting students to undertake a training pathway.</w:t>
            </w:r>
          </w:p>
          <w:p w:rsidR="006B08DB" w:rsidRDefault="006B08DB" w:rsidP="00B928E0">
            <w:pPr>
              <w:rPr>
                <w:szCs w:val="22"/>
              </w:rPr>
            </w:pPr>
            <w:r w:rsidRPr="007E67C5">
              <w:rPr>
                <w:szCs w:val="22"/>
              </w:rPr>
              <w:t>Between January and June 2013, 2 840 identified students were provided with targeted support as a result of this program.</w:t>
            </w:r>
          </w:p>
          <w:p w:rsidR="00E709D5" w:rsidRPr="007E67C5" w:rsidRDefault="00E709D5" w:rsidP="00B928E0">
            <w:pPr>
              <w:rPr>
                <w:szCs w:val="22"/>
              </w:rPr>
            </w:pPr>
          </w:p>
          <w:p w:rsidR="006B08DB" w:rsidRPr="007E67C5" w:rsidRDefault="006B08DB" w:rsidP="00B928E0">
            <w:pPr>
              <w:rPr>
                <w:szCs w:val="22"/>
              </w:rPr>
            </w:pPr>
            <w:r w:rsidRPr="007E67C5">
              <w:rPr>
                <w:szCs w:val="22"/>
              </w:rPr>
              <w:t>In order to support the 2 840 students, schools targeted the funding in a number of areas. These comprised social and emotional, behavioural, learning engagement, literacy and numeracy, school transition, learning pathways and other. The number of students receiving support in these areas consisted of:</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771 students receiving social and emotional support</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158 students receiving behavioural support</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660 students receiving learning engagement support</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698 students receiving literacy and numeracy support</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84 students receiving school transition support</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364 students receiving learning pathways support</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105 students receiving other support.</w:t>
            </w:r>
          </w:p>
          <w:p w:rsidR="006B08DB" w:rsidRDefault="006B08DB" w:rsidP="00B928E0">
            <w:pPr>
              <w:rPr>
                <w:szCs w:val="22"/>
              </w:rPr>
            </w:pPr>
            <w:r w:rsidRPr="007E67C5">
              <w:rPr>
                <w:szCs w:val="22"/>
              </w:rPr>
              <w:t>Mentoring is a key strategy that has been implemented to support 1 669 students in the above targeted areas. Mentoring methodologies include; group, volunteer, and individual, community mentoring and e-mentoring.</w:t>
            </w:r>
          </w:p>
          <w:p w:rsidR="00E709D5" w:rsidRPr="007E67C5" w:rsidRDefault="00E709D5" w:rsidP="00B928E0">
            <w:pPr>
              <w:rPr>
                <w:szCs w:val="22"/>
              </w:rPr>
            </w:pPr>
          </w:p>
          <w:p w:rsidR="006B08DB" w:rsidRDefault="006B08DB" w:rsidP="00B928E0">
            <w:pPr>
              <w:rPr>
                <w:szCs w:val="22"/>
              </w:rPr>
            </w:pPr>
            <w:r w:rsidRPr="007E67C5">
              <w:rPr>
                <w:szCs w:val="22"/>
              </w:rPr>
              <w:t xml:space="preserve">The table below outlines the number of adult mentors participating in the various mentoring training programs, supported through the </w:t>
            </w:r>
            <w:proofErr w:type="spellStart"/>
            <w:r w:rsidRPr="007E67C5">
              <w:rPr>
                <w:szCs w:val="22"/>
              </w:rPr>
              <w:t>TSS</w:t>
            </w:r>
            <w:proofErr w:type="spellEnd"/>
            <w:r w:rsidRPr="007E67C5">
              <w:rPr>
                <w:szCs w:val="22"/>
              </w:rPr>
              <w:t>.</w:t>
            </w:r>
          </w:p>
          <w:p w:rsidR="00E709D5" w:rsidRPr="007E67C5" w:rsidRDefault="00E709D5" w:rsidP="00B928E0">
            <w:pPr>
              <w:rPr>
                <w:szCs w:val="22"/>
              </w:rPr>
            </w:pPr>
          </w:p>
          <w:p w:rsidR="006B08DB" w:rsidRPr="007E67C5" w:rsidRDefault="006B08DB" w:rsidP="00B928E0">
            <w:pPr>
              <w:rPr>
                <w:szCs w:val="22"/>
              </w:rPr>
            </w:pPr>
            <w:r w:rsidRPr="007E67C5">
              <w:rPr>
                <w:b/>
                <w:bCs/>
                <w:szCs w:val="22"/>
              </w:rPr>
              <w:t>TRAINING COURSES Term 1 and Term 2, 2013</w:t>
            </w:r>
          </w:p>
          <w:tbl>
            <w:tblPr>
              <w:tblW w:w="8548" w:type="dxa"/>
              <w:tblInd w:w="416" w:type="dxa"/>
              <w:tblCellMar>
                <w:left w:w="0" w:type="dxa"/>
                <w:right w:w="0" w:type="dxa"/>
              </w:tblCellMar>
              <w:tblLook w:val="04A0" w:firstRow="1" w:lastRow="0" w:firstColumn="1" w:lastColumn="0" w:noHBand="0" w:noVBand="1"/>
            </w:tblPr>
            <w:tblGrid>
              <w:gridCol w:w="4678"/>
              <w:gridCol w:w="1983"/>
              <w:gridCol w:w="1887"/>
            </w:tblGrid>
            <w:tr w:rsidR="006B08DB" w:rsidRPr="007E67C5" w:rsidTr="001B165D">
              <w:trPr>
                <w:trHeight w:val="300"/>
              </w:trPr>
              <w:tc>
                <w:tcPr>
                  <w:tcW w:w="4678" w:type="dxa"/>
                  <w:tcBorders>
                    <w:top w:val="single" w:sz="8" w:space="0" w:color="auto"/>
                    <w:left w:val="single" w:sz="8" w:space="0" w:color="auto"/>
                    <w:bottom w:val="single" w:sz="8" w:space="0" w:color="auto"/>
                    <w:right w:val="single" w:sz="8" w:space="0" w:color="auto"/>
                  </w:tcBorders>
                  <w:shd w:val="clear" w:color="auto" w:fill="1F497D" w:themeFill="text2"/>
                  <w:noWrap/>
                  <w:tcMar>
                    <w:top w:w="0" w:type="dxa"/>
                    <w:left w:w="108" w:type="dxa"/>
                    <w:bottom w:w="0" w:type="dxa"/>
                    <w:right w:w="108" w:type="dxa"/>
                  </w:tcMar>
                  <w:vAlign w:val="center"/>
                  <w:hideMark/>
                </w:tcPr>
                <w:p w:rsidR="006B08DB" w:rsidRPr="007E67C5" w:rsidRDefault="006B08DB" w:rsidP="00B928E0">
                  <w:pPr>
                    <w:rPr>
                      <w:b/>
                      <w:bCs/>
                      <w:color w:val="FFFFFF" w:themeColor="background1"/>
                      <w:szCs w:val="22"/>
                    </w:rPr>
                  </w:pPr>
                  <w:r w:rsidRPr="007E67C5">
                    <w:rPr>
                      <w:b/>
                      <w:bCs/>
                      <w:color w:val="FFFFFF" w:themeColor="background1"/>
                      <w:szCs w:val="22"/>
                    </w:rPr>
                    <w:t>Training course name</w:t>
                  </w:r>
                </w:p>
              </w:tc>
              <w:tc>
                <w:tcPr>
                  <w:tcW w:w="1983" w:type="dxa"/>
                  <w:tcBorders>
                    <w:top w:val="single" w:sz="8" w:space="0" w:color="auto"/>
                    <w:left w:val="nil"/>
                    <w:bottom w:val="single" w:sz="8" w:space="0" w:color="auto"/>
                    <w:right w:val="single" w:sz="8" w:space="0" w:color="auto"/>
                  </w:tcBorders>
                  <w:shd w:val="clear" w:color="auto" w:fill="1F497D" w:themeFill="text2"/>
                  <w:noWrap/>
                  <w:tcMar>
                    <w:top w:w="0" w:type="dxa"/>
                    <w:left w:w="108" w:type="dxa"/>
                    <w:bottom w:w="0" w:type="dxa"/>
                    <w:right w:w="108" w:type="dxa"/>
                  </w:tcMar>
                  <w:vAlign w:val="center"/>
                  <w:hideMark/>
                </w:tcPr>
                <w:p w:rsidR="006B08DB" w:rsidRPr="007E67C5" w:rsidRDefault="006B08DB" w:rsidP="00B928E0">
                  <w:pPr>
                    <w:rPr>
                      <w:b/>
                      <w:bCs/>
                      <w:color w:val="FFFFFF" w:themeColor="background1"/>
                      <w:szCs w:val="22"/>
                    </w:rPr>
                  </w:pPr>
                  <w:r w:rsidRPr="007E67C5">
                    <w:rPr>
                      <w:b/>
                      <w:bCs/>
                      <w:color w:val="FFFFFF" w:themeColor="background1"/>
                      <w:szCs w:val="22"/>
                    </w:rPr>
                    <w:t>Total participants</w:t>
                  </w:r>
                </w:p>
              </w:tc>
              <w:tc>
                <w:tcPr>
                  <w:tcW w:w="1887" w:type="dxa"/>
                  <w:tcBorders>
                    <w:top w:val="single" w:sz="8" w:space="0" w:color="auto"/>
                    <w:left w:val="nil"/>
                    <w:bottom w:val="single" w:sz="8" w:space="0" w:color="auto"/>
                    <w:right w:val="single" w:sz="8" w:space="0" w:color="auto"/>
                  </w:tcBorders>
                  <w:shd w:val="clear" w:color="auto" w:fill="1F497D" w:themeFill="text2"/>
                  <w:vAlign w:val="center"/>
                  <w:hideMark/>
                </w:tcPr>
                <w:p w:rsidR="006B08DB" w:rsidRPr="007E67C5" w:rsidRDefault="006B08DB" w:rsidP="00B928E0">
                  <w:pPr>
                    <w:rPr>
                      <w:b/>
                      <w:bCs/>
                      <w:color w:val="FFFFFF" w:themeColor="background1"/>
                      <w:szCs w:val="22"/>
                    </w:rPr>
                  </w:pPr>
                  <w:r w:rsidRPr="007E67C5">
                    <w:rPr>
                      <w:b/>
                      <w:bCs/>
                      <w:color w:val="FFFFFF" w:themeColor="background1"/>
                      <w:szCs w:val="22"/>
                    </w:rPr>
                    <w:t>Number of sites</w:t>
                  </w:r>
                </w:p>
              </w:tc>
            </w:tr>
            <w:tr w:rsidR="006B08DB" w:rsidRPr="007E67C5" w:rsidTr="001B165D">
              <w:trPr>
                <w:trHeight w:val="300"/>
              </w:trPr>
              <w:tc>
                <w:tcPr>
                  <w:tcW w:w="46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B08DB" w:rsidRPr="007E67C5" w:rsidRDefault="006B08DB" w:rsidP="00B928E0">
                  <w:pPr>
                    <w:rPr>
                      <w:szCs w:val="22"/>
                    </w:rPr>
                  </w:pPr>
                  <w:r w:rsidRPr="007E67C5">
                    <w:rPr>
                      <w:szCs w:val="22"/>
                    </w:rPr>
                    <w:t xml:space="preserve">Peer mentor training </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B08DB" w:rsidRPr="007E67C5" w:rsidRDefault="006B08DB" w:rsidP="00B928E0">
                  <w:pPr>
                    <w:rPr>
                      <w:szCs w:val="22"/>
                    </w:rPr>
                  </w:pPr>
                  <w:r w:rsidRPr="007E67C5">
                    <w:rPr>
                      <w:szCs w:val="22"/>
                    </w:rPr>
                    <w:t>7</w:t>
                  </w:r>
                </w:p>
              </w:tc>
              <w:tc>
                <w:tcPr>
                  <w:tcW w:w="1887" w:type="dxa"/>
                  <w:tcBorders>
                    <w:top w:val="nil"/>
                    <w:left w:val="nil"/>
                    <w:bottom w:val="single" w:sz="8" w:space="0" w:color="auto"/>
                    <w:right w:val="single" w:sz="8" w:space="0" w:color="auto"/>
                  </w:tcBorders>
                  <w:vAlign w:val="center"/>
                  <w:hideMark/>
                </w:tcPr>
                <w:p w:rsidR="006B08DB" w:rsidRPr="007E67C5" w:rsidRDefault="006B08DB" w:rsidP="00B928E0">
                  <w:pPr>
                    <w:rPr>
                      <w:szCs w:val="22"/>
                    </w:rPr>
                  </w:pPr>
                  <w:r w:rsidRPr="007E67C5">
                    <w:rPr>
                      <w:szCs w:val="22"/>
                    </w:rPr>
                    <w:t>6</w:t>
                  </w:r>
                </w:p>
              </w:tc>
            </w:tr>
            <w:tr w:rsidR="006B08DB" w:rsidRPr="007E67C5" w:rsidTr="001B165D">
              <w:trPr>
                <w:trHeight w:val="300"/>
              </w:trPr>
              <w:tc>
                <w:tcPr>
                  <w:tcW w:w="46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B08DB" w:rsidRPr="007E67C5" w:rsidRDefault="006B08DB" w:rsidP="00B928E0">
                  <w:pPr>
                    <w:rPr>
                      <w:szCs w:val="22"/>
                    </w:rPr>
                  </w:pPr>
                  <w:r w:rsidRPr="007E67C5">
                    <w:rPr>
                      <w:szCs w:val="22"/>
                    </w:rPr>
                    <w:t>RAN-EC training for volunteers</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B08DB" w:rsidRPr="007E67C5" w:rsidRDefault="006B08DB" w:rsidP="00B928E0">
                  <w:pPr>
                    <w:rPr>
                      <w:szCs w:val="22"/>
                    </w:rPr>
                  </w:pPr>
                  <w:r w:rsidRPr="007E67C5">
                    <w:rPr>
                      <w:szCs w:val="22"/>
                    </w:rPr>
                    <w:t>138</w:t>
                  </w:r>
                </w:p>
              </w:tc>
              <w:tc>
                <w:tcPr>
                  <w:tcW w:w="1887" w:type="dxa"/>
                  <w:tcBorders>
                    <w:top w:val="nil"/>
                    <w:left w:val="nil"/>
                    <w:bottom w:val="single" w:sz="8" w:space="0" w:color="auto"/>
                    <w:right w:val="single" w:sz="8" w:space="0" w:color="auto"/>
                  </w:tcBorders>
                  <w:vAlign w:val="center"/>
                  <w:hideMark/>
                </w:tcPr>
                <w:p w:rsidR="006B08DB" w:rsidRPr="007E67C5" w:rsidRDefault="006B08DB" w:rsidP="00B928E0">
                  <w:pPr>
                    <w:rPr>
                      <w:szCs w:val="22"/>
                    </w:rPr>
                  </w:pPr>
                  <w:r w:rsidRPr="007E67C5">
                    <w:rPr>
                      <w:szCs w:val="22"/>
                    </w:rPr>
                    <w:t>49</w:t>
                  </w:r>
                </w:p>
              </w:tc>
            </w:tr>
            <w:tr w:rsidR="006B08DB" w:rsidRPr="007E67C5" w:rsidTr="001B165D">
              <w:trPr>
                <w:trHeight w:val="300"/>
              </w:trPr>
              <w:tc>
                <w:tcPr>
                  <w:tcW w:w="46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B08DB" w:rsidRPr="007E67C5" w:rsidRDefault="006B08DB" w:rsidP="00B928E0">
                  <w:pPr>
                    <w:rPr>
                      <w:szCs w:val="22"/>
                    </w:rPr>
                  </w:pPr>
                  <w:r w:rsidRPr="007E67C5">
                    <w:rPr>
                      <w:szCs w:val="22"/>
                    </w:rPr>
                    <w:t>Student mentoring induction – school staff</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B08DB" w:rsidRPr="007E67C5" w:rsidRDefault="006B08DB" w:rsidP="00B928E0">
                  <w:pPr>
                    <w:rPr>
                      <w:szCs w:val="22"/>
                    </w:rPr>
                  </w:pPr>
                  <w:r w:rsidRPr="007E67C5">
                    <w:rPr>
                      <w:szCs w:val="22"/>
                    </w:rPr>
                    <w:t>14</w:t>
                  </w:r>
                </w:p>
              </w:tc>
              <w:tc>
                <w:tcPr>
                  <w:tcW w:w="1887" w:type="dxa"/>
                  <w:tcBorders>
                    <w:top w:val="nil"/>
                    <w:left w:val="nil"/>
                    <w:bottom w:val="single" w:sz="8" w:space="0" w:color="auto"/>
                    <w:right w:val="single" w:sz="8" w:space="0" w:color="auto"/>
                  </w:tcBorders>
                  <w:vAlign w:val="center"/>
                  <w:hideMark/>
                </w:tcPr>
                <w:p w:rsidR="006B08DB" w:rsidRPr="007E67C5" w:rsidRDefault="006B08DB" w:rsidP="00B928E0">
                  <w:pPr>
                    <w:rPr>
                      <w:szCs w:val="22"/>
                    </w:rPr>
                  </w:pPr>
                  <w:r w:rsidRPr="007E67C5">
                    <w:rPr>
                      <w:szCs w:val="22"/>
                    </w:rPr>
                    <w:t>10</w:t>
                  </w:r>
                </w:p>
              </w:tc>
            </w:tr>
            <w:tr w:rsidR="006B08DB" w:rsidRPr="007E67C5" w:rsidTr="001B165D">
              <w:trPr>
                <w:trHeight w:val="300"/>
              </w:trPr>
              <w:tc>
                <w:tcPr>
                  <w:tcW w:w="46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B08DB" w:rsidRPr="007E67C5" w:rsidRDefault="006B08DB" w:rsidP="00B928E0">
                  <w:pPr>
                    <w:rPr>
                      <w:szCs w:val="22"/>
                    </w:rPr>
                  </w:pPr>
                  <w:r w:rsidRPr="007E67C5">
                    <w:rPr>
                      <w:szCs w:val="22"/>
                    </w:rPr>
                    <w:t>Volunteer liaison officer (</w:t>
                  </w:r>
                  <w:proofErr w:type="spellStart"/>
                  <w:r w:rsidRPr="007E67C5">
                    <w:rPr>
                      <w:szCs w:val="22"/>
                    </w:rPr>
                    <w:t>VLO</w:t>
                  </w:r>
                  <w:proofErr w:type="spellEnd"/>
                  <w:r w:rsidRPr="007E67C5">
                    <w:rPr>
                      <w:szCs w:val="22"/>
                    </w:rPr>
                    <w:t>) training for school staff</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B08DB" w:rsidRPr="007E67C5" w:rsidRDefault="006B08DB" w:rsidP="00B928E0">
                  <w:pPr>
                    <w:rPr>
                      <w:szCs w:val="22"/>
                    </w:rPr>
                  </w:pPr>
                  <w:r w:rsidRPr="007E67C5">
                    <w:rPr>
                      <w:szCs w:val="22"/>
                    </w:rPr>
                    <w:t>28</w:t>
                  </w:r>
                </w:p>
              </w:tc>
              <w:tc>
                <w:tcPr>
                  <w:tcW w:w="1887" w:type="dxa"/>
                  <w:tcBorders>
                    <w:top w:val="nil"/>
                    <w:left w:val="nil"/>
                    <w:bottom w:val="single" w:sz="8" w:space="0" w:color="auto"/>
                    <w:right w:val="single" w:sz="8" w:space="0" w:color="auto"/>
                  </w:tcBorders>
                  <w:vAlign w:val="center"/>
                  <w:hideMark/>
                </w:tcPr>
                <w:p w:rsidR="006B08DB" w:rsidRPr="007E67C5" w:rsidRDefault="006B08DB" w:rsidP="00B928E0">
                  <w:pPr>
                    <w:rPr>
                      <w:szCs w:val="22"/>
                    </w:rPr>
                  </w:pPr>
                  <w:r w:rsidRPr="007E67C5">
                    <w:rPr>
                      <w:szCs w:val="22"/>
                    </w:rPr>
                    <w:t>23</w:t>
                  </w:r>
                </w:p>
              </w:tc>
            </w:tr>
            <w:tr w:rsidR="006B08DB" w:rsidRPr="007E67C5" w:rsidTr="001B165D">
              <w:trPr>
                <w:trHeight w:val="300"/>
              </w:trPr>
              <w:tc>
                <w:tcPr>
                  <w:tcW w:w="46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B08DB" w:rsidRPr="007E67C5" w:rsidRDefault="006B08DB" w:rsidP="00B928E0">
                  <w:pPr>
                    <w:rPr>
                      <w:szCs w:val="22"/>
                    </w:rPr>
                  </w:pPr>
                  <w:r w:rsidRPr="007E67C5">
                    <w:rPr>
                      <w:szCs w:val="22"/>
                    </w:rPr>
                    <w:t>Volunteer mentor core training</w:t>
                  </w:r>
                </w:p>
              </w:tc>
              <w:tc>
                <w:tcPr>
                  <w:tcW w:w="19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B08DB" w:rsidRPr="007E67C5" w:rsidRDefault="006B08DB" w:rsidP="00B928E0">
                  <w:pPr>
                    <w:rPr>
                      <w:szCs w:val="22"/>
                    </w:rPr>
                  </w:pPr>
                  <w:r w:rsidRPr="007E67C5">
                    <w:rPr>
                      <w:szCs w:val="22"/>
                    </w:rPr>
                    <w:t>92</w:t>
                  </w:r>
                </w:p>
              </w:tc>
              <w:tc>
                <w:tcPr>
                  <w:tcW w:w="1887" w:type="dxa"/>
                  <w:tcBorders>
                    <w:top w:val="nil"/>
                    <w:left w:val="nil"/>
                    <w:bottom w:val="single" w:sz="8" w:space="0" w:color="auto"/>
                    <w:right w:val="single" w:sz="8" w:space="0" w:color="auto"/>
                  </w:tcBorders>
                  <w:vAlign w:val="center"/>
                  <w:hideMark/>
                </w:tcPr>
                <w:p w:rsidR="006B08DB" w:rsidRPr="007E67C5" w:rsidRDefault="006B08DB" w:rsidP="00B928E0">
                  <w:pPr>
                    <w:rPr>
                      <w:szCs w:val="22"/>
                    </w:rPr>
                  </w:pPr>
                  <w:r w:rsidRPr="007E67C5">
                    <w:rPr>
                      <w:szCs w:val="22"/>
                    </w:rPr>
                    <w:t>39</w:t>
                  </w:r>
                </w:p>
              </w:tc>
            </w:tr>
          </w:tbl>
          <w:p w:rsidR="006B08DB" w:rsidRPr="007E67C5" w:rsidRDefault="006B08DB" w:rsidP="00B928E0">
            <w:pPr>
              <w:rPr>
                <w:szCs w:val="22"/>
              </w:rPr>
            </w:pPr>
            <w:r w:rsidRPr="007E67C5">
              <w:rPr>
                <w:szCs w:val="22"/>
              </w:rPr>
              <w:lastRenderedPageBreak/>
              <w:t xml:space="preserve">Specific outcomes relating to the </w:t>
            </w:r>
            <w:proofErr w:type="spellStart"/>
            <w:r w:rsidRPr="007E67C5">
              <w:rPr>
                <w:szCs w:val="22"/>
              </w:rPr>
              <w:t>TSS</w:t>
            </w:r>
            <w:proofErr w:type="spellEnd"/>
            <w:r w:rsidRPr="007E67C5">
              <w:rPr>
                <w:szCs w:val="22"/>
              </w:rPr>
              <w:t xml:space="preserve"> will be provided in the 2013 annual report.</w:t>
            </w:r>
          </w:p>
          <w:p w:rsidR="00E709D5" w:rsidRDefault="00E709D5" w:rsidP="00B928E0">
            <w:pPr>
              <w:rPr>
                <w:b/>
                <w:szCs w:val="22"/>
              </w:rPr>
            </w:pPr>
          </w:p>
          <w:p w:rsidR="006B08DB" w:rsidRPr="007E67C5" w:rsidRDefault="006B08DB" w:rsidP="00B928E0">
            <w:pPr>
              <w:rPr>
                <w:b/>
                <w:szCs w:val="22"/>
              </w:rPr>
            </w:pPr>
            <w:r w:rsidRPr="007E67C5">
              <w:rPr>
                <w:b/>
                <w:szCs w:val="22"/>
              </w:rPr>
              <w:t>Learning Together</w:t>
            </w:r>
          </w:p>
          <w:p w:rsidR="006B08DB" w:rsidRDefault="006B08DB" w:rsidP="00B928E0">
            <w:pPr>
              <w:rPr>
                <w:szCs w:val="22"/>
              </w:rPr>
            </w:pPr>
            <w:r w:rsidRPr="007E67C5">
              <w:rPr>
                <w:i/>
                <w:szCs w:val="22"/>
              </w:rPr>
              <w:t>Learning together</w:t>
            </w:r>
            <w:r w:rsidRPr="007E67C5">
              <w:rPr>
                <w:szCs w:val="22"/>
              </w:rPr>
              <w:t xml:space="preserve"> is an early literacy and learning program for families with children under four years of age in areas of disadvantage. Activities are developed in consultation with local families and services and may include supported playgroups, cooking groups, groups for making books for and about one’s own children, and adult credentialed learning (linked to children’s learning). The program engages families with children aged birth to four years who are at risk of educational disconnection, and intends to support their involvement with their children’s learning, thereby developing a sound foundation prior to school.</w:t>
            </w:r>
          </w:p>
          <w:p w:rsidR="00E709D5" w:rsidRPr="007E67C5" w:rsidRDefault="00E709D5" w:rsidP="00B928E0">
            <w:pPr>
              <w:rPr>
                <w:szCs w:val="22"/>
              </w:rPr>
            </w:pPr>
          </w:p>
          <w:p w:rsidR="006B08DB" w:rsidRDefault="006B08DB" w:rsidP="00B928E0">
            <w:pPr>
              <w:rPr>
                <w:szCs w:val="22"/>
              </w:rPr>
            </w:pPr>
            <w:r w:rsidRPr="007E67C5">
              <w:rPr>
                <w:szCs w:val="22"/>
              </w:rPr>
              <w:t xml:space="preserve">In 2013, the national partnership funding allowed </w:t>
            </w:r>
            <w:r w:rsidRPr="007E67C5">
              <w:rPr>
                <w:i/>
                <w:iCs/>
                <w:szCs w:val="22"/>
              </w:rPr>
              <w:t xml:space="preserve">Learning together </w:t>
            </w:r>
            <w:r w:rsidRPr="007E67C5">
              <w:rPr>
                <w:szCs w:val="22"/>
              </w:rPr>
              <w:t xml:space="preserve">to extend into two new locations, both in regional communities, and the opportunity to try a different model from what was previously used </w:t>
            </w:r>
            <w:proofErr w:type="spellStart"/>
            <w:r w:rsidRPr="007E67C5">
              <w:rPr>
                <w:szCs w:val="22"/>
              </w:rPr>
              <w:t>ie</w:t>
            </w:r>
            <w:proofErr w:type="spellEnd"/>
            <w:r w:rsidRPr="007E67C5">
              <w:rPr>
                <w:szCs w:val="22"/>
              </w:rPr>
              <w:t xml:space="preserve">, the </w:t>
            </w:r>
            <w:r w:rsidRPr="006B08DB">
              <w:rPr>
                <w:i/>
                <w:iCs/>
                <w:szCs w:val="22"/>
              </w:rPr>
              <w:t>Learning together</w:t>
            </w:r>
            <w:r w:rsidRPr="007E67C5">
              <w:rPr>
                <w:iCs/>
                <w:szCs w:val="22"/>
              </w:rPr>
              <w:t xml:space="preserve"> </w:t>
            </w:r>
            <w:r w:rsidRPr="007E67C5">
              <w:rPr>
                <w:szCs w:val="22"/>
              </w:rPr>
              <w:t xml:space="preserve">outreach program. Several elements have been identified by the staff and project staff as supporting and assisting the development of the program. These elements include induction, ongoing support and ongoing professional learning. </w:t>
            </w:r>
          </w:p>
          <w:p w:rsidR="00E709D5" w:rsidRPr="007E67C5" w:rsidRDefault="00E709D5" w:rsidP="00B928E0">
            <w:pPr>
              <w:rPr>
                <w:szCs w:val="22"/>
              </w:rPr>
            </w:pPr>
          </w:p>
          <w:p w:rsidR="006B08DB" w:rsidRPr="007E67C5" w:rsidRDefault="006B08DB" w:rsidP="00B928E0">
            <w:pPr>
              <w:rPr>
                <w:szCs w:val="22"/>
              </w:rPr>
            </w:pPr>
            <w:r w:rsidRPr="007E67C5">
              <w:rPr>
                <w:szCs w:val="22"/>
              </w:rPr>
              <w:t xml:space="preserve">The </w:t>
            </w:r>
            <w:r w:rsidRPr="007E67C5">
              <w:rPr>
                <w:i/>
                <w:iCs/>
                <w:szCs w:val="22"/>
              </w:rPr>
              <w:t xml:space="preserve">Learning together </w:t>
            </w:r>
            <w:r w:rsidRPr="007E67C5">
              <w:rPr>
                <w:szCs w:val="22"/>
              </w:rPr>
              <w:t xml:space="preserve">programs have been successful to varying degrees in: </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 xml:space="preserve">co-constructing activities together with families </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 xml:space="preserve">building relationships with the local school site </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 xml:space="preserve">influencing transition to school for families and schools </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 xml:space="preserve">building partnerships with other agencies and service providers </w:t>
            </w:r>
          </w:p>
          <w:p w:rsidR="006B08DB" w:rsidRPr="00E709D5" w:rsidRDefault="006B08DB" w:rsidP="00AE6D45">
            <w:pPr>
              <w:pStyle w:val="ListParagraph"/>
              <w:numPr>
                <w:ilvl w:val="0"/>
                <w:numId w:val="7"/>
              </w:numPr>
              <w:tabs>
                <w:tab w:val="clear" w:pos="720"/>
                <w:tab w:val="num" w:pos="1134"/>
              </w:tabs>
              <w:ind w:left="1134" w:hanging="425"/>
              <w:rPr>
                <w:rFonts w:cstheme="minorHAnsi"/>
              </w:rPr>
            </w:pPr>
            <w:r w:rsidRPr="00E709D5">
              <w:rPr>
                <w:rFonts w:cstheme="minorHAnsi"/>
              </w:rPr>
              <w:t xml:space="preserve">employing family members in the program </w:t>
            </w:r>
          </w:p>
          <w:p w:rsidR="006B08DB" w:rsidRPr="00E709D5" w:rsidRDefault="006B08DB" w:rsidP="00AE6D45">
            <w:pPr>
              <w:pStyle w:val="ListParagraph"/>
              <w:numPr>
                <w:ilvl w:val="0"/>
                <w:numId w:val="7"/>
              </w:numPr>
              <w:tabs>
                <w:tab w:val="clear" w:pos="720"/>
                <w:tab w:val="num" w:pos="1134"/>
              </w:tabs>
              <w:ind w:left="1134" w:hanging="425"/>
              <w:rPr>
                <w:rFonts w:cstheme="minorHAnsi"/>
              </w:rPr>
            </w:pPr>
            <w:proofErr w:type="gramStart"/>
            <w:r w:rsidRPr="00E709D5">
              <w:rPr>
                <w:rFonts w:cstheme="minorHAnsi"/>
              </w:rPr>
              <w:t>influencing</w:t>
            </w:r>
            <w:proofErr w:type="gramEnd"/>
            <w:r w:rsidRPr="00E709D5">
              <w:rPr>
                <w:rFonts w:cstheme="minorHAnsi"/>
              </w:rPr>
              <w:t xml:space="preserve"> other </w:t>
            </w:r>
            <w:proofErr w:type="spellStart"/>
            <w:r w:rsidRPr="00E709D5">
              <w:rPr>
                <w:rFonts w:cstheme="minorHAnsi"/>
              </w:rPr>
              <w:t>DECD</w:t>
            </w:r>
            <w:proofErr w:type="spellEnd"/>
            <w:r w:rsidRPr="00E709D5">
              <w:rPr>
                <w:rFonts w:cstheme="minorHAnsi"/>
              </w:rPr>
              <w:t xml:space="preserve"> programs and resources.</w:t>
            </w:r>
          </w:p>
          <w:p w:rsidR="006B08DB" w:rsidRPr="007E67C5" w:rsidRDefault="006B08DB" w:rsidP="00B928E0">
            <w:pPr>
              <w:rPr>
                <w:b/>
                <w:szCs w:val="22"/>
              </w:rPr>
            </w:pPr>
            <w:r w:rsidRPr="007E67C5">
              <w:rPr>
                <w:b/>
                <w:szCs w:val="22"/>
              </w:rPr>
              <w:t>Evaluation</w:t>
            </w:r>
          </w:p>
          <w:p w:rsidR="006B08DB" w:rsidRPr="007E67C5" w:rsidRDefault="006B08DB" w:rsidP="00B928E0">
            <w:pPr>
              <w:rPr>
                <w:szCs w:val="22"/>
              </w:rPr>
            </w:pPr>
            <w:r w:rsidRPr="007E67C5">
              <w:rPr>
                <w:szCs w:val="22"/>
              </w:rPr>
              <w:t xml:space="preserve">The final impact report into the expansion of </w:t>
            </w:r>
            <w:r w:rsidRPr="007E67C5">
              <w:rPr>
                <w:i/>
                <w:szCs w:val="22"/>
              </w:rPr>
              <w:t>Learning together</w:t>
            </w:r>
            <w:r w:rsidRPr="007E67C5">
              <w:rPr>
                <w:szCs w:val="22"/>
              </w:rPr>
              <w:t xml:space="preserve"> under the </w:t>
            </w:r>
            <w:proofErr w:type="spellStart"/>
            <w:r w:rsidRPr="007E67C5">
              <w:rPr>
                <w:szCs w:val="22"/>
              </w:rPr>
              <w:t>CMAD</w:t>
            </w:r>
            <w:proofErr w:type="spellEnd"/>
            <w:r w:rsidRPr="007E67C5">
              <w:rPr>
                <w:szCs w:val="22"/>
              </w:rPr>
              <w:t xml:space="preserve"> National Partnership has been completed and presented to relevant people within the Department for Education and Child Development and the Minister for Education and Child Development. It was accompanied by a technical report. Both reports will shortly be available on the </w:t>
            </w:r>
            <w:r w:rsidRPr="007E67C5">
              <w:rPr>
                <w:i/>
                <w:szCs w:val="22"/>
              </w:rPr>
              <w:t>Learning together</w:t>
            </w:r>
            <w:r w:rsidRPr="007E67C5">
              <w:rPr>
                <w:szCs w:val="22"/>
              </w:rPr>
              <w:t xml:space="preserve"> website </w:t>
            </w:r>
            <w:hyperlink r:id="rId15" w:history="1">
              <w:r w:rsidRPr="007E67C5">
                <w:rPr>
                  <w:rStyle w:val="Hyperlink"/>
                  <w:szCs w:val="22"/>
                </w:rPr>
                <w:t>http://www.earlyyears.sa.edu.au/pages/Programs</w:t>
              </w:r>
            </w:hyperlink>
            <w:r w:rsidRPr="007E67C5">
              <w:rPr>
                <w:szCs w:val="22"/>
              </w:rPr>
              <w:t xml:space="preserve">. </w:t>
            </w:r>
          </w:p>
          <w:p w:rsidR="00E709D5" w:rsidRDefault="00E709D5" w:rsidP="00B928E0">
            <w:pPr>
              <w:rPr>
                <w:szCs w:val="22"/>
              </w:rPr>
            </w:pPr>
          </w:p>
          <w:p w:rsidR="006B08DB" w:rsidRPr="007E67C5" w:rsidRDefault="006B08DB" w:rsidP="00B928E0">
            <w:pPr>
              <w:rPr>
                <w:szCs w:val="22"/>
              </w:rPr>
            </w:pPr>
            <w:r w:rsidRPr="007E67C5">
              <w:rPr>
                <w:szCs w:val="22"/>
              </w:rPr>
              <w:t>Findings from this report include:</w:t>
            </w:r>
          </w:p>
          <w:tbl>
            <w:tblPr>
              <w:tblStyle w:val="TableContemporary"/>
              <w:tblW w:w="8788" w:type="dxa"/>
              <w:tblInd w:w="284" w:type="dxa"/>
              <w:tblLook w:val="04A0" w:firstRow="1" w:lastRow="0" w:firstColumn="1" w:lastColumn="0" w:noHBand="0" w:noVBand="1"/>
            </w:tblPr>
            <w:tblGrid>
              <w:gridCol w:w="8788"/>
            </w:tblGrid>
            <w:tr w:rsidR="006B08DB" w:rsidRPr="007E67C5" w:rsidTr="001B165D">
              <w:trPr>
                <w:cnfStyle w:val="100000000000" w:firstRow="1" w:lastRow="0" w:firstColumn="0" w:lastColumn="0" w:oddVBand="0" w:evenVBand="0" w:oddHBand="0" w:evenHBand="0" w:firstRowFirstColumn="0" w:firstRowLastColumn="0" w:lastRowFirstColumn="0" w:lastRowLastColumn="0"/>
              </w:trPr>
              <w:tc>
                <w:tcPr>
                  <w:tcW w:w="8788" w:type="dxa"/>
                  <w:tcBorders>
                    <w:top w:val="nil"/>
                    <w:bottom w:val="single" w:sz="18" w:space="0" w:color="FFFFFF"/>
                  </w:tcBorders>
                  <w:shd w:val="pct60" w:color="000000" w:fill="FFFFFF"/>
                  <w:vAlign w:val="center"/>
                </w:tcPr>
                <w:p w:rsidR="006B08DB" w:rsidRPr="007E67C5" w:rsidRDefault="006B08DB" w:rsidP="00B928E0">
                  <w:pPr>
                    <w:rPr>
                      <w:color w:val="0070C0"/>
                      <w:szCs w:val="22"/>
                    </w:rPr>
                  </w:pPr>
                  <w:r w:rsidRPr="007E67C5">
                    <w:rPr>
                      <w:iCs/>
                      <w:color w:val="FFFFFF" w:themeColor="background1"/>
                      <w:szCs w:val="22"/>
                    </w:rPr>
                    <w:t xml:space="preserve">1) Families have improved relationships and increased involvement with their child/children </w:t>
                  </w:r>
                </w:p>
              </w:tc>
            </w:tr>
            <w:tr w:rsidR="006B08DB" w:rsidRPr="007E67C5" w:rsidTr="001B165D">
              <w:trPr>
                <w:cnfStyle w:val="000000100000" w:firstRow="0" w:lastRow="0" w:firstColumn="0" w:lastColumn="0" w:oddVBand="0" w:evenVBand="0" w:oddHBand="1" w:evenHBand="0" w:firstRowFirstColumn="0" w:firstRowLastColumn="0" w:lastRowFirstColumn="0" w:lastRowLastColumn="0"/>
              </w:trPr>
              <w:tc>
                <w:tcPr>
                  <w:tcW w:w="8788" w:type="dxa"/>
                  <w:tcBorders>
                    <w:top w:val="single" w:sz="18" w:space="0" w:color="FFFFFF"/>
                  </w:tcBorders>
                  <w:vAlign w:val="center"/>
                </w:tcPr>
                <w:p w:rsidR="006B08DB" w:rsidRPr="007E67C5" w:rsidRDefault="006B08DB" w:rsidP="00B928E0">
                  <w:pPr>
                    <w:rPr>
                      <w:szCs w:val="22"/>
                    </w:rPr>
                  </w:pPr>
                  <w:r w:rsidRPr="007E67C5">
                    <w:rPr>
                      <w:b/>
                      <w:bCs/>
                      <w:szCs w:val="22"/>
                    </w:rPr>
                    <w:t xml:space="preserve">Very significant improvements </w:t>
                  </w:r>
                  <w:r w:rsidRPr="007E67C5">
                    <w:rPr>
                      <w:szCs w:val="22"/>
                    </w:rPr>
                    <w:t xml:space="preserve">in the quality of interactions between parents and children – from a majority rating of 0–2 (barely appropriate) to a </w:t>
                  </w:r>
                  <w:r w:rsidRPr="007E67C5">
                    <w:rPr>
                      <w:b/>
                      <w:bCs/>
                      <w:szCs w:val="22"/>
                    </w:rPr>
                    <w:t>majority rating of 4 (high quality).</w:t>
                  </w:r>
                </w:p>
              </w:tc>
            </w:tr>
            <w:tr w:rsidR="006B08DB" w:rsidRPr="007E67C5" w:rsidTr="001B165D">
              <w:trPr>
                <w:cnfStyle w:val="000000010000" w:firstRow="0" w:lastRow="0" w:firstColumn="0" w:lastColumn="0" w:oddVBand="0" w:evenVBand="0" w:oddHBand="0" w:evenHBand="1" w:firstRowFirstColumn="0" w:firstRowLastColumn="0" w:lastRowFirstColumn="0" w:lastRowLastColumn="0"/>
              </w:trPr>
              <w:tc>
                <w:tcPr>
                  <w:tcW w:w="8788" w:type="dxa"/>
                  <w:vAlign w:val="center"/>
                </w:tcPr>
                <w:p w:rsidR="006B08DB" w:rsidRPr="007E67C5" w:rsidRDefault="006B08DB" w:rsidP="00B928E0">
                  <w:pPr>
                    <w:rPr>
                      <w:szCs w:val="22"/>
                    </w:rPr>
                  </w:pPr>
                  <w:r w:rsidRPr="007E67C5">
                    <w:rPr>
                      <w:szCs w:val="22"/>
                    </w:rPr>
                    <w:t xml:space="preserve">More families are </w:t>
                  </w:r>
                  <w:r w:rsidRPr="007E67C5">
                    <w:rPr>
                      <w:b/>
                      <w:bCs/>
                      <w:szCs w:val="22"/>
                    </w:rPr>
                    <w:t xml:space="preserve">taking up opportunities to interact with their children </w:t>
                  </w:r>
                  <w:r w:rsidRPr="007E67C5">
                    <w:rPr>
                      <w:szCs w:val="22"/>
                    </w:rPr>
                    <w:t xml:space="preserve">– from 43% of observations being missed opportunities to </w:t>
                  </w:r>
                  <w:r w:rsidRPr="007E67C5">
                    <w:rPr>
                      <w:b/>
                      <w:bCs/>
                      <w:szCs w:val="22"/>
                    </w:rPr>
                    <w:t xml:space="preserve">only 15% </w:t>
                  </w:r>
                  <w:r w:rsidRPr="007E67C5">
                    <w:rPr>
                      <w:szCs w:val="22"/>
                    </w:rPr>
                    <w:t>now fitting in that category.</w:t>
                  </w:r>
                </w:p>
              </w:tc>
            </w:tr>
            <w:tr w:rsidR="006B08DB" w:rsidRPr="007E67C5" w:rsidTr="001B165D">
              <w:trPr>
                <w:cnfStyle w:val="000000100000" w:firstRow="0" w:lastRow="0" w:firstColumn="0" w:lastColumn="0" w:oddVBand="0" w:evenVBand="0" w:oddHBand="1" w:evenHBand="0" w:firstRowFirstColumn="0" w:firstRowLastColumn="0" w:lastRowFirstColumn="0" w:lastRowLastColumn="0"/>
              </w:trPr>
              <w:tc>
                <w:tcPr>
                  <w:tcW w:w="8788" w:type="dxa"/>
                  <w:vAlign w:val="center"/>
                </w:tcPr>
                <w:p w:rsidR="006B08DB" w:rsidRPr="007E67C5" w:rsidRDefault="006B08DB" w:rsidP="00B928E0">
                  <w:pPr>
                    <w:rPr>
                      <w:szCs w:val="22"/>
                    </w:rPr>
                  </w:pPr>
                  <w:r w:rsidRPr="007E67C5">
                    <w:rPr>
                      <w:b/>
                      <w:bCs/>
                      <w:szCs w:val="22"/>
                    </w:rPr>
                    <w:t xml:space="preserve">Over 90% </w:t>
                  </w:r>
                  <w:r w:rsidRPr="007E67C5">
                    <w:rPr>
                      <w:szCs w:val="22"/>
                    </w:rPr>
                    <w:t xml:space="preserve">of families were </w:t>
                  </w:r>
                  <w:r w:rsidRPr="007E67C5">
                    <w:rPr>
                      <w:b/>
                      <w:bCs/>
                      <w:szCs w:val="22"/>
                    </w:rPr>
                    <w:t xml:space="preserve">engaged in interactive play </w:t>
                  </w:r>
                  <w:r w:rsidRPr="007E67C5">
                    <w:rPr>
                      <w:szCs w:val="22"/>
                    </w:rPr>
                    <w:t>with their child (a 48% increase).</w:t>
                  </w:r>
                </w:p>
              </w:tc>
            </w:tr>
            <w:tr w:rsidR="006B08DB" w:rsidRPr="007E67C5" w:rsidTr="001B165D">
              <w:trPr>
                <w:cnfStyle w:val="000000010000" w:firstRow="0" w:lastRow="0" w:firstColumn="0" w:lastColumn="0" w:oddVBand="0" w:evenVBand="0" w:oddHBand="0" w:evenHBand="1" w:firstRowFirstColumn="0" w:firstRowLastColumn="0" w:lastRowFirstColumn="0" w:lastRowLastColumn="0"/>
              </w:trPr>
              <w:tc>
                <w:tcPr>
                  <w:tcW w:w="8788" w:type="dxa"/>
                  <w:vAlign w:val="center"/>
                </w:tcPr>
                <w:p w:rsidR="006B08DB" w:rsidRPr="007E67C5" w:rsidRDefault="006B08DB" w:rsidP="00B928E0">
                  <w:pPr>
                    <w:rPr>
                      <w:szCs w:val="22"/>
                    </w:rPr>
                  </w:pPr>
                  <w:r w:rsidRPr="007E67C5">
                    <w:rPr>
                      <w:szCs w:val="22"/>
                    </w:rPr>
                    <w:t xml:space="preserve">Almost </w:t>
                  </w:r>
                  <w:r w:rsidRPr="007E67C5">
                    <w:rPr>
                      <w:b/>
                      <w:bCs/>
                      <w:szCs w:val="22"/>
                    </w:rPr>
                    <w:t xml:space="preserve">100% </w:t>
                  </w:r>
                  <w:r w:rsidRPr="007E67C5">
                    <w:rPr>
                      <w:szCs w:val="22"/>
                    </w:rPr>
                    <w:t xml:space="preserve">of families had </w:t>
                  </w:r>
                  <w:r w:rsidRPr="007E67C5">
                    <w:rPr>
                      <w:b/>
                      <w:bCs/>
                      <w:szCs w:val="22"/>
                    </w:rPr>
                    <w:t xml:space="preserve">realistic expectations </w:t>
                  </w:r>
                  <w:r w:rsidRPr="007E67C5">
                    <w:rPr>
                      <w:szCs w:val="22"/>
                    </w:rPr>
                    <w:t>of what their child could do (a 50% increase).</w:t>
                  </w:r>
                </w:p>
              </w:tc>
            </w:tr>
            <w:tr w:rsidR="006B08DB" w:rsidRPr="007E67C5" w:rsidTr="001B165D">
              <w:trPr>
                <w:cnfStyle w:val="000000100000" w:firstRow="0" w:lastRow="0" w:firstColumn="0" w:lastColumn="0" w:oddVBand="0" w:evenVBand="0" w:oddHBand="1" w:evenHBand="0" w:firstRowFirstColumn="0" w:firstRowLastColumn="0" w:lastRowFirstColumn="0" w:lastRowLastColumn="0"/>
              </w:trPr>
              <w:tc>
                <w:tcPr>
                  <w:tcW w:w="8788" w:type="dxa"/>
                  <w:vAlign w:val="center"/>
                </w:tcPr>
                <w:p w:rsidR="006B08DB" w:rsidRPr="007E67C5" w:rsidRDefault="006B08DB" w:rsidP="00B928E0">
                  <w:pPr>
                    <w:rPr>
                      <w:szCs w:val="22"/>
                    </w:rPr>
                  </w:pPr>
                  <w:r w:rsidRPr="007E67C5">
                    <w:rPr>
                      <w:b/>
                      <w:bCs/>
                      <w:szCs w:val="22"/>
                    </w:rPr>
                    <w:t xml:space="preserve">90% </w:t>
                  </w:r>
                  <w:r w:rsidRPr="007E67C5">
                    <w:rPr>
                      <w:szCs w:val="22"/>
                    </w:rPr>
                    <w:t xml:space="preserve">of families were engaged in </w:t>
                  </w:r>
                  <w:r w:rsidRPr="007E67C5">
                    <w:rPr>
                      <w:b/>
                      <w:bCs/>
                      <w:szCs w:val="22"/>
                    </w:rPr>
                    <w:t xml:space="preserve">interactive play </w:t>
                  </w:r>
                  <w:r w:rsidRPr="007E67C5">
                    <w:rPr>
                      <w:szCs w:val="22"/>
                    </w:rPr>
                    <w:t>with their child (a 50% increase).</w:t>
                  </w:r>
                </w:p>
              </w:tc>
            </w:tr>
            <w:tr w:rsidR="006B08DB" w:rsidRPr="007E67C5" w:rsidTr="001B165D">
              <w:trPr>
                <w:cnfStyle w:val="000000010000" w:firstRow="0" w:lastRow="0" w:firstColumn="0" w:lastColumn="0" w:oddVBand="0" w:evenVBand="0" w:oddHBand="0" w:evenHBand="1" w:firstRowFirstColumn="0" w:firstRowLastColumn="0" w:lastRowFirstColumn="0" w:lastRowLastColumn="0"/>
              </w:trPr>
              <w:tc>
                <w:tcPr>
                  <w:tcW w:w="8788" w:type="dxa"/>
                  <w:tcBorders>
                    <w:top w:val="nil"/>
                    <w:bottom w:val="single" w:sz="18" w:space="0" w:color="FFFFFF"/>
                  </w:tcBorders>
                  <w:shd w:val="pct60" w:color="000000" w:fill="FFFFFF"/>
                  <w:vAlign w:val="center"/>
                </w:tcPr>
                <w:p w:rsidR="006B08DB" w:rsidRPr="007E67C5" w:rsidRDefault="006B08DB" w:rsidP="00B928E0">
                  <w:pPr>
                    <w:rPr>
                      <w:b/>
                      <w:color w:val="0070C0"/>
                      <w:szCs w:val="22"/>
                    </w:rPr>
                  </w:pPr>
                  <w:r w:rsidRPr="007E67C5">
                    <w:rPr>
                      <w:b/>
                      <w:iCs/>
                      <w:color w:val="FFFFFF" w:themeColor="background1"/>
                      <w:szCs w:val="22"/>
                    </w:rPr>
                    <w:t xml:space="preserve">2) Families have increased knowledge of child development and behaviours to support learning </w:t>
                  </w:r>
                </w:p>
              </w:tc>
            </w:tr>
            <w:tr w:rsidR="006B08DB" w:rsidRPr="007E67C5" w:rsidTr="001B165D">
              <w:trPr>
                <w:cnfStyle w:val="000000100000" w:firstRow="0" w:lastRow="0" w:firstColumn="0" w:lastColumn="0" w:oddVBand="0" w:evenVBand="0" w:oddHBand="1" w:evenHBand="0" w:firstRowFirstColumn="0" w:firstRowLastColumn="0" w:lastRowFirstColumn="0" w:lastRowLastColumn="0"/>
              </w:trPr>
              <w:tc>
                <w:tcPr>
                  <w:tcW w:w="8788" w:type="dxa"/>
                  <w:tcBorders>
                    <w:top w:val="single" w:sz="18" w:space="0" w:color="FFFFFF"/>
                  </w:tcBorders>
                  <w:vAlign w:val="center"/>
                </w:tcPr>
                <w:p w:rsidR="006B08DB" w:rsidRPr="007E67C5" w:rsidRDefault="006B08DB" w:rsidP="00B928E0">
                  <w:pPr>
                    <w:rPr>
                      <w:szCs w:val="22"/>
                    </w:rPr>
                  </w:pPr>
                  <w:r w:rsidRPr="007E67C5">
                    <w:rPr>
                      <w:szCs w:val="22"/>
                    </w:rPr>
                    <w:t xml:space="preserve">Almost </w:t>
                  </w:r>
                  <w:r w:rsidRPr="007E67C5">
                    <w:rPr>
                      <w:b/>
                      <w:bCs/>
                      <w:szCs w:val="22"/>
                    </w:rPr>
                    <w:t xml:space="preserve">100% </w:t>
                  </w:r>
                  <w:r w:rsidRPr="007E67C5">
                    <w:rPr>
                      <w:szCs w:val="22"/>
                    </w:rPr>
                    <w:t xml:space="preserve">of children spend time </w:t>
                  </w:r>
                  <w:r w:rsidRPr="007E67C5">
                    <w:rPr>
                      <w:b/>
                      <w:bCs/>
                      <w:szCs w:val="22"/>
                    </w:rPr>
                    <w:t xml:space="preserve">reading together </w:t>
                  </w:r>
                  <w:r w:rsidRPr="007E67C5">
                    <w:rPr>
                      <w:szCs w:val="22"/>
                    </w:rPr>
                    <w:t>with an adult. There was a 25% increase in the proportion of families who do this daily.</w:t>
                  </w:r>
                </w:p>
              </w:tc>
            </w:tr>
            <w:tr w:rsidR="006B08DB" w:rsidRPr="007E67C5" w:rsidTr="001B165D">
              <w:trPr>
                <w:cnfStyle w:val="000000010000" w:firstRow="0" w:lastRow="0" w:firstColumn="0" w:lastColumn="0" w:oddVBand="0" w:evenVBand="0" w:oddHBand="0" w:evenHBand="1" w:firstRowFirstColumn="0" w:firstRowLastColumn="0" w:lastRowFirstColumn="0" w:lastRowLastColumn="0"/>
              </w:trPr>
              <w:tc>
                <w:tcPr>
                  <w:tcW w:w="8788" w:type="dxa"/>
                  <w:vAlign w:val="center"/>
                </w:tcPr>
                <w:p w:rsidR="006B08DB" w:rsidRPr="007E67C5" w:rsidRDefault="006B08DB" w:rsidP="00B928E0">
                  <w:pPr>
                    <w:rPr>
                      <w:szCs w:val="22"/>
                    </w:rPr>
                  </w:pPr>
                  <w:r w:rsidRPr="007E67C5">
                    <w:rPr>
                      <w:b/>
                      <w:bCs/>
                      <w:szCs w:val="22"/>
                    </w:rPr>
                    <w:t xml:space="preserve">78% </w:t>
                  </w:r>
                  <w:r w:rsidRPr="007E67C5">
                    <w:rPr>
                      <w:szCs w:val="22"/>
                    </w:rPr>
                    <w:t xml:space="preserve">of families are now </w:t>
                  </w:r>
                  <w:r w:rsidRPr="007E67C5">
                    <w:rPr>
                      <w:b/>
                      <w:bCs/>
                      <w:szCs w:val="22"/>
                    </w:rPr>
                    <w:t xml:space="preserve">visiting libraries </w:t>
                  </w:r>
                  <w:r w:rsidRPr="007E67C5">
                    <w:rPr>
                      <w:szCs w:val="22"/>
                    </w:rPr>
                    <w:t>(previously 50%) and 40% are using library programs and services programs (previously 31%).</w:t>
                  </w:r>
                </w:p>
              </w:tc>
            </w:tr>
            <w:tr w:rsidR="006B08DB" w:rsidRPr="007E67C5" w:rsidTr="001B165D">
              <w:trPr>
                <w:cnfStyle w:val="000000100000" w:firstRow="0" w:lastRow="0" w:firstColumn="0" w:lastColumn="0" w:oddVBand="0" w:evenVBand="0" w:oddHBand="1" w:evenHBand="0" w:firstRowFirstColumn="0" w:firstRowLastColumn="0" w:lastRowFirstColumn="0" w:lastRowLastColumn="0"/>
              </w:trPr>
              <w:tc>
                <w:tcPr>
                  <w:tcW w:w="8788" w:type="dxa"/>
                  <w:vAlign w:val="center"/>
                </w:tcPr>
                <w:p w:rsidR="006B08DB" w:rsidRPr="007E67C5" w:rsidRDefault="006B08DB" w:rsidP="00B928E0">
                  <w:pPr>
                    <w:rPr>
                      <w:szCs w:val="22"/>
                    </w:rPr>
                  </w:pPr>
                  <w:r w:rsidRPr="007E67C5">
                    <w:rPr>
                      <w:b/>
                      <w:bCs/>
                      <w:szCs w:val="22"/>
                    </w:rPr>
                    <w:t xml:space="preserve">68% </w:t>
                  </w:r>
                  <w:r w:rsidRPr="007E67C5">
                    <w:rPr>
                      <w:szCs w:val="22"/>
                    </w:rPr>
                    <w:t xml:space="preserve">of families are now </w:t>
                  </w:r>
                  <w:r w:rsidRPr="007E67C5">
                    <w:rPr>
                      <w:b/>
                      <w:bCs/>
                      <w:szCs w:val="22"/>
                    </w:rPr>
                    <w:t xml:space="preserve">borrowing books </w:t>
                  </w:r>
                  <w:r w:rsidRPr="007E67C5">
                    <w:rPr>
                      <w:szCs w:val="22"/>
                    </w:rPr>
                    <w:t>(previously only 39%).</w:t>
                  </w:r>
                </w:p>
              </w:tc>
            </w:tr>
            <w:tr w:rsidR="006B08DB" w:rsidRPr="007E67C5" w:rsidTr="001B165D">
              <w:trPr>
                <w:cnfStyle w:val="000000010000" w:firstRow="0" w:lastRow="0" w:firstColumn="0" w:lastColumn="0" w:oddVBand="0" w:evenVBand="0" w:oddHBand="0" w:evenHBand="1" w:firstRowFirstColumn="0" w:firstRowLastColumn="0" w:lastRowFirstColumn="0" w:lastRowLastColumn="0"/>
              </w:trPr>
              <w:tc>
                <w:tcPr>
                  <w:tcW w:w="8788" w:type="dxa"/>
                  <w:tcBorders>
                    <w:top w:val="nil"/>
                    <w:bottom w:val="single" w:sz="18" w:space="0" w:color="FFFFFF"/>
                  </w:tcBorders>
                  <w:shd w:val="pct60" w:color="000000" w:fill="FFFFFF"/>
                  <w:vAlign w:val="center"/>
                </w:tcPr>
                <w:p w:rsidR="006B08DB" w:rsidRPr="007E67C5" w:rsidRDefault="006B08DB" w:rsidP="00B928E0">
                  <w:pPr>
                    <w:rPr>
                      <w:b/>
                      <w:color w:val="0070C0"/>
                      <w:szCs w:val="22"/>
                    </w:rPr>
                  </w:pPr>
                  <w:r w:rsidRPr="007E67C5">
                    <w:rPr>
                      <w:b/>
                      <w:iCs/>
                      <w:color w:val="FFFFFF" w:themeColor="background1"/>
                      <w:szCs w:val="22"/>
                    </w:rPr>
                    <w:t>3) Families have increased confidence in experiences that influence children’s learning</w:t>
                  </w:r>
                </w:p>
              </w:tc>
            </w:tr>
            <w:tr w:rsidR="006B08DB" w:rsidRPr="007E67C5" w:rsidTr="001B165D">
              <w:trPr>
                <w:cnfStyle w:val="000000100000" w:firstRow="0" w:lastRow="0" w:firstColumn="0" w:lastColumn="0" w:oddVBand="0" w:evenVBand="0" w:oddHBand="1" w:evenHBand="0" w:firstRowFirstColumn="0" w:firstRowLastColumn="0" w:lastRowFirstColumn="0" w:lastRowLastColumn="0"/>
              </w:trPr>
              <w:tc>
                <w:tcPr>
                  <w:tcW w:w="8788" w:type="dxa"/>
                  <w:tcBorders>
                    <w:top w:val="single" w:sz="18" w:space="0" w:color="FFFFFF"/>
                  </w:tcBorders>
                  <w:vAlign w:val="center"/>
                </w:tcPr>
                <w:p w:rsidR="006B08DB" w:rsidRPr="007E67C5" w:rsidRDefault="006B08DB" w:rsidP="00B928E0">
                  <w:pPr>
                    <w:rPr>
                      <w:szCs w:val="22"/>
                    </w:rPr>
                  </w:pPr>
                  <w:r w:rsidRPr="007E67C5">
                    <w:rPr>
                      <w:b/>
                      <w:bCs/>
                      <w:szCs w:val="22"/>
                    </w:rPr>
                    <w:t xml:space="preserve">A marked improvement in families’ confidence </w:t>
                  </w:r>
                  <w:r w:rsidRPr="007E67C5">
                    <w:rPr>
                      <w:szCs w:val="22"/>
                    </w:rPr>
                    <w:t xml:space="preserve">in a wide range of activities that support children’s </w:t>
                  </w:r>
                  <w:r w:rsidRPr="007E67C5">
                    <w:rPr>
                      <w:b/>
                      <w:bCs/>
                      <w:szCs w:val="22"/>
                    </w:rPr>
                    <w:t>learning, social and literacy development.</w:t>
                  </w:r>
                </w:p>
              </w:tc>
            </w:tr>
            <w:tr w:rsidR="006B08DB" w:rsidRPr="007E67C5" w:rsidTr="001B165D">
              <w:trPr>
                <w:cnfStyle w:val="000000010000" w:firstRow="0" w:lastRow="0" w:firstColumn="0" w:lastColumn="0" w:oddVBand="0" w:evenVBand="0" w:oddHBand="0" w:evenHBand="1" w:firstRowFirstColumn="0" w:firstRowLastColumn="0" w:lastRowFirstColumn="0" w:lastRowLastColumn="0"/>
              </w:trPr>
              <w:tc>
                <w:tcPr>
                  <w:tcW w:w="8788" w:type="dxa"/>
                  <w:vAlign w:val="center"/>
                </w:tcPr>
                <w:p w:rsidR="006B08DB" w:rsidRPr="007E67C5" w:rsidRDefault="006B08DB" w:rsidP="00B928E0">
                  <w:pPr>
                    <w:rPr>
                      <w:szCs w:val="22"/>
                    </w:rPr>
                  </w:pPr>
                  <w:r w:rsidRPr="007E67C5">
                    <w:rPr>
                      <w:b/>
                      <w:bCs/>
                      <w:szCs w:val="22"/>
                    </w:rPr>
                    <w:t xml:space="preserve">Increased </w:t>
                  </w:r>
                  <w:r w:rsidRPr="007E67C5">
                    <w:rPr>
                      <w:szCs w:val="22"/>
                    </w:rPr>
                    <w:t xml:space="preserve">percentage of families reporting that they are now </w:t>
                  </w:r>
                  <w:r w:rsidRPr="007E67C5">
                    <w:rPr>
                      <w:b/>
                      <w:bCs/>
                      <w:szCs w:val="22"/>
                    </w:rPr>
                    <w:t xml:space="preserve">very confident </w:t>
                  </w:r>
                  <w:r w:rsidRPr="007E67C5">
                    <w:rPr>
                      <w:szCs w:val="22"/>
                    </w:rPr>
                    <w:t xml:space="preserve">in a range of </w:t>
                  </w:r>
                  <w:r w:rsidRPr="007E67C5">
                    <w:rPr>
                      <w:szCs w:val="22"/>
                    </w:rPr>
                    <w:lastRenderedPageBreak/>
                    <w:t>experiences that have an influence on children’s learning</w:t>
                  </w:r>
                </w:p>
              </w:tc>
            </w:tr>
          </w:tbl>
          <w:p w:rsidR="00E709D5" w:rsidRDefault="00E709D5" w:rsidP="00B928E0">
            <w:pPr>
              <w:rPr>
                <w:b/>
                <w:szCs w:val="22"/>
              </w:rPr>
            </w:pPr>
          </w:p>
          <w:p w:rsidR="006B08DB" w:rsidRPr="007E67C5" w:rsidRDefault="006B08DB" w:rsidP="00B928E0">
            <w:pPr>
              <w:rPr>
                <w:b/>
                <w:szCs w:val="22"/>
              </w:rPr>
            </w:pPr>
            <w:r w:rsidRPr="007E67C5">
              <w:rPr>
                <w:b/>
                <w:szCs w:val="22"/>
              </w:rPr>
              <w:t>Sustainability</w:t>
            </w:r>
          </w:p>
          <w:p w:rsidR="007A446E" w:rsidRDefault="006B08DB" w:rsidP="00B928E0">
            <w:pPr>
              <w:rPr>
                <w:szCs w:val="22"/>
              </w:rPr>
            </w:pPr>
            <w:r w:rsidRPr="007E67C5">
              <w:rPr>
                <w:szCs w:val="22"/>
              </w:rPr>
              <w:t xml:space="preserve">The development of the </w:t>
            </w:r>
            <w:r w:rsidRPr="007E67C5">
              <w:rPr>
                <w:i/>
                <w:szCs w:val="22"/>
              </w:rPr>
              <w:t xml:space="preserve">Learning together </w:t>
            </w:r>
            <w:r w:rsidRPr="006B08DB">
              <w:rPr>
                <w:szCs w:val="22"/>
              </w:rPr>
              <w:t>approach to working with families</w:t>
            </w:r>
            <w:r w:rsidRPr="007E67C5">
              <w:rPr>
                <w:i/>
                <w:szCs w:val="22"/>
              </w:rPr>
              <w:t xml:space="preserve"> </w:t>
            </w:r>
            <w:r w:rsidRPr="007E67C5">
              <w:rPr>
                <w:szCs w:val="22"/>
              </w:rPr>
              <w:t xml:space="preserve">has seen the influence of </w:t>
            </w:r>
            <w:r w:rsidRPr="007E67C5">
              <w:rPr>
                <w:i/>
                <w:szCs w:val="22"/>
              </w:rPr>
              <w:t>Learning together</w:t>
            </w:r>
            <w:r w:rsidRPr="007E67C5">
              <w:rPr>
                <w:szCs w:val="22"/>
              </w:rPr>
              <w:t xml:space="preserve"> reflected in several projects and programs across the early years, including the </w:t>
            </w:r>
            <w:r w:rsidRPr="007E67C5">
              <w:rPr>
                <w:i/>
                <w:szCs w:val="22"/>
              </w:rPr>
              <w:t>Playgroups in schools</w:t>
            </w:r>
            <w:r w:rsidRPr="007E67C5">
              <w:rPr>
                <w:szCs w:val="22"/>
              </w:rPr>
              <w:t xml:space="preserve"> program, and the </w:t>
            </w:r>
            <w:proofErr w:type="spellStart"/>
            <w:r w:rsidRPr="007E67C5">
              <w:rPr>
                <w:i/>
                <w:szCs w:val="22"/>
              </w:rPr>
              <w:t>Love2learn</w:t>
            </w:r>
            <w:proofErr w:type="spellEnd"/>
            <w:r w:rsidRPr="007E67C5">
              <w:rPr>
                <w:i/>
                <w:szCs w:val="22"/>
              </w:rPr>
              <w:t xml:space="preserve"> </w:t>
            </w:r>
            <w:r w:rsidRPr="007E67C5">
              <w:rPr>
                <w:szCs w:val="22"/>
              </w:rPr>
              <w:t xml:space="preserve">initiative through </w:t>
            </w:r>
            <w:r w:rsidRPr="007E67C5">
              <w:rPr>
                <w:i/>
                <w:szCs w:val="22"/>
              </w:rPr>
              <w:t>The Advertiser</w:t>
            </w:r>
            <w:r w:rsidRPr="007E67C5">
              <w:rPr>
                <w:szCs w:val="22"/>
              </w:rPr>
              <w:t xml:space="preserve"> newspaper.</w:t>
            </w:r>
          </w:p>
          <w:p w:rsidR="00E709D5" w:rsidRDefault="00E709D5" w:rsidP="00B928E0">
            <w:pPr>
              <w:rPr>
                <w:szCs w:val="22"/>
              </w:rPr>
            </w:pPr>
          </w:p>
          <w:p w:rsidR="00E709D5" w:rsidRDefault="00E709D5" w:rsidP="00B928E0">
            <w:pPr>
              <w:rPr>
                <w:szCs w:val="22"/>
              </w:rPr>
            </w:pPr>
          </w:p>
          <w:p w:rsidR="006B08DB" w:rsidRPr="00E709D5" w:rsidRDefault="006B08DB" w:rsidP="00B928E0">
            <w:pPr>
              <w:rPr>
                <w:b/>
                <w:sz w:val="24"/>
                <w:szCs w:val="24"/>
              </w:rPr>
            </w:pPr>
            <w:r w:rsidRPr="00E709D5">
              <w:rPr>
                <w:b/>
                <w:sz w:val="24"/>
                <w:szCs w:val="24"/>
              </w:rPr>
              <w:t>WHOLE SCHOOL IMPROVEMENT, LEADERSHIP DEVELOPMENT AND IMPROVED TEACHER PRACTICE</w:t>
            </w:r>
          </w:p>
          <w:p w:rsidR="00E709D5" w:rsidRPr="007E67C5" w:rsidRDefault="00E709D5" w:rsidP="00B928E0">
            <w:pPr>
              <w:rPr>
                <w:b/>
                <w:szCs w:val="24"/>
              </w:rPr>
            </w:pPr>
          </w:p>
          <w:p w:rsidR="006B08DB" w:rsidRPr="007E67C5" w:rsidRDefault="006B08DB" w:rsidP="00B928E0">
            <w:pPr>
              <w:rPr>
                <w:b/>
                <w:szCs w:val="24"/>
              </w:rPr>
            </w:pPr>
            <w:r w:rsidRPr="007E67C5">
              <w:rPr>
                <w:b/>
                <w:szCs w:val="24"/>
              </w:rPr>
              <w:t>Teaching for Effective Learning (</w:t>
            </w:r>
            <w:proofErr w:type="spellStart"/>
            <w:r w:rsidRPr="007E67C5">
              <w:rPr>
                <w:b/>
                <w:szCs w:val="24"/>
              </w:rPr>
              <w:t>TfEL</w:t>
            </w:r>
            <w:proofErr w:type="spellEnd"/>
            <w:r w:rsidRPr="007E67C5">
              <w:rPr>
                <w:b/>
                <w:szCs w:val="24"/>
              </w:rPr>
              <w:t>)</w:t>
            </w:r>
          </w:p>
          <w:p w:rsidR="006B08DB" w:rsidRDefault="006B08DB" w:rsidP="00B928E0">
            <w:pPr>
              <w:rPr>
                <w:szCs w:val="22"/>
              </w:rPr>
            </w:pPr>
            <w:r w:rsidRPr="007E67C5">
              <w:rPr>
                <w:szCs w:val="22"/>
              </w:rPr>
              <w:t xml:space="preserve">South Australia’s </w:t>
            </w:r>
            <w:r w:rsidRPr="007E67C5">
              <w:rPr>
                <w:i/>
                <w:szCs w:val="22"/>
              </w:rPr>
              <w:t>Teaching for effective learning</w:t>
            </w:r>
            <w:r w:rsidRPr="007E67C5">
              <w:rPr>
                <w:szCs w:val="22"/>
              </w:rPr>
              <w:t xml:space="preserve"> (</w:t>
            </w:r>
            <w:proofErr w:type="spellStart"/>
            <w:r w:rsidRPr="007E67C5">
              <w:rPr>
                <w:szCs w:val="22"/>
              </w:rPr>
              <w:t>TfEL</w:t>
            </w:r>
            <w:proofErr w:type="spellEnd"/>
            <w:r w:rsidRPr="007E67C5">
              <w:rPr>
                <w:szCs w:val="22"/>
              </w:rPr>
              <w:t>) pedagogy research is providing significant insights into the issues at the heart of improving teaching and learning in Communities Making a Difference (</w:t>
            </w:r>
            <w:proofErr w:type="spellStart"/>
            <w:r w:rsidRPr="007E67C5">
              <w:rPr>
                <w:szCs w:val="22"/>
              </w:rPr>
              <w:t>CMaD</w:t>
            </w:r>
            <w:proofErr w:type="spellEnd"/>
            <w:r w:rsidRPr="007E67C5">
              <w:rPr>
                <w:szCs w:val="22"/>
              </w:rPr>
              <w:t xml:space="preserve">) schools. These insights have been catalytic in developing greater coherence and a whole of system approach to teaching and learning in South Australia, through policy and professional learning priorities and resource development. </w:t>
            </w:r>
          </w:p>
          <w:p w:rsidR="00E709D5" w:rsidRPr="007E67C5" w:rsidRDefault="00E709D5" w:rsidP="00B928E0">
            <w:pPr>
              <w:rPr>
                <w:szCs w:val="22"/>
              </w:rPr>
            </w:pPr>
          </w:p>
          <w:p w:rsidR="006B08DB" w:rsidRDefault="006B08DB" w:rsidP="00B928E0">
            <w:pPr>
              <w:rPr>
                <w:rFonts w:ascii="Calibri" w:hAnsi="Calibri" w:cs="Calibri"/>
                <w:szCs w:val="22"/>
              </w:rPr>
            </w:pPr>
            <w:r w:rsidRPr="007E67C5">
              <w:rPr>
                <w:rFonts w:ascii="Calibri" w:hAnsi="Calibri" w:cs="Calibri"/>
                <w:szCs w:val="22"/>
              </w:rPr>
              <w:t xml:space="preserve">The 2013 research involves 29 SA primary and secondary schools. Working with international researchers, the </w:t>
            </w:r>
            <w:proofErr w:type="spellStart"/>
            <w:r w:rsidRPr="007E67C5">
              <w:rPr>
                <w:rFonts w:ascii="Calibri" w:hAnsi="Calibri" w:cs="Calibri"/>
                <w:szCs w:val="22"/>
              </w:rPr>
              <w:t>TfEL</w:t>
            </w:r>
            <w:proofErr w:type="spellEnd"/>
            <w:r w:rsidRPr="007E67C5">
              <w:rPr>
                <w:rFonts w:ascii="Calibri" w:hAnsi="Calibri" w:cs="Calibri"/>
                <w:szCs w:val="22"/>
              </w:rPr>
              <w:t xml:space="preserve"> research team is conducting 258 classroom observations and supporting 1 290 student participants in the SA </w:t>
            </w:r>
            <w:proofErr w:type="spellStart"/>
            <w:r w:rsidRPr="007E67C5">
              <w:rPr>
                <w:rFonts w:ascii="Calibri" w:hAnsi="Calibri" w:cs="Calibri"/>
                <w:szCs w:val="22"/>
              </w:rPr>
              <w:t>TfEL</w:t>
            </w:r>
            <w:proofErr w:type="spellEnd"/>
            <w:r w:rsidRPr="007E67C5">
              <w:rPr>
                <w:rFonts w:ascii="Calibri" w:hAnsi="Calibri" w:cs="Calibri"/>
                <w:szCs w:val="22"/>
              </w:rPr>
              <w:t xml:space="preserve"> </w:t>
            </w:r>
            <w:r w:rsidRPr="007E67C5">
              <w:rPr>
                <w:rFonts w:ascii="Calibri" w:hAnsi="Calibri" w:cs="Calibri"/>
                <w:i/>
                <w:szCs w:val="22"/>
              </w:rPr>
              <w:t>Online compass</w:t>
            </w:r>
            <w:r w:rsidRPr="007E67C5">
              <w:rPr>
                <w:rFonts w:ascii="Calibri" w:hAnsi="Calibri" w:cs="Calibri"/>
                <w:szCs w:val="22"/>
              </w:rPr>
              <w:t xml:space="preserve">, 1 400 students in the </w:t>
            </w:r>
            <w:r w:rsidRPr="007E67C5">
              <w:rPr>
                <w:rFonts w:ascii="Calibri" w:hAnsi="Calibri" w:cs="Calibri"/>
                <w:i/>
                <w:szCs w:val="22"/>
              </w:rPr>
              <w:t xml:space="preserve">Effective lifelong learning inventory </w:t>
            </w:r>
            <w:r w:rsidRPr="007E67C5">
              <w:rPr>
                <w:rFonts w:ascii="Calibri" w:hAnsi="Calibri" w:cs="Calibri"/>
                <w:szCs w:val="22"/>
              </w:rPr>
              <w:t xml:space="preserve">survey and 40 teacher interviews. </w:t>
            </w:r>
          </w:p>
          <w:p w:rsidR="00E709D5" w:rsidRPr="007E67C5" w:rsidRDefault="00E709D5" w:rsidP="00B928E0">
            <w:pPr>
              <w:rPr>
                <w:rFonts w:ascii="Calibri" w:hAnsi="Calibri" w:cs="Calibri"/>
                <w:szCs w:val="22"/>
              </w:rPr>
            </w:pPr>
          </w:p>
          <w:p w:rsidR="006B08DB" w:rsidRDefault="006B08DB" w:rsidP="00B928E0">
            <w:pPr>
              <w:rPr>
                <w:szCs w:val="22"/>
              </w:rPr>
            </w:pPr>
            <w:r w:rsidRPr="007E67C5">
              <w:rPr>
                <w:szCs w:val="22"/>
              </w:rPr>
              <w:t xml:space="preserve">By qualifying the relationships between effective pedagogy and outcomes for learners – lifelong learning, achievement and complex relational thinking – the SA </w:t>
            </w:r>
            <w:proofErr w:type="spellStart"/>
            <w:r w:rsidRPr="007E67C5">
              <w:rPr>
                <w:szCs w:val="22"/>
              </w:rPr>
              <w:t>TfEL</w:t>
            </w:r>
            <w:proofErr w:type="spellEnd"/>
            <w:r w:rsidRPr="007E67C5">
              <w:rPr>
                <w:szCs w:val="22"/>
              </w:rPr>
              <w:t xml:space="preserve"> research can inform system-wide initiatives and school specific initiatives for targeted support to leaders to develop quality pedagogy in their schools.</w:t>
            </w:r>
          </w:p>
          <w:p w:rsidR="00E709D5" w:rsidRPr="007E67C5" w:rsidRDefault="00E709D5" w:rsidP="00B928E0">
            <w:pPr>
              <w:rPr>
                <w:szCs w:val="22"/>
              </w:rPr>
            </w:pPr>
          </w:p>
          <w:p w:rsidR="006B08DB" w:rsidRDefault="006B08DB" w:rsidP="00B928E0">
            <w:pPr>
              <w:rPr>
                <w:szCs w:val="22"/>
              </w:rPr>
            </w:pPr>
            <w:r w:rsidRPr="007E67C5">
              <w:rPr>
                <w:szCs w:val="22"/>
              </w:rPr>
              <w:t xml:space="preserve">The SA </w:t>
            </w:r>
            <w:proofErr w:type="spellStart"/>
            <w:r w:rsidRPr="007E67C5">
              <w:rPr>
                <w:szCs w:val="22"/>
              </w:rPr>
              <w:t>TfEL</w:t>
            </w:r>
            <w:proofErr w:type="spellEnd"/>
            <w:r w:rsidRPr="007E67C5">
              <w:rPr>
                <w:szCs w:val="22"/>
              </w:rPr>
              <w:t xml:space="preserve"> research project continues to attract international interest from academic researchers for its path finding methodology, scope and trialling of a robust integration of quantitative and qualitative data sets. Links have been established with professional learning colleagues nationally and internationally.</w:t>
            </w:r>
          </w:p>
          <w:p w:rsidR="00E709D5" w:rsidRPr="007E67C5" w:rsidRDefault="00E709D5" w:rsidP="00B928E0">
            <w:pPr>
              <w:rPr>
                <w:szCs w:val="22"/>
              </w:rPr>
            </w:pPr>
          </w:p>
          <w:p w:rsidR="006B08DB" w:rsidRPr="007E67C5" w:rsidRDefault="006B08DB" w:rsidP="00B928E0">
            <w:pPr>
              <w:rPr>
                <w:b/>
                <w:bCs/>
                <w:szCs w:val="22"/>
              </w:rPr>
            </w:pPr>
            <w:r w:rsidRPr="007E67C5">
              <w:rPr>
                <w:b/>
                <w:bCs/>
                <w:szCs w:val="22"/>
              </w:rPr>
              <w:t xml:space="preserve">SA </w:t>
            </w:r>
            <w:proofErr w:type="spellStart"/>
            <w:r w:rsidRPr="007E67C5">
              <w:rPr>
                <w:b/>
                <w:bCs/>
                <w:szCs w:val="22"/>
              </w:rPr>
              <w:t>TfEL</w:t>
            </w:r>
            <w:proofErr w:type="spellEnd"/>
            <w:r w:rsidRPr="007E67C5">
              <w:rPr>
                <w:b/>
                <w:bCs/>
                <w:szCs w:val="22"/>
              </w:rPr>
              <w:t xml:space="preserve"> research is showing strong correlation with international research into the modes of teacher professional learning that are most likely to improve student outcomes:</w:t>
            </w:r>
          </w:p>
          <w:p w:rsidR="006B08DB" w:rsidRPr="007E67C5" w:rsidRDefault="006B08DB" w:rsidP="00AE6D45">
            <w:pPr>
              <w:pStyle w:val="ListParagraph"/>
              <w:numPr>
                <w:ilvl w:val="0"/>
                <w:numId w:val="7"/>
              </w:numPr>
              <w:tabs>
                <w:tab w:val="clear" w:pos="720"/>
                <w:tab w:val="num" w:pos="1134"/>
              </w:tabs>
              <w:ind w:left="1134" w:hanging="425"/>
              <w:jc w:val="left"/>
            </w:pPr>
            <w:r w:rsidRPr="007E67C5">
              <w:rPr>
                <w:i/>
              </w:rPr>
              <w:t>“</w:t>
            </w:r>
            <w:proofErr w:type="spellStart"/>
            <w:r w:rsidRPr="007E67C5">
              <w:rPr>
                <w:i/>
              </w:rPr>
              <w:t>CPD</w:t>
            </w:r>
            <w:proofErr w:type="spellEnd"/>
            <w:r w:rsidRPr="007E67C5">
              <w:rPr>
                <w:i/>
              </w:rPr>
              <w:t xml:space="preserve"> (continuing professional development) for teachers is more likely to benefit students if it is: collaborative... supported by specialist expertise... focused on aspirations for students ... sustained over time ...exploring evidence from trying new things to connect practice to theory, enabling practitioners to transfer new approaches … and the concepts underpinning them to practice in multiple contexts.”</w:t>
            </w:r>
            <w:r w:rsidRPr="007E67C5">
              <w:t xml:space="preserve"> </w:t>
            </w:r>
            <w:r w:rsidRPr="007E67C5">
              <w:br/>
              <w:t>(</w:t>
            </w:r>
            <w:proofErr w:type="spellStart"/>
            <w:r w:rsidRPr="007E67C5">
              <w:t>Cordingley</w:t>
            </w:r>
            <w:proofErr w:type="spellEnd"/>
            <w:r w:rsidRPr="007E67C5">
              <w:t xml:space="preserve"> et al, Understanding What Enables High Quality Professional Learning, 2012).</w:t>
            </w:r>
          </w:p>
          <w:p w:rsidR="006B08DB" w:rsidRPr="007E67C5" w:rsidRDefault="006B08DB" w:rsidP="00B928E0">
            <w:pPr>
              <w:rPr>
                <w:b/>
                <w:bCs/>
                <w:szCs w:val="22"/>
              </w:rPr>
            </w:pPr>
            <w:r w:rsidRPr="007E67C5">
              <w:rPr>
                <w:b/>
                <w:bCs/>
                <w:szCs w:val="22"/>
              </w:rPr>
              <w:t xml:space="preserve">The SA </w:t>
            </w:r>
            <w:proofErr w:type="spellStart"/>
            <w:r w:rsidRPr="007E67C5">
              <w:rPr>
                <w:b/>
                <w:bCs/>
                <w:szCs w:val="22"/>
              </w:rPr>
              <w:t>TfEL</w:t>
            </w:r>
            <w:proofErr w:type="spellEnd"/>
            <w:r w:rsidRPr="007E67C5">
              <w:rPr>
                <w:b/>
                <w:bCs/>
                <w:szCs w:val="22"/>
              </w:rPr>
              <w:t xml:space="preserve"> research project is having a positive impact on teachers’ professional learning for improved student outcomes. Key indications in Stage 2 schools are that:</w:t>
            </w:r>
          </w:p>
          <w:p w:rsidR="006B08DB" w:rsidRPr="004D5A9E" w:rsidRDefault="006B08DB" w:rsidP="00AE6D45">
            <w:pPr>
              <w:pStyle w:val="ListParagraph"/>
              <w:numPr>
                <w:ilvl w:val="0"/>
                <w:numId w:val="7"/>
              </w:numPr>
              <w:tabs>
                <w:tab w:val="clear" w:pos="720"/>
                <w:tab w:val="num" w:pos="1134"/>
              </w:tabs>
              <w:ind w:left="1134" w:hanging="425"/>
              <w:jc w:val="left"/>
            </w:pPr>
            <w:proofErr w:type="gramStart"/>
            <w:r w:rsidRPr="004D5A9E">
              <w:t>leaders</w:t>
            </w:r>
            <w:proofErr w:type="gramEnd"/>
            <w:r w:rsidRPr="004D5A9E">
              <w:t xml:space="preserve"> and teachers are ‘opening classroom doors’ through deliberate de-privatisation of practice focusing on student learning. The research involvement is being welcomed as a timely external influence</w:t>
            </w:r>
          </w:p>
          <w:p w:rsidR="006B08DB" w:rsidRPr="004D5A9E" w:rsidRDefault="006B08DB" w:rsidP="00AE6D45">
            <w:pPr>
              <w:pStyle w:val="ListParagraph"/>
              <w:numPr>
                <w:ilvl w:val="0"/>
                <w:numId w:val="7"/>
              </w:numPr>
              <w:tabs>
                <w:tab w:val="clear" w:pos="720"/>
                <w:tab w:val="num" w:pos="1134"/>
              </w:tabs>
              <w:ind w:left="1134" w:hanging="425"/>
              <w:jc w:val="left"/>
            </w:pPr>
            <w:r w:rsidRPr="004D5A9E">
              <w:t xml:space="preserve">classroom observations and professional conversations explicitly reference practice against the principles of the SA </w:t>
            </w:r>
            <w:proofErr w:type="spellStart"/>
            <w:r w:rsidRPr="004D5A9E">
              <w:t>TfEL</w:t>
            </w:r>
            <w:proofErr w:type="spellEnd"/>
            <w:r w:rsidRPr="004D5A9E">
              <w:t xml:space="preserve"> framework and raise opportunities for whole-staff uptake</w:t>
            </w:r>
          </w:p>
          <w:p w:rsidR="006B08DB" w:rsidRPr="004D5A9E" w:rsidRDefault="006B08DB" w:rsidP="00AE6D45">
            <w:pPr>
              <w:pStyle w:val="ListParagraph"/>
              <w:numPr>
                <w:ilvl w:val="0"/>
                <w:numId w:val="7"/>
              </w:numPr>
              <w:tabs>
                <w:tab w:val="clear" w:pos="720"/>
                <w:tab w:val="num" w:pos="1134"/>
              </w:tabs>
              <w:ind w:left="1134" w:hanging="425"/>
              <w:jc w:val="left"/>
            </w:pPr>
            <w:r w:rsidRPr="004D5A9E">
              <w:t>targeted professional learning initiatives record leader/teacher participation in excess of 600</w:t>
            </w:r>
          </w:p>
          <w:p w:rsidR="006B08DB" w:rsidRPr="004D5A9E" w:rsidRDefault="006B08DB" w:rsidP="00AE6D45">
            <w:pPr>
              <w:pStyle w:val="ListParagraph"/>
              <w:numPr>
                <w:ilvl w:val="0"/>
                <w:numId w:val="7"/>
              </w:numPr>
              <w:tabs>
                <w:tab w:val="clear" w:pos="720"/>
                <w:tab w:val="num" w:pos="1134"/>
              </w:tabs>
              <w:ind w:left="1134" w:hanging="425"/>
              <w:jc w:val="left"/>
            </w:pPr>
            <w:r w:rsidRPr="004D5A9E">
              <w:t>teachers are researchers of their own practice (</w:t>
            </w:r>
            <w:proofErr w:type="spellStart"/>
            <w:r w:rsidRPr="004D5A9E">
              <w:t>eg</w:t>
            </w:r>
            <w:proofErr w:type="spellEnd"/>
            <w:r w:rsidRPr="004D5A9E">
              <w:t>, developing and critiquing annotated classroom videos in ‘smart borrowing’ initiatives with Professor Peter Taylor, Griffith University, Queensland)</w:t>
            </w:r>
          </w:p>
          <w:p w:rsidR="006B08DB" w:rsidRPr="004D5A9E" w:rsidRDefault="006B08DB" w:rsidP="00AE6D45">
            <w:pPr>
              <w:pStyle w:val="ListParagraph"/>
              <w:numPr>
                <w:ilvl w:val="0"/>
                <w:numId w:val="7"/>
              </w:numPr>
              <w:tabs>
                <w:tab w:val="clear" w:pos="720"/>
                <w:tab w:val="num" w:pos="1134"/>
              </w:tabs>
              <w:ind w:left="1134" w:hanging="425"/>
              <w:jc w:val="left"/>
            </w:pPr>
            <w:proofErr w:type="gramStart"/>
            <w:r w:rsidRPr="004D5A9E">
              <w:t>students</w:t>
            </w:r>
            <w:proofErr w:type="gramEnd"/>
            <w:r w:rsidRPr="004D5A9E">
              <w:t xml:space="preserve"> are active participants in the research process. The SA </w:t>
            </w:r>
            <w:proofErr w:type="spellStart"/>
            <w:r w:rsidRPr="004D5A9E">
              <w:t>TfEL</w:t>
            </w:r>
            <w:proofErr w:type="spellEnd"/>
            <w:r w:rsidRPr="004D5A9E">
              <w:t xml:space="preserve"> </w:t>
            </w:r>
            <w:r w:rsidRPr="004D5A9E">
              <w:rPr>
                <w:i/>
              </w:rPr>
              <w:t xml:space="preserve">Online student compass </w:t>
            </w:r>
            <w:r w:rsidRPr="004D5A9E">
              <w:lastRenderedPageBreak/>
              <w:t>is giving students a vehicle to understand themselves as learners and provide feedback for teachers. This work is contributing to the development of a state-wide professional development tool</w:t>
            </w:r>
          </w:p>
          <w:p w:rsidR="006B08DB" w:rsidRPr="004D5A9E" w:rsidRDefault="006B08DB" w:rsidP="00AE6D45">
            <w:pPr>
              <w:pStyle w:val="ListParagraph"/>
              <w:numPr>
                <w:ilvl w:val="0"/>
                <w:numId w:val="7"/>
              </w:numPr>
              <w:tabs>
                <w:tab w:val="clear" w:pos="720"/>
                <w:tab w:val="num" w:pos="1134"/>
              </w:tabs>
              <w:ind w:left="1134" w:hanging="425"/>
              <w:jc w:val="left"/>
            </w:pPr>
            <w:r w:rsidRPr="004D5A9E">
              <w:t xml:space="preserve">in Round 1 observations, 270 students in years 3-10 were consulted in the development and implementation of the SA </w:t>
            </w:r>
            <w:proofErr w:type="spellStart"/>
            <w:r w:rsidRPr="004D5A9E">
              <w:t>TfEL</w:t>
            </w:r>
            <w:proofErr w:type="spellEnd"/>
            <w:r w:rsidRPr="004D5A9E">
              <w:t xml:space="preserve"> Compass: </w:t>
            </w:r>
          </w:p>
          <w:p w:rsidR="006B08DB" w:rsidRPr="004D5A9E" w:rsidRDefault="006B08DB" w:rsidP="00AE6D45">
            <w:pPr>
              <w:pStyle w:val="ListParagraph"/>
              <w:numPr>
                <w:ilvl w:val="1"/>
                <w:numId w:val="7"/>
              </w:numPr>
              <w:jc w:val="left"/>
            </w:pPr>
            <w:r w:rsidRPr="004D5A9E">
              <w:t xml:space="preserve">Over 90% of students willingly engaged, indicated effort to answer accurately and valued the opportunity to record their opinions. </w:t>
            </w:r>
          </w:p>
          <w:p w:rsidR="006B08DB" w:rsidRPr="007E67C5" w:rsidRDefault="006B08DB" w:rsidP="00B928E0">
            <w:pPr>
              <w:rPr>
                <w:szCs w:val="22"/>
              </w:rPr>
            </w:pPr>
            <w:r w:rsidRPr="007E67C5">
              <w:rPr>
                <w:b/>
                <w:bCs/>
                <w:szCs w:val="22"/>
              </w:rPr>
              <w:t>Feedback from the Stage 2 Leaders’ Day, June 2013:</w:t>
            </w:r>
          </w:p>
          <w:p w:rsidR="006B08DB" w:rsidRPr="007E67C5" w:rsidRDefault="006B08DB" w:rsidP="00AE6D45">
            <w:pPr>
              <w:pStyle w:val="ListParagraph"/>
              <w:numPr>
                <w:ilvl w:val="0"/>
                <w:numId w:val="7"/>
              </w:numPr>
              <w:tabs>
                <w:tab w:val="clear" w:pos="720"/>
                <w:tab w:val="num" w:pos="1134"/>
              </w:tabs>
              <w:ind w:left="1134" w:hanging="425"/>
              <w:jc w:val="left"/>
            </w:pPr>
            <w:r w:rsidRPr="007E67C5">
              <w:t xml:space="preserve">92% of leaders say that involvement in the SA </w:t>
            </w:r>
            <w:proofErr w:type="spellStart"/>
            <w:r w:rsidRPr="007E67C5">
              <w:t>TfEL</w:t>
            </w:r>
            <w:proofErr w:type="spellEnd"/>
            <w:r w:rsidRPr="007E67C5">
              <w:t xml:space="preserve"> research project is value adding as a catalyst for their schools’ work in de-</w:t>
            </w:r>
            <w:proofErr w:type="spellStart"/>
            <w:r w:rsidRPr="007E67C5">
              <w:t>privatisising</w:t>
            </w:r>
            <w:proofErr w:type="spellEnd"/>
            <w:r w:rsidRPr="007E67C5">
              <w:t xml:space="preserve"> teacher practice: </w:t>
            </w:r>
          </w:p>
          <w:p w:rsidR="006B08DB" w:rsidRPr="007E67C5" w:rsidRDefault="006B08DB" w:rsidP="00AE6D45">
            <w:pPr>
              <w:pStyle w:val="ListParagraph"/>
              <w:numPr>
                <w:ilvl w:val="1"/>
                <w:numId w:val="7"/>
              </w:numPr>
              <w:jc w:val="left"/>
            </w:pPr>
            <w:r w:rsidRPr="007E67C5">
              <w:t>“...promoting collegiate discussion and experimentation of practice.”</w:t>
            </w:r>
          </w:p>
          <w:p w:rsidR="006B08DB" w:rsidRPr="007E67C5" w:rsidRDefault="006B08DB" w:rsidP="00AE6D45">
            <w:pPr>
              <w:pStyle w:val="ListParagraph"/>
              <w:numPr>
                <w:ilvl w:val="0"/>
                <w:numId w:val="7"/>
              </w:numPr>
              <w:tabs>
                <w:tab w:val="clear" w:pos="720"/>
                <w:tab w:val="num" w:pos="1134"/>
              </w:tabs>
              <w:ind w:left="1134" w:hanging="425"/>
              <w:jc w:val="left"/>
            </w:pPr>
            <w:r w:rsidRPr="007E67C5">
              <w:t>100% of teachers, in Round 1 classroom observations, March- May 2013, found this a positive experience. It provided an opportunity for rigorous discussion, constructive feedback, self-reflection and subsequent influence amongst colleagues.</w:t>
            </w:r>
          </w:p>
          <w:p w:rsidR="006B08DB" w:rsidRPr="007E67C5" w:rsidRDefault="006B08DB" w:rsidP="00AE6D45">
            <w:pPr>
              <w:pStyle w:val="ListParagraph"/>
              <w:numPr>
                <w:ilvl w:val="0"/>
                <w:numId w:val="7"/>
              </w:numPr>
              <w:tabs>
                <w:tab w:val="clear" w:pos="720"/>
                <w:tab w:val="num" w:pos="1134"/>
              </w:tabs>
              <w:ind w:left="1134" w:hanging="425"/>
              <w:jc w:val="left"/>
            </w:pPr>
            <w:r w:rsidRPr="007E67C5">
              <w:t>Across the remaining staff cohort in the 29 schools, 75% of teachers indicated keenness to take part in Rounds 2 and 3 observations this year.</w:t>
            </w:r>
          </w:p>
          <w:p w:rsidR="006B08DB" w:rsidRDefault="006B08DB" w:rsidP="00B928E0">
            <w:pPr>
              <w:rPr>
                <w:bCs/>
                <w:szCs w:val="22"/>
              </w:rPr>
            </w:pPr>
            <w:r w:rsidRPr="007E67C5">
              <w:rPr>
                <w:bCs/>
                <w:szCs w:val="22"/>
              </w:rPr>
              <w:t xml:space="preserve">SA </w:t>
            </w:r>
            <w:proofErr w:type="spellStart"/>
            <w:r w:rsidRPr="007E67C5">
              <w:rPr>
                <w:bCs/>
                <w:szCs w:val="22"/>
              </w:rPr>
              <w:t>TfEL</w:t>
            </w:r>
            <w:proofErr w:type="spellEnd"/>
            <w:r w:rsidRPr="007E67C5">
              <w:rPr>
                <w:bCs/>
                <w:szCs w:val="22"/>
              </w:rPr>
              <w:t xml:space="preserve"> research findings are continually informing approaches to professional learning for improved student outcomes. The imperative is to focus on intellectual demand, developing quality teaching and learning that both engages and intellectually stretches all learners. </w:t>
            </w:r>
          </w:p>
          <w:p w:rsidR="004D5A9E" w:rsidRPr="007E67C5" w:rsidRDefault="004D5A9E" w:rsidP="00B928E0">
            <w:pPr>
              <w:rPr>
                <w:bCs/>
                <w:szCs w:val="22"/>
              </w:rPr>
            </w:pPr>
          </w:p>
          <w:p w:rsidR="006B08DB" w:rsidRDefault="006B08DB" w:rsidP="00B928E0">
            <w:pPr>
              <w:rPr>
                <w:bCs/>
                <w:szCs w:val="22"/>
              </w:rPr>
            </w:pPr>
            <w:r w:rsidRPr="007E67C5">
              <w:rPr>
                <w:bCs/>
                <w:szCs w:val="22"/>
              </w:rPr>
              <w:t>Positive outcomes are being achieved through teachers engaging in peer observations, professional learning communities and collaborative learning design.</w:t>
            </w:r>
          </w:p>
          <w:p w:rsidR="004D5A9E" w:rsidRPr="007E67C5" w:rsidRDefault="004D5A9E" w:rsidP="00B928E0">
            <w:pPr>
              <w:rPr>
                <w:bCs/>
                <w:szCs w:val="22"/>
              </w:rPr>
            </w:pPr>
          </w:p>
          <w:p w:rsidR="006B08DB" w:rsidRPr="007E67C5" w:rsidRDefault="006B08DB" w:rsidP="00B928E0">
            <w:pPr>
              <w:rPr>
                <w:szCs w:val="22"/>
              </w:rPr>
            </w:pPr>
            <w:r w:rsidRPr="007E67C5">
              <w:rPr>
                <w:szCs w:val="22"/>
              </w:rPr>
              <w:t>These learnings have informed the:</w:t>
            </w:r>
          </w:p>
          <w:p w:rsidR="006B08DB" w:rsidRPr="007E67C5" w:rsidRDefault="006B08DB" w:rsidP="00AE6D45">
            <w:pPr>
              <w:pStyle w:val="ListParagraph"/>
              <w:numPr>
                <w:ilvl w:val="0"/>
                <w:numId w:val="7"/>
              </w:numPr>
              <w:tabs>
                <w:tab w:val="clear" w:pos="720"/>
                <w:tab w:val="num" w:pos="1134"/>
              </w:tabs>
              <w:ind w:left="1134" w:hanging="425"/>
              <w:jc w:val="left"/>
            </w:pPr>
            <w:r w:rsidRPr="007E67C5">
              <w:t xml:space="preserve">development of the SA </w:t>
            </w:r>
            <w:proofErr w:type="spellStart"/>
            <w:r w:rsidRPr="007E67C5">
              <w:t>TfEL</w:t>
            </w:r>
            <w:proofErr w:type="spellEnd"/>
            <w:r w:rsidRPr="007E67C5">
              <w:t xml:space="preserve"> </w:t>
            </w:r>
            <w:r w:rsidRPr="004D5A9E">
              <w:rPr>
                <w:i/>
              </w:rPr>
              <w:t>Online compass</w:t>
            </w:r>
            <w:r w:rsidRPr="007E67C5">
              <w:t xml:space="preserve"> to support teachers’ reflection on quality of practice through self-report data and peer and trained observer data, triangulated against the experience of students</w:t>
            </w:r>
          </w:p>
          <w:p w:rsidR="006B08DB" w:rsidRDefault="006B08DB" w:rsidP="00AE6D45">
            <w:pPr>
              <w:pStyle w:val="ListParagraph"/>
              <w:numPr>
                <w:ilvl w:val="0"/>
                <w:numId w:val="7"/>
              </w:numPr>
              <w:tabs>
                <w:tab w:val="clear" w:pos="720"/>
                <w:tab w:val="num" w:pos="1134"/>
              </w:tabs>
              <w:ind w:left="1134" w:hanging="425"/>
              <w:jc w:val="left"/>
            </w:pPr>
            <w:proofErr w:type="gramStart"/>
            <w:r w:rsidRPr="007E67C5">
              <w:t>design</w:t>
            </w:r>
            <w:proofErr w:type="gramEnd"/>
            <w:r w:rsidRPr="007E67C5">
              <w:t xml:space="preserve">, development and professional learning approaches for </w:t>
            </w:r>
            <w:r w:rsidRPr="004D5A9E">
              <w:rPr>
                <w:i/>
              </w:rPr>
              <w:t>Leading learning – Making the Australian Curriculum work for us</w:t>
            </w:r>
            <w:r w:rsidRPr="007E67C5">
              <w:t>, the suite of resources for leaders and teachers to improve the quality of teaching and learning.</w:t>
            </w:r>
          </w:p>
          <w:p w:rsidR="004D5A9E" w:rsidRPr="007E67C5" w:rsidRDefault="004D5A9E" w:rsidP="004D5A9E">
            <w:pPr>
              <w:pStyle w:val="ListParagraph"/>
              <w:ind w:left="1134"/>
              <w:jc w:val="left"/>
            </w:pPr>
          </w:p>
          <w:p w:rsidR="006B08DB" w:rsidRPr="004D5A9E" w:rsidRDefault="006B08DB" w:rsidP="00B928E0">
            <w:pPr>
              <w:rPr>
                <w:b/>
                <w:sz w:val="24"/>
                <w:szCs w:val="24"/>
              </w:rPr>
            </w:pPr>
            <w:r w:rsidRPr="004D5A9E">
              <w:rPr>
                <w:b/>
                <w:sz w:val="24"/>
                <w:szCs w:val="24"/>
              </w:rPr>
              <w:t>Principals As Literacy Leaders (PALL) / Secondary Principals As Literacy Leaders (SPALL)</w:t>
            </w:r>
          </w:p>
          <w:p w:rsidR="006B08DB" w:rsidRDefault="006B08DB" w:rsidP="00B928E0">
            <w:pPr>
              <w:rPr>
                <w:szCs w:val="22"/>
              </w:rPr>
            </w:pPr>
            <w:r w:rsidRPr="007E67C5">
              <w:rPr>
                <w:szCs w:val="22"/>
              </w:rPr>
              <w:t xml:space="preserve">The </w:t>
            </w:r>
            <w:r w:rsidRPr="007E67C5">
              <w:rPr>
                <w:i/>
                <w:szCs w:val="22"/>
              </w:rPr>
              <w:t>Principals as literacy leaders</w:t>
            </w:r>
            <w:r w:rsidRPr="007E67C5">
              <w:rPr>
                <w:szCs w:val="22"/>
              </w:rPr>
              <w:t xml:space="preserve"> (PALL) and the </w:t>
            </w:r>
            <w:r w:rsidRPr="007E67C5">
              <w:rPr>
                <w:i/>
                <w:szCs w:val="22"/>
              </w:rPr>
              <w:t>Secondary principals as literacy leaders</w:t>
            </w:r>
            <w:r w:rsidRPr="007E67C5">
              <w:rPr>
                <w:szCs w:val="22"/>
              </w:rPr>
              <w:t xml:space="preserve"> (SPALL) programs are long term professional development programs that further support principals to lead an effective and accountable whole school literacy reform and improvement program. The programs assist principals to further identify and implement evidence-based literacy interventions and strategies, leading to accelerated and sustained improvements for students.</w:t>
            </w:r>
          </w:p>
          <w:p w:rsidR="004D5A9E" w:rsidRPr="007E67C5" w:rsidRDefault="004D5A9E" w:rsidP="00B928E0">
            <w:pPr>
              <w:rPr>
                <w:szCs w:val="22"/>
              </w:rPr>
            </w:pPr>
          </w:p>
          <w:p w:rsidR="006B08DB" w:rsidRPr="007E67C5" w:rsidRDefault="006B08DB" w:rsidP="00B928E0">
            <w:pPr>
              <w:rPr>
                <w:b/>
                <w:szCs w:val="22"/>
              </w:rPr>
            </w:pPr>
            <w:r w:rsidRPr="007E67C5">
              <w:rPr>
                <w:b/>
                <w:szCs w:val="22"/>
              </w:rPr>
              <w:t>PALL</w:t>
            </w:r>
          </w:p>
          <w:p w:rsidR="006B08DB" w:rsidRPr="007E67C5" w:rsidRDefault="006B08DB" w:rsidP="00B928E0">
            <w:pPr>
              <w:rPr>
                <w:szCs w:val="22"/>
              </w:rPr>
            </w:pPr>
            <w:r w:rsidRPr="007E67C5">
              <w:rPr>
                <w:szCs w:val="22"/>
              </w:rPr>
              <w:t xml:space="preserve">PALL is now into its third program with 150 new primary principals commencing in February 2013. In total, over 480 primary principals have now been enrolled in this program under the </w:t>
            </w:r>
            <w:proofErr w:type="spellStart"/>
            <w:r w:rsidRPr="007E67C5">
              <w:rPr>
                <w:szCs w:val="22"/>
              </w:rPr>
              <w:t>CMaD</w:t>
            </w:r>
            <w:proofErr w:type="spellEnd"/>
            <w:r w:rsidRPr="007E67C5">
              <w:rPr>
                <w:szCs w:val="22"/>
              </w:rPr>
              <w:t xml:space="preserve"> NP with high levels of success in terms of principals leading whole school improvement in literacy.</w:t>
            </w:r>
          </w:p>
          <w:p w:rsidR="006B08DB" w:rsidRPr="007E67C5" w:rsidRDefault="006B08DB" w:rsidP="00B928E0">
            <w:pPr>
              <w:rPr>
                <w:szCs w:val="22"/>
              </w:rPr>
            </w:pPr>
            <w:r w:rsidRPr="007E67C5">
              <w:rPr>
                <w:szCs w:val="22"/>
              </w:rPr>
              <w:t>Key aspects of the five day professional development program includes whole-school:</w:t>
            </w:r>
          </w:p>
          <w:p w:rsidR="006B08DB" w:rsidRPr="007E67C5" w:rsidRDefault="006B08DB" w:rsidP="00AE6D45">
            <w:pPr>
              <w:pStyle w:val="ListParagraph"/>
              <w:numPr>
                <w:ilvl w:val="0"/>
                <w:numId w:val="7"/>
              </w:numPr>
              <w:tabs>
                <w:tab w:val="clear" w:pos="720"/>
                <w:tab w:val="num" w:pos="1134"/>
              </w:tabs>
              <w:ind w:left="1134" w:hanging="425"/>
              <w:jc w:val="left"/>
            </w:pPr>
            <w:r w:rsidRPr="007E67C5">
              <w:t>literacy curriculum and pedagogy</w:t>
            </w:r>
          </w:p>
          <w:p w:rsidR="006B08DB" w:rsidRPr="007E67C5" w:rsidRDefault="006B08DB" w:rsidP="00AE6D45">
            <w:pPr>
              <w:pStyle w:val="ListParagraph"/>
              <w:numPr>
                <w:ilvl w:val="0"/>
                <w:numId w:val="7"/>
              </w:numPr>
              <w:tabs>
                <w:tab w:val="clear" w:pos="720"/>
                <w:tab w:val="num" w:pos="1134"/>
              </w:tabs>
              <w:ind w:left="1134" w:hanging="425"/>
              <w:jc w:val="left"/>
            </w:pPr>
            <w:r w:rsidRPr="007E67C5">
              <w:t>intervention support for students</w:t>
            </w:r>
          </w:p>
          <w:p w:rsidR="006B08DB" w:rsidRPr="007E67C5" w:rsidRDefault="006B08DB" w:rsidP="00AE6D45">
            <w:pPr>
              <w:pStyle w:val="ListParagraph"/>
              <w:numPr>
                <w:ilvl w:val="0"/>
                <w:numId w:val="7"/>
              </w:numPr>
              <w:tabs>
                <w:tab w:val="clear" w:pos="720"/>
                <w:tab w:val="num" w:pos="1134"/>
              </w:tabs>
              <w:ind w:left="1134" w:hanging="425"/>
              <w:jc w:val="left"/>
            </w:pPr>
            <w:proofErr w:type="gramStart"/>
            <w:r w:rsidRPr="007E67C5">
              <w:t>use</w:t>
            </w:r>
            <w:proofErr w:type="gramEnd"/>
            <w:r w:rsidRPr="007E67C5">
              <w:t xml:space="preserve"> of data and literacy assessments to identify area of teaching focus.</w:t>
            </w:r>
          </w:p>
          <w:p w:rsidR="006B08DB" w:rsidRPr="007E67C5" w:rsidRDefault="006B08DB" w:rsidP="00B928E0">
            <w:pPr>
              <w:rPr>
                <w:b/>
                <w:szCs w:val="22"/>
              </w:rPr>
            </w:pPr>
            <w:r w:rsidRPr="007E67C5">
              <w:rPr>
                <w:b/>
                <w:szCs w:val="22"/>
              </w:rPr>
              <w:t>SPALL</w:t>
            </w:r>
          </w:p>
          <w:p w:rsidR="006B08DB" w:rsidRDefault="006B08DB" w:rsidP="00B928E0">
            <w:pPr>
              <w:rPr>
                <w:szCs w:val="22"/>
              </w:rPr>
            </w:pPr>
            <w:r w:rsidRPr="007E67C5">
              <w:rPr>
                <w:szCs w:val="22"/>
              </w:rPr>
              <w:t>The SPALL program commenced in March 2012 and since then has been offered to all principals with secondary enrolments in South Australian government schools.</w:t>
            </w:r>
          </w:p>
          <w:p w:rsidR="004D5A9E" w:rsidRPr="007E67C5" w:rsidRDefault="004D5A9E" w:rsidP="00B928E0">
            <w:pPr>
              <w:rPr>
                <w:szCs w:val="22"/>
              </w:rPr>
            </w:pPr>
          </w:p>
          <w:p w:rsidR="006B08DB" w:rsidRPr="007E67C5" w:rsidRDefault="006B08DB" w:rsidP="00B928E0">
            <w:pPr>
              <w:rPr>
                <w:szCs w:val="22"/>
              </w:rPr>
            </w:pPr>
            <w:r w:rsidRPr="007E67C5">
              <w:rPr>
                <w:b/>
                <w:szCs w:val="22"/>
              </w:rPr>
              <w:t>Leading Literacy: presentations from the ‘Leading Literacy’ Expo for secondary leaders, 25 March 2013:</w:t>
            </w:r>
          </w:p>
          <w:p w:rsidR="006B08DB" w:rsidRPr="007E67C5" w:rsidRDefault="006B08DB" w:rsidP="00B928E0">
            <w:pPr>
              <w:rPr>
                <w:szCs w:val="22"/>
              </w:rPr>
            </w:pPr>
            <w:r w:rsidRPr="007E67C5">
              <w:rPr>
                <w:szCs w:val="22"/>
              </w:rPr>
              <w:lastRenderedPageBreak/>
              <w:t>This document, published June 2013, was developed from presentations by secondary school principals at the expo jointly organised by SA Secondary Principals Association (</w:t>
            </w:r>
            <w:proofErr w:type="spellStart"/>
            <w:r w:rsidRPr="007E67C5">
              <w:rPr>
                <w:szCs w:val="22"/>
              </w:rPr>
              <w:t>SASPA</w:t>
            </w:r>
            <w:proofErr w:type="spellEnd"/>
            <w:r w:rsidRPr="007E67C5">
              <w:rPr>
                <w:szCs w:val="22"/>
              </w:rPr>
              <w:t>) and DECD</w:t>
            </w:r>
            <w:r w:rsidRPr="007E67C5">
              <w:rPr>
                <w:rFonts w:cs="Arial"/>
                <w:szCs w:val="22"/>
              </w:rPr>
              <w:t xml:space="preserve">. </w:t>
            </w:r>
            <w:r w:rsidRPr="007E67C5">
              <w:rPr>
                <w:szCs w:val="22"/>
              </w:rPr>
              <w:t xml:space="preserve">The document contributes a great deal to the new body of knowledge developing from the SPALL initiative </w:t>
            </w:r>
            <w:r w:rsidRPr="007E67C5">
              <w:rPr>
                <w:rFonts w:cs="Arial"/>
                <w:szCs w:val="22"/>
              </w:rPr>
              <w:t>on leading literacy improvement in secondary schools</w:t>
            </w:r>
            <w:r w:rsidRPr="007E67C5">
              <w:rPr>
                <w:szCs w:val="22"/>
              </w:rPr>
              <w:t>. This includes learning around the:</w:t>
            </w:r>
          </w:p>
          <w:p w:rsidR="006B08DB" w:rsidRPr="004D5A9E" w:rsidRDefault="006B08DB" w:rsidP="00AE6D45">
            <w:pPr>
              <w:pStyle w:val="ListParagraph"/>
              <w:numPr>
                <w:ilvl w:val="0"/>
                <w:numId w:val="7"/>
              </w:numPr>
              <w:tabs>
                <w:tab w:val="clear" w:pos="720"/>
                <w:tab w:val="num" w:pos="1134"/>
              </w:tabs>
              <w:ind w:left="1134" w:hanging="425"/>
              <w:jc w:val="left"/>
            </w:pPr>
            <w:r w:rsidRPr="004D5A9E">
              <w:t xml:space="preserve">principal’s leadership and culture of improvement </w:t>
            </w:r>
            <w:proofErr w:type="spellStart"/>
            <w:r w:rsidRPr="004D5A9E">
              <w:t>eg</w:t>
            </w:r>
            <w:proofErr w:type="spellEnd"/>
            <w:r w:rsidRPr="004D5A9E">
              <w:t>, strategic use of a mandate to create a need for change in literacy pedagogy; the use of data to create and sustain momentum</w:t>
            </w:r>
          </w:p>
          <w:p w:rsidR="006B08DB" w:rsidRPr="004D5A9E" w:rsidRDefault="006B08DB" w:rsidP="00AE6D45">
            <w:pPr>
              <w:pStyle w:val="ListParagraph"/>
              <w:numPr>
                <w:ilvl w:val="0"/>
                <w:numId w:val="7"/>
              </w:numPr>
              <w:tabs>
                <w:tab w:val="clear" w:pos="720"/>
                <w:tab w:val="num" w:pos="1134"/>
              </w:tabs>
              <w:ind w:left="1134" w:hanging="425"/>
              <w:jc w:val="left"/>
            </w:pPr>
            <w:r w:rsidRPr="004D5A9E">
              <w:t xml:space="preserve">focus on the pedagogy of the secondary subject teacher </w:t>
            </w:r>
            <w:proofErr w:type="spellStart"/>
            <w:r w:rsidRPr="004D5A9E">
              <w:t>eg</w:t>
            </w:r>
            <w:proofErr w:type="spellEnd"/>
            <w:r w:rsidRPr="004D5A9E">
              <w:t>, secondary specific professional learning for secondary teachers to build capacity; engagement with the Literacy for learning course as secondary-relevant professional learning aligned to the Australian Curriculum; appointment of school-based literacy leaders/literacy coaches to support long term sustainable change.</w:t>
            </w:r>
          </w:p>
          <w:p w:rsidR="006B08DB" w:rsidRPr="007E67C5" w:rsidRDefault="006B08DB" w:rsidP="00B928E0">
            <w:pPr>
              <w:rPr>
                <w:b/>
                <w:szCs w:val="22"/>
              </w:rPr>
            </w:pPr>
            <w:r w:rsidRPr="007E67C5">
              <w:rPr>
                <w:b/>
                <w:szCs w:val="22"/>
              </w:rPr>
              <w:t>Action research – designing quality assessment with a focus on curriculum and literacy demands and related pedagogy</w:t>
            </w:r>
          </w:p>
          <w:p w:rsidR="006B08DB" w:rsidRDefault="006B08DB" w:rsidP="00B928E0">
            <w:pPr>
              <w:rPr>
                <w:szCs w:val="22"/>
              </w:rPr>
            </w:pPr>
            <w:r w:rsidRPr="007E67C5">
              <w:rPr>
                <w:szCs w:val="22"/>
              </w:rPr>
              <w:t xml:space="preserve">Secondary principals have continued to work towards finalising their action research with final reports due early July 2013. Ongoing research support for principals has been provided through resources jointly developed by Griffith University, </w:t>
            </w:r>
            <w:proofErr w:type="spellStart"/>
            <w:r w:rsidRPr="007E67C5">
              <w:rPr>
                <w:szCs w:val="22"/>
              </w:rPr>
              <w:t>SASPA</w:t>
            </w:r>
            <w:proofErr w:type="spellEnd"/>
            <w:r w:rsidRPr="007E67C5">
              <w:rPr>
                <w:szCs w:val="22"/>
              </w:rPr>
              <w:t xml:space="preserve"> and DECD. Additional research data has been gathered by Griffith University, for example through principal interviews and teacher questionnaires, to contribute to the final SPALL report in September 2013.</w:t>
            </w:r>
          </w:p>
          <w:p w:rsidR="004D5A9E" w:rsidRPr="007E67C5" w:rsidRDefault="004D5A9E" w:rsidP="00B928E0">
            <w:pPr>
              <w:rPr>
                <w:szCs w:val="22"/>
              </w:rPr>
            </w:pPr>
          </w:p>
          <w:p w:rsidR="006B08DB" w:rsidRPr="004D5A9E" w:rsidRDefault="006B08DB" w:rsidP="00B928E0">
            <w:pPr>
              <w:rPr>
                <w:b/>
                <w:sz w:val="24"/>
                <w:szCs w:val="24"/>
              </w:rPr>
            </w:pPr>
            <w:r w:rsidRPr="004D5A9E">
              <w:rPr>
                <w:b/>
                <w:sz w:val="24"/>
                <w:szCs w:val="24"/>
              </w:rPr>
              <w:t>Recruitment and selection</w:t>
            </w:r>
          </w:p>
          <w:p w:rsidR="006B08DB" w:rsidRDefault="006B08DB" w:rsidP="00B928E0">
            <w:pPr>
              <w:rPr>
                <w:szCs w:val="22"/>
              </w:rPr>
            </w:pPr>
            <w:r w:rsidRPr="007E67C5">
              <w:rPr>
                <w:szCs w:val="22"/>
              </w:rPr>
              <w:t xml:space="preserve">The </w:t>
            </w:r>
            <w:r w:rsidRPr="007E67C5">
              <w:rPr>
                <w:i/>
                <w:szCs w:val="22"/>
              </w:rPr>
              <w:t>Recruitment and selection</w:t>
            </w:r>
            <w:r w:rsidRPr="007E67C5">
              <w:rPr>
                <w:szCs w:val="22"/>
              </w:rPr>
              <w:t xml:space="preserve"> project is part of the </w:t>
            </w:r>
            <w:proofErr w:type="spellStart"/>
            <w:r w:rsidRPr="007E67C5">
              <w:rPr>
                <w:szCs w:val="22"/>
              </w:rPr>
              <w:t>CMaD</w:t>
            </w:r>
            <w:proofErr w:type="spellEnd"/>
            <w:r w:rsidRPr="007E67C5">
              <w:rPr>
                <w:szCs w:val="22"/>
              </w:rPr>
              <w:t xml:space="preserve"> National Partnership and is aimed at attracting and retaining quality teachers and leaders to low-SES schools. </w:t>
            </w:r>
          </w:p>
          <w:p w:rsidR="004D5A9E" w:rsidRPr="007E67C5" w:rsidRDefault="004D5A9E" w:rsidP="00B928E0">
            <w:pPr>
              <w:rPr>
                <w:szCs w:val="22"/>
              </w:rPr>
            </w:pPr>
          </w:p>
          <w:p w:rsidR="006B08DB" w:rsidRDefault="006B08DB" w:rsidP="00B928E0">
            <w:pPr>
              <w:rPr>
                <w:szCs w:val="22"/>
              </w:rPr>
            </w:pPr>
            <w:r w:rsidRPr="007E67C5">
              <w:rPr>
                <w:szCs w:val="22"/>
              </w:rPr>
              <w:t>Each program tackles the challenges of attracting and retaining quality teachers to low-SES schools in different ways. The success of the programs are measured by their effectiveness in attracting and retaining the teachers and leaders needed by  low-SES schools to improve student outcomes and also by critical evaluation of each program for future policy improvements that may lead to sustainable improvements in staffing  low-SES schools.</w:t>
            </w:r>
          </w:p>
          <w:p w:rsidR="004D5A9E" w:rsidRPr="007E67C5" w:rsidRDefault="004D5A9E" w:rsidP="00B928E0">
            <w:pPr>
              <w:rPr>
                <w:szCs w:val="22"/>
              </w:rPr>
            </w:pPr>
          </w:p>
          <w:p w:rsidR="006B08DB" w:rsidRDefault="006B08DB" w:rsidP="00B928E0">
            <w:pPr>
              <w:rPr>
                <w:szCs w:val="22"/>
              </w:rPr>
            </w:pPr>
            <w:r w:rsidRPr="007E67C5">
              <w:rPr>
                <w:szCs w:val="22"/>
              </w:rPr>
              <w:t xml:space="preserve">Throughout the period of January to June 2013, the </w:t>
            </w:r>
            <w:r w:rsidRPr="007E67C5">
              <w:rPr>
                <w:i/>
                <w:szCs w:val="22"/>
              </w:rPr>
              <w:t>Recruitment and selection</w:t>
            </w:r>
            <w:r w:rsidRPr="007E67C5">
              <w:rPr>
                <w:szCs w:val="22"/>
              </w:rPr>
              <w:t xml:space="preserve"> project has continued to fund a broad suite of initiatives aimed at attracting and retaining teachers and leaders to low-SES schools. Impact has continued to broaden in terms of its geographical reach (participation by all country and metropolitan regions in at least one project) and powerful in terms of the benefits to the school communities, individual teachers and leaders and capacity to inform change at the system level.</w:t>
            </w:r>
          </w:p>
          <w:p w:rsidR="004D5A9E" w:rsidRPr="007E67C5" w:rsidRDefault="004D5A9E" w:rsidP="00B928E0">
            <w:pPr>
              <w:rPr>
                <w:szCs w:val="22"/>
              </w:rPr>
            </w:pPr>
          </w:p>
          <w:p w:rsidR="006B08DB" w:rsidRDefault="006B08DB" w:rsidP="00B928E0">
            <w:pPr>
              <w:rPr>
                <w:szCs w:val="22"/>
              </w:rPr>
            </w:pPr>
            <w:r w:rsidRPr="007E67C5">
              <w:rPr>
                <w:szCs w:val="22"/>
              </w:rPr>
              <w:t>Outcomes already achieved  through a suite of projects includes staffing specific hard to staff schools, increasing the capacity, interest and success of pre-service teachers and aspiring leaders to consider and apply for teaching and leadership opportunities in low-SES schools and developments and learning at a system level to help inform effective recruitment and retention strategies.</w:t>
            </w:r>
          </w:p>
          <w:p w:rsidR="006B08DB" w:rsidRPr="007E67C5" w:rsidRDefault="006B08DB" w:rsidP="00AE6D45">
            <w:pPr>
              <w:pStyle w:val="ListParagraph"/>
              <w:numPr>
                <w:ilvl w:val="0"/>
                <w:numId w:val="7"/>
              </w:numPr>
              <w:tabs>
                <w:tab w:val="clear" w:pos="720"/>
                <w:tab w:val="num" w:pos="1134"/>
              </w:tabs>
              <w:ind w:left="1134" w:hanging="425"/>
              <w:jc w:val="left"/>
            </w:pPr>
            <w:r w:rsidRPr="007E67C5">
              <w:t>17 schools and preschools have been successfully staffed with leaders and teachers as a direct outcome of the incentive packages. Greatest impact, 10 of the 17 positions (58.8%) have been in the two hardest to staff country regions of South Australia, the Far North and Eyre and Western</w:t>
            </w:r>
          </w:p>
          <w:p w:rsidR="006B08DB" w:rsidRPr="007E67C5" w:rsidRDefault="006B08DB" w:rsidP="00AE6D45">
            <w:pPr>
              <w:pStyle w:val="ListParagraph"/>
              <w:numPr>
                <w:ilvl w:val="0"/>
                <w:numId w:val="7"/>
              </w:numPr>
              <w:tabs>
                <w:tab w:val="clear" w:pos="720"/>
                <w:tab w:val="num" w:pos="1134"/>
              </w:tabs>
              <w:ind w:left="1134" w:hanging="425"/>
              <w:jc w:val="left"/>
            </w:pPr>
            <w:r w:rsidRPr="007E67C5">
              <w:t>250 teachers and leaders have had access to salary top up incentives, teacher release, mentors, coaches, work shadowing, resource development, professional learning communities, conferences and workshops and technology support through a range of local innovation projects</w:t>
            </w:r>
          </w:p>
          <w:p w:rsidR="006B08DB" w:rsidRDefault="006B08DB" w:rsidP="00B928E0">
            <w:pPr>
              <w:rPr>
                <w:szCs w:val="22"/>
              </w:rPr>
            </w:pPr>
            <w:r w:rsidRPr="007E67C5">
              <w:rPr>
                <w:szCs w:val="22"/>
              </w:rPr>
              <w:t xml:space="preserve">System development to support improved data collection and access includes the establishment of a Workforce </w:t>
            </w:r>
            <w:proofErr w:type="spellStart"/>
            <w:r w:rsidRPr="007E67C5">
              <w:rPr>
                <w:szCs w:val="22"/>
              </w:rPr>
              <w:t>Datamart</w:t>
            </w:r>
            <w:proofErr w:type="spellEnd"/>
            <w:r w:rsidRPr="007E67C5">
              <w:rPr>
                <w:szCs w:val="22"/>
              </w:rPr>
              <w:t xml:space="preserve"> that enables sophisticated and complex analysis of key workforce information as well as the implementation of the employee information kiosk to employees of the Department for Education and Child Development.</w:t>
            </w:r>
          </w:p>
          <w:p w:rsidR="004D5A9E" w:rsidRPr="004D5A9E" w:rsidRDefault="004D5A9E" w:rsidP="00B928E0">
            <w:pPr>
              <w:rPr>
                <w:sz w:val="36"/>
                <w:szCs w:val="36"/>
              </w:rPr>
            </w:pPr>
          </w:p>
          <w:p w:rsidR="006B08DB" w:rsidRPr="007E67C5" w:rsidRDefault="006B08DB" w:rsidP="00B928E0">
            <w:pPr>
              <w:rPr>
                <w:b/>
                <w:szCs w:val="22"/>
              </w:rPr>
            </w:pPr>
            <w:r w:rsidRPr="007E67C5">
              <w:rPr>
                <w:b/>
                <w:szCs w:val="22"/>
              </w:rPr>
              <w:lastRenderedPageBreak/>
              <w:t>Regional leadership consultants (</w:t>
            </w:r>
            <w:proofErr w:type="spellStart"/>
            <w:r w:rsidRPr="007E67C5">
              <w:rPr>
                <w:b/>
                <w:szCs w:val="22"/>
              </w:rPr>
              <w:t>RLCs</w:t>
            </w:r>
            <w:proofErr w:type="spellEnd"/>
            <w:r w:rsidRPr="007E67C5">
              <w:rPr>
                <w:b/>
                <w:szCs w:val="22"/>
              </w:rPr>
              <w:t>)</w:t>
            </w:r>
          </w:p>
          <w:p w:rsidR="006B08DB" w:rsidRDefault="006B08DB" w:rsidP="00B928E0">
            <w:pPr>
              <w:rPr>
                <w:szCs w:val="22"/>
              </w:rPr>
            </w:pPr>
            <w:r w:rsidRPr="007E67C5">
              <w:rPr>
                <w:szCs w:val="22"/>
              </w:rPr>
              <w:t>In 2013, regional leadership consultants (</w:t>
            </w:r>
            <w:proofErr w:type="spellStart"/>
            <w:r w:rsidRPr="007E67C5">
              <w:rPr>
                <w:szCs w:val="22"/>
              </w:rPr>
              <w:t>RLCs</w:t>
            </w:r>
            <w:proofErr w:type="spellEnd"/>
            <w:r w:rsidRPr="007E67C5">
              <w:rPr>
                <w:szCs w:val="22"/>
              </w:rPr>
              <w:t>) have continued to provide coaching and mentoring support for principals of low-SES schools.</w:t>
            </w:r>
          </w:p>
          <w:p w:rsidR="004D5A9E" w:rsidRPr="007E67C5" w:rsidRDefault="004D5A9E" w:rsidP="00B928E0">
            <w:pPr>
              <w:rPr>
                <w:szCs w:val="22"/>
              </w:rPr>
            </w:pPr>
          </w:p>
          <w:p w:rsidR="006B08DB" w:rsidRDefault="006B08DB" w:rsidP="00B928E0">
            <w:pPr>
              <w:rPr>
                <w:szCs w:val="22"/>
              </w:rPr>
            </w:pPr>
            <w:r w:rsidRPr="007E67C5">
              <w:rPr>
                <w:szCs w:val="22"/>
              </w:rPr>
              <w:t xml:space="preserve">Newly appointed principals receive mentoring support specifically in the area of positive school cultures and school improvement. Workshops and role modelling of effective leadership particularly in the area of improvement is another key aspect to the work of the </w:t>
            </w:r>
            <w:proofErr w:type="spellStart"/>
            <w:r w:rsidRPr="007E67C5">
              <w:rPr>
                <w:szCs w:val="22"/>
              </w:rPr>
              <w:t>RLCs</w:t>
            </w:r>
            <w:proofErr w:type="spellEnd"/>
            <w:r w:rsidRPr="007E67C5">
              <w:rPr>
                <w:szCs w:val="22"/>
              </w:rPr>
              <w:t>.</w:t>
            </w:r>
          </w:p>
          <w:p w:rsidR="004D5A9E" w:rsidRPr="007E67C5" w:rsidRDefault="004D5A9E" w:rsidP="00B928E0">
            <w:pPr>
              <w:rPr>
                <w:szCs w:val="22"/>
              </w:rPr>
            </w:pPr>
          </w:p>
          <w:p w:rsidR="006B08DB" w:rsidRDefault="006B08DB" w:rsidP="00B928E0">
            <w:pPr>
              <w:rPr>
                <w:szCs w:val="22"/>
              </w:rPr>
            </w:pPr>
            <w:r w:rsidRPr="007E67C5">
              <w:rPr>
                <w:szCs w:val="22"/>
              </w:rPr>
              <w:t xml:space="preserve">Leadership and coaching support for the principals involved in both the </w:t>
            </w:r>
            <w:r w:rsidRPr="007E67C5">
              <w:rPr>
                <w:i/>
                <w:szCs w:val="22"/>
              </w:rPr>
              <w:t>Principals as literacy leaders</w:t>
            </w:r>
            <w:r w:rsidRPr="007E67C5">
              <w:rPr>
                <w:szCs w:val="22"/>
              </w:rPr>
              <w:t xml:space="preserve"> (PALL) program and the </w:t>
            </w:r>
            <w:r w:rsidRPr="007E67C5">
              <w:rPr>
                <w:i/>
                <w:szCs w:val="22"/>
              </w:rPr>
              <w:t>Secondary principals as literacy leaders</w:t>
            </w:r>
            <w:r w:rsidRPr="007E67C5">
              <w:rPr>
                <w:szCs w:val="22"/>
              </w:rPr>
              <w:t xml:space="preserve"> (SPALL) program has also been provided by the </w:t>
            </w:r>
            <w:proofErr w:type="spellStart"/>
            <w:r w:rsidRPr="007E67C5">
              <w:rPr>
                <w:szCs w:val="22"/>
              </w:rPr>
              <w:t>RLCs</w:t>
            </w:r>
            <w:proofErr w:type="spellEnd"/>
            <w:r w:rsidRPr="007E67C5">
              <w:rPr>
                <w:szCs w:val="22"/>
              </w:rPr>
              <w:t>.</w:t>
            </w:r>
          </w:p>
          <w:p w:rsidR="004D5A9E" w:rsidRPr="007E67C5" w:rsidRDefault="004D5A9E" w:rsidP="00B928E0">
            <w:pPr>
              <w:rPr>
                <w:szCs w:val="22"/>
              </w:rPr>
            </w:pPr>
          </w:p>
          <w:p w:rsidR="006B08DB" w:rsidRDefault="006B08DB" w:rsidP="00B928E0">
            <w:pPr>
              <w:rPr>
                <w:szCs w:val="22"/>
              </w:rPr>
            </w:pPr>
            <w:r w:rsidRPr="007E67C5">
              <w:rPr>
                <w:szCs w:val="22"/>
              </w:rPr>
              <w:t xml:space="preserve">The </w:t>
            </w:r>
            <w:proofErr w:type="spellStart"/>
            <w:r w:rsidRPr="007E67C5">
              <w:rPr>
                <w:szCs w:val="22"/>
              </w:rPr>
              <w:t>RLCs</w:t>
            </w:r>
            <w:proofErr w:type="spellEnd"/>
            <w:r w:rsidRPr="007E67C5">
              <w:rPr>
                <w:szCs w:val="22"/>
              </w:rPr>
              <w:t xml:space="preserve"> provide the expert literacy and leadership coaching that is a key element of the PALL and SPALL professional development program over the five modules.</w:t>
            </w:r>
          </w:p>
          <w:p w:rsidR="004D5A9E" w:rsidRPr="007E67C5" w:rsidRDefault="004D5A9E" w:rsidP="00B928E0">
            <w:pPr>
              <w:rPr>
                <w:szCs w:val="22"/>
              </w:rPr>
            </w:pPr>
          </w:p>
          <w:p w:rsidR="006B08DB" w:rsidRDefault="006B08DB" w:rsidP="00B928E0">
            <w:pPr>
              <w:rPr>
                <w:rFonts w:ascii="Calibri" w:hAnsi="Calibri" w:cs="Calibri"/>
              </w:rPr>
            </w:pPr>
            <w:r w:rsidRPr="007E67C5">
              <w:rPr>
                <w:szCs w:val="22"/>
              </w:rPr>
              <w:t xml:space="preserve">The </w:t>
            </w:r>
            <w:proofErr w:type="spellStart"/>
            <w:r w:rsidRPr="007E67C5">
              <w:rPr>
                <w:szCs w:val="22"/>
              </w:rPr>
              <w:t>RLCs</w:t>
            </w:r>
            <w:proofErr w:type="spellEnd"/>
            <w:r w:rsidRPr="007E67C5">
              <w:rPr>
                <w:szCs w:val="22"/>
              </w:rPr>
              <w:t xml:space="preserve"> work over an extended period with both principals’ and school leaders’ to critically reflect, modify and review their proactive leadership to school improvement.</w:t>
            </w:r>
          </w:p>
        </w:tc>
      </w:tr>
      <w:tr w:rsidR="007A446E" w:rsidTr="007A446E">
        <w:tc>
          <w:tcPr>
            <w:tcW w:w="9498" w:type="dxa"/>
            <w:tcBorders>
              <w:top w:val="single" w:sz="4" w:space="0" w:color="auto"/>
              <w:left w:val="single" w:sz="4" w:space="0" w:color="auto"/>
              <w:bottom w:val="single" w:sz="4" w:space="0" w:color="auto"/>
              <w:right w:val="single" w:sz="4" w:space="0" w:color="auto"/>
            </w:tcBorders>
            <w:hideMark/>
          </w:tcPr>
          <w:p w:rsidR="007A446E" w:rsidRPr="004D5A9E" w:rsidRDefault="007A446E" w:rsidP="007A446E">
            <w:pPr>
              <w:pStyle w:val="Heading3"/>
              <w:rPr>
                <w:rStyle w:val="Heading2Char"/>
                <w:b/>
                <w:i w:val="0"/>
              </w:rPr>
            </w:pPr>
            <w:bookmarkStart w:id="9" w:name="_Toc379547556"/>
            <w:r w:rsidRPr="004D5A9E">
              <w:rPr>
                <w:rStyle w:val="Heading2Char"/>
                <w:b/>
                <w:i w:val="0"/>
              </w:rPr>
              <w:lastRenderedPageBreak/>
              <w:t>Support for Aboriginal and Torres Strait Islander Students - 1 January to 30 June 2013</w:t>
            </w:r>
            <w:bookmarkEnd w:id="9"/>
          </w:p>
          <w:p w:rsidR="006B08DB" w:rsidRPr="007E67C5" w:rsidRDefault="006B08DB" w:rsidP="00B928E0">
            <w:r w:rsidRPr="007E67C5">
              <w:t xml:space="preserve">Schools with Indigenous students in the </w:t>
            </w:r>
            <w:r w:rsidRPr="007E67C5">
              <w:rPr>
                <w:b/>
              </w:rPr>
              <w:t>Independent sector</w:t>
            </w:r>
            <w:r w:rsidRPr="007E67C5">
              <w:t xml:space="preserve"> have developed a range of support mechanisms for students and families. These include the following:</w:t>
            </w:r>
          </w:p>
          <w:p w:rsidR="006B08DB" w:rsidRPr="007E67C5" w:rsidRDefault="006B08DB" w:rsidP="00AE6D45">
            <w:pPr>
              <w:pStyle w:val="ListParagraph"/>
              <w:numPr>
                <w:ilvl w:val="0"/>
                <w:numId w:val="7"/>
              </w:numPr>
              <w:tabs>
                <w:tab w:val="clear" w:pos="720"/>
                <w:tab w:val="num" w:pos="1134"/>
              </w:tabs>
              <w:ind w:left="1134" w:hanging="425"/>
              <w:jc w:val="left"/>
            </w:pPr>
            <w:r w:rsidRPr="007E67C5">
              <w:t>Meeting with parents to develop personal learning plans for students, including formal meeting times and more informal social events such as coffee mornings</w:t>
            </w:r>
          </w:p>
          <w:p w:rsidR="006B08DB" w:rsidRPr="007E67C5" w:rsidRDefault="006B08DB" w:rsidP="00AE6D45">
            <w:pPr>
              <w:pStyle w:val="ListParagraph"/>
              <w:numPr>
                <w:ilvl w:val="0"/>
                <w:numId w:val="7"/>
              </w:numPr>
              <w:tabs>
                <w:tab w:val="clear" w:pos="720"/>
                <w:tab w:val="num" w:pos="1134"/>
              </w:tabs>
              <w:ind w:left="1134" w:hanging="425"/>
              <w:jc w:val="left"/>
            </w:pPr>
            <w:r w:rsidRPr="007E67C5">
              <w:t>‘Homework clubs’ on the school grounds</w:t>
            </w:r>
          </w:p>
          <w:p w:rsidR="006B08DB" w:rsidRPr="007E67C5" w:rsidRDefault="006B08DB" w:rsidP="00AE6D45">
            <w:pPr>
              <w:pStyle w:val="ListParagraph"/>
              <w:numPr>
                <w:ilvl w:val="0"/>
                <w:numId w:val="7"/>
              </w:numPr>
              <w:tabs>
                <w:tab w:val="clear" w:pos="720"/>
                <w:tab w:val="num" w:pos="1134"/>
              </w:tabs>
              <w:ind w:left="1134" w:hanging="425"/>
              <w:jc w:val="left"/>
            </w:pPr>
            <w:r w:rsidRPr="007E67C5">
              <w:t>Utilising the expertise of local indigenous people in class activities</w:t>
            </w:r>
          </w:p>
          <w:p w:rsidR="006B08DB" w:rsidRPr="007E67C5" w:rsidRDefault="006B08DB" w:rsidP="00AE6D45">
            <w:pPr>
              <w:pStyle w:val="ListParagraph"/>
              <w:numPr>
                <w:ilvl w:val="0"/>
                <w:numId w:val="7"/>
              </w:numPr>
              <w:tabs>
                <w:tab w:val="clear" w:pos="720"/>
                <w:tab w:val="num" w:pos="1134"/>
              </w:tabs>
              <w:ind w:left="1134" w:hanging="425"/>
              <w:jc w:val="left"/>
            </w:pPr>
            <w:r w:rsidRPr="007E67C5">
              <w:t xml:space="preserve">Student representation at formal cultural activities of significance – </w:t>
            </w:r>
            <w:proofErr w:type="spellStart"/>
            <w:r w:rsidRPr="007E67C5">
              <w:t>eg</w:t>
            </w:r>
            <w:proofErr w:type="spellEnd"/>
            <w:r w:rsidRPr="007E67C5">
              <w:t>, Reconciliation Week activities and the sod turning ceremony for the proposed SA Aboriginal and Torres Strait Islander War Memorial in Adelaide</w:t>
            </w:r>
          </w:p>
          <w:p w:rsidR="006B08DB" w:rsidRPr="007E67C5" w:rsidRDefault="006B08DB" w:rsidP="00AE6D45">
            <w:pPr>
              <w:pStyle w:val="ListParagraph"/>
              <w:numPr>
                <w:ilvl w:val="0"/>
                <w:numId w:val="7"/>
              </w:numPr>
              <w:tabs>
                <w:tab w:val="clear" w:pos="720"/>
                <w:tab w:val="num" w:pos="1134"/>
              </w:tabs>
              <w:ind w:left="1134" w:hanging="425"/>
              <w:jc w:val="left"/>
            </w:pPr>
            <w:proofErr w:type="spellStart"/>
            <w:r w:rsidRPr="007E67C5">
              <w:t>SACE</w:t>
            </w:r>
            <w:proofErr w:type="spellEnd"/>
            <w:r w:rsidRPr="007E67C5">
              <w:t xml:space="preserve"> development day for Indigenous students at University of South Australia to look at career pathways</w:t>
            </w:r>
          </w:p>
          <w:p w:rsidR="006B08DB" w:rsidRPr="007E67C5" w:rsidRDefault="006B08DB" w:rsidP="00AE6D45">
            <w:pPr>
              <w:pStyle w:val="ListParagraph"/>
              <w:numPr>
                <w:ilvl w:val="0"/>
                <w:numId w:val="7"/>
              </w:numPr>
              <w:tabs>
                <w:tab w:val="clear" w:pos="720"/>
                <w:tab w:val="num" w:pos="1134"/>
              </w:tabs>
              <w:ind w:left="1134" w:hanging="425"/>
              <w:jc w:val="left"/>
            </w:pPr>
            <w:r w:rsidRPr="004D5A9E">
              <w:rPr>
                <w:i/>
              </w:rPr>
              <w:t>School and community pathways and Absence from school</w:t>
            </w:r>
            <w:r w:rsidRPr="007E67C5">
              <w:t xml:space="preserve"> draft policy documents.</w:t>
            </w:r>
          </w:p>
          <w:p w:rsidR="006B08DB" w:rsidRDefault="006B08DB" w:rsidP="00B928E0">
            <w:pPr>
              <w:rPr>
                <w:szCs w:val="22"/>
              </w:rPr>
            </w:pPr>
            <w:r w:rsidRPr="007E67C5">
              <w:rPr>
                <w:szCs w:val="22"/>
              </w:rPr>
              <w:t xml:space="preserve">In its work in </w:t>
            </w:r>
            <w:r w:rsidRPr="007E67C5">
              <w:rPr>
                <w:b/>
                <w:szCs w:val="22"/>
              </w:rPr>
              <w:t>Catholic sector</w:t>
            </w:r>
            <w:r w:rsidRPr="007E67C5">
              <w:rPr>
                <w:szCs w:val="22"/>
              </w:rPr>
              <w:t xml:space="preserve"> </w:t>
            </w:r>
            <w:proofErr w:type="spellStart"/>
            <w:r w:rsidRPr="007E67C5">
              <w:rPr>
                <w:szCs w:val="22"/>
              </w:rPr>
              <w:t>CMaD</w:t>
            </w:r>
            <w:proofErr w:type="spellEnd"/>
            <w:r w:rsidRPr="007E67C5">
              <w:rPr>
                <w:szCs w:val="22"/>
              </w:rPr>
              <w:t xml:space="preserve"> schools, the </w:t>
            </w:r>
            <w:proofErr w:type="spellStart"/>
            <w:r w:rsidRPr="007E67C5">
              <w:rPr>
                <w:szCs w:val="22"/>
              </w:rPr>
              <w:t>CMaD</w:t>
            </w:r>
            <w:proofErr w:type="spellEnd"/>
            <w:r w:rsidRPr="007E67C5">
              <w:rPr>
                <w:szCs w:val="22"/>
              </w:rPr>
              <w:t xml:space="preserve"> National Partnership Team continues to collaborate with the </w:t>
            </w:r>
            <w:proofErr w:type="spellStart"/>
            <w:r w:rsidRPr="007E67C5">
              <w:rPr>
                <w:szCs w:val="22"/>
              </w:rPr>
              <w:t>CESA</w:t>
            </w:r>
            <w:proofErr w:type="spellEnd"/>
            <w:r w:rsidRPr="007E67C5">
              <w:rPr>
                <w:szCs w:val="22"/>
              </w:rPr>
              <w:t xml:space="preserve"> Indigenous Education Team to provide more integrated and consistent support to school leaders, teachers and Indigenous students. Regular consultation and collaboration are designed to provide consistent support for school leaders and teachers in implementing strategies for improving Indigenous students’ literacy and numeracy learning. Student attendance is being closely monitored and, where there are issues of low attendance, strategies include direct contact with family and community members.</w:t>
            </w:r>
          </w:p>
          <w:p w:rsidR="004D5A9E" w:rsidRPr="007E67C5" w:rsidRDefault="004D5A9E" w:rsidP="00B928E0">
            <w:pPr>
              <w:rPr>
                <w:szCs w:val="22"/>
              </w:rPr>
            </w:pPr>
          </w:p>
          <w:p w:rsidR="006B08DB" w:rsidRDefault="006B08DB" w:rsidP="00B928E0">
            <w:pPr>
              <w:rPr>
                <w:szCs w:val="22"/>
              </w:rPr>
            </w:pPr>
            <w:r w:rsidRPr="007E67C5">
              <w:rPr>
                <w:szCs w:val="22"/>
              </w:rPr>
              <w:t xml:space="preserve">The ongoing development of individual learning plans for Indigenous students in years 8-12 has involved partnerships between focus teachers, vocational education and key teachers to establish case management procedures at the school level. Apart from closer monitoring of student progress, this process helps to identify students interested in career pathways in teaching or early childhood from Year 8. </w:t>
            </w:r>
          </w:p>
          <w:p w:rsidR="004D5A9E" w:rsidRPr="007E67C5" w:rsidRDefault="004D5A9E" w:rsidP="00B928E0">
            <w:pPr>
              <w:rPr>
                <w:szCs w:val="22"/>
              </w:rPr>
            </w:pPr>
          </w:p>
          <w:p w:rsidR="006B08DB" w:rsidRPr="007E67C5" w:rsidRDefault="006B08DB" w:rsidP="00B928E0">
            <w:pPr>
              <w:rPr>
                <w:szCs w:val="22"/>
              </w:rPr>
            </w:pPr>
            <w:r w:rsidRPr="007E67C5">
              <w:rPr>
                <w:szCs w:val="22"/>
              </w:rPr>
              <w:t xml:space="preserve">Individual learning plans and the processes and structures that sit around them provide enhanced opportunities for Indigenous students to have a voice about educational goals and outcomes and express (and document) their aspirations for future career pathways. </w:t>
            </w:r>
          </w:p>
          <w:p w:rsidR="006B08DB" w:rsidRPr="007E67C5" w:rsidRDefault="006B08DB" w:rsidP="00B928E0">
            <w:pPr>
              <w:rPr>
                <w:szCs w:val="22"/>
              </w:rPr>
            </w:pPr>
          </w:p>
          <w:p w:rsidR="006B08DB" w:rsidRPr="007E67C5" w:rsidRDefault="006B08DB" w:rsidP="00B928E0">
            <w:pPr>
              <w:rPr>
                <w:szCs w:val="22"/>
              </w:rPr>
            </w:pPr>
          </w:p>
          <w:p w:rsidR="006B08DB" w:rsidRPr="007E67C5" w:rsidRDefault="006B08DB" w:rsidP="00B928E0">
            <w:pPr>
              <w:rPr>
                <w:b/>
                <w:szCs w:val="22"/>
              </w:rPr>
            </w:pPr>
            <w:r w:rsidRPr="007E67C5">
              <w:rPr>
                <w:b/>
                <w:szCs w:val="22"/>
              </w:rPr>
              <w:t>Government sector</w:t>
            </w:r>
          </w:p>
          <w:p w:rsidR="006B08DB" w:rsidRPr="004D5A9E" w:rsidRDefault="006B08DB" w:rsidP="00B928E0">
            <w:pPr>
              <w:rPr>
                <w:b/>
                <w:sz w:val="24"/>
                <w:szCs w:val="24"/>
              </w:rPr>
            </w:pPr>
            <w:r w:rsidRPr="004D5A9E">
              <w:rPr>
                <w:b/>
                <w:sz w:val="24"/>
                <w:szCs w:val="24"/>
              </w:rPr>
              <w:t>Aboriginal Turn Around Team (</w:t>
            </w:r>
            <w:proofErr w:type="spellStart"/>
            <w:r w:rsidRPr="004D5A9E">
              <w:rPr>
                <w:b/>
                <w:sz w:val="24"/>
                <w:szCs w:val="24"/>
              </w:rPr>
              <w:t>ATAT</w:t>
            </w:r>
            <w:proofErr w:type="spellEnd"/>
            <w:r w:rsidRPr="004D5A9E">
              <w:rPr>
                <w:b/>
                <w:sz w:val="24"/>
                <w:szCs w:val="24"/>
              </w:rPr>
              <w:t>)</w:t>
            </w:r>
          </w:p>
          <w:p w:rsidR="006B08DB" w:rsidRDefault="006B08DB" w:rsidP="00B928E0">
            <w:pPr>
              <w:rPr>
                <w:szCs w:val="22"/>
              </w:rPr>
            </w:pPr>
            <w:r w:rsidRPr="007E67C5">
              <w:rPr>
                <w:szCs w:val="22"/>
              </w:rPr>
              <w:t xml:space="preserve">The </w:t>
            </w:r>
            <w:r w:rsidRPr="007E67C5">
              <w:rPr>
                <w:i/>
                <w:szCs w:val="22"/>
              </w:rPr>
              <w:t xml:space="preserve">Aboriginal turn around team </w:t>
            </w:r>
            <w:r w:rsidRPr="007E67C5">
              <w:rPr>
                <w:szCs w:val="22"/>
              </w:rPr>
              <w:t>(</w:t>
            </w:r>
            <w:proofErr w:type="spellStart"/>
            <w:r w:rsidRPr="007E67C5">
              <w:rPr>
                <w:szCs w:val="22"/>
              </w:rPr>
              <w:t>ATAT</w:t>
            </w:r>
            <w:proofErr w:type="spellEnd"/>
            <w:r w:rsidRPr="007E67C5">
              <w:rPr>
                <w:szCs w:val="22"/>
              </w:rPr>
              <w:t>) program aims to develop cohesive health and education family support approaches for Aboriginal children with additional and complex needs. The purpose is to improve relationships between Aboriginal families, schools and support agencies so that participation in education is enhanced.</w:t>
            </w:r>
          </w:p>
          <w:p w:rsidR="004D5A9E" w:rsidRPr="007E67C5" w:rsidRDefault="004D5A9E" w:rsidP="00B928E0">
            <w:pPr>
              <w:rPr>
                <w:szCs w:val="22"/>
              </w:rPr>
            </w:pPr>
          </w:p>
          <w:p w:rsidR="006B08DB" w:rsidRDefault="006B08DB" w:rsidP="00B928E0">
            <w:pPr>
              <w:rPr>
                <w:szCs w:val="22"/>
              </w:rPr>
            </w:pPr>
            <w:r w:rsidRPr="007E67C5">
              <w:rPr>
                <w:szCs w:val="22"/>
              </w:rPr>
              <w:t>The team provides crisis intervention and support to Aboriginal children, young people and their families. The service focuses on a model which responds to educational performance, behaviour, physical, mental and psychological health. The team aims to improve Aboriginal students’ engagement with education, schooling and learning so that they may successfully achieve completion of secondary education, further education or employment. The team provides intensive and holistic case management with the needs of the participant, their siblings and family taken into consideration.</w:t>
            </w:r>
          </w:p>
          <w:p w:rsidR="004D5A9E" w:rsidRPr="007E67C5" w:rsidRDefault="004D5A9E" w:rsidP="00B928E0">
            <w:pPr>
              <w:rPr>
                <w:szCs w:val="22"/>
              </w:rPr>
            </w:pPr>
          </w:p>
          <w:p w:rsidR="006B08DB" w:rsidRDefault="006B08DB" w:rsidP="00B928E0">
            <w:pPr>
              <w:rPr>
                <w:szCs w:val="22"/>
              </w:rPr>
            </w:pPr>
            <w:r w:rsidRPr="007E67C5">
              <w:rPr>
                <w:szCs w:val="22"/>
              </w:rPr>
              <w:t xml:space="preserve">During terms 1 and 2 2013, the </w:t>
            </w:r>
            <w:r w:rsidRPr="007E67C5">
              <w:rPr>
                <w:i/>
                <w:szCs w:val="22"/>
              </w:rPr>
              <w:t xml:space="preserve">Aboriginal turn around team </w:t>
            </w:r>
            <w:r w:rsidRPr="007E67C5">
              <w:rPr>
                <w:szCs w:val="22"/>
              </w:rPr>
              <w:t>(</w:t>
            </w:r>
            <w:proofErr w:type="spellStart"/>
            <w:r w:rsidRPr="007E67C5">
              <w:rPr>
                <w:szCs w:val="22"/>
              </w:rPr>
              <w:t>ATAT</w:t>
            </w:r>
            <w:proofErr w:type="spellEnd"/>
            <w:r w:rsidRPr="007E67C5">
              <w:rPr>
                <w:szCs w:val="22"/>
              </w:rPr>
              <w:t>) have supported and worked alongside 87 referred students and 80 non-referred young people across 53 educational sites and 85 support agencies.</w:t>
            </w:r>
          </w:p>
          <w:p w:rsidR="004D5A9E" w:rsidRPr="007E67C5" w:rsidRDefault="004D5A9E" w:rsidP="00B928E0">
            <w:pPr>
              <w:rPr>
                <w:szCs w:val="22"/>
              </w:rPr>
            </w:pPr>
          </w:p>
          <w:p w:rsidR="006B08DB" w:rsidRDefault="006B08DB" w:rsidP="00B928E0">
            <w:pPr>
              <w:rPr>
                <w:szCs w:val="22"/>
              </w:rPr>
            </w:pPr>
            <w:r w:rsidRPr="007E67C5">
              <w:rPr>
                <w:szCs w:val="22"/>
              </w:rPr>
              <w:t xml:space="preserve">Outcomes for the </w:t>
            </w:r>
            <w:proofErr w:type="spellStart"/>
            <w:r w:rsidRPr="007E67C5">
              <w:rPr>
                <w:szCs w:val="22"/>
              </w:rPr>
              <w:t>ATAT</w:t>
            </w:r>
            <w:proofErr w:type="spellEnd"/>
            <w:r w:rsidRPr="007E67C5">
              <w:rPr>
                <w:szCs w:val="22"/>
              </w:rPr>
              <w:t xml:space="preserve"> supported families include a decrease in student behavioural issues, decrease in parental substance abuse, decrease in child protection issues, more positive family functioning, and </w:t>
            </w:r>
            <w:r w:rsidRPr="007E67C5">
              <w:rPr>
                <w:szCs w:val="22"/>
              </w:rPr>
              <w:lastRenderedPageBreak/>
              <w:t>stronger relationships with schools and support agencies.</w:t>
            </w:r>
          </w:p>
          <w:p w:rsidR="004D5A9E" w:rsidRPr="007E67C5" w:rsidRDefault="004D5A9E" w:rsidP="00B928E0">
            <w:pPr>
              <w:rPr>
                <w:szCs w:val="22"/>
              </w:rPr>
            </w:pPr>
          </w:p>
          <w:p w:rsidR="006B08DB" w:rsidRPr="007E67C5" w:rsidRDefault="006B08DB" w:rsidP="00B928E0">
            <w:pPr>
              <w:rPr>
                <w:b/>
                <w:szCs w:val="22"/>
              </w:rPr>
            </w:pPr>
            <w:r w:rsidRPr="007E67C5">
              <w:rPr>
                <w:b/>
                <w:szCs w:val="22"/>
              </w:rPr>
              <w:t>Community Engagement – Aboriginal Voice</w:t>
            </w:r>
          </w:p>
          <w:p w:rsidR="006B08DB" w:rsidRDefault="006B08DB" w:rsidP="00B928E0">
            <w:pPr>
              <w:rPr>
                <w:szCs w:val="22"/>
              </w:rPr>
            </w:pPr>
            <w:r w:rsidRPr="007E67C5">
              <w:rPr>
                <w:szCs w:val="22"/>
              </w:rPr>
              <w:t xml:space="preserve">The </w:t>
            </w:r>
            <w:r w:rsidRPr="007E67C5">
              <w:rPr>
                <w:i/>
                <w:szCs w:val="22"/>
              </w:rPr>
              <w:t>Community engagement – Aboriginal voice</w:t>
            </w:r>
            <w:r w:rsidRPr="007E67C5">
              <w:rPr>
                <w:szCs w:val="22"/>
              </w:rPr>
              <w:t xml:space="preserve"> project aims to increase Aboriginal parent and community involvement in the education of their children through the establishment and development of Aboriginal community voice groups. The project builds the capacity of Aboriginal parents and carers to support the education of their children. The project assists in the development of genuine school and community partnerships based on the principles of cross cultural respect, that directs the provision of educational programs to maximise opportunities for Aboriginal children, students and young people. Workshops are held within the regions to build the </w:t>
            </w:r>
            <w:proofErr w:type="spellStart"/>
            <w:r w:rsidRPr="007E67C5">
              <w:rPr>
                <w:szCs w:val="22"/>
              </w:rPr>
              <w:t>capac</w:t>
            </w:r>
            <w:r>
              <w:rPr>
                <w:szCs w:val="22"/>
              </w:rPr>
              <w:t>p42</w:t>
            </w:r>
            <w:r w:rsidRPr="007E67C5">
              <w:rPr>
                <w:szCs w:val="22"/>
              </w:rPr>
              <w:t>ity</w:t>
            </w:r>
            <w:proofErr w:type="spellEnd"/>
            <w:r w:rsidRPr="007E67C5">
              <w:rPr>
                <w:szCs w:val="22"/>
              </w:rPr>
              <w:t xml:space="preserve"> of Aboriginal parents and carers to partner with their child’s school to support their child’s learning.</w:t>
            </w:r>
          </w:p>
          <w:p w:rsidR="004D5A9E" w:rsidRPr="007E67C5" w:rsidRDefault="004D5A9E" w:rsidP="00B928E0">
            <w:pPr>
              <w:rPr>
                <w:szCs w:val="22"/>
              </w:rPr>
            </w:pPr>
          </w:p>
          <w:p w:rsidR="006B08DB" w:rsidRDefault="006B08DB" w:rsidP="00B928E0">
            <w:pPr>
              <w:rPr>
                <w:szCs w:val="22"/>
              </w:rPr>
            </w:pPr>
            <w:r w:rsidRPr="007E67C5">
              <w:rPr>
                <w:szCs w:val="22"/>
              </w:rPr>
              <w:t xml:space="preserve">Schools that are participating and receiving support through </w:t>
            </w:r>
            <w:r w:rsidRPr="007E67C5">
              <w:rPr>
                <w:i/>
                <w:szCs w:val="22"/>
              </w:rPr>
              <w:t xml:space="preserve"> Community engagement – Aboriginal voice</w:t>
            </w:r>
            <w:r w:rsidRPr="007E67C5">
              <w:rPr>
                <w:szCs w:val="22"/>
              </w:rPr>
              <w:t xml:space="preserve"> have developed and celebrated their school and community partnership agreements and have commented on the importance of all stakeholders being involved in the process </w:t>
            </w:r>
            <w:proofErr w:type="spellStart"/>
            <w:r w:rsidRPr="007E67C5">
              <w:rPr>
                <w:szCs w:val="22"/>
              </w:rPr>
              <w:t>e.g</w:t>
            </w:r>
            <w:proofErr w:type="spellEnd"/>
            <w:r w:rsidRPr="007E67C5">
              <w:rPr>
                <w:szCs w:val="22"/>
              </w:rPr>
              <w:t>, school staff, families and students.</w:t>
            </w:r>
          </w:p>
          <w:p w:rsidR="004D5A9E" w:rsidRPr="007E67C5" w:rsidRDefault="004D5A9E" w:rsidP="00B928E0">
            <w:pPr>
              <w:rPr>
                <w:szCs w:val="22"/>
              </w:rPr>
            </w:pPr>
          </w:p>
          <w:p w:rsidR="006B08DB" w:rsidRPr="007E67C5" w:rsidRDefault="006B08DB" w:rsidP="00B928E0">
            <w:pPr>
              <w:rPr>
                <w:szCs w:val="22"/>
              </w:rPr>
            </w:pPr>
            <w:r w:rsidRPr="007E67C5">
              <w:rPr>
                <w:szCs w:val="22"/>
              </w:rPr>
              <w:t>The positive outcomes for Aboriginal students involved in school and community partnership agreements in 2013 included the following:</w:t>
            </w:r>
          </w:p>
          <w:p w:rsidR="006B08DB" w:rsidRPr="007E67C5" w:rsidRDefault="006B08DB" w:rsidP="00AE6D45">
            <w:pPr>
              <w:pStyle w:val="ListParagraph"/>
              <w:numPr>
                <w:ilvl w:val="0"/>
                <w:numId w:val="7"/>
              </w:numPr>
              <w:tabs>
                <w:tab w:val="clear" w:pos="720"/>
                <w:tab w:val="num" w:pos="1134"/>
              </w:tabs>
              <w:ind w:left="1134" w:hanging="425"/>
              <w:jc w:val="left"/>
            </w:pPr>
            <w:r w:rsidRPr="007E67C5">
              <w:t>Students had a say in what was important for them in order to be successful at school.</w:t>
            </w:r>
          </w:p>
          <w:p w:rsidR="006B08DB" w:rsidRPr="007E67C5" w:rsidRDefault="006B08DB" w:rsidP="00AE6D45">
            <w:pPr>
              <w:pStyle w:val="ListParagraph"/>
              <w:numPr>
                <w:ilvl w:val="0"/>
                <w:numId w:val="7"/>
              </w:numPr>
              <w:tabs>
                <w:tab w:val="clear" w:pos="720"/>
                <w:tab w:val="num" w:pos="1134"/>
              </w:tabs>
              <w:ind w:left="1134" w:hanging="425"/>
              <w:jc w:val="left"/>
            </w:pPr>
            <w:r w:rsidRPr="007E67C5">
              <w:t>Students documented their commitment to the school and community partnership agreement.</w:t>
            </w:r>
          </w:p>
          <w:p w:rsidR="006B08DB" w:rsidRPr="007E67C5" w:rsidRDefault="006B08DB" w:rsidP="00AE6D45">
            <w:pPr>
              <w:pStyle w:val="ListParagraph"/>
              <w:numPr>
                <w:ilvl w:val="0"/>
                <w:numId w:val="7"/>
              </w:numPr>
              <w:tabs>
                <w:tab w:val="clear" w:pos="720"/>
                <w:tab w:val="num" w:pos="1134"/>
              </w:tabs>
              <w:ind w:left="1134" w:hanging="425"/>
              <w:jc w:val="left"/>
            </w:pPr>
            <w:r w:rsidRPr="007E67C5">
              <w:t>Authentic student voice which is written and owned by the students was promoted.</w:t>
            </w:r>
          </w:p>
          <w:p w:rsidR="006B08DB" w:rsidRPr="007E67C5" w:rsidRDefault="006B08DB" w:rsidP="00AE6D45">
            <w:pPr>
              <w:pStyle w:val="ListParagraph"/>
              <w:numPr>
                <w:ilvl w:val="0"/>
                <w:numId w:val="7"/>
              </w:numPr>
              <w:tabs>
                <w:tab w:val="clear" w:pos="720"/>
                <w:tab w:val="num" w:pos="1134"/>
              </w:tabs>
              <w:ind w:left="1134" w:hanging="425"/>
              <w:jc w:val="left"/>
            </w:pPr>
            <w:r w:rsidRPr="007E67C5">
              <w:t>Two Year 7 Aboriginal student representatives were on the School and Community Partnership Committee at John Hartley B-7 school and wanted all Aboriginal groups recognised.</w:t>
            </w:r>
          </w:p>
          <w:p w:rsidR="006B08DB" w:rsidRPr="007E67C5" w:rsidRDefault="006B08DB" w:rsidP="00B928E0">
            <w:pPr>
              <w:rPr>
                <w:szCs w:val="22"/>
              </w:rPr>
            </w:pPr>
            <w:r w:rsidRPr="007E67C5">
              <w:rPr>
                <w:szCs w:val="22"/>
              </w:rPr>
              <w:t>The positive outcomes for teachers and parents included the following:</w:t>
            </w:r>
          </w:p>
          <w:p w:rsidR="006B08DB" w:rsidRPr="007E67C5" w:rsidRDefault="006B08DB" w:rsidP="00AE6D45">
            <w:pPr>
              <w:pStyle w:val="ListParagraph"/>
              <w:numPr>
                <w:ilvl w:val="0"/>
                <w:numId w:val="7"/>
              </w:numPr>
              <w:tabs>
                <w:tab w:val="clear" w:pos="720"/>
                <w:tab w:val="num" w:pos="1134"/>
              </w:tabs>
              <w:ind w:left="1134" w:hanging="425"/>
              <w:jc w:val="left"/>
            </w:pPr>
            <w:r w:rsidRPr="007E67C5">
              <w:t>Teachers and parents gained a better understanding of students’ thoughts on their learning needs and what was important to them.</w:t>
            </w:r>
          </w:p>
          <w:p w:rsidR="006B08DB" w:rsidRPr="007E67C5" w:rsidRDefault="006B08DB" w:rsidP="00AE6D45">
            <w:pPr>
              <w:pStyle w:val="ListParagraph"/>
              <w:numPr>
                <w:ilvl w:val="0"/>
                <w:numId w:val="7"/>
              </w:numPr>
              <w:tabs>
                <w:tab w:val="clear" w:pos="720"/>
                <w:tab w:val="num" w:pos="1134"/>
              </w:tabs>
              <w:ind w:left="1134" w:hanging="425"/>
              <w:jc w:val="left"/>
            </w:pPr>
            <w:r w:rsidRPr="007E67C5">
              <w:t>It gave teachers an insight on how students learn best and this in turn provided teachers what it is they needed to change in regard to teaching methodologies.</w:t>
            </w:r>
          </w:p>
          <w:p w:rsidR="006B08DB" w:rsidRPr="007E67C5" w:rsidRDefault="006B08DB" w:rsidP="00B928E0">
            <w:pPr>
              <w:rPr>
                <w:szCs w:val="22"/>
              </w:rPr>
            </w:pPr>
            <w:r w:rsidRPr="007E67C5">
              <w:rPr>
                <w:szCs w:val="22"/>
              </w:rPr>
              <w:t>As part of the school and community partnership agreements students agreed on the following goals:</w:t>
            </w:r>
          </w:p>
          <w:p w:rsidR="006B08DB" w:rsidRPr="007E67C5" w:rsidRDefault="006B08DB" w:rsidP="00AE6D45">
            <w:pPr>
              <w:pStyle w:val="ListParagraph"/>
              <w:numPr>
                <w:ilvl w:val="0"/>
                <w:numId w:val="7"/>
              </w:numPr>
              <w:tabs>
                <w:tab w:val="clear" w:pos="720"/>
                <w:tab w:val="num" w:pos="1134"/>
              </w:tabs>
              <w:ind w:left="1134" w:hanging="425"/>
              <w:jc w:val="left"/>
            </w:pPr>
            <w:r w:rsidRPr="007E67C5">
              <w:t>Know their identity and have self-pride in their heritage, skills and abilities and proudly share this with others</w:t>
            </w:r>
          </w:p>
          <w:p w:rsidR="006B08DB" w:rsidRPr="007E67C5" w:rsidRDefault="006B08DB" w:rsidP="00AE6D45">
            <w:pPr>
              <w:pStyle w:val="ListParagraph"/>
              <w:numPr>
                <w:ilvl w:val="0"/>
                <w:numId w:val="7"/>
              </w:numPr>
              <w:tabs>
                <w:tab w:val="clear" w:pos="720"/>
                <w:tab w:val="num" w:pos="1134"/>
              </w:tabs>
              <w:ind w:left="1134" w:hanging="425"/>
              <w:jc w:val="left"/>
            </w:pPr>
            <w:r w:rsidRPr="007E67C5">
              <w:t>Attend school and be on time</w:t>
            </w:r>
          </w:p>
          <w:p w:rsidR="006B08DB" w:rsidRPr="007E67C5" w:rsidRDefault="006B08DB" w:rsidP="00AE6D45">
            <w:pPr>
              <w:pStyle w:val="ListParagraph"/>
              <w:numPr>
                <w:ilvl w:val="0"/>
                <w:numId w:val="7"/>
              </w:numPr>
              <w:tabs>
                <w:tab w:val="clear" w:pos="720"/>
                <w:tab w:val="num" w:pos="1134"/>
              </w:tabs>
              <w:ind w:left="1134" w:hanging="425"/>
              <w:jc w:val="left"/>
            </w:pPr>
            <w:r w:rsidRPr="007E67C5">
              <w:t>Develop a good attitude towards school</w:t>
            </w:r>
          </w:p>
          <w:p w:rsidR="006B08DB" w:rsidRPr="007E67C5" w:rsidRDefault="006B08DB" w:rsidP="00AE6D45">
            <w:pPr>
              <w:pStyle w:val="ListParagraph"/>
              <w:numPr>
                <w:ilvl w:val="0"/>
                <w:numId w:val="7"/>
              </w:numPr>
              <w:tabs>
                <w:tab w:val="clear" w:pos="720"/>
                <w:tab w:val="num" w:pos="1134"/>
              </w:tabs>
              <w:ind w:left="1134" w:hanging="425"/>
              <w:jc w:val="left"/>
            </w:pPr>
            <w:r w:rsidRPr="007E67C5">
              <w:t>Listen to learn from our families and teachers respecting their wisdom.</w:t>
            </w:r>
          </w:p>
          <w:p w:rsidR="004D5A9E" w:rsidRDefault="006B08DB" w:rsidP="00B928E0">
            <w:pPr>
              <w:rPr>
                <w:szCs w:val="22"/>
              </w:rPr>
            </w:pPr>
            <w:r w:rsidRPr="007E67C5">
              <w:rPr>
                <w:szCs w:val="22"/>
              </w:rPr>
              <w:t xml:space="preserve">During terms 1 and 2 2013, 50 schools were involved in the </w:t>
            </w:r>
            <w:r w:rsidRPr="007E67C5">
              <w:rPr>
                <w:i/>
                <w:szCs w:val="22"/>
              </w:rPr>
              <w:t>Community engagement – Aboriginal voice</w:t>
            </w:r>
            <w:r w:rsidRPr="007E67C5">
              <w:rPr>
                <w:szCs w:val="22"/>
              </w:rPr>
              <w:t xml:space="preserve"> project. Of these, 41 have conducted regular Aboriginal community voice meetings at their site. </w:t>
            </w:r>
          </w:p>
          <w:p w:rsidR="004D5A9E" w:rsidRDefault="004D5A9E" w:rsidP="00B928E0">
            <w:pPr>
              <w:rPr>
                <w:szCs w:val="22"/>
              </w:rPr>
            </w:pPr>
          </w:p>
          <w:p w:rsidR="006B08DB" w:rsidRDefault="006B08DB" w:rsidP="00B928E0">
            <w:pPr>
              <w:rPr>
                <w:szCs w:val="22"/>
              </w:rPr>
            </w:pPr>
            <w:r w:rsidRPr="007E67C5">
              <w:rPr>
                <w:szCs w:val="22"/>
              </w:rPr>
              <w:t>Altogether, approximately 184 Aboriginal parents/community members have been involved in Aboriginal community voice meetings.</w:t>
            </w:r>
          </w:p>
          <w:p w:rsidR="004D5A9E" w:rsidRPr="007E67C5" w:rsidRDefault="004D5A9E" w:rsidP="00B928E0">
            <w:pPr>
              <w:rPr>
                <w:szCs w:val="22"/>
              </w:rPr>
            </w:pPr>
          </w:p>
          <w:p w:rsidR="006B08DB" w:rsidRDefault="006B08DB" w:rsidP="00B928E0">
            <w:pPr>
              <w:rPr>
                <w:szCs w:val="22"/>
              </w:rPr>
            </w:pPr>
            <w:r w:rsidRPr="007E67C5">
              <w:rPr>
                <w:szCs w:val="22"/>
              </w:rPr>
              <w:t xml:space="preserve">In Term 2 2013, Mannum Community College and John Hartley B-7 School have completed their school and community partnership agreements. Ten Aboriginal parents and community members were involved in the school and community partnership agreement process. For the parents who were not involved, the </w:t>
            </w:r>
            <w:proofErr w:type="spellStart"/>
            <w:r w:rsidRPr="007E67C5">
              <w:rPr>
                <w:szCs w:val="22"/>
              </w:rPr>
              <w:t>ACEOs</w:t>
            </w:r>
            <w:proofErr w:type="spellEnd"/>
            <w:r w:rsidRPr="007E67C5">
              <w:rPr>
                <w:szCs w:val="22"/>
              </w:rPr>
              <w:t xml:space="preserve"> conducted home visits to consult with parents and seek their opinions to ensure they were aware of and involved in the school and community partnership agreement.</w:t>
            </w:r>
          </w:p>
          <w:p w:rsidR="004D5A9E" w:rsidRPr="007E67C5" w:rsidRDefault="004D5A9E" w:rsidP="00B928E0">
            <w:pPr>
              <w:rPr>
                <w:szCs w:val="22"/>
              </w:rPr>
            </w:pPr>
          </w:p>
          <w:p w:rsidR="006B08DB" w:rsidRDefault="006B08DB" w:rsidP="00B928E0">
            <w:pPr>
              <w:rPr>
                <w:szCs w:val="22"/>
              </w:rPr>
            </w:pPr>
            <w:r w:rsidRPr="007E67C5">
              <w:rPr>
                <w:szCs w:val="22"/>
              </w:rPr>
              <w:t>Since the start of 2013, three regions (Northern Adelaide, Western Adelaide and Far North) have established regional Aboriginal community voice committees/forums. On average, eight Aboriginal parents or community members attend each regional meeting.</w:t>
            </w:r>
          </w:p>
          <w:p w:rsidR="004D5A9E" w:rsidRPr="007E67C5" w:rsidRDefault="004D5A9E" w:rsidP="00B928E0">
            <w:pPr>
              <w:rPr>
                <w:szCs w:val="22"/>
              </w:rPr>
            </w:pPr>
          </w:p>
          <w:p w:rsidR="006B08DB" w:rsidRPr="007E67C5" w:rsidRDefault="006B08DB" w:rsidP="00B928E0">
            <w:pPr>
              <w:rPr>
                <w:szCs w:val="22"/>
              </w:rPr>
            </w:pPr>
            <w:r w:rsidRPr="007E67C5">
              <w:rPr>
                <w:szCs w:val="22"/>
              </w:rPr>
              <w:t>At the regional meetings a series of workshops were held. The workshops covered areas such as:</w:t>
            </w:r>
          </w:p>
          <w:p w:rsidR="006B08DB" w:rsidRPr="007E67C5" w:rsidRDefault="006B08DB" w:rsidP="00AE6D45">
            <w:pPr>
              <w:pStyle w:val="ListParagraph"/>
              <w:numPr>
                <w:ilvl w:val="0"/>
                <w:numId w:val="7"/>
              </w:numPr>
              <w:tabs>
                <w:tab w:val="clear" w:pos="720"/>
                <w:tab w:val="num" w:pos="1134"/>
              </w:tabs>
              <w:ind w:left="1134" w:hanging="425"/>
              <w:jc w:val="left"/>
            </w:pPr>
            <w:r w:rsidRPr="007E67C5">
              <w:t xml:space="preserve">‘What is </w:t>
            </w:r>
            <w:proofErr w:type="spellStart"/>
            <w:r w:rsidRPr="007E67C5">
              <w:t>NAPLAN</w:t>
            </w:r>
            <w:proofErr w:type="spellEnd"/>
            <w:r w:rsidRPr="007E67C5">
              <w:t xml:space="preserve">?’ A brochure was developed for parents to explain </w:t>
            </w:r>
            <w:proofErr w:type="spellStart"/>
            <w:r w:rsidRPr="007E67C5">
              <w:t>NAPLAN</w:t>
            </w:r>
            <w:proofErr w:type="spellEnd"/>
          </w:p>
          <w:p w:rsidR="006B08DB" w:rsidRPr="007E67C5" w:rsidRDefault="006B08DB" w:rsidP="00AE6D45">
            <w:pPr>
              <w:pStyle w:val="ListParagraph"/>
              <w:numPr>
                <w:ilvl w:val="0"/>
                <w:numId w:val="7"/>
              </w:numPr>
              <w:tabs>
                <w:tab w:val="clear" w:pos="720"/>
                <w:tab w:val="num" w:pos="1134"/>
              </w:tabs>
              <w:ind w:left="1134" w:hanging="425"/>
              <w:jc w:val="left"/>
            </w:pPr>
            <w:r w:rsidRPr="007E67C5">
              <w:t>The role of a student attendance counsellor (SAC) and Aboriginal inclusion officer (</w:t>
            </w:r>
            <w:proofErr w:type="spellStart"/>
            <w:r w:rsidRPr="007E67C5">
              <w:t>AIO</w:t>
            </w:r>
            <w:proofErr w:type="spellEnd"/>
            <w:r w:rsidRPr="007E67C5">
              <w:t>).</w:t>
            </w:r>
          </w:p>
          <w:p w:rsidR="006B08DB" w:rsidRDefault="006B08DB" w:rsidP="00B928E0">
            <w:pPr>
              <w:rPr>
                <w:szCs w:val="22"/>
              </w:rPr>
            </w:pPr>
            <w:r w:rsidRPr="007E67C5">
              <w:rPr>
                <w:szCs w:val="22"/>
              </w:rPr>
              <w:t xml:space="preserve">The </w:t>
            </w:r>
            <w:r w:rsidRPr="007E67C5">
              <w:rPr>
                <w:i/>
                <w:szCs w:val="22"/>
              </w:rPr>
              <w:t xml:space="preserve">Starting out </w:t>
            </w:r>
            <w:r w:rsidRPr="007E67C5">
              <w:rPr>
                <w:szCs w:val="22"/>
              </w:rPr>
              <w:t>program – developed with the aim to improve the health, development, learning and wellbeing of Aboriginal students. Developed through a series of parent workshops. The parental workshop builds parents and carers’ capacity to support their child/children’s social, intellectual and emotional development and support improved school readiness of preschool Aboriginal children.</w:t>
            </w:r>
          </w:p>
          <w:p w:rsidR="004D5A9E" w:rsidRPr="007E67C5" w:rsidRDefault="004D5A9E" w:rsidP="00B928E0">
            <w:pPr>
              <w:rPr>
                <w:szCs w:val="22"/>
              </w:rPr>
            </w:pPr>
          </w:p>
          <w:p w:rsidR="006B08DB" w:rsidRPr="007E67C5" w:rsidRDefault="006B08DB" w:rsidP="00B928E0">
            <w:pPr>
              <w:rPr>
                <w:szCs w:val="22"/>
              </w:rPr>
            </w:pPr>
            <w:r w:rsidRPr="007E67C5">
              <w:rPr>
                <w:szCs w:val="22"/>
              </w:rPr>
              <w:t>Feedback from Aboriginal parents about the above workshops stated the following:</w:t>
            </w:r>
          </w:p>
          <w:p w:rsidR="006B08DB" w:rsidRPr="007E67C5" w:rsidRDefault="006B08DB" w:rsidP="00AE6D45">
            <w:pPr>
              <w:pStyle w:val="ListParagraph"/>
              <w:numPr>
                <w:ilvl w:val="0"/>
                <w:numId w:val="7"/>
              </w:numPr>
              <w:tabs>
                <w:tab w:val="clear" w:pos="720"/>
                <w:tab w:val="num" w:pos="1134"/>
              </w:tabs>
              <w:ind w:left="1134" w:hanging="425"/>
              <w:jc w:val="left"/>
            </w:pPr>
            <w:r w:rsidRPr="007E67C5">
              <w:t xml:space="preserve">“I feel more confident to have a conversation with the teacher about the </w:t>
            </w:r>
            <w:proofErr w:type="spellStart"/>
            <w:r w:rsidRPr="007E67C5">
              <w:t>NAPLAN</w:t>
            </w:r>
            <w:proofErr w:type="spellEnd"/>
            <w:r w:rsidRPr="007E67C5">
              <w:t xml:space="preserve"> results and link it back to their individual learning plan (</w:t>
            </w:r>
            <w:proofErr w:type="spellStart"/>
            <w:r w:rsidRPr="007E67C5">
              <w:t>ILP</w:t>
            </w:r>
            <w:proofErr w:type="spellEnd"/>
            <w:r w:rsidRPr="007E67C5">
              <w:t>)”.</w:t>
            </w:r>
          </w:p>
          <w:p w:rsidR="006B08DB" w:rsidRPr="007E67C5" w:rsidRDefault="006B08DB" w:rsidP="00AE6D45">
            <w:pPr>
              <w:pStyle w:val="ListParagraph"/>
              <w:numPr>
                <w:ilvl w:val="0"/>
                <w:numId w:val="7"/>
              </w:numPr>
              <w:tabs>
                <w:tab w:val="clear" w:pos="720"/>
                <w:tab w:val="num" w:pos="1134"/>
              </w:tabs>
              <w:ind w:left="1134" w:hanging="425"/>
              <w:jc w:val="left"/>
            </w:pPr>
            <w:r w:rsidRPr="007E67C5">
              <w:t>“I was shocked to find out how smoking and alcohol impacts on a child’s development”.</w:t>
            </w:r>
          </w:p>
          <w:p w:rsidR="006B08DB" w:rsidRDefault="006B08DB" w:rsidP="00B928E0">
            <w:pPr>
              <w:rPr>
                <w:szCs w:val="22"/>
              </w:rPr>
            </w:pPr>
            <w:r w:rsidRPr="007E67C5">
              <w:rPr>
                <w:szCs w:val="22"/>
              </w:rPr>
              <w:t>During terms 1 and 2 2013, the Western Adelaide regional Aboriginal community education manager (</w:t>
            </w:r>
            <w:proofErr w:type="spellStart"/>
            <w:r w:rsidRPr="007E67C5">
              <w:rPr>
                <w:szCs w:val="22"/>
              </w:rPr>
              <w:t>ACEM</w:t>
            </w:r>
            <w:proofErr w:type="spellEnd"/>
            <w:r w:rsidRPr="007E67C5">
              <w:rPr>
                <w:szCs w:val="22"/>
              </w:rPr>
              <w:t>) and the South Australian Aboriginal Education and Training Consultative Body (</w:t>
            </w:r>
            <w:proofErr w:type="spellStart"/>
            <w:r w:rsidRPr="007E67C5">
              <w:rPr>
                <w:szCs w:val="22"/>
              </w:rPr>
              <w:t>SAAETCB</w:t>
            </w:r>
            <w:proofErr w:type="spellEnd"/>
            <w:r w:rsidRPr="007E67C5">
              <w:rPr>
                <w:szCs w:val="22"/>
              </w:rPr>
              <w:t>) representative sought feedback from Aboriginal parents within the region on matters relating to their child’s education. In the survey, parents were asked what support they needed in order to become more involved in their child’s education and what regional approach they wanted to adapt, to seeking out programs and the funding available to support their child’s learning outcomes.</w:t>
            </w:r>
          </w:p>
          <w:p w:rsidR="004D5A9E" w:rsidRPr="007E67C5" w:rsidRDefault="004D5A9E" w:rsidP="00B928E0">
            <w:pPr>
              <w:rPr>
                <w:szCs w:val="22"/>
              </w:rPr>
            </w:pPr>
          </w:p>
          <w:p w:rsidR="006B08DB" w:rsidRPr="004D5A9E" w:rsidRDefault="006B08DB" w:rsidP="00B928E0">
            <w:pPr>
              <w:rPr>
                <w:b/>
                <w:sz w:val="24"/>
                <w:szCs w:val="24"/>
              </w:rPr>
            </w:pPr>
            <w:r w:rsidRPr="004D5A9E">
              <w:rPr>
                <w:b/>
                <w:sz w:val="24"/>
                <w:szCs w:val="24"/>
              </w:rPr>
              <w:t>Targeted student support (</w:t>
            </w:r>
            <w:proofErr w:type="spellStart"/>
            <w:r w:rsidRPr="004D5A9E">
              <w:rPr>
                <w:b/>
                <w:sz w:val="24"/>
                <w:szCs w:val="24"/>
              </w:rPr>
              <w:t>TSS</w:t>
            </w:r>
            <w:proofErr w:type="spellEnd"/>
            <w:r w:rsidRPr="004D5A9E">
              <w:rPr>
                <w:b/>
                <w:sz w:val="24"/>
                <w:szCs w:val="24"/>
              </w:rPr>
              <w:t>)</w:t>
            </w:r>
          </w:p>
          <w:p w:rsidR="006B08DB" w:rsidRDefault="006B08DB" w:rsidP="00B928E0">
            <w:pPr>
              <w:rPr>
                <w:szCs w:val="22"/>
              </w:rPr>
            </w:pPr>
            <w:r w:rsidRPr="007E67C5">
              <w:rPr>
                <w:szCs w:val="22"/>
              </w:rPr>
              <w:t>Between January and June 2013, 2 840 identified students were provided with targeted student support.  This number included 1 140 Indigenous students and 108 under the care of the Minister.</w:t>
            </w:r>
          </w:p>
          <w:p w:rsidR="004D5A9E" w:rsidRPr="007E67C5" w:rsidRDefault="004D5A9E" w:rsidP="00B928E0">
            <w:pPr>
              <w:rPr>
                <w:szCs w:val="22"/>
              </w:rPr>
            </w:pPr>
          </w:p>
          <w:p w:rsidR="006B08DB" w:rsidRPr="007E67C5" w:rsidRDefault="006B08DB" w:rsidP="00B928E0">
            <w:pPr>
              <w:rPr>
                <w:b/>
                <w:szCs w:val="22"/>
              </w:rPr>
            </w:pPr>
            <w:proofErr w:type="spellStart"/>
            <w:r w:rsidRPr="007E67C5">
              <w:rPr>
                <w:b/>
                <w:szCs w:val="22"/>
              </w:rPr>
              <w:t>Wiltja</w:t>
            </w:r>
            <w:proofErr w:type="spellEnd"/>
            <w:r w:rsidRPr="007E67C5">
              <w:rPr>
                <w:b/>
                <w:szCs w:val="22"/>
              </w:rPr>
              <w:t xml:space="preserve"> Secondary program</w:t>
            </w:r>
          </w:p>
          <w:p w:rsidR="006B08DB" w:rsidRPr="007E67C5" w:rsidRDefault="006B08DB" w:rsidP="00B928E0">
            <w:pPr>
              <w:rPr>
                <w:szCs w:val="22"/>
              </w:rPr>
            </w:pPr>
            <w:r w:rsidRPr="007E67C5">
              <w:rPr>
                <w:szCs w:val="22"/>
              </w:rPr>
              <w:t xml:space="preserve">The </w:t>
            </w:r>
            <w:proofErr w:type="spellStart"/>
            <w:r w:rsidRPr="007E67C5">
              <w:rPr>
                <w:i/>
                <w:szCs w:val="22"/>
              </w:rPr>
              <w:t>Wiltja</w:t>
            </w:r>
            <w:proofErr w:type="spellEnd"/>
            <w:r w:rsidRPr="007E67C5">
              <w:rPr>
                <w:i/>
                <w:szCs w:val="22"/>
              </w:rPr>
              <w:t xml:space="preserve"> Secondary</w:t>
            </w:r>
            <w:r w:rsidRPr="007E67C5">
              <w:rPr>
                <w:szCs w:val="22"/>
              </w:rPr>
              <w:t xml:space="preserve"> program aims to support the development of the skills, talents, abilities and confidence of </w:t>
            </w:r>
            <w:proofErr w:type="spellStart"/>
            <w:r w:rsidRPr="007E67C5">
              <w:rPr>
                <w:szCs w:val="22"/>
              </w:rPr>
              <w:t>Anangu</w:t>
            </w:r>
            <w:proofErr w:type="spellEnd"/>
            <w:r w:rsidRPr="007E67C5">
              <w:rPr>
                <w:szCs w:val="22"/>
              </w:rPr>
              <w:t xml:space="preserve"> students to operate confidently in mainstream education and cultural processes, This program enables these </w:t>
            </w:r>
            <w:proofErr w:type="spellStart"/>
            <w:r w:rsidRPr="007E67C5">
              <w:rPr>
                <w:szCs w:val="22"/>
              </w:rPr>
              <w:t>Anangu</w:t>
            </w:r>
            <w:proofErr w:type="spellEnd"/>
            <w:r w:rsidRPr="007E67C5">
              <w:rPr>
                <w:szCs w:val="22"/>
              </w:rPr>
              <w:t xml:space="preserve"> students to:</w:t>
            </w:r>
          </w:p>
          <w:p w:rsidR="006B08DB" w:rsidRPr="007E67C5" w:rsidRDefault="006B08DB" w:rsidP="00AE6D45">
            <w:pPr>
              <w:pStyle w:val="ListParagraph"/>
              <w:numPr>
                <w:ilvl w:val="0"/>
                <w:numId w:val="7"/>
              </w:numPr>
              <w:tabs>
                <w:tab w:val="clear" w:pos="720"/>
                <w:tab w:val="num" w:pos="1134"/>
              </w:tabs>
              <w:ind w:left="1134" w:hanging="425"/>
              <w:jc w:val="left"/>
            </w:pPr>
            <w:proofErr w:type="gramStart"/>
            <w:r w:rsidRPr="007E67C5">
              <w:t>be</w:t>
            </w:r>
            <w:proofErr w:type="gramEnd"/>
            <w:r w:rsidRPr="007E67C5">
              <w:t xml:space="preserve"> immersed in an English language environment. The </w:t>
            </w:r>
            <w:r w:rsidRPr="004D5A9E">
              <w:rPr>
                <w:i/>
              </w:rPr>
              <w:t>Accelerated literacy</w:t>
            </w:r>
            <w:r w:rsidRPr="007E67C5">
              <w:t xml:space="preserve"> program has led to an involvement of 40 bridging students, 25 Year 8 students, 21 Year 9 students and 18 Year 10 students in regular sessions two nights each week after school at the Homework Centre</w:t>
            </w:r>
          </w:p>
          <w:p w:rsidR="006B08DB" w:rsidRPr="004D5A9E" w:rsidRDefault="006B08DB" w:rsidP="00AE6D45">
            <w:pPr>
              <w:pStyle w:val="ListParagraph"/>
              <w:numPr>
                <w:ilvl w:val="0"/>
                <w:numId w:val="7"/>
              </w:numPr>
              <w:tabs>
                <w:tab w:val="clear" w:pos="720"/>
                <w:tab w:val="num" w:pos="1134"/>
              </w:tabs>
              <w:ind w:left="1134" w:hanging="425"/>
              <w:jc w:val="left"/>
              <w:rPr>
                <w:i/>
              </w:rPr>
            </w:pPr>
            <w:proofErr w:type="gramStart"/>
            <w:r w:rsidRPr="007E67C5">
              <w:t>experience</w:t>
            </w:r>
            <w:proofErr w:type="gramEnd"/>
            <w:r w:rsidRPr="007E67C5">
              <w:t xml:space="preserve"> and develop an increased understanding of mainstream Australian culture. The </w:t>
            </w:r>
            <w:proofErr w:type="spellStart"/>
            <w:r w:rsidRPr="007E67C5">
              <w:t>CMaD</w:t>
            </w:r>
            <w:proofErr w:type="spellEnd"/>
            <w:r w:rsidRPr="007E67C5">
              <w:t xml:space="preserve"> NP has supported art and culture activities which involved 46 students participating in cultural events in Adelaide such as the Fringe opening and </w:t>
            </w:r>
            <w:r w:rsidRPr="004D5A9E">
              <w:rPr>
                <w:i/>
              </w:rPr>
              <w:t>Come Out Festival</w:t>
            </w:r>
          </w:p>
          <w:p w:rsidR="006B08DB" w:rsidRPr="007E67C5" w:rsidRDefault="006B08DB" w:rsidP="00AE6D45">
            <w:pPr>
              <w:pStyle w:val="ListParagraph"/>
              <w:numPr>
                <w:ilvl w:val="0"/>
                <w:numId w:val="7"/>
              </w:numPr>
              <w:tabs>
                <w:tab w:val="clear" w:pos="720"/>
                <w:tab w:val="num" w:pos="1134"/>
              </w:tabs>
              <w:ind w:left="1134" w:hanging="425"/>
              <w:jc w:val="left"/>
            </w:pPr>
            <w:r w:rsidRPr="007E67C5">
              <w:t>live confidently outside of their communities</w:t>
            </w:r>
          </w:p>
          <w:p w:rsidR="006B08DB" w:rsidRPr="007E67C5" w:rsidRDefault="006B08DB" w:rsidP="00AE6D45">
            <w:pPr>
              <w:pStyle w:val="ListParagraph"/>
              <w:numPr>
                <w:ilvl w:val="0"/>
                <w:numId w:val="7"/>
              </w:numPr>
              <w:tabs>
                <w:tab w:val="clear" w:pos="720"/>
                <w:tab w:val="num" w:pos="1134"/>
              </w:tabs>
              <w:ind w:left="1134" w:hanging="425"/>
              <w:jc w:val="left"/>
            </w:pPr>
            <w:r w:rsidRPr="007E67C5">
              <w:t>transfer skills and contribute towards building greater self-determination in their home communities</w:t>
            </w:r>
          </w:p>
          <w:p w:rsidR="006B08DB" w:rsidRPr="007E67C5" w:rsidRDefault="006B08DB" w:rsidP="00AE6D45">
            <w:pPr>
              <w:pStyle w:val="ListParagraph"/>
              <w:numPr>
                <w:ilvl w:val="0"/>
                <w:numId w:val="7"/>
              </w:numPr>
              <w:tabs>
                <w:tab w:val="clear" w:pos="720"/>
                <w:tab w:val="num" w:pos="1134"/>
              </w:tabs>
              <w:ind w:left="1134" w:hanging="425"/>
              <w:jc w:val="left"/>
            </w:pPr>
            <w:proofErr w:type="gramStart"/>
            <w:r w:rsidRPr="007E67C5">
              <w:t>move</w:t>
            </w:r>
            <w:proofErr w:type="gramEnd"/>
            <w:r w:rsidRPr="007E67C5">
              <w:t xml:space="preserve"> between </w:t>
            </w:r>
            <w:proofErr w:type="spellStart"/>
            <w:r w:rsidRPr="007E67C5">
              <w:t>APY</w:t>
            </w:r>
            <w:proofErr w:type="spellEnd"/>
            <w:r w:rsidRPr="007E67C5">
              <w:t xml:space="preserve"> Lands schools and the </w:t>
            </w:r>
            <w:proofErr w:type="spellStart"/>
            <w:r w:rsidRPr="007E67C5">
              <w:rPr>
                <w:i/>
              </w:rPr>
              <w:t>Wiltja</w:t>
            </w:r>
            <w:proofErr w:type="spellEnd"/>
            <w:r w:rsidRPr="007E67C5">
              <w:rPr>
                <w:i/>
              </w:rPr>
              <w:t xml:space="preserve"> Secondary </w:t>
            </w:r>
            <w:r w:rsidRPr="007E67C5">
              <w:t xml:space="preserve">program to achieve their </w:t>
            </w:r>
            <w:proofErr w:type="spellStart"/>
            <w:r w:rsidRPr="007E67C5">
              <w:t>SACE</w:t>
            </w:r>
            <w:proofErr w:type="spellEnd"/>
            <w:r w:rsidRPr="007E67C5">
              <w:t>.</w:t>
            </w:r>
          </w:p>
          <w:p w:rsidR="006B08DB" w:rsidRPr="007E67C5" w:rsidRDefault="006B08DB" w:rsidP="00B928E0">
            <w:pPr>
              <w:rPr>
                <w:szCs w:val="22"/>
              </w:rPr>
            </w:pPr>
            <w:r w:rsidRPr="007E67C5">
              <w:rPr>
                <w:szCs w:val="22"/>
              </w:rPr>
              <w:t xml:space="preserve">The following are specific programs for </w:t>
            </w:r>
            <w:proofErr w:type="spellStart"/>
            <w:r w:rsidRPr="007E67C5">
              <w:rPr>
                <w:i/>
                <w:szCs w:val="22"/>
              </w:rPr>
              <w:t>Wiltja</w:t>
            </w:r>
            <w:proofErr w:type="spellEnd"/>
            <w:r w:rsidRPr="007E67C5">
              <w:rPr>
                <w:i/>
                <w:szCs w:val="22"/>
              </w:rPr>
              <w:t xml:space="preserve"> Secondary </w:t>
            </w:r>
            <w:r w:rsidRPr="007E67C5">
              <w:rPr>
                <w:szCs w:val="22"/>
              </w:rPr>
              <w:t xml:space="preserve">program students from the remote Indigenous communities of the </w:t>
            </w:r>
            <w:proofErr w:type="spellStart"/>
            <w:r w:rsidRPr="007E67C5">
              <w:rPr>
                <w:szCs w:val="22"/>
              </w:rPr>
              <w:t>APY</w:t>
            </w:r>
            <w:proofErr w:type="spellEnd"/>
            <w:r w:rsidRPr="007E67C5">
              <w:rPr>
                <w:szCs w:val="22"/>
              </w:rPr>
              <w:t xml:space="preserve"> Lands, Yalata and Oak Valley Communities of South Australia:</w:t>
            </w:r>
          </w:p>
          <w:p w:rsidR="006B08DB" w:rsidRPr="004A25E3" w:rsidRDefault="006B08DB" w:rsidP="00AE6D45">
            <w:pPr>
              <w:pStyle w:val="ListParagraph"/>
              <w:numPr>
                <w:ilvl w:val="0"/>
                <w:numId w:val="16"/>
              </w:numPr>
              <w:tabs>
                <w:tab w:val="clear" w:pos="720"/>
                <w:tab w:val="num" w:pos="1168"/>
              </w:tabs>
              <w:ind w:left="1168" w:hanging="448"/>
            </w:pPr>
            <w:r w:rsidRPr="004A25E3">
              <w:t xml:space="preserve">A vocation pathways mentor (1.0 FTE) commenced in Term 4, 2012 and has worked across all year levels providing vocational guidance for all </w:t>
            </w:r>
            <w:proofErr w:type="spellStart"/>
            <w:r w:rsidRPr="004A25E3">
              <w:rPr>
                <w:i/>
              </w:rPr>
              <w:t>Wiltja</w:t>
            </w:r>
            <w:proofErr w:type="spellEnd"/>
            <w:r w:rsidRPr="004A25E3">
              <w:rPr>
                <w:i/>
              </w:rPr>
              <w:t xml:space="preserve"> Secondary </w:t>
            </w:r>
            <w:r w:rsidRPr="004A25E3">
              <w:t>program students. The new role provides direct support to all students in developing their understanding of the links between education achievement and vocation pathways opportunities.</w:t>
            </w:r>
          </w:p>
          <w:p w:rsidR="006B08DB" w:rsidRPr="004A25E3" w:rsidRDefault="006B08DB" w:rsidP="00AE6D45">
            <w:pPr>
              <w:pStyle w:val="ListParagraph"/>
              <w:numPr>
                <w:ilvl w:val="0"/>
                <w:numId w:val="16"/>
              </w:numPr>
              <w:tabs>
                <w:tab w:val="clear" w:pos="720"/>
                <w:tab w:val="num" w:pos="1168"/>
              </w:tabs>
              <w:ind w:left="1168" w:hanging="448"/>
            </w:pPr>
            <w:r w:rsidRPr="004A25E3">
              <w:t xml:space="preserve">The </w:t>
            </w:r>
            <w:r w:rsidRPr="004A25E3">
              <w:rPr>
                <w:i/>
              </w:rPr>
              <w:t xml:space="preserve">Drivers Licence </w:t>
            </w:r>
            <w:r w:rsidRPr="004A25E3">
              <w:t xml:space="preserve">program – instruction and progress towards attaining a full South Australian drivers licence for all students at the </w:t>
            </w:r>
            <w:proofErr w:type="spellStart"/>
            <w:r w:rsidRPr="004A25E3">
              <w:rPr>
                <w:i/>
              </w:rPr>
              <w:t>Wiltja</w:t>
            </w:r>
            <w:proofErr w:type="spellEnd"/>
            <w:r w:rsidRPr="004A25E3">
              <w:rPr>
                <w:i/>
              </w:rPr>
              <w:t xml:space="preserve"> Secondary</w:t>
            </w:r>
            <w:r w:rsidRPr="004A25E3">
              <w:t xml:space="preserve"> residence over 16 years of age. Currently there are 16 students in Year 10, 11 and 12 engaged in this program. Three students have completed the requirements to obtain a Probationary South Australia Drivers Licence. It is hoped that the </w:t>
            </w:r>
            <w:r w:rsidRPr="004A25E3">
              <w:rPr>
                <w:i/>
              </w:rPr>
              <w:t>Drivers licence</w:t>
            </w:r>
            <w:r w:rsidRPr="004A25E3">
              <w:t xml:space="preserve"> program will lead to:</w:t>
            </w:r>
          </w:p>
          <w:p w:rsidR="006B08DB" w:rsidRPr="004A25E3" w:rsidRDefault="006B08DB" w:rsidP="00AE6D45">
            <w:pPr>
              <w:pStyle w:val="ListParagraph"/>
              <w:numPr>
                <w:ilvl w:val="1"/>
                <w:numId w:val="7"/>
              </w:numPr>
              <w:jc w:val="left"/>
            </w:pPr>
            <w:r w:rsidRPr="004A25E3">
              <w:t>improved vocation and employment options as a result of having a driver’s licence</w:t>
            </w:r>
          </w:p>
          <w:p w:rsidR="006B08DB" w:rsidRPr="004A25E3" w:rsidRDefault="006B08DB" w:rsidP="00AE6D45">
            <w:pPr>
              <w:pStyle w:val="ListParagraph"/>
              <w:numPr>
                <w:ilvl w:val="1"/>
                <w:numId w:val="7"/>
              </w:numPr>
              <w:jc w:val="left"/>
            </w:pPr>
            <w:proofErr w:type="gramStart"/>
            <w:r w:rsidRPr="004A25E3">
              <w:lastRenderedPageBreak/>
              <w:t>improved</w:t>
            </w:r>
            <w:proofErr w:type="gramEnd"/>
            <w:r w:rsidRPr="004A25E3">
              <w:t xml:space="preserve"> road safety outcomes for the student, their families and the wider community with well-trained drivers resulting from the program.</w:t>
            </w:r>
          </w:p>
          <w:p w:rsidR="006B08DB" w:rsidRDefault="006B08DB" w:rsidP="00B928E0">
            <w:pPr>
              <w:rPr>
                <w:szCs w:val="22"/>
              </w:rPr>
            </w:pPr>
            <w:r w:rsidRPr="007E67C5">
              <w:rPr>
                <w:szCs w:val="22"/>
              </w:rPr>
              <w:t>Although the</w:t>
            </w:r>
            <w:r w:rsidRPr="007E67C5">
              <w:rPr>
                <w:i/>
                <w:szCs w:val="22"/>
              </w:rPr>
              <w:t xml:space="preserve"> </w:t>
            </w:r>
            <w:proofErr w:type="spellStart"/>
            <w:r w:rsidRPr="007E67C5">
              <w:rPr>
                <w:i/>
                <w:szCs w:val="22"/>
              </w:rPr>
              <w:t>Wiltja</w:t>
            </w:r>
            <w:proofErr w:type="spellEnd"/>
            <w:r w:rsidRPr="007E67C5">
              <w:rPr>
                <w:i/>
                <w:szCs w:val="22"/>
              </w:rPr>
              <w:t xml:space="preserve"> Secondary </w:t>
            </w:r>
            <w:r w:rsidRPr="007E67C5">
              <w:rPr>
                <w:szCs w:val="22"/>
              </w:rPr>
              <w:t xml:space="preserve">program has been highly successful, moving directly into further education or employment has posed a major challenge for some of the </w:t>
            </w:r>
            <w:proofErr w:type="spellStart"/>
            <w:r w:rsidRPr="007E67C5">
              <w:rPr>
                <w:i/>
                <w:szCs w:val="22"/>
              </w:rPr>
              <w:t>Wiltja</w:t>
            </w:r>
            <w:proofErr w:type="spellEnd"/>
            <w:r w:rsidRPr="007E67C5">
              <w:rPr>
                <w:i/>
                <w:szCs w:val="22"/>
              </w:rPr>
              <w:t xml:space="preserve"> Secondary </w:t>
            </w:r>
            <w:r w:rsidRPr="007E67C5">
              <w:rPr>
                <w:szCs w:val="22"/>
              </w:rPr>
              <w:t>program students. On completion of their studies, most students return to their home communities and are faced with limited employment opportunities.</w:t>
            </w:r>
          </w:p>
          <w:p w:rsidR="004A25E3" w:rsidRPr="007E67C5" w:rsidRDefault="004A25E3" w:rsidP="00B928E0">
            <w:pPr>
              <w:rPr>
                <w:szCs w:val="22"/>
              </w:rPr>
            </w:pPr>
          </w:p>
          <w:p w:rsidR="006B08DB" w:rsidRDefault="006B08DB" w:rsidP="00B928E0">
            <w:pPr>
              <w:rPr>
                <w:szCs w:val="22"/>
              </w:rPr>
            </w:pPr>
            <w:r w:rsidRPr="007E67C5">
              <w:rPr>
                <w:szCs w:val="22"/>
              </w:rPr>
              <w:t xml:space="preserve">During school terms, the </w:t>
            </w:r>
            <w:proofErr w:type="spellStart"/>
            <w:r w:rsidRPr="007E67C5">
              <w:rPr>
                <w:i/>
                <w:szCs w:val="22"/>
              </w:rPr>
              <w:t>Wiltja</w:t>
            </w:r>
            <w:proofErr w:type="spellEnd"/>
            <w:r w:rsidRPr="007E67C5">
              <w:rPr>
                <w:i/>
                <w:szCs w:val="22"/>
              </w:rPr>
              <w:t xml:space="preserve"> Secondary</w:t>
            </w:r>
            <w:r w:rsidRPr="007E67C5">
              <w:rPr>
                <w:szCs w:val="22"/>
              </w:rPr>
              <w:t xml:space="preserve"> Homework Centre provides intensive numeracy and literacy support to 104 </w:t>
            </w:r>
            <w:proofErr w:type="spellStart"/>
            <w:r w:rsidRPr="007E67C5">
              <w:rPr>
                <w:szCs w:val="22"/>
              </w:rPr>
              <w:t>Anangu</w:t>
            </w:r>
            <w:proofErr w:type="spellEnd"/>
            <w:r w:rsidRPr="007E67C5">
              <w:rPr>
                <w:szCs w:val="22"/>
              </w:rPr>
              <w:t xml:space="preserve"> students two nights each week.</w:t>
            </w:r>
          </w:p>
          <w:p w:rsidR="004A25E3" w:rsidRPr="007E67C5" w:rsidRDefault="004A25E3" w:rsidP="00B928E0">
            <w:pPr>
              <w:rPr>
                <w:szCs w:val="22"/>
              </w:rPr>
            </w:pPr>
          </w:p>
          <w:p w:rsidR="006B08DB" w:rsidRPr="007E67C5" w:rsidRDefault="006B08DB" w:rsidP="00B928E0">
            <w:pPr>
              <w:rPr>
                <w:b/>
                <w:szCs w:val="22"/>
              </w:rPr>
            </w:pPr>
            <w:proofErr w:type="spellStart"/>
            <w:r w:rsidRPr="007E67C5">
              <w:rPr>
                <w:b/>
                <w:szCs w:val="22"/>
              </w:rPr>
              <w:t>WILTJA</w:t>
            </w:r>
            <w:proofErr w:type="spellEnd"/>
            <w:r w:rsidRPr="007E67C5">
              <w:rPr>
                <w:b/>
                <w:szCs w:val="22"/>
              </w:rPr>
              <w:t xml:space="preserve"> Secondary program outcomes</w:t>
            </w:r>
          </w:p>
          <w:p w:rsidR="006B08DB" w:rsidRDefault="006B08DB" w:rsidP="00B928E0">
            <w:pPr>
              <w:rPr>
                <w:szCs w:val="22"/>
              </w:rPr>
            </w:pPr>
            <w:r w:rsidRPr="007E67C5">
              <w:rPr>
                <w:szCs w:val="22"/>
              </w:rPr>
              <w:t xml:space="preserve">Departmental data indicates that there are more students staying longer in </w:t>
            </w:r>
            <w:proofErr w:type="gramStart"/>
            <w:r w:rsidRPr="007E67C5">
              <w:rPr>
                <w:szCs w:val="22"/>
              </w:rPr>
              <w:t xml:space="preserve">the </w:t>
            </w:r>
            <w:r w:rsidRPr="007E67C5">
              <w:rPr>
                <w:i/>
                <w:szCs w:val="22"/>
              </w:rPr>
              <w:t xml:space="preserve"> </w:t>
            </w:r>
            <w:proofErr w:type="spellStart"/>
            <w:r w:rsidRPr="007E67C5">
              <w:rPr>
                <w:i/>
                <w:szCs w:val="22"/>
              </w:rPr>
              <w:t>Wiltja</w:t>
            </w:r>
            <w:proofErr w:type="spellEnd"/>
            <w:proofErr w:type="gramEnd"/>
            <w:r w:rsidRPr="007E67C5">
              <w:rPr>
                <w:i/>
                <w:szCs w:val="22"/>
              </w:rPr>
              <w:t xml:space="preserve"> Secondary </w:t>
            </w:r>
            <w:r w:rsidRPr="007E67C5">
              <w:rPr>
                <w:szCs w:val="22"/>
              </w:rPr>
              <w:t>program. The retention rate for the period from 2008 to 2012 is now at 73.5%, compared with 63.7% for the period 12 months prior.</w:t>
            </w:r>
          </w:p>
          <w:p w:rsidR="004A25E3" w:rsidRPr="007E67C5" w:rsidRDefault="004A25E3" w:rsidP="00B928E0">
            <w:pPr>
              <w:rPr>
                <w:szCs w:val="22"/>
              </w:rPr>
            </w:pPr>
          </w:p>
          <w:p w:rsidR="006B08DB" w:rsidRDefault="006B08DB" w:rsidP="00B928E0">
            <w:pPr>
              <w:rPr>
                <w:szCs w:val="22"/>
              </w:rPr>
            </w:pPr>
            <w:r w:rsidRPr="007E67C5">
              <w:rPr>
                <w:szCs w:val="22"/>
              </w:rPr>
              <w:t xml:space="preserve">There are an increased number of students completing courses or </w:t>
            </w:r>
            <w:proofErr w:type="spellStart"/>
            <w:r w:rsidRPr="007E67C5">
              <w:rPr>
                <w:szCs w:val="22"/>
              </w:rPr>
              <w:t>SACE</w:t>
            </w:r>
            <w:proofErr w:type="spellEnd"/>
            <w:r w:rsidRPr="007E67C5">
              <w:rPr>
                <w:szCs w:val="22"/>
              </w:rPr>
              <w:t xml:space="preserve"> credits. In 2012, there were three </w:t>
            </w:r>
            <w:proofErr w:type="spellStart"/>
            <w:r w:rsidRPr="007E67C5">
              <w:rPr>
                <w:szCs w:val="22"/>
              </w:rPr>
              <w:t>SACE</w:t>
            </w:r>
            <w:proofErr w:type="spellEnd"/>
            <w:r w:rsidRPr="007E67C5">
              <w:rPr>
                <w:szCs w:val="22"/>
              </w:rPr>
              <w:t xml:space="preserve"> completions as was the case in 2011. In 2013, It is anticipated that four students will meet the </w:t>
            </w:r>
            <w:proofErr w:type="spellStart"/>
            <w:r w:rsidRPr="007E67C5">
              <w:rPr>
                <w:szCs w:val="22"/>
              </w:rPr>
              <w:t>SACE</w:t>
            </w:r>
            <w:proofErr w:type="spellEnd"/>
            <w:r w:rsidRPr="007E67C5">
              <w:rPr>
                <w:szCs w:val="22"/>
              </w:rPr>
              <w:t xml:space="preserve"> requirement.</w:t>
            </w:r>
          </w:p>
          <w:p w:rsidR="004A25E3" w:rsidRPr="007E67C5" w:rsidRDefault="004A25E3" w:rsidP="00B928E0">
            <w:pPr>
              <w:rPr>
                <w:szCs w:val="22"/>
              </w:rPr>
            </w:pPr>
          </w:p>
          <w:p w:rsidR="006B08DB" w:rsidRPr="007E67C5" w:rsidRDefault="006B08DB" w:rsidP="00B928E0">
            <w:pPr>
              <w:rPr>
                <w:szCs w:val="22"/>
              </w:rPr>
            </w:pPr>
            <w:r w:rsidRPr="007E67C5">
              <w:rPr>
                <w:szCs w:val="22"/>
              </w:rPr>
              <w:t>Students are attending more subjects in mainstream classes at the senior level. In 2013, there are 12 students in Year 11 and 12 attending Windsor Gardens Vocational College compared with eight students in 2012. This has provided the opportunity for the students to enrol in a wide range of education and vocational pathway subjects.</w:t>
            </w:r>
          </w:p>
          <w:p w:rsidR="007A446E" w:rsidRDefault="007A446E" w:rsidP="006B08DB">
            <w:pPr>
              <w:pStyle w:val="Default"/>
              <w:widowControl w:val="0"/>
              <w:spacing w:before="120"/>
            </w:pPr>
          </w:p>
        </w:tc>
      </w:tr>
      <w:tr w:rsidR="007A446E" w:rsidTr="007A446E">
        <w:tc>
          <w:tcPr>
            <w:tcW w:w="9498" w:type="dxa"/>
            <w:tcBorders>
              <w:top w:val="single" w:sz="4" w:space="0" w:color="auto"/>
              <w:left w:val="single" w:sz="4" w:space="0" w:color="auto"/>
              <w:bottom w:val="single" w:sz="4" w:space="0" w:color="auto"/>
              <w:right w:val="single" w:sz="4" w:space="0" w:color="auto"/>
            </w:tcBorders>
            <w:hideMark/>
          </w:tcPr>
          <w:p w:rsidR="007A446E" w:rsidRDefault="007A446E" w:rsidP="004A25E3">
            <w:pPr>
              <w:pStyle w:val="Heading2"/>
            </w:pPr>
            <w:bookmarkStart w:id="10" w:name="_Toc379547557"/>
            <w:r>
              <w:lastRenderedPageBreak/>
              <w:t>Support for Other Disadvantaged Student Cohorts – 1 January to 30 June 2013</w:t>
            </w:r>
            <w:bookmarkEnd w:id="10"/>
          </w:p>
          <w:p w:rsidR="004A25E3" w:rsidRDefault="004A25E3" w:rsidP="00011B40"/>
          <w:p w:rsidR="00D264E4" w:rsidRDefault="00D264E4" w:rsidP="00011B40">
            <w:r w:rsidRPr="007E67C5">
              <w:t xml:space="preserve">The </w:t>
            </w:r>
            <w:proofErr w:type="spellStart"/>
            <w:r w:rsidRPr="007E67C5">
              <w:rPr>
                <w:b/>
              </w:rPr>
              <w:t>AISSA</w:t>
            </w:r>
            <w:proofErr w:type="spellEnd"/>
            <w:r w:rsidRPr="007E67C5">
              <w:rPr>
                <w:b/>
              </w:rPr>
              <w:t xml:space="preserve"> </w:t>
            </w:r>
            <w:r w:rsidRPr="007E67C5">
              <w:t xml:space="preserve">schools involved in the </w:t>
            </w:r>
            <w:proofErr w:type="spellStart"/>
            <w:r w:rsidRPr="007E67C5">
              <w:t>CMAD</w:t>
            </w:r>
            <w:proofErr w:type="spellEnd"/>
            <w:r w:rsidRPr="007E67C5">
              <w:t xml:space="preserve"> National Partnership are of themselves supporting complex communities. As such, the construct of the overarching approach within each </w:t>
            </w:r>
            <w:proofErr w:type="spellStart"/>
            <w:r w:rsidRPr="007E67C5">
              <w:t>CMAD</w:t>
            </w:r>
            <w:proofErr w:type="spellEnd"/>
            <w:r w:rsidRPr="007E67C5">
              <w:t xml:space="preserve"> school is intentionally designed to support a range of identified cohorts. On the whole, most of these schools are also involved in the Improving Literacy and Numeracy National Partnership and has seen these two Partnerships use a coordinated and collaborative approach by </w:t>
            </w:r>
            <w:proofErr w:type="spellStart"/>
            <w:r w:rsidRPr="007E67C5">
              <w:t>AISSA</w:t>
            </w:r>
            <w:proofErr w:type="spellEnd"/>
            <w:r w:rsidRPr="007E67C5">
              <w:t xml:space="preserve"> to achieve project objectives. </w:t>
            </w:r>
          </w:p>
          <w:p w:rsidR="004A25E3" w:rsidRPr="007E67C5" w:rsidRDefault="004A25E3" w:rsidP="00011B40"/>
          <w:p w:rsidR="00D264E4" w:rsidRDefault="00D264E4" w:rsidP="00011B40">
            <w:r w:rsidRPr="007E67C5">
              <w:t xml:space="preserve">One of the major focuses at the sector and school level which has contributed to the engagement of disadvantaged cohorts is the provision of tailored professional learning around planning for student diversity using the Australian Curriculum and differentiation as specified in the </w:t>
            </w:r>
            <w:r w:rsidRPr="007E67C5">
              <w:rPr>
                <w:i/>
              </w:rPr>
              <w:t xml:space="preserve">Australian professional standards for teachers </w:t>
            </w:r>
            <w:r w:rsidRPr="007E67C5">
              <w:t>(</w:t>
            </w:r>
            <w:proofErr w:type="spellStart"/>
            <w:r w:rsidRPr="007E67C5">
              <w:t>APST</w:t>
            </w:r>
            <w:proofErr w:type="spellEnd"/>
            <w:r w:rsidRPr="007E67C5">
              <w:t xml:space="preserve">). </w:t>
            </w:r>
          </w:p>
          <w:p w:rsidR="004A25E3" w:rsidRPr="007E67C5" w:rsidRDefault="004A25E3" w:rsidP="00011B40"/>
          <w:p w:rsidR="00D264E4" w:rsidRDefault="00D264E4" w:rsidP="00011B40">
            <w:r w:rsidRPr="007E67C5">
              <w:t xml:space="preserve">A range of </w:t>
            </w:r>
            <w:proofErr w:type="spellStart"/>
            <w:r w:rsidRPr="007E67C5">
              <w:t>CMAD</w:t>
            </w:r>
            <w:proofErr w:type="spellEnd"/>
            <w:r w:rsidRPr="007E67C5">
              <w:t xml:space="preserve"> schools are undertaking support in the area of curriculum writing to engage learners with diverse needs. This has been achieved using a range of strategies ranging from school level presentations and staff meetings through to small group/in-school work with teachers in </w:t>
            </w:r>
            <w:proofErr w:type="spellStart"/>
            <w:r w:rsidRPr="007E67C5">
              <w:t>CMAD</w:t>
            </w:r>
            <w:proofErr w:type="spellEnd"/>
            <w:r w:rsidRPr="007E67C5">
              <w:t xml:space="preserve"> schools. </w:t>
            </w:r>
          </w:p>
          <w:p w:rsidR="004A25E3" w:rsidRPr="007E67C5" w:rsidRDefault="004A25E3" w:rsidP="00011B40"/>
          <w:p w:rsidR="00D264E4" w:rsidRPr="007E67C5" w:rsidRDefault="00D264E4" w:rsidP="00011B40">
            <w:r w:rsidRPr="007E67C5">
              <w:t xml:space="preserve">As part of the </w:t>
            </w:r>
            <w:proofErr w:type="spellStart"/>
            <w:r w:rsidRPr="007E67C5">
              <w:t>ILNNP</w:t>
            </w:r>
            <w:proofErr w:type="spellEnd"/>
            <w:r w:rsidRPr="007E67C5">
              <w:t xml:space="preserve"> and </w:t>
            </w:r>
            <w:proofErr w:type="spellStart"/>
            <w:r w:rsidRPr="007E67C5">
              <w:t>CMAD</w:t>
            </w:r>
            <w:proofErr w:type="spellEnd"/>
            <w:r w:rsidRPr="007E67C5">
              <w:t xml:space="preserve"> National Partnership, literacy and numeracy continue to be a strong focus for these schools. </w:t>
            </w:r>
            <w:proofErr w:type="spellStart"/>
            <w:r w:rsidRPr="007E67C5">
              <w:t>CMAD</w:t>
            </w:r>
            <w:proofErr w:type="spellEnd"/>
            <w:r w:rsidRPr="007E67C5">
              <w:t xml:space="preserve"> funding has been utilised extensively for a range of strategies, including the following:</w:t>
            </w:r>
          </w:p>
          <w:p w:rsidR="00D264E4" w:rsidRPr="007E67C5" w:rsidRDefault="00D264E4" w:rsidP="00AE6D45">
            <w:pPr>
              <w:pStyle w:val="ListParagraph"/>
              <w:numPr>
                <w:ilvl w:val="0"/>
                <w:numId w:val="7"/>
              </w:numPr>
              <w:tabs>
                <w:tab w:val="clear" w:pos="720"/>
                <w:tab w:val="num" w:pos="1134"/>
              </w:tabs>
              <w:ind w:left="1134" w:hanging="425"/>
              <w:jc w:val="left"/>
            </w:pPr>
            <w:r w:rsidRPr="007E67C5">
              <w:t xml:space="preserve">School professional learning around the analysis of data using a digital </w:t>
            </w:r>
            <w:proofErr w:type="spellStart"/>
            <w:r w:rsidRPr="007E67C5">
              <w:t>NAPLAN</w:t>
            </w:r>
            <w:proofErr w:type="spellEnd"/>
            <w:r w:rsidRPr="007E67C5">
              <w:t xml:space="preserve"> analysis tool</w:t>
            </w:r>
          </w:p>
          <w:p w:rsidR="00D264E4" w:rsidRPr="007E67C5" w:rsidRDefault="00D264E4" w:rsidP="00AE6D45">
            <w:pPr>
              <w:pStyle w:val="ListParagraph"/>
              <w:numPr>
                <w:ilvl w:val="0"/>
                <w:numId w:val="7"/>
              </w:numPr>
              <w:tabs>
                <w:tab w:val="clear" w:pos="720"/>
                <w:tab w:val="num" w:pos="1134"/>
              </w:tabs>
              <w:ind w:left="1134" w:hanging="425"/>
              <w:jc w:val="left"/>
            </w:pPr>
            <w:r w:rsidRPr="007E67C5">
              <w:t xml:space="preserve">School level support around curriculum planning as a result of data analysis to improve both literacy and numeracy learning in a range of schools </w:t>
            </w:r>
          </w:p>
          <w:p w:rsidR="00D264E4" w:rsidRPr="007E67C5" w:rsidRDefault="00D264E4" w:rsidP="00AE6D45">
            <w:pPr>
              <w:pStyle w:val="ListParagraph"/>
              <w:numPr>
                <w:ilvl w:val="0"/>
                <w:numId w:val="7"/>
              </w:numPr>
              <w:tabs>
                <w:tab w:val="clear" w:pos="720"/>
                <w:tab w:val="num" w:pos="1134"/>
              </w:tabs>
              <w:ind w:left="1134" w:hanging="425"/>
              <w:jc w:val="left"/>
            </w:pPr>
            <w:r w:rsidRPr="007E67C5">
              <w:t xml:space="preserve">Concentrated attention on reading comprehension strategies in key schools. This has been a particular focus in one school with a high </w:t>
            </w:r>
            <w:proofErr w:type="spellStart"/>
            <w:r w:rsidRPr="007E67C5">
              <w:t>ESL</w:t>
            </w:r>
            <w:proofErr w:type="spellEnd"/>
            <w:r w:rsidRPr="007E67C5">
              <w:t>/</w:t>
            </w:r>
            <w:proofErr w:type="spellStart"/>
            <w:r w:rsidRPr="007E67C5">
              <w:t>LBOTE</w:t>
            </w:r>
            <w:proofErr w:type="spellEnd"/>
            <w:r w:rsidRPr="007E67C5">
              <w:t xml:space="preserve"> population</w:t>
            </w:r>
          </w:p>
          <w:p w:rsidR="00D264E4" w:rsidRPr="007E67C5" w:rsidRDefault="00D264E4" w:rsidP="00AE6D45">
            <w:pPr>
              <w:pStyle w:val="ListParagraph"/>
              <w:numPr>
                <w:ilvl w:val="0"/>
                <w:numId w:val="7"/>
              </w:numPr>
              <w:tabs>
                <w:tab w:val="clear" w:pos="720"/>
                <w:tab w:val="num" w:pos="1134"/>
              </w:tabs>
              <w:ind w:left="1134" w:hanging="425"/>
              <w:jc w:val="left"/>
            </w:pPr>
            <w:r w:rsidRPr="007E67C5">
              <w:t>A range of professional learning around ‘assessment of learning’ approaches and task development to assist teachers to improve outcomes when working literacy and numeracy focus subject areas</w:t>
            </w:r>
          </w:p>
          <w:p w:rsidR="00D264E4" w:rsidRPr="007E67C5" w:rsidRDefault="00D264E4" w:rsidP="00AE6D45">
            <w:pPr>
              <w:pStyle w:val="ListParagraph"/>
              <w:numPr>
                <w:ilvl w:val="0"/>
                <w:numId w:val="7"/>
              </w:numPr>
              <w:tabs>
                <w:tab w:val="clear" w:pos="720"/>
                <w:tab w:val="num" w:pos="1134"/>
              </w:tabs>
              <w:ind w:left="1134" w:hanging="425"/>
              <w:jc w:val="left"/>
            </w:pPr>
            <w:r w:rsidRPr="007E67C5">
              <w:t>Focused professional learning in at least 3 schools around the use of the general capabilities and cross curriculum priorities in the Australian Curriculum to engage learners with complex needs and backgrounds</w:t>
            </w:r>
          </w:p>
          <w:p w:rsidR="00D264E4" w:rsidRPr="007E67C5" w:rsidRDefault="00D264E4" w:rsidP="00AE6D45">
            <w:pPr>
              <w:pStyle w:val="ListParagraph"/>
              <w:numPr>
                <w:ilvl w:val="0"/>
                <w:numId w:val="7"/>
              </w:numPr>
              <w:tabs>
                <w:tab w:val="clear" w:pos="720"/>
                <w:tab w:val="num" w:pos="1134"/>
              </w:tabs>
              <w:ind w:left="1134" w:hanging="425"/>
              <w:jc w:val="left"/>
            </w:pPr>
            <w:r w:rsidRPr="007E67C5">
              <w:t xml:space="preserve">The provision of the </w:t>
            </w:r>
            <w:proofErr w:type="spellStart"/>
            <w:r w:rsidRPr="004A25E3">
              <w:rPr>
                <w:i/>
              </w:rPr>
              <w:t>Hanen</w:t>
            </w:r>
            <w:proofErr w:type="spellEnd"/>
            <w:r w:rsidRPr="004A25E3">
              <w:rPr>
                <w:i/>
              </w:rPr>
              <w:t xml:space="preserve"> </w:t>
            </w:r>
            <w:r w:rsidRPr="007E67C5">
              <w:t xml:space="preserve">program in 4 of 7 </w:t>
            </w:r>
            <w:proofErr w:type="spellStart"/>
            <w:r w:rsidRPr="007E67C5">
              <w:t>CMAD</w:t>
            </w:r>
            <w:proofErr w:type="spellEnd"/>
            <w:r w:rsidRPr="007E67C5">
              <w:t xml:space="preserve"> schools to enhance language acquisition and support the development of literacy.</w:t>
            </w:r>
          </w:p>
          <w:p w:rsidR="00D264E4" w:rsidRDefault="00D264E4" w:rsidP="00011B40">
            <w:r w:rsidRPr="007E67C5">
              <w:t xml:space="preserve">The </w:t>
            </w:r>
            <w:proofErr w:type="spellStart"/>
            <w:r w:rsidRPr="007E67C5">
              <w:t>AISSA</w:t>
            </w:r>
            <w:proofErr w:type="spellEnd"/>
            <w:r w:rsidRPr="007E67C5">
              <w:t xml:space="preserve"> has also utilised funding to assist particular </w:t>
            </w:r>
            <w:proofErr w:type="spellStart"/>
            <w:r w:rsidRPr="007E67C5">
              <w:t>CMAD</w:t>
            </w:r>
            <w:proofErr w:type="spellEnd"/>
            <w:r w:rsidRPr="007E67C5">
              <w:t xml:space="preserve"> schools with disadvantaged cohorts improve their attendance. This is being achieved through the tailoring of a variety of strategies for specific schools. At one site, specialist support has been provided to students whose attendance has fluctuated in the past. This specialist support has enabled particular students in this context to re-engage in the school environment and continues to do so. </w:t>
            </w:r>
            <w:proofErr w:type="spellStart"/>
            <w:r w:rsidRPr="007E67C5">
              <w:t>SSOs</w:t>
            </w:r>
            <w:proofErr w:type="spellEnd"/>
            <w:r w:rsidRPr="007E67C5">
              <w:t xml:space="preserve"> and school liaison community members in at least two schools with a high Indigenous and </w:t>
            </w:r>
            <w:proofErr w:type="spellStart"/>
            <w:r w:rsidRPr="007E67C5">
              <w:t>ESL</w:t>
            </w:r>
            <w:proofErr w:type="spellEnd"/>
            <w:r w:rsidRPr="007E67C5">
              <w:t xml:space="preserve"> population are encouraged to work closely with families where necessary to assist students to attend school on a regular basis. </w:t>
            </w:r>
            <w:proofErr w:type="spellStart"/>
            <w:r w:rsidRPr="007E67C5">
              <w:t>CMAD</w:t>
            </w:r>
            <w:proofErr w:type="spellEnd"/>
            <w:r w:rsidRPr="007E67C5">
              <w:t xml:space="preserve"> funding has provided assistance to three schools in this area. </w:t>
            </w:r>
          </w:p>
          <w:p w:rsidR="004A25E3" w:rsidRPr="007E67C5" w:rsidRDefault="004A25E3" w:rsidP="00011B40"/>
          <w:p w:rsidR="00D264E4" w:rsidRDefault="00D264E4" w:rsidP="00011B40">
            <w:pPr>
              <w:rPr>
                <w:rFonts w:cstheme="minorHAnsi"/>
              </w:rPr>
            </w:pPr>
            <w:r w:rsidRPr="007E67C5">
              <w:rPr>
                <w:rFonts w:cstheme="minorHAnsi"/>
              </w:rPr>
              <w:t xml:space="preserve">The </w:t>
            </w:r>
            <w:r w:rsidRPr="007E67C5">
              <w:rPr>
                <w:rFonts w:cstheme="minorHAnsi"/>
                <w:b/>
              </w:rPr>
              <w:t>Catholic sector</w:t>
            </w:r>
            <w:r w:rsidRPr="007E67C5">
              <w:rPr>
                <w:rFonts w:cstheme="minorHAnsi"/>
              </w:rPr>
              <w:t xml:space="preserve"> </w:t>
            </w:r>
            <w:proofErr w:type="spellStart"/>
            <w:r w:rsidRPr="007E67C5">
              <w:rPr>
                <w:rFonts w:cstheme="minorHAnsi"/>
              </w:rPr>
              <w:t>CMaD</w:t>
            </w:r>
            <w:proofErr w:type="spellEnd"/>
            <w:r w:rsidRPr="007E67C5">
              <w:rPr>
                <w:rFonts w:cstheme="minorHAnsi"/>
              </w:rPr>
              <w:t xml:space="preserve"> National Partnership Team continues to integrate its work in schools with that of the </w:t>
            </w:r>
            <w:proofErr w:type="spellStart"/>
            <w:r w:rsidRPr="007E67C5">
              <w:rPr>
                <w:rFonts w:cstheme="minorHAnsi"/>
              </w:rPr>
              <w:t>CESA</w:t>
            </w:r>
            <w:proofErr w:type="spellEnd"/>
            <w:r w:rsidRPr="007E67C5">
              <w:rPr>
                <w:rFonts w:cstheme="minorHAnsi"/>
              </w:rPr>
              <w:t xml:space="preserve"> English as an Additional (</w:t>
            </w:r>
            <w:proofErr w:type="spellStart"/>
            <w:r w:rsidRPr="007E67C5">
              <w:rPr>
                <w:rFonts w:cstheme="minorHAnsi"/>
              </w:rPr>
              <w:t>EAL</w:t>
            </w:r>
            <w:proofErr w:type="spellEnd"/>
            <w:r w:rsidRPr="007E67C5">
              <w:rPr>
                <w:rFonts w:cstheme="minorHAnsi"/>
              </w:rPr>
              <w:t>) Team. Regular consultation and collaboration are designed to provide consistent support for school leaders and teachers in implementing strategies for those students who are developing English as an additional language, many of whom have refugee experience.</w:t>
            </w:r>
          </w:p>
          <w:p w:rsidR="004A25E3" w:rsidRPr="007E67C5" w:rsidRDefault="004A25E3" w:rsidP="00011B40">
            <w:pPr>
              <w:rPr>
                <w:rFonts w:cstheme="minorHAnsi"/>
              </w:rPr>
            </w:pPr>
          </w:p>
          <w:p w:rsidR="00D264E4" w:rsidRDefault="00D264E4" w:rsidP="00011B40">
            <w:pPr>
              <w:rPr>
                <w:rFonts w:cstheme="minorHAnsi"/>
                <w:b/>
              </w:rPr>
            </w:pPr>
            <w:r w:rsidRPr="007E67C5">
              <w:rPr>
                <w:rFonts w:cstheme="minorHAnsi"/>
                <w:b/>
              </w:rPr>
              <w:t>Government sector</w:t>
            </w:r>
          </w:p>
          <w:p w:rsidR="004A25E3" w:rsidRPr="007E67C5" w:rsidRDefault="004A25E3" w:rsidP="00011B40">
            <w:pPr>
              <w:rPr>
                <w:rFonts w:cstheme="minorHAnsi"/>
                <w:b/>
              </w:rPr>
            </w:pPr>
          </w:p>
          <w:p w:rsidR="00D264E4" w:rsidRPr="004A25E3" w:rsidRDefault="00D264E4" w:rsidP="00011B40">
            <w:pPr>
              <w:rPr>
                <w:rFonts w:cstheme="minorHAnsi"/>
                <w:b/>
                <w:sz w:val="24"/>
                <w:szCs w:val="24"/>
              </w:rPr>
            </w:pPr>
            <w:r w:rsidRPr="004A25E3">
              <w:rPr>
                <w:rFonts w:cstheme="minorHAnsi"/>
                <w:b/>
                <w:sz w:val="24"/>
                <w:szCs w:val="24"/>
              </w:rPr>
              <w:t>Innovative Community Action Networks (</w:t>
            </w:r>
            <w:proofErr w:type="spellStart"/>
            <w:r w:rsidRPr="004A25E3">
              <w:rPr>
                <w:rFonts w:cstheme="minorHAnsi"/>
                <w:b/>
                <w:sz w:val="24"/>
                <w:szCs w:val="24"/>
              </w:rPr>
              <w:t>ICAN</w:t>
            </w:r>
            <w:proofErr w:type="spellEnd"/>
            <w:r w:rsidRPr="004A25E3">
              <w:rPr>
                <w:rFonts w:cstheme="minorHAnsi"/>
                <w:b/>
                <w:sz w:val="24"/>
                <w:szCs w:val="24"/>
              </w:rPr>
              <w:t>)</w:t>
            </w:r>
          </w:p>
          <w:p w:rsidR="0010157C" w:rsidRDefault="00D264E4" w:rsidP="00011B40">
            <w:pPr>
              <w:rPr>
                <w:rFonts w:cstheme="minorHAnsi"/>
              </w:rPr>
            </w:pPr>
            <w:r w:rsidRPr="007E67C5">
              <w:rPr>
                <w:rFonts w:cstheme="minorHAnsi"/>
                <w:i/>
              </w:rPr>
              <w:t>Innovative community action networks</w:t>
            </w:r>
            <w:r w:rsidRPr="007E67C5">
              <w:rPr>
                <w:rFonts w:cstheme="minorHAnsi"/>
              </w:rPr>
              <w:t xml:space="preserve"> (</w:t>
            </w:r>
            <w:proofErr w:type="spellStart"/>
            <w:r w:rsidRPr="007E67C5">
              <w:rPr>
                <w:rFonts w:cstheme="minorHAnsi"/>
              </w:rPr>
              <w:t>ICAN</w:t>
            </w:r>
            <w:proofErr w:type="spellEnd"/>
            <w:r w:rsidRPr="007E67C5">
              <w:rPr>
                <w:rFonts w:cstheme="minorHAnsi"/>
              </w:rPr>
              <w:t xml:space="preserve">) provides significant support for Aboriginal and Torres Strait Islander and other disadvantaged students. Learning and or earning destination outcomes for 2012 </w:t>
            </w:r>
            <w:r w:rsidRPr="007E67C5">
              <w:rPr>
                <w:rFonts w:cstheme="minorHAnsi"/>
              </w:rPr>
              <w:lastRenderedPageBreak/>
              <w:t>FLO enrolled students were as follows:</w:t>
            </w:r>
          </w:p>
          <w:p w:rsidR="004A25E3" w:rsidRDefault="004A25E3" w:rsidP="00011B40">
            <w:pPr>
              <w:rPr>
                <w:rFonts w:cstheme="minorHAnsi"/>
              </w:rPr>
            </w:pPr>
          </w:p>
          <w:tbl>
            <w:tblPr>
              <w:tblW w:w="0" w:type="auto"/>
              <w:tblInd w:w="279" w:type="dxa"/>
              <w:tblLook w:val="04A0" w:firstRow="1" w:lastRow="0" w:firstColumn="1" w:lastColumn="0" w:noHBand="0" w:noVBand="1"/>
            </w:tblPr>
            <w:tblGrid>
              <w:gridCol w:w="3402"/>
              <w:gridCol w:w="2551"/>
              <w:gridCol w:w="2977"/>
            </w:tblGrid>
            <w:tr w:rsidR="00D264E4" w:rsidRPr="007E67C5" w:rsidTr="001B165D">
              <w:trPr>
                <w:trHeight w:val="319"/>
              </w:trPr>
              <w:tc>
                <w:tcPr>
                  <w:tcW w:w="3402" w:type="dxa"/>
                  <w:shd w:val="clear" w:color="auto" w:fill="1F497D" w:themeFill="text2"/>
                </w:tcPr>
                <w:p w:rsidR="00D264E4" w:rsidRPr="007E67C5" w:rsidRDefault="00D264E4" w:rsidP="00011B40">
                  <w:pPr>
                    <w:rPr>
                      <w:rFonts w:cstheme="minorHAnsi"/>
                      <w:b/>
                      <w:color w:val="FFFFFF" w:themeColor="background1"/>
                    </w:rPr>
                  </w:pPr>
                  <w:r w:rsidRPr="007E67C5">
                    <w:rPr>
                      <w:rFonts w:cstheme="minorHAnsi"/>
                      <w:b/>
                      <w:color w:val="FFFFFF" w:themeColor="background1"/>
                    </w:rPr>
                    <w:t>FLO student cohort</w:t>
                  </w:r>
                </w:p>
              </w:tc>
              <w:tc>
                <w:tcPr>
                  <w:tcW w:w="2551" w:type="dxa"/>
                  <w:shd w:val="clear" w:color="auto" w:fill="1F497D" w:themeFill="text2"/>
                </w:tcPr>
                <w:p w:rsidR="00D264E4" w:rsidRPr="007E67C5" w:rsidRDefault="00D264E4" w:rsidP="00011B40">
                  <w:pPr>
                    <w:rPr>
                      <w:rFonts w:cstheme="minorHAnsi"/>
                      <w:b/>
                      <w:color w:val="FFFFFF" w:themeColor="background1"/>
                    </w:rPr>
                  </w:pPr>
                  <w:r w:rsidRPr="007E67C5">
                    <w:rPr>
                      <w:rFonts w:cstheme="minorHAnsi"/>
                      <w:b/>
                      <w:color w:val="FFFFFF" w:themeColor="background1"/>
                    </w:rPr>
                    <w:t>Number of FLO students in 2012</w:t>
                  </w:r>
                </w:p>
              </w:tc>
              <w:tc>
                <w:tcPr>
                  <w:tcW w:w="2977" w:type="dxa"/>
                  <w:shd w:val="clear" w:color="auto" w:fill="1F497D" w:themeFill="text2"/>
                </w:tcPr>
                <w:p w:rsidR="00D264E4" w:rsidRPr="007E67C5" w:rsidRDefault="00D264E4" w:rsidP="00011B40">
                  <w:pPr>
                    <w:rPr>
                      <w:rFonts w:cstheme="minorHAnsi"/>
                      <w:b/>
                      <w:color w:val="FFFFFF" w:themeColor="background1"/>
                    </w:rPr>
                  </w:pPr>
                  <w:r w:rsidRPr="007E67C5">
                    <w:rPr>
                      <w:rFonts w:cstheme="minorHAnsi"/>
                      <w:b/>
                      <w:color w:val="FFFFFF" w:themeColor="background1"/>
                    </w:rPr>
                    <w:t>Learning/earning destination by Term 1, 2013</w:t>
                  </w:r>
                </w:p>
              </w:tc>
            </w:tr>
            <w:tr w:rsidR="00D264E4" w:rsidRPr="007E67C5" w:rsidTr="001B165D">
              <w:tc>
                <w:tcPr>
                  <w:tcW w:w="3402" w:type="dxa"/>
                </w:tcPr>
                <w:p w:rsidR="00D264E4" w:rsidRPr="007E67C5" w:rsidRDefault="00D264E4" w:rsidP="00011B40">
                  <w:pPr>
                    <w:rPr>
                      <w:rFonts w:cstheme="minorHAnsi"/>
                    </w:rPr>
                  </w:pPr>
                  <w:r w:rsidRPr="007E67C5">
                    <w:rPr>
                      <w:rFonts w:cstheme="minorHAnsi"/>
                    </w:rPr>
                    <w:t xml:space="preserve">Aboriginal Torres Strait Islander </w:t>
                  </w:r>
                </w:p>
              </w:tc>
              <w:tc>
                <w:tcPr>
                  <w:tcW w:w="2551" w:type="dxa"/>
                </w:tcPr>
                <w:p w:rsidR="00D264E4" w:rsidRPr="007E67C5" w:rsidRDefault="00D264E4" w:rsidP="00011B40">
                  <w:pPr>
                    <w:rPr>
                      <w:rFonts w:cstheme="minorHAnsi"/>
                    </w:rPr>
                  </w:pPr>
                  <w:r w:rsidRPr="007E67C5">
                    <w:rPr>
                      <w:rFonts w:cstheme="minorHAnsi"/>
                    </w:rPr>
                    <w:t>725</w:t>
                  </w:r>
                </w:p>
              </w:tc>
              <w:tc>
                <w:tcPr>
                  <w:tcW w:w="2977" w:type="dxa"/>
                </w:tcPr>
                <w:p w:rsidR="00D264E4" w:rsidRPr="007E67C5" w:rsidRDefault="00D264E4" w:rsidP="00011B40">
                  <w:pPr>
                    <w:rPr>
                      <w:rFonts w:cstheme="minorHAnsi"/>
                    </w:rPr>
                  </w:pPr>
                  <w:r w:rsidRPr="007E67C5">
                    <w:rPr>
                      <w:rFonts w:cstheme="minorHAnsi"/>
                    </w:rPr>
                    <w:t>76.8%</w:t>
                  </w:r>
                </w:p>
              </w:tc>
            </w:tr>
            <w:tr w:rsidR="00D264E4" w:rsidRPr="007E67C5" w:rsidTr="001B165D">
              <w:tc>
                <w:tcPr>
                  <w:tcW w:w="3402" w:type="dxa"/>
                </w:tcPr>
                <w:p w:rsidR="00D264E4" w:rsidRPr="007E67C5" w:rsidRDefault="00D264E4" w:rsidP="00011B40">
                  <w:pPr>
                    <w:rPr>
                      <w:rFonts w:cstheme="minorHAnsi"/>
                    </w:rPr>
                  </w:pPr>
                  <w:r w:rsidRPr="007E67C5">
                    <w:rPr>
                      <w:rFonts w:cstheme="minorHAnsi"/>
                    </w:rPr>
                    <w:t>Students with a disability</w:t>
                  </w:r>
                </w:p>
              </w:tc>
              <w:tc>
                <w:tcPr>
                  <w:tcW w:w="2551" w:type="dxa"/>
                </w:tcPr>
                <w:p w:rsidR="00D264E4" w:rsidRPr="007E67C5" w:rsidRDefault="00D264E4" w:rsidP="00011B40">
                  <w:pPr>
                    <w:rPr>
                      <w:rFonts w:cstheme="minorHAnsi"/>
                    </w:rPr>
                  </w:pPr>
                  <w:r w:rsidRPr="007E67C5">
                    <w:rPr>
                      <w:rFonts w:cstheme="minorHAnsi"/>
                    </w:rPr>
                    <w:t>945</w:t>
                  </w:r>
                </w:p>
              </w:tc>
              <w:tc>
                <w:tcPr>
                  <w:tcW w:w="2977" w:type="dxa"/>
                </w:tcPr>
                <w:p w:rsidR="00D264E4" w:rsidRPr="007E67C5" w:rsidRDefault="00D264E4" w:rsidP="00011B40">
                  <w:pPr>
                    <w:rPr>
                      <w:rFonts w:cstheme="minorHAnsi"/>
                    </w:rPr>
                  </w:pPr>
                  <w:r w:rsidRPr="007E67C5">
                    <w:rPr>
                      <w:rFonts w:cstheme="minorHAnsi"/>
                    </w:rPr>
                    <w:t>76.4%</w:t>
                  </w:r>
                </w:p>
              </w:tc>
            </w:tr>
            <w:tr w:rsidR="00D264E4" w:rsidRPr="007E67C5" w:rsidTr="001B165D">
              <w:tc>
                <w:tcPr>
                  <w:tcW w:w="3402" w:type="dxa"/>
                </w:tcPr>
                <w:p w:rsidR="00D264E4" w:rsidRPr="007E67C5" w:rsidRDefault="00D264E4" w:rsidP="00011B40">
                  <w:pPr>
                    <w:rPr>
                      <w:rFonts w:cstheme="minorHAnsi"/>
                    </w:rPr>
                  </w:pPr>
                  <w:r w:rsidRPr="007E67C5">
                    <w:rPr>
                      <w:rFonts w:cstheme="minorHAnsi"/>
                    </w:rPr>
                    <w:t>Young carers/parents</w:t>
                  </w:r>
                </w:p>
              </w:tc>
              <w:tc>
                <w:tcPr>
                  <w:tcW w:w="2551" w:type="dxa"/>
                </w:tcPr>
                <w:p w:rsidR="00D264E4" w:rsidRPr="007E67C5" w:rsidRDefault="00D264E4" w:rsidP="00011B40">
                  <w:pPr>
                    <w:rPr>
                      <w:rFonts w:cstheme="minorHAnsi"/>
                    </w:rPr>
                  </w:pPr>
                  <w:r w:rsidRPr="007E67C5">
                    <w:rPr>
                      <w:rFonts w:cstheme="minorHAnsi"/>
                    </w:rPr>
                    <w:t>285</w:t>
                  </w:r>
                </w:p>
              </w:tc>
              <w:tc>
                <w:tcPr>
                  <w:tcW w:w="2977" w:type="dxa"/>
                </w:tcPr>
                <w:p w:rsidR="00D264E4" w:rsidRPr="007E67C5" w:rsidRDefault="00D264E4" w:rsidP="00011B40">
                  <w:pPr>
                    <w:rPr>
                      <w:rFonts w:cstheme="minorHAnsi"/>
                    </w:rPr>
                  </w:pPr>
                  <w:r w:rsidRPr="007E67C5">
                    <w:rPr>
                      <w:rFonts w:cstheme="minorHAnsi"/>
                    </w:rPr>
                    <w:t>65.6%</w:t>
                  </w:r>
                </w:p>
              </w:tc>
            </w:tr>
            <w:tr w:rsidR="00D264E4" w:rsidRPr="007E67C5" w:rsidTr="001B165D">
              <w:tc>
                <w:tcPr>
                  <w:tcW w:w="3402" w:type="dxa"/>
                </w:tcPr>
                <w:p w:rsidR="00D264E4" w:rsidRPr="007E67C5" w:rsidRDefault="00D264E4" w:rsidP="00011B40">
                  <w:pPr>
                    <w:rPr>
                      <w:rFonts w:cstheme="minorHAnsi"/>
                    </w:rPr>
                  </w:pPr>
                  <w:r w:rsidRPr="007E67C5">
                    <w:rPr>
                      <w:rFonts w:cstheme="minorHAnsi"/>
                    </w:rPr>
                    <w:t>Guardianship of the Minister</w:t>
                  </w:r>
                </w:p>
              </w:tc>
              <w:tc>
                <w:tcPr>
                  <w:tcW w:w="2551" w:type="dxa"/>
                </w:tcPr>
                <w:p w:rsidR="00D264E4" w:rsidRPr="007E67C5" w:rsidRDefault="00D264E4" w:rsidP="00011B40">
                  <w:pPr>
                    <w:rPr>
                      <w:rFonts w:cstheme="minorHAnsi"/>
                    </w:rPr>
                  </w:pPr>
                  <w:r w:rsidRPr="007E67C5">
                    <w:rPr>
                      <w:rFonts w:cstheme="minorHAnsi"/>
                    </w:rPr>
                    <w:t>160</w:t>
                  </w:r>
                </w:p>
              </w:tc>
              <w:tc>
                <w:tcPr>
                  <w:tcW w:w="2977" w:type="dxa"/>
                </w:tcPr>
                <w:p w:rsidR="00D264E4" w:rsidRPr="007E67C5" w:rsidRDefault="00D264E4" w:rsidP="00011B40">
                  <w:pPr>
                    <w:rPr>
                      <w:rFonts w:cstheme="minorHAnsi"/>
                    </w:rPr>
                  </w:pPr>
                  <w:r w:rsidRPr="007E67C5">
                    <w:rPr>
                      <w:rFonts w:cstheme="minorHAnsi"/>
                    </w:rPr>
                    <w:t>80.0%</w:t>
                  </w:r>
                </w:p>
              </w:tc>
            </w:tr>
            <w:tr w:rsidR="00D264E4" w:rsidRPr="007E67C5" w:rsidTr="001B165D">
              <w:tc>
                <w:tcPr>
                  <w:tcW w:w="3402" w:type="dxa"/>
                </w:tcPr>
                <w:p w:rsidR="00D264E4" w:rsidRPr="007E67C5" w:rsidRDefault="00D264E4" w:rsidP="00011B40">
                  <w:pPr>
                    <w:rPr>
                      <w:rFonts w:cstheme="minorHAnsi"/>
                    </w:rPr>
                  </w:pPr>
                  <w:r w:rsidRPr="007E67C5">
                    <w:rPr>
                      <w:rFonts w:cstheme="minorHAnsi"/>
                    </w:rPr>
                    <w:t>Remote/rural</w:t>
                  </w:r>
                </w:p>
              </w:tc>
              <w:tc>
                <w:tcPr>
                  <w:tcW w:w="2551" w:type="dxa"/>
                </w:tcPr>
                <w:p w:rsidR="00D264E4" w:rsidRPr="007E67C5" w:rsidRDefault="00D264E4" w:rsidP="00011B40">
                  <w:pPr>
                    <w:rPr>
                      <w:rFonts w:cstheme="minorHAnsi"/>
                    </w:rPr>
                  </w:pPr>
                  <w:r w:rsidRPr="007E67C5">
                    <w:rPr>
                      <w:rFonts w:cstheme="minorHAnsi"/>
                    </w:rPr>
                    <w:t>1 660</w:t>
                  </w:r>
                </w:p>
              </w:tc>
              <w:tc>
                <w:tcPr>
                  <w:tcW w:w="2977" w:type="dxa"/>
                </w:tcPr>
                <w:p w:rsidR="00D264E4" w:rsidRPr="007E67C5" w:rsidRDefault="00D264E4" w:rsidP="00011B40">
                  <w:pPr>
                    <w:rPr>
                      <w:rFonts w:cstheme="minorHAnsi"/>
                    </w:rPr>
                  </w:pPr>
                  <w:r w:rsidRPr="007E67C5">
                    <w:rPr>
                      <w:rFonts w:cstheme="minorHAnsi"/>
                    </w:rPr>
                    <w:t>75.5%</w:t>
                  </w:r>
                </w:p>
              </w:tc>
            </w:tr>
            <w:tr w:rsidR="00D264E4" w:rsidRPr="007E67C5" w:rsidTr="001B165D">
              <w:tc>
                <w:tcPr>
                  <w:tcW w:w="3402" w:type="dxa"/>
                </w:tcPr>
                <w:p w:rsidR="00D264E4" w:rsidRPr="007E67C5" w:rsidRDefault="00D264E4" w:rsidP="00011B40">
                  <w:pPr>
                    <w:rPr>
                      <w:rFonts w:cstheme="minorHAnsi"/>
                    </w:rPr>
                  </w:pPr>
                  <w:r w:rsidRPr="007E67C5">
                    <w:rPr>
                      <w:rFonts w:cstheme="minorHAnsi"/>
                    </w:rPr>
                    <w:t>Referred for Juvenile Justice</w:t>
                  </w:r>
                </w:p>
              </w:tc>
              <w:tc>
                <w:tcPr>
                  <w:tcW w:w="2551" w:type="dxa"/>
                </w:tcPr>
                <w:p w:rsidR="00D264E4" w:rsidRPr="007E67C5" w:rsidRDefault="00D264E4" w:rsidP="00011B40">
                  <w:pPr>
                    <w:rPr>
                      <w:rFonts w:cstheme="minorHAnsi"/>
                    </w:rPr>
                  </w:pPr>
                  <w:r w:rsidRPr="007E67C5">
                    <w:rPr>
                      <w:rFonts w:cstheme="minorHAnsi"/>
                    </w:rPr>
                    <w:t>62</w:t>
                  </w:r>
                </w:p>
              </w:tc>
              <w:tc>
                <w:tcPr>
                  <w:tcW w:w="2977" w:type="dxa"/>
                </w:tcPr>
                <w:p w:rsidR="00D264E4" w:rsidRPr="007E67C5" w:rsidRDefault="00D264E4" w:rsidP="00011B40">
                  <w:pPr>
                    <w:rPr>
                      <w:rFonts w:cstheme="minorHAnsi"/>
                    </w:rPr>
                  </w:pPr>
                  <w:r w:rsidRPr="007E67C5">
                    <w:rPr>
                      <w:rFonts w:cstheme="minorHAnsi"/>
                    </w:rPr>
                    <w:t>70.9%</w:t>
                  </w:r>
                </w:p>
              </w:tc>
            </w:tr>
          </w:tbl>
          <w:p w:rsidR="004A25E3" w:rsidRDefault="004A25E3" w:rsidP="00011B40">
            <w:pPr>
              <w:rPr>
                <w:rFonts w:cstheme="minorHAnsi"/>
                <w:b/>
              </w:rPr>
            </w:pPr>
          </w:p>
          <w:p w:rsidR="00D264E4" w:rsidRPr="007E67C5" w:rsidRDefault="00D264E4" w:rsidP="00011B40">
            <w:pPr>
              <w:rPr>
                <w:rFonts w:cstheme="minorHAnsi"/>
                <w:b/>
              </w:rPr>
            </w:pPr>
            <w:r w:rsidRPr="007E67C5">
              <w:rPr>
                <w:rFonts w:cstheme="minorHAnsi"/>
                <w:b/>
              </w:rPr>
              <w:t>Passport program</w:t>
            </w:r>
          </w:p>
          <w:p w:rsidR="00D264E4" w:rsidRDefault="00D264E4" w:rsidP="00011B40">
            <w:pPr>
              <w:rPr>
                <w:rFonts w:eastAsia="Calibri" w:cstheme="minorHAnsi"/>
              </w:rPr>
            </w:pPr>
            <w:r w:rsidRPr="007E67C5">
              <w:rPr>
                <w:rFonts w:eastAsia="Calibri" w:cstheme="minorHAnsi"/>
              </w:rPr>
              <w:t xml:space="preserve">In 2013, the </w:t>
            </w:r>
            <w:r w:rsidRPr="007E67C5">
              <w:rPr>
                <w:rFonts w:eastAsia="Calibri" w:cstheme="minorHAnsi"/>
                <w:i/>
              </w:rPr>
              <w:t>Passport</w:t>
            </w:r>
            <w:r w:rsidRPr="007E67C5">
              <w:rPr>
                <w:rFonts w:eastAsia="Calibri" w:cstheme="minorHAnsi"/>
              </w:rPr>
              <w:t xml:space="preserve"> program has continued for </w:t>
            </w:r>
            <w:proofErr w:type="spellStart"/>
            <w:r w:rsidRPr="007E67C5">
              <w:rPr>
                <w:rFonts w:eastAsia="Calibri" w:cstheme="minorHAnsi"/>
              </w:rPr>
              <w:t>ICAN</w:t>
            </w:r>
            <w:proofErr w:type="spellEnd"/>
            <w:r w:rsidRPr="007E67C5">
              <w:rPr>
                <w:rFonts w:eastAsia="Calibri" w:cstheme="minorHAnsi"/>
              </w:rPr>
              <w:t xml:space="preserve"> Students in 15 regional country and remote schools with high numbers of Aboriginal students. The passport program is a rewards‐based system for schools that encourages participation by both children and parents. Children, parents and community members are provided with the opportunity to earn reward points or 'currency' that can be spent on school or community projects. Points and currency can be earned for both attendance and participation, depending on the needs of the particular school.</w:t>
            </w:r>
          </w:p>
          <w:p w:rsidR="004A25E3" w:rsidRPr="007E67C5" w:rsidRDefault="004A25E3" w:rsidP="00011B40">
            <w:pPr>
              <w:rPr>
                <w:rFonts w:eastAsia="Calibri" w:cstheme="minorHAnsi"/>
              </w:rPr>
            </w:pPr>
          </w:p>
          <w:p w:rsidR="00D264E4" w:rsidRDefault="00D264E4" w:rsidP="00011B40">
            <w:pPr>
              <w:rPr>
                <w:rFonts w:eastAsia="Calibri" w:cstheme="minorHAnsi"/>
              </w:rPr>
            </w:pPr>
            <w:r w:rsidRPr="007E67C5">
              <w:rPr>
                <w:rFonts w:eastAsia="Calibri" w:cstheme="minorHAnsi"/>
              </w:rPr>
              <w:t xml:space="preserve">The </w:t>
            </w:r>
            <w:r w:rsidRPr="007E67C5">
              <w:rPr>
                <w:rFonts w:eastAsia="Calibri" w:cstheme="minorHAnsi"/>
                <w:i/>
              </w:rPr>
              <w:t>Passport</w:t>
            </w:r>
            <w:r w:rsidRPr="007E67C5">
              <w:rPr>
                <w:rFonts w:eastAsia="Calibri" w:cstheme="minorHAnsi"/>
              </w:rPr>
              <w:t xml:space="preserve"> program is an example of how community involvement can genuinely contribute to the achievement of core schooling outcomes, such as literacy and numeracy, by improving participation and attendance. Whole of community connection to the </w:t>
            </w:r>
            <w:r w:rsidRPr="007E67C5">
              <w:rPr>
                <w:rFonts w:eastAsia="Calibri" w:cstheme="minorHAnsi"/>
                <w:i/>
              </w:rPr>
              <w:t>Passport</w:t>
            </w:r>
            <w:r w:rsidRPr="007E67C5">
              <w:rPr>
                <w:rFonts w:eastAsia="Calibri" w:cstheme="minorHAnsi"/>
              </w:rPr>
              <w:t xml:space="preserve"> program provides seamless navigation for families to the range of services and learning support, particularly with the new organisation of </w:t>
            </w:r>
            <w:proofErr w:type="spellStart"/>
            <w:r w:rsidRPr="007E67C5">
              <w:rPr>
                <w:rFonts w:eastAsia="Calibri" w:cstheme="minorHAnsi"/>
              </w:rPr>
              <w:t>DECD</w:t>
            </w:r>
            <w:proofErr w:type="spellEnd"/>
            <w:r w:rsidRPr="007E67C5">
              <w:rPr>
                <w:rFonts w:eastAsia="Calibri" w:cstheme="minorHAnsi"/>
              </w:rPr>
              <w:t>, which encompasses a birth to post-school pathway.</w:t>
            </w:r>
          </w:p>
          <w:p w:rsidR="004A25E3" w:rsidRPr="007E67C5" w:rsidRDefault="004A25E3" w:rsidP="00011B40">
            <w:pPr>
              <w:rPr>
                <w:rFonts w:eastAsia="Calibri" w:cstheme="minorHAnsi"/>
              </w:rPr>
            </w:pPr>
          </w:p>
          <w:p w:rsidR="00D264E4" w:rsidRPr="007E67C5" w:rsidRDefault="00D264E4" w:rsidP="00011B40">
            <w:pPr>
              <w:rPr>
                <w:rFonts w:eastAsia="Calibri" w:cstheme="minorHAnsi"/>
              </w:rPr>
            </w:pPr>
            <w:r w:rsidRPr="007E67C5">
              <w:rPr>
                <w:rFonts w:eastAsia="Calibri" w:cstheme="minorHAnsi"/>
              </w:rPr>
              <w:t xml:space="preserve">Learner incentives for attendance, leadership, positive choices etc. have seen improvements in school attendance and in positive relationships between schools and local child development services. </w:t>
            </w:r>
          </w:p>
          <w:p w:rsidR="007A446E" w:rsidRDefault="00D264E4" w:rsidP="00011B40">
            <w:r w:rsidRPr="007E67C5">
              <w:rPr>
                <w:rFonts w:cstheme="minorHAnsi"/>
              </w:rPr>
              <w:t>This pilot program has demonstrated an effective model of student, family and community engagement particularly South Australian regional communities. In these areas geographical isolation and the need for enhancing particular aspects of social capital are critical focus areas for programs supporting community development.</w:t>
            </w:r>
          </w:p>
        </w:tc>
      </w:tr>
      <w:tr w:rsidR="007A446E" w:rsidTr="007A446E">
        <w:tc>
          <w:tcPr>
            <w:tcW w:w="9498" w:type="dxa"/>
            <w:tcBorders>
              <w:top w:val="single" w:sz="4" w:space="0" w:color="auto"/>
              <w:left w:val="single" w:sz="4" w:space="0" w:color="auto"/>
              <w:bottom w:val="single" w:sz="4" w:space="0" w:color="auto"/>
              <w:right w:val="single" w:sz="4" w:space="0" w:color="auto"/>
            </w:tcBorders>
          </w:tcPr>
          <w:p w:rsidR="007A446E" w:rsidRDefault="007A446E" w:rsidP="004A25E3">
            <w:pPr>
              <w:pStyle w:val="Heading2"/>
            </w:pPr>
            <w:r>
              <w:lastRenderedPageBreak/>
              <w:br w:type="page"/>
            </w:r>
            <w:bookmarkStart w:id="11" w:name="_Toc379547558"/>
            <w:r w:rsidR="001B165D" w:rsidRPr="001B165D">
              <w:t xml:space="preserve">Showcase Examples </w:t>
            </w:r>
            <w:r>
              <w:t>- 1 January to 30 June 2013</w:t>
            </w:r>
            <w:bookmarkEnd w:id="11"/>
          </w:p>
          <w:p w:rsidR="004A25E3" w:rsidRDefault="004A25E3" w:rsidP="00011B40">
            <w:pPr>
              <w:rPr>
                <w:b/>
              </w:rPr>
            </w:pPr>
          </w:p>
          <w:p w:rsidR="001B165D" w:rsidRPr="004A25E3" w:rsidRDefault="001B165D" w:rsidP="00011B40">
            <w:pPr>
              <w:rPr>
                <w:b/>
                <w:bCs/>
                <w:i/>
                <w:sz w:val="24"/>
                <w:szCs w:val="24"/>
              </w:rPr>
            </w:pPr>
            <w:r w:rsidRPr="004A25E3">
              <w:rPr>
                <w:b/>
                <w:sz w:val="24"/>
                <w:szCs w:val="24"/>
              </w:rPr>
              <w:t>ASSOCIATION OF INDEPENDENT SCHOOLS SA (</w:t>
            </w:r>
            <w:proofErr w:type="spellStart"/>
            <w:r w:rsidRPr="004A25E3">
              <w:rPr>
                <w:b/>
                <w:sz w:val="24"/>
                <w:szCs w:val="24"/>
              </w:rPr>
              <w:t>AISSA</w:t>
            </w:r>
            <w:proofErr w:type="spellEnd"/>
            <w:r w:rsidRPr="004A25E3">
              <w:rPr>
                <w:b/>
                <w:sz w:val="24"/>
                <w:szCs w:val="24"/>
              </w:rPr>
              <w:t xml:space="preserve">) – </w:t>
            </w:r>
            <w:r w:rsidRPr="004A25E3">
              <w:rPr>
                <w:b/>
                <w:i/>
                <w:sz w:val="24"/>
                <w:szCs w:val="24"/>
              </w:rPr>
              <w:t xml:space="preserve">Case study: </w:t>
            </w:r>
            <w:r w:rsidRPr="004A25E3">
              <w:rPr>
                <w:b/>
                <w:bCs/>
                <w:i/>
                <w:sz w:val="24"/>
                <w:szCs w:val="24"/>
              </w:rPr>
              <w:t>Unity College, Murray Bridge, South Australia</w:t>
            </w:r>
          </w:p>
          <w:p w:rsidR="004A25E3" w:rsidRPr="007E67C5" w:rsidRDefault="004A25E3" w:rsidP="00011B40"/>
          <w:p w:rsidR="001B165D" w:rsidRDefault="001B165D" w:rsidP="00011B40">
            <w:r w:rsidRPr="007E67C5">
              <w:t xml:space="preserve">Unity College is a Lutheran, R-12 co-educational college school located 70 kilometres from Adelaide in Murray Bridge. The school is an incorporated body and a member of the Lutheran School’s Association with an enrolment total of 714 students, 389 in the primary and 355 at the secondary campus. It has an enrolment of 31 Aboriginal and Torres Strait Islander students as of 2012 and its FTE teaching staff is 68.3 and non-teaching staff of 11.7 FTE. The overall facilities of the school are excellent and are located on two separate campuses within a short walking distance of each other. The spacious grounds are well maintained. </w:t>
            </w:r>
          </w:p>
          <w:p w:rsidR="004A25E3" w:rsidRPr="007E67C5" w:rsidRDefault="004A25E3" w:rsidP="00011B40"/>
          <w:p w:rsidR="001B165D" w:rsidRDefault="001B165D" w:rsidP="00011B40">
            <w:r w:rsidRPr="007E67C5">
              <w:rPr>
                <w:bCs/>
              </w:rPr>
              <w:t xml:space="preserve">Unity College </w:t>
            </w:r>
            <w:r w:rsidRPr="007E67C5">
              <w:t xml:space="preserve">conducted </w:t>
            </w:r>
            <w:r w:rsidRPr="007E67C5">
              <w:rPr>
                <w:bCs/>
              </w:rPr>
              <w:t xml:space="preserve">its school review </w:t>
            </w:r>
            <w:r w:rsidRPr="007E67C5">
              <w:t xml:space="preserve">in September 2010 and revised it in 2012 through the support of </w:t>
            </w:r>
            <w:proofErr w:type="spellStart"/>
            <w:r w:rsidRPr="007E67C5">
              <w:t>CMAD</w:t>
            </w:r>
            <w:proofErr w:type="spellEnd"/>
            <w:r w:rsidRPr="007E67C5">
              <w:t xml:space="preserve"> National Partnerships grant. The focus of the school at the time was to identify and clarify a school wide approach to teaching and learning. A new teacher leadership model was introduced based on research based on factors which make a difference to teacher quality and student achievement. This lead to the introduction of the IDEAS model by the end of 2012. This was followed by the implementation of an action plan established in 2012 which outlined 14 recommendations for the school under the banner of From good to great as part of the review conducted in 2012 by Dr Neville Highett. </w:t>
            </w:r>
          </w:p>
          <w:p w:rsidR="004A25E3" w:rsidRPr="007E67C5" w:rsidRDefault="004A25E3" w:rsidP="00011B40"/>
          <w:p w:rsidR="001B165D" w:rsidRPr="007E67C5" w:rsidRDefault="001B165D" w:rsidP="00011B40">
            <w:r w:rsidRPr="007E67C5">
              <w:t xml:space="preserve">In 2013, the school sought to build on these initiatives through continued </w:t>
            </w:r>
            <w:proofErr w:type="spellStart"/>
            <w:r w:rsidRPr="007E67C5">
              <w:t>CMAD</w:t>
            </w:r>
            <w:proofErr w:type="spellEnd"/>
            <w:r w:rsidRPr="007E67C5">
              <w:t xml:space="preserve"> funding support by addressing the following areas as outlined in its school action plan. They have documented the success to this stage as follows: </w:t>
            </w:r>
          </w:p>
          <w:p w:rsidR="001B165D" w:rsidRPr="004A25E3" w:rsidRDefault="001B165D" w:rsidP="00011B40">
            <w:pPr>
              <w:rPr>
                <w:b/>
              </w:rPr>
            </w:pPr>
            <w:r w:rsidRPr="004A25E3">
              <w:rPr>
                <w:b/>
              </w:rPr>
              <w:t>KEY INITIATIVES AND OUTCOMES OUTLINED IN THE SCHOOL ACTION PLAN</w:t>
            </w:r>
          </w:p>
          <w:p w:rsidR="001B165D" w:rsidRPr="007E67C5" w:rsidRDefault="001B165D" w:rsidP="00AE6D45">
            <w:pPr>
              <w:pStyle w:val="ListParagraph"/>
              <w:numPr>
                <w:ilvl w:val="0"/>
                <w:numId w:val="7"/>
              </w:numPr>
              <w:tabs>
                <w:tab w:val="clear" w:pos="720"/>
                <w:tab w:val="num" w:pos="1134"/>
              </w:tabs>
              <w:ind w:left="1134" w:hanging="425"/>
              <w:jc w:val="left"/>
            </w:pPr>
            <w:r w:rsidRPr="004A25E3">
              <w:rPr>
                <w:b/>
              </w:rPr>
              <w:t>NUMERACY STRATEGY R-12:</w:t>
            </w:r>
            <w:r w:rsidRPr="007E67C5">
              <w:t xml:space="preserve"> All teachers include numeracy strategies and outcomes in their planning and delivery. Use data to improve numeracy outcomes throughout the college.</w:t>
            </w:r>
          </w:p>
          <w:p w:rsidR="001B165D" w:rsidRPr="007E67C5" w:rsidRDefault="001B165D" w:rsidP="004A25E3">
            <w:pPr>
              <w:pStyle w:val="ListParagraph"/>
              <w:ind w:left="1134"/>
              <w:jc w:val="left"/>
            </w:pPr>
            <w:r w:rsidRPr="007E67C5">
              <w:t xml:space="preserve">There have been two staff sessions led by Learning Leaders looking at </w:t>
            </w:r>
            <w:proofErr w:type="spellStart"/>
            <w:r w:rsidRPr="007E67C5">
              <w:t>NAPLAN</w:t>
            </w:r>
            <w:proofErr w:type="spellEnd"/>
            <w:r w:rsidRPr="007E67C5">
              <w:t xml:space="preserve"> results and looking at strengths and areas for growth, to modify teaching programs.</w:t>
            </w:r>
          </w:p>
          <w:p w:rsidR="001B165D" w:rsidRPr="007E67C5" w:rsidRDefault="001B165D" w:rsidP="004A25E3">
            <w:pPr>
              <w:pStyle w:val="ListParagraph"/>
              <w:ind w:left="1134"/>
              <w:jc w:val="left"/>
            </w:pPr>
            <w:r w:rsidRPr="007E67C5">
              <w:t xml:space="preserve">Further professional learning, facilitated by </w:t>
            </w:r>
            <w:proofErr w:type="spellStart"/>
            <w:r w:rsidRPr="007E67C5">
              <w:t>ORIGO</w:t>
            </w:r>
            <w:proofErr w:type="spellEnd"/>
            <w:r w:rsidRPr="007E67C5">
              <w:t xml:space="preserve"> mathematics </w:t>
            </w:r>
            <w:r w:rsidRPr="004A25E3">
              <w:footnoteReference w:id="4"/>
            </w:r>
            <w:r w:rsidRPr="007E67C5">
              <w:t xml:space="preserve"> consultant Brian Tickle, has been organised for staff later on this year.</w:t>
            </w:r>
          </w:p>
          <w:p w:rsidR="001B165D" w:rsidRPr="007E67C5" w:rsidRDefault="001B165D" w:rsidP="00AE6D45">
            <w:pPr>
              <w:pStyle w:val="ListParagraph"/>
              <w:numPr>
                <w:ilvl w:val="0"/>
                <w:numId w:val="7"/>
              </w:numPr>
              <w:tabs>
                <w:tab w:val="clear" w:pos="720"/>
                <w:tab w:val="num" w:pos="1134"/>
              </w:tabs>
              <w:ind w:left="1134" w:hanging="425"/>
              <w:jc w:val="left"/>
            </w:pPr>
            <w:r w:rsidRPr="004A25E3">
              <w:rPr>
                <w:b/>
              </w:rPr>
              <w:t xml:space="preserve">PROFESSIONAL LEARNING AND PERFORMANCE MANAGEMENT: </w:t>
            </w:r>
            <w:r w:rsidRPr="007E67C5">
              <w:t>All staff developed a professional personal learning plan connected to the descriptors in the Australian professional standards for teachers (</w:t>
            </w:r>
            <w:proofErr w:type="spellStart"/>
            <w:r w:rsidRPr="007E67C5">
              <w:t>APST</w:t>
            </w:r>
            <w:proofErr w:type="spellEnd"/>
            <w:r w:rsidRPr="007E67C5">
              <w:t>). A four-step process through the year includes:</w:t>
            </w:r>
          </w:p>
          <w:p w:rsidR="001B165D" w:rsidRPr="007E67C5" w:rsidRDefault="001B165D" w:rsidP="00AE6D45">
            <w:pPr>
              <w:pStyle w:val="ListParagraph"/>
              <w:numPr>
                <w:ilvl w:val="1"/>
                <w:numId w:val="7"/>
              </w:numPr>
              <w:tabs>
                <w:tab w:val="num" w:pos="1134"/>
              </w:tabs>
              <w:jc w:val="left"/>
            </w:pPr>
            <w:r w:rsidRPr="007E67C5">
              <w:t>Meeting with the line manager to set up their personal learning plan</w:t>
            </w:r>
          </w:p>
          <w:p w:rsidR="001B165D" w:rsidRPr="007E67C5" w:rsidRDefault="001B165D" w:rsidP="00AE6D45">
            <w:pPr>
              <w:pStyle w:val="ListParagraph"/>
              <w:numPr>
                <w:ilvl w:val="1"/>
                <w:numId w:val="7"/>
              </w:numPr>
              <w:tabs>
                <w:tab w:val="num" w:pos="1134"/>
              </w:tabs>
              <w:jc w:val="left"/>
            </w:pPr>
            <w:r w:rsidRPr="007E67C5">
              <w:t>Meet with senior manager to discuss the plan</w:t>
            </w:r>
          </w:p>
          <w:p w:rsidR="001B165D" w:rsidRPr="007E67C5" w:rsidRDefault="001B165D" w:rsidP="00AE6D45">
            <w:pPr>
              <w:pStyle w:val="ListParagraph"/>
              <w:numPr>
                <w:ilvl w:val="1"/>
                <w:numId w:val="7"/>
              </w:numPr>
              <w:tabs>
                <w:tab w:val="num" w:pos="1134"/>
              </w:tabs>
              <w:jc w:val="left"/>
            </w:pPr>
            <w:r w:rsidRPr="007E67C5">
              <w:t>Continual meeting with line manager to keep developing skills and positive relationships working together in the classroom. This includes formal feedback from students</w:t>
            </w:r>
          </w:p>
          <w:p w:rsidR="001B165D" w:rsidRPr="007E67C5" w:rsidRDefault="001B165D" w:rsidP="00AE6D45">
            <w:pPr>
              <w:pStyle w:val="ListParagraph"/>
              <w:numPr>
                <w:ilvl w:val="1"/>
                <w:numId w:val="7"/>
              </w:numPr>
              <w:tabs>
                <w:tab w:val="num" w:pos="1134"/>
              </w:tabs>
              <w:jc w:val="left"/>
            </w:pPr>
            <w:r w:rsidRPr="007E67C5">
              <w:t>Senior manager to conduct a lesson observation</w:t>
            </w:r>
          </w:p>
          <w:p w:rsidR="001B165D" w:rsidRPr="007E67C5" w:rsidRDefault="001B165D" w:rsidP="00AE6D45">
            <w:pPr>
              <w:pStyle w:val="ListParagraph"/>
              <w:numPr>
                <w:ilvl w:val="1"/>
                <w:numId w:val="7"/>
              </w:numPr>
              <w:tabs>
                <w:tab w:val="num" w:pos="1134"/>
              </w:tabs>
              <w:jc w:val="left"/>
            </w:pPr>
            <w:r w:rsidRPr="007E67C5">
              <w:t>Senior manager to meet in Term 4 to do an overall evaluation.</w:t>
            </w:r>
          </w:p>
          <w:p w:rsidR="001B165D" w:rsidRPr="007E67C5" w:rsidRDefault="001B165D" w:rsidP="00AE6D45">
            <w:pPr>
              <w:pStyle w:val="ListParagraph"/>
              <w:numPr>
                <w:ilvl w:val="1"/>
                <w:numId w:val="7"/>
              </w:numPr>
              <w:tabs>
                <w:tab w:val="num" w:pos="1134"/>
              </w:tabs>
              <w:jc w:val="left"/>
            </w:pPr>
            <w:r w:rsidRPr="007E67C5">
              <w:t xml:space="preserve">Professional learning support for staff to collect evidence against the </w:t>
            </w:r>
            <w:proofErr w:type="spellStart"/>
            <w:r w:rsidRPr="007E67C5">
              <w:t>APST</w:t>
            </w:r>
            <w:proofErr w:type="spellEnd"/>
            <w:r w:rsidRPr="007E67C5">
              <w:t>.</w:t>
            </w:r>
          </w:p>
          <w:p w:rsidR="001B165D" w:rsidRPr="007E67C5" w:rsidRDefault="001B165D" w:rsidP="00AE6D45">
            <w:pPr>
              <w:pStyle w:val="ListParagraph"/>
              <w:numPr>
                <w:ilvl w:val="0"/>
                <w:numId w:val="7"/>
              </w:numPr>
              <w:tabs>
                <w:tab w:val="clear" w:pos="720"/>
                <w:tab w:val="num" w:pos="1134"/>
              </w:tabs>
              <w:ind w:left="1134" w:hanging="425"/>
              <w:jc w:val="left"/>
            </w:pPr>
            <w:r w:rsidRPr="004A25E3">
              <w:rPr>
                <w:b/>
              </w:rPr>
              <w:t>GROWTH COACHING INTERNATIONAL</w:t>
            </w:r>
            <w:r w:rsidRPr="007E67C5">
              <w:t>: The leadership group including heads and assistant heads of school, learning leaders and pastoral care coaches enrolled and attending this program. The process so far and in the future includes:</w:t>
            </w:r>
          </w:p>
          <w:p w:rsidR="001B165D" w:rsidRPr="007E67C5" w:rsidRDefault="001B165D" w:rsidP="00AE6D45">
            <w:pPr>
              <w:pStyle w:val="ListParagraph"/>
              <w:numPr>
                <w:ilvl w:val="1"/>
                <w:numId w:val="7"/>
              </w:numPr>
              <w:tabs>
                <w:tab w:val="num" w:pos="1134"/>
              </w:tabs>
              <w:jc w:val="left"/>
            </w:pPr>
            <w:r w:rsidRPr="007E67C5">
              <w:t>Two-day introductory session conducted by Growth Coaching International staff</w:t>
            </w:r>
          </w:p>
          <w:p w:rsidR="001B165D" w:rsidRPr="007E67C5" w:rsidRDefault="001B165D" w:rsidP="00AE6D45">
            <w:pPr>
              <w:pStyle w:val="ListParagraph"/>
              <w:numPr>
                <w:ilvl w:val="1"/>
                <w:numId w:val="7"/>
              </w:numPr>
              <w:tabs>
                <w:tab w:val="num" w:pos="1134"/>
              </w:tabs>
              <w:jc w:val="left"/>
            </w:pPr>
            <w:r w:rsidRPr="007E67C5">
              <w:t>Follow up CD tutorials (4) and coaching practice sessions (10 in total)</w:t>
            </w:r>
          </w:p>
          <w:p w:rsidR="001B165D" w:rsidRPr="007E67C5" w:rsidRDefault="001B165D" w:rsidP="00AE6D45">
            <w:pPr>
              <w:pStyle w:val="ListParagraph"/>
              <w:numPr>
                <w:ilvl w:val="1"/>
                <w:numId w:val="7"/>
              </w:numPr>
              <w:tabs>
                <w:tab w:val="num" w:pos="1134"/>
              </w:tabs>
              <w:jc w:val="left"/>
            </w:pPr>
            <w:r w:rsidRPr="007E67C5">
              <w:t>Another two-day workshop in Term 3.</w:t>
            </w:r>
          </w:p>
          <w:p w:rsidR="007A446E" w:rsidRDefault="001B165D" w:rsidP="00AE6D45">
            <w:pPr>
              <w:pStyle w:val="ListParagraph"/>
              <w:numPr>
                <w:ilvl w:val="0"/>
                <w:numId w:val="7"/>
              </w:numPr>
              <w:tabs>
                <w:tab w:val="clear" w:pos="720"/>
                <w:tab w:val="num" w:pos="1134"/>
              </w:tabs>
              <w:ind w:left="1134" w:hanging="425"/>
              <w:jc w:val="left"/>
            </w:pPr>
            <w:r w:rsidRPr="004A25E3">
              <w:rPr>
                <w:b/>
              </w:rPr>
              <w:t>BEHAVIOUR MANAGEMENT:</w:t>
            </w:r>
            <w:r w:rsidRPr="007E67C5">
              <w:t xml:space="preserve"> Professional development sessions (two formal days) </w:t>
            </w:r>
            <w:r w:rsidRPr="007E67C5">
              <w:lastRenderedPageBreak/>
              <w:t>introducing and implementing the Restorative practice program. Travis Wiese (student counsellor) working with the pastoral care coaches in linking these workshops with our Christian philosophy. This information will be addressed with all of the pastoral care teachers during our professional development /retreat week.</w:t>
            </w:r>
          </w:p>
          <w:p w:rsidR="001B165D" w:rsidRDefault="001B165D" w:rsidP="00011B40">
            <w:pPr>
              <w:rPr>
                <w:szCs w:val="24"/>
              </w:rPr>
            </w:pPr>
          </w:p>
          <w:p w:rsidR="001B165D" w:rsidRPr="004A25E3" w:rsidRDefault="001B165D" w:rsidP="00011B40">
            <w:pPr>
              <w:rPr>
                <w:b/>
                <w:bCs/>
                <w:i/>
                <w:sz w:val="24"/>
                <w:szCs w:val="24"/>
              </w:rPr>
            </w:pPr>
            <w:r w:rsidRPr="004A25E3">
              <w:rPr>
                <w:b/>
                <w:sz w:val="24"/>
                <w:szCs w:val="24"/>
              </w:rPr>
              <w:t>CATHOLIC EDUCATION SOUTH AUSTRALIA (</w:t>
            </w:r>
            <w:proofErr w:type="spellStart"/>
            <w:r w:rsidRPr="004A25E3">
              <w:rPr>
                <w:b/>
                <w:sz w:val="24"/>
                <w:szCs w:val="24"/>
              </w:rPr>
              <w:t>CESA</w:t>
            </w:r>
            <w:proofErr w:type="spellEnd"/>
            <w:r w:rsidRPr="004A25E3">
              <w:rPr>
                <w:b/>
                <w:sz w:val="24"/>
                <w:szCs w:val="24"/>
              </w:rPr>
              <w:t xml:space="preserve">) – </w:t>
            </w:r>
            <w:r w:rsidRPr="004A25E3">
              <w:rPr>
                <w:b/>
                <w:i/>
                <w:sz w:val="24"/>
                <w:szCs w:val="24"/>
              </w:rPr>
              <w:t xml:space="preserve">Case study: </w:t>
            </w:r>
            <w:r w:rsidRPr="004A25E3">
              <w:rPr>
                <w:b/>
                <w:bCs/>
                <w:i/>
                <w:sz w:val="24"/>
                <w:szCs w:val="24"/>
              </w:rPr>
              <w:t>More effective data usage to inform planning of students’ learning</w:t>
            </w:r>
          </w:p>
          <w:p w:rsidR="004A25E3" w:rsidRPr="007E67C5" w:rsidRDefault="004A25E3" w:rsidP="00011B40">
            <w:pPr>
              <w:rPr>
                <w:szCs w:val="24"/>
              </w:rPr>
            </w:pPr>
          </w:p>
          <w:p w:rsidR="001B165D" w:rsidRDefault="001B165D" w:rsidP="00011B40">
            <w:pPr>
              <w:rPr>
                <w:bCs/>
              </w:rPr>
            </w:pPr>
            <w:r w:rsidRPr="007E67C5">
              <w:rPr>
                <w:bCs/>
              </w:rPr>
              <w:t xml:space="preserve">During 2013 the analysis of student learning data to inform the design and delivery of student learning has become a well-established practice in </w:t>
            </w:r>
            <w:proofErr w:type="spellStart"/>
            <w:r w:rsidRPr="007E67C5">
              <w:rPr>
                <w:bCs/>
              </w:rPr>
              <w:t>CESA</w:t>
            </w:r>
            <w:proofErr w:type="spellEnd"/>
            <w:r w:rsidRPr="007E67C5">
              <w:rPr>
                <w:bCs/>
              </w:rPr>
              <w:t xml:space="preserve"> </w:t>
            </w:r>
            <w:r w:rsidRPr="004A25E3">
              <w:rPr>
                <w:bCs/>
                <w:i/>
              </w:rPr>
              <w:t>Communities Making a Difference NP</w:t>
            </w:r>
            <w:r w:rsidRPr="007E67C5">
              <w:rPr>
                <w:bCs/>
              </w:rPr>
              <w:t xml:space="preserve"> schools. The learning over time of the importance of gathering and analysing valid and reliable student learning data has culminated in wide, varied and rigorous practices in schools. </w:t>
            </w:r>
          </w:p>
          <w:p w:rsidR="004A25E3" w:rsidRPr="007E67C5" w:rsidRDefault="004A25E3" w:rsidP="00011B40">
            <w:pPr>
              <w:rPr>
                <w:bCs/>
              </w:rPr>
            </w:pPr>
          </w:p>
          <w:p w:rsidR="001B165D" w:rsidRDefault="001B165D" w:rsidP="00011B40">
            <w:pPr>
              <w:rPr>
                <w:bCs/>
              </w:rPr>
            </w:pPr>
            <w:r w:rsidRPr="007E67C5">
              <w:rPr>
                <w:bCs/>
              </w:rPr>
              <w:t xml:space="preserve">The majority of schools have developed student learning data practices that articulate administration and analysis practices, including frequency of testing, standard administration, analysis protocols, data dialogue within teaching teams, and evidence of the use of analysis to inform ‘tailored’ learning design. </w:t>
            </w:r>
          </w:p>
          <w:p w:rsidR="004A25E3" w:rsidRPr="007E67C5" w:rsidRDefault="004A25E3" w:rsidP="00011B40">
            <w:pPr>
              <w:rPr>
                <w:bCs/>
              </w:rPr>
            </w:pPr>
          </w:p>
          <w:p w:rsidR="001B165D" w:rsidRDefault="001B165D" w:rsidP="00011B40">
            <w:pPr>
              <w:rPr>
                <w:bCs/>
              </w:rPr>
            </w:pPr>
            <w:r w:rsidRPr="004A25E3">
              <w:rPr>
                <w:bCs/>
                <w:i/>
              </w:rPr>
              <w:t>Running records</w:t>
            </w:r>
            <w:r w:rsidRPr="007E67C5">
              <w:rPr>
                <w:bCs/>
              </w:rPr>
              <w:t xml:space="preserve">, Tests of Reading Comprehension (TORCH) and Progressive Achievement Tests in Reading and in Mathematics (PAT R and PAT M) are the most prevalent data gathering assessments adopted by </w:t>
            </w:r>
            <w:proofErr w:type="spellStart"/>
            <w:r w:rsidRPr="007E67C5">
              <w:rPr>
                <w:bCs/>
              </w:rPr>
              <w:t>CESA</w:t>
            </w:r>
            <w:proofErr w:type="spellEnd"/>
            <w:r w:rsidRPr="007E67C5">
              <w:rPr>
                <w:bCs/>
              </w:rPr>
              <w:t xml:space="preserve"> </w:t>
            </w:r>
            <w:proofErr w:type="spellStart"/>
            <w:r w:rsidRPr="007E67C5">
              <w:rPr>
                <w:bCs/>
              </w:rPr>
              <w:t>CMaD</w:t>
            </w:r>
            <w:proofErr w:type="spellEnd"/>
            <w:r w:rsidRPr="007E67C5">
              <w:rPr>
                <w:bCs/>
              </w:rPr>
              <w:t xml:space="preserve"> schools. Schools using these tools have developed databases to record student achievement, to measure cohort growth and to measure effectiveness, using effect size calculations informed by the work of John Hattie (2010). </w:t>
            </w:r>
          </w:p>
          <w:p w:rsidR="004A25E3" w:rsidRPr="007E67C5" w:rsidRDefault="004A25E3" w:rsidP="00011B40">
            <w:pPr>
              <w:rPr>
                <w:bCs/>
              </w:rPr>
            </w:pPr>
          </w:p>
          <w:p w:rsidR="001B165D" w:rsidRDefault="001B165D" w:rsidP="00011B40">
            <w:pPr>
              <w:rPr>
                <w:bCs/>
              </w:rPr>
            </w:pPr>
            <w:r w:rsidRPr="004A25E3">
              <w:rPr>
                <w:bCs/>
                <w:i/>
              </w:rPr>
              <w:t>Running records</w:t>
            </w:r>
            <w:r w:rsidRPr="007E67C5">
              <w:rPr>
                <w:bCs/>
              </w:rPr>
              <w:t xml:space="preserve"> data walls are also being displayed in some schools and interest is emerging in this in other schools. Essentially, data walls are visual representations of data relating to some aspect of student, cohort or school performance. In schools whose improvement goals include better reading skills, the reading record data walls provide a focus for collaborative professional conversations among all of the school’s teachers. The displayed data help to visualise common trends in data, to set goals for where teachers want their students to be, and to identify students for reading interventions. Data walls can contribute to shared ownership and accountability, meaning staff are more likely to see students as ‘our students’ rather than ‘my’ students and ‘your’ students.</w:t>
            </w:r>
          </w:p>
          <w:p w:rsidR="004A25E3" w:rsidRPr="007E67C5" w:rsidRDefault="004A25E3" w:rsidP="00011B40">
            <w:pPr>
              <w:rPr>
                <w:bCs/>
              </w:rPr>
            </w:pPr>
          </w:p>
          <w:p w:rsidR="001B165D" w:rsidRDefault="001B165D" w:rsidP="00011B40">
            <w:pPr>
              <w:rPr>
                <w:bCs/>
              </w:rPr>
            </w:pPr>
            <w:r w:rsidRPr="007E67C5">
              <w:rPr>
                <w:bCs/>
              </w:rPr>
              <w:t>At this time, it can be firmly stated that a number of schools have historical data for individual children and cohorts of children for two or more years, which confirms that monitoring student progress has become a feature of assessment and of expected teaching practices in these schools. In considering decisions about which diagnostic assessments to adopt across the whole school, some schools have included in their decision-making the value of ongoing longitudinal monitoring of student achievement as a key factor.</w:t>
            </w:r>
          </w:p>
          <w:p w:rsidR="004A25E3" w:rsidRPr="007E67C5" w:rsidRDefault="004A25E3" w:rsidP="00011B40">
            <w:pPr>
              <w:rPr>
                <w:bCs/>
              </w:rPr>
            </w:pPr>
          </w:p>
          <w:p w:rsidR="001B165D" w:rsidRDefault="001B165D" w:rsidP="00011B40">
            <w:pPr>
              <w:rPr>
                <w:bCs/>
              </w:rPr>
            </w:pPr>
            <w:r w:rsidRPr="007E67C5">
              <w:rPr>
                <w:bCs/>
              </w:rPr>
              <w:t xml:space="preserve">In addition to standardised assessment tools, the compilation and use of student profiles has also become an embedded practice, in particular at St Brigid’s School, Kilburn and Mount Carmel College, Rosewater, where teachers and students contribute to individual numeracy folios / profiles in the middle years. These student profiles provide a means for teachers and students to discuss the student’s learning progress, as evidenced by work samples, diagnostic tests or assessment tasks, and to identify areas for future learning.  </w:t>
            </w:r>
          </w:p>
          <w:p w:rsidR="004A25E3" w:rsidRPr="007E67C5" w:rsidRDefault="004A25E3" w:rsidP="00011B40">
            <w:pPr>
              <w:rPr>
                <w:bCs/>
              </w:rPr>
            </w:pPr>
          </w:p>
          <w:p w:rsidR="001B165D" w:rsidRDefault="001B165D" w:rsidP="00011B40">
            <w:pPr>
              <w:rPr>
                <w:bCs/>
              </w:rPr>
            </w:pPr>
            <w:r w:rsidRPr="007E67C5">
              <w:rPr>
                <w:bCs/>
              </w:rPr>
              <w:t xml:space="preserve">A further development in 2013 is the adoption of new practices in gathering emerging or pre-literacy data in early years’ settings. This strategy is directly attributable to the understanding and commitment to gathering student data to inform teaching and learning that has been gained through the </w:t>
            </w:r>
            <w:proofErr w:type="spellStart"/>
            <w:r w:rsidRPr="007E67C5">
              <w:rPr>
                <w:bCs/>
              </w:rPr>
              <w:t>CESA</w:t>
            </w:r>
            <w:proofErr w:type="spellEnd"/>
            <w:r w:rsidRPr="007E67C5">
              <w:rPr>
                <w:bCs/>
              </w:rPr>
              <w:t xml:space="preserve"> </w:t>
            </w:r>
            <w:proofErr w:type="spellStart"/>
            <w:r w:rsidRPr="007E67C5">
              <w:rPr>
                <w:bCs/>
              </w:rPr>
              <w:t>CMaD</w:t>
            </w:r>
            <w:proofErr w:type="spellEnd"/>
            <w:r w:rsidRPr="007E67C5">
              <w:rPr>
                <w:bCs/>
              </w:rPr>
              <w:t xml:space="preserve"> program. In 2013, five NP-</w:t>
            </w:r>
            <w:proofErr w:type="spellStart"/>
            <w:r w:rsidRPr="007E67C5">
              <w:rPr>
                <w:bCs/>
              </w:rPr>
              <w:t>CMaD</w:t>
            </w:r>
            <w:proofErr w:type="spellEnd"/>
            <w:r w:rsidRPr="007E67C5">
              <w:rPr>
                <w:bCs/>
              </w:rPr>
              <w:t xml:space="preserve"> schools are engaged in learning about practices to collect and analyse phonological awareness and oral language knowledge and skills data for children in the early years, so that early literacy programs are well focused on providing targeted learning of the necessary skills that predict reading and writing success, and to identify children who require additional support in this learning to develop reading and writing proficiency.</w:t>
            </w:r>
          </w:p>
          <w:p w:rsidR="0010157C" w:rsidRDefault="0010157C" w:rsidP="00011B40"/>
          <w:p w:rsidR="001B165D" w:rsidRDefault="001B165D" w:rsidP="00011B40">
            <w:pPr>
              <w:rPr>
                <w:b/>
                <w:sz w:val="24"/>
                <w:szCs w:val="24"/>
              </w:rPr>
            </w:pPr>
            <w:r w:rsidRPr="004A25E3">
              <w:rPr>
                <w:b/>
                <w:sz w:val="24"/>
                <w:szCs w:val="24"/>
              </w:rPr>
              <w:t>DEPARTMENT FOR EDUCATION AND CHILD DEVELOPMENT (</w:t>
            </w:r>
            <w:proofErr w:type="spellStart"/>
            <w:r w:rsidRPr="004A25E3">
              <w:rPr>
                <w:b/>
                <w:sz w:val="24"/>
                <w:szCs w:val="24"/>
              </w:rPr>
              <w:t>DECD</w:t>
            </w:r>
            <w:proofErr w:type="spellEnd"/>
            <w:r w:rsidRPr="004A25E3">
              <w:rPr>
                <w:b/>
                <w:sz w:val="24"/>
                <w:szCs w:val="24"/>
              </w:rPr>
              <w:t>)</w:t>
            </w:r>
          </w:p>
          <w:p w:rsidR="004A25E3" w:rsidRPr="004A25E3" w:rsidRDefault="004A25E3" w:rsidP="00011B40">
            <w:pPr>
              <w:rPr>
                <w:b/>
                <w:sz w:val="24"/>
                <w:szCs w:val="24"/>
              </w:rPr>
            </w:pPr>
          </w:p>
          <w:p w:rsidR="001B165D" w:rsidRDefault="001B165D" w:rsidP="00011B40">
            <w:pPr>
              <w:rPr>
                <w:b/>
                <w:i/>
                <w:sz w:val="24"/>
                <w:szCs w:val="24"/>
              </w:rPr>
            </w:pPr>
            <w:r w:rsidRPr="004A25E3">
              <w:rPr>
                <w:b/>
                <w:sz w:val="24"/>
                <w:szCs w:val="24"/>
              </w:rPr>
              <w:t>Innovative Community Action Networks (</w:t>
            </w:r>
            <w:proofErr w:type="spellStart"/>
            <w:r w:rsidRPr="004A25E3">
              <w:rPr>
                <w:b/>
                <w:sz w:val="24"/>
                <w:szCs w:val="24"/>
              </w:rPr>
              <w:t>ICAN</w:t>
            </w:r>
            <w:proofErr w:type="spellEnd"/>
            <w:r w:rsidRPr="004A25E3">
              <w:rPr>
                <w:b/>
                <w:sz w:val="24"/>
                <w:szCs w:val="24"/>
              </w:rPr>
              <w:t xml:space="preserve">) – </w:t>
            </w:r>
            <w:r w:rsidR="004A25E3">
              <w:rPr>
                <w:b/>
                <w:sz w:val="24"/>
                <w:szCs w:val="24"/>
              </w:rPr>
              <w:t xml:space="preserve"> </w:t>
            </w:r>
            <w:r w:rsidRPr="004A25E3">
              <w:rPr>
                <w:b/>
                <w:i/>
                <w:sz w:val="24"/>
                <w:szCs w:val="24"/>
              </w:rPr>
              <w:t>Case study of an Independent Learning Centre (</w:t>
            </w:r>
            <w:proofErr w:type="spellStart"/>
            <w:r w:rsidRPr="004A25E3">
              <w:rPr>
                <w:b/>
                <w:i/>
                <w:sz w:val="24"/>
                <w:szCs w:val="24"/>
              </w:rPr>
              <w:t>ILC</w:t>
            </w:r>
            <w:proofErr w:type="spellEnd"/>
            <w:r w:rsidRPr="004A25E3">
              <w:rPr>
                <w:b/>
                <w:i/>
                <w:sz w:val="24"/>
                <w:szCs w:val="24"/>
              </w:rPr>
              <w:t>) – (</w:t>
            </w:r>
            <w:proofErr w:type="spellStart"/>
            <w:r w:rsidRPr="004A25E3">
              <w:rPr>
                <w:b/>
                <w:i/>
                <w:sz w:val="24"/>
                <w:szCs w:val="24"/>
              </w:rPr>
              <w:t>ARTD</w:t>
            </w:r>
            <w:proofErr w:type="spellEnd"/>
            <w:r w:rsidRPr="004A25E3">
              <w:rPr>
                <w:b/>
                <w:i/>
                <w:sz w:val="24"/>
                <w:szCs w:val="24"/>
              </w:rPr>
              <w:t xml:space="preserve"> consultants)</w:t>
            </w:r>
          </w:p>
          <w:p w:rsidR="004A25E3" w:rsidRPr="004A25E3" w:rsidRDefault="004A25E3" w:rsidP="00011B40">
            <w:pPr>
              <w:rPr>
                <w:b/>
                <w:i/>
                <w:sz w:val="24"/>
                <w:szCs w:val="24"/>
              </w:rPr>
            </w:pPr>
          </w:p>
          <w:p w:rsidR="001B165D" w:rsidRDefault="001B165D" w:rsidP="00011B40">
            <w:r w:rsidRPr="001B165D">
              <w:t xml:space="preserve">For </w:t>
            </w:r>
            <w:proofErr w:type="spellStart"/>
            <w:r w:rsidRPr="001B165D">
              <w:t>CMaD</w:t>
            </w:r>
            <w:proofErr w:type="spellEnd"/>
            <w:r w:rsidRPr="001B165D">
              <w:t xml:space="preserve"> NP school C, establishing an Independent Learning Centre (</w:t>
            </w:r>
            <w:proofErr w:type="spellStart"/>
            <w:r w:rsidRPr="001B165D">
              <w:t>ILC</w:t>
            </w:r>
            <w:proofErr w:type="spellEnd"/>
            <w:r w:rsidRPr="001B165D">
              <w:t xml:space="preserve">) close to, but separate from, the school campus has been a successful way of managing its cohort of 90 flexible learning option (FLO) students. As a large secondary school in a regional town, school C has struggled to fill the void of education and employment options for those students for whom mainstream schooling is not working. This includes many Aboriginal students who account for 20% of the student population. In the three years it has been part of </w:t>
            </w:r>
            <w:proofErr w:type="spellStart"/>
            <w:r w:rsidRPr="001B165D">
              <w:t>ICAN</w:t>
            </w:r>
            <w:proofErr w:type="spellEnd"/>
            <w:r w:rsidRPr="001B165D">
              <w:t xml:space="preserve"> the school has tripled its FLO enrolment. There is a spectrum of disengagement from learning amongst the FLO students. This year there are 30 students who had completely disengaged from school before they joined FLO.</w:t>
            </w:r>
          </w:p>
          <w:p w:rsidR="004A25E3" w:rsidRPr="001B165D" w:rsidRDefault="004A25E3" w:rsidP="00011B40"/>
          <w:p w:rsidR="001B165D" w:rsidRDefault="001B165D" w:rsidP="00011B40">
            <w:r w:rsidRPr="001B165D">
              <w:t xml:space="preserve">At the </w:t>
            </w:r>
            <w:proofErr w:type="spellStart"/>
            <w:r w:rsidRPr="001B165D">
              <w:t>ILC</w:t>
            </w:r>
            <w:proofErr w:type="spellEnd"/>
            <w:r w:rsidRPr="001B165D">
              <w:t xml:space="preserve">, students receive case management, </w:t>
            </w:r>
            <w:proofErr w:type="spellStart"/>
            <w:r w:rsidRPr="001B165D">
              <w:t>SACE</w:t>
            </w:r>
            <w:proofErr w:type="spellEnd"/>
            <w:r w:rsidRPr="001B165D">
              <w:t xml:space="preserve"> teaching support and vocational introductory courses in carpentry, car maintenance or welding. There are programs run by external agencies, such as fitness, cooking, financial literacy, a young parents’ group, and a Journey to respect program for young Aboriginal men. </w:t>
            </w:r>
          </w:p>
          <w:p w:rsidR="004A25E3" w:rsidRPr="001B165D" w:rsidRDefault="004A25E3" w:rsidP="00011B40"/>
          <w:p w:rsidR="001B165D" w:rsidRDefault="001B165D" w:rsidP="00011B40">
            <w:r w:rsidRPr="001B165D">
              <w:t>The centre works hard to provide a mix of interesting, relevant and accredited courses. The FLO coordinator is currently applying for a VISA (VET in Schools Agreement) for the Certificate 1 in Education and Skills Development. While this is a basic qualification, achievement can help demonstrate to potential employers that a young person can ‘stick at things’ and work towards higher level certificate courses as part of their employment.</w:t>
            </w:r>
          </w:p>
          <w:p w:rsidR="004A25E3" w:rsidRPr="001B165D" w:rsidRDefault="004A25E3" w:rsidP="00011B40"/>
          <w:p w:rsidR="001B165D" w:rsidRDefault="001B165D" w:rsidP="00011B40">
            <w:r w:rsidRPr="001B165D">
              <w:t>Case managers provide emotional and practical support to students and their families to address the student’s barriers to education, and also teach them life skills. They help students to prepare resumes and career action plans, enrol them in training and apprenticeships, liaise with program coordinators and link students with other services such as counselling.</w:t>
            </w:r>
          </w:p>
          <w:p w:rsidR="004A25E3" w:rsidRPr="001B165D" w:rsidRDefault="004A25E3" w:rsidP="00011B40"/>
          <w:p w:rsidR="001B165D" w:rsidRPr="001B165D" w:rsidRDefault="001B165D" w:rsidP="00011B40">
            <w:r w:rsidRPr="001B165D">
              <w:t xml:space="preserve">Case managers focus on student strengths and support students to reach their goals. As one student confirmed: </w:t>
            </w:r>
          </w:p>
          <w:p w:rsidR="001B165D" w:rsidRPr="001B165D" w:rsidRDefault="001B165D" w:rsidP="00AE6D45">
            <w:pPr>
              <w:pStyle w:val="ListParagraph"/>
              <w:numPr>
                <w:ilvl w:val="0"/>
                <w:numId w:val="7"/>
              </w:numPr>
              <w:tabs>
                <w:tab w:val="clear" w:pos="720"/>
                <w:tab w:val="num" w:pos="1134"/>
              </w:tabs>
              <w:ind w:left="1134" w:hanging="425"/>
              <w:jc w:val="left"/>
            </w:pPr>
            <w:r w:rsidRPr="004A25E3">
              <w:rPr>
                <w:i/>
              </w:rPr>
              <w:t>“I talk with my case manager about what I want to do in life. She supports me in making decisions. The best thing about having a case manager is having someone to talk to. My case manager has given me lots of advice that has helped me in life. Originally, I was going to leave school as I didn't like it. However the support I have received from my case manager has been influential in my decision to stay in school. My case manager has given me strategies for communicating better with my family which has made my life better</w:t>
            </w:r>
            <w:r w:rsidRPr="001B165D">
              <w:t>.”</w:t>
            </w:r>
          </w:p>
          <w:p w:rsidR="001B165D" w:rsidRPr="001B165D" w:rsidRDefault="001B165D" w:rsidP="00011B40">
            <w:r w:rsidRPr="001B165D">
              <w:t>In 2012, the 81 secondary FLO-enrolled students at School C achieved the following:</w:t>
            </w:r>
          </w:p>
          <w:p w:rsidR="001B165D" w:rsidRPr="004A25E3" w:rsidRDefault="001B165D" w:rsidP="00AE6D45">
            <w:pPr>
              <w:pStyle w:val="ListParagraph"/>
              <w:numPr>
                <w:ilvl w:val="0"/>
                <w:numId w:val="7"/>
              </w:numPr>
              <w:tabs>
                <w:tab w:val="clear" w:pos="720"/>
                <w:tab w:val="num" w:pos="1134"/>
              </w:tabs>
              <w:ind w:left="1134" w:hanging="425"/>
              <w:jc w:val="left"/>
            </w:pPr>
            <w:r w:rsidRPr="004A25E3">
              <w:t>78% were engaged in accredited learning</w:t>
            </w:r>
          </w:p>
          <w:p w:rsidR="001B165D" w:rsidRPr="004A25E3" w:rsidRDefault="001B165D" w:rsidP="00AE6D45">
            <w:pPr>
              <w:pStyle w:val="ListParagraph"/>
              <w:numPr>
                <w:ilvl w:val="0"/>
                <w:numId w:val="7"/>
              </w:numPr>
              <w:tabs>
                <w:tab w:val="clear" w:pos="720"/>
                <w:tab w:val="num" w:pos="1134"/>
              </w:tabs>
              <w:ind w:left="1134" w:hanging="425"/>
              <w:jc w:val="left"/>
            </w:pPr>
            <w:r w:rsidRPr="004A25E3">
              <w:t>13% partially completed a VET Certificate I</w:t>
            </w:r>
          </w:p>
          <w:p w:rsidR="001B165D" w:rsidRPr="004A25E3" w:rsidRDefault="001B165D" w:rsidP="00AE6D45">
            <w:pPr>
              <w:pStyle w:val="ListParagraph"/>
              <w:numPr>
                <w:ilvl w:val="0"/>
                <w:numId w:val="7"/>
              </w:numPr>
              <w:tabs>
                <w:tab w:val="clear" w:pos="720"/>
                <w:tab w:val="num" w:pos="1134"/>
              </w:tabs>
              <w:ind w:left="1134" w:hanging="425"/>
              <w:jc w:val="left"/>
            </w:pPr>
            <w:r w:rsidRPr="004A25E3">
              <w:t>10% partially completed a VET Certificate II</w:t>
            </w:r>
          </w:p>
          <w:p w:rsidR="001B165D" w:rsidRPr="004A25E3" w:rsidRDefault="001B165D" w:rsidP="00AE6D45">
            <w:pPr>
              <w:pStyle w:val="ListParagraph"/>
              <w:numPr>
                <w:ilvl w:val="0"/>
                <w:numId w:val="7"/>
              </w:numPr>
              <w:tabs>
                <w:tab w:val="clear" w:pos="720"/>
                <w:tab w:val="num" w:pos="1134"/>
              </w:tabs>
              <w:ind w:left="1134" w:hanging="425"/>
              <w:jc w:val="left"/>
            </w:pPr>
            <w:r w:rsidRPr="004A25E3">
              <w:t>6% partially completed a VET Certificate III</w:t>
            </w:r>
          </w:p>
          <w:p w:rsidR="001B165D" w:rsidRPr="004A25E3" w:rsidRDefault="001B165D" w:rsidP="00AE6D45">
            <w:pPr>
              <w:pStyle w:val="ListParagraph"/>
              <w:numPr>
                <w:ilvl w:val="0"/>
                <w:numId w:val="7"/>
              </w:numPr>
              <w:tabs>
                <w:tab w:val="clear" w:pos="720"/>
                <w:tab w:val="num" w:pos="1134"/>
              </w:tabs>
              <w:ind w:left="1134" w:hanging="425"/>
              <w:jc w:val="left"/>
            </w:pPr>
            <w:r w:rsidRPr="004A25E3">
              <w:t xml:space="preserve">64% completed or partially completed subjects at </w:t>
            </w:r>
            <w:proofErr w:type="spellStart"/>
            <w:r w:rsidRPr="004A25E3">
              <w:t>SACE</w:t>
            </w:r>
            <w:proofErr w:type="spellEnd"/>
            <w:r w:rsidRPr="004A25E3">
              <w:t xml:space="preserve"> Stage 1 level</w:t>
            </w:r>
          </w:p>
          <w:p w:rsidR="001B165D" w:rsidRPr="004A25E3" w:rsidRDefault="001B165D" w:rsidP="00AE6D45">
            <w:pPr>
              <w:pStyle w:val="ListParagraph"/>
              <w:numPr>
                <w:ilvl w:val="0"/>
                <w:numId w:val="7"/>
              </w:numPr>
              <w:tabs>
                <w:tab w:val="clear" w:pos="720"/>
                <w:tab w:val="num" w:pos="1134"/>
              </w:tabs>
              <w:ind w:left="1134" w:hanging="425"/>
              <w:jc w:val="left"/>
            </w:pPr>
            <w:r w:rsidRPr="004A25E3">
              <w:t xml:space="preserve">23% of post-compulsory-aged FLO students who did not continue with a FLO enrolment in 2013 completed </w:t>
            </w:r>
            <w:proofErr w:type="spellStart"/>
            <w:r w:rsidRPr="004A25E3">
              <w:t>SACE</w:t>
            </w:r>
            <w:proofErr w:type="spellEnd"/>
            <w:r w:rsidRPr="004A25E3">
              <w:t xml:space="preserve"> or Cert II equivalent.</w:t>
            </w:r>
          </w:p>
          <w:p w:rsidR="001B165D" w:rsidRPr="004A25E3" w:rsidRDefault="001B165D" w:rsidP="00011B40">
            <w:pPr>
              <w:rPr>
                <w:b/>
                <w:sz w:val="24"/>
                <w:szCs w:val="24"/>
              </w:rPr>
            </w:pPr>
          </w:p>
          <w:p w:rsidR="001B165D" w:rsidRDefault="001B165D" w:rsidP="00011B40">
            <w:pPr>
              <w:rPr>
                <w:b/>
                <w:i/>
                <w:sz w:val="24"/>
                <w:szCs w:val="24"/>
              </w:rPr>
            </w:pPr>
            <w:r w:rsidRPr="004A25E3">
              <w:rPr>
                <w:b/>
                <w:sz w:val="24"/>
                <w:szCs w:val="24"/>
              </w:rPr>
              <w:t>DEPARTMENT FOR EDUCATION AND CHILD DEVELOPMENT (</w:t>
            </w:r>
            <w:proofErr w:type="spellStart"/>
            <w:r w:rsidRPr="004A25E3">
              <w:rPr>
                <w:b/>
                <w:sz w:val="24"/>
                <w:szCs w:val="24"/>
              </w:rPr>
              <w:t>DECD</w:t>
            </w:r>
            <w:proofErr w:type="spellEnd"/>
            <w:r w:rsidRPr="004A25E3">
              <w:rPr>
                <w:b/>
                <w:sz w:val="24"/>
                <w:szCs w:val="24"/>
              </w:rPr>
              <w:t xml:space="preserve">) – </w:t>
            </w:r>
            <w:r w:rsidRPr="004A25E3">
              <w:rPr>
                <w:b/>
                <w:i/>
                <w:sz w:val="24"/>
                <w:szCs w:val="24"/>
              </w:rPr>
              <w:t xml:space="preserve">Case study: Learning Together </w:t>
            </w:r>
          </w:p>
          <w:p w:rsidR="004A25E3" w:rsidRPr="004A25E3" w:rsidRDefault="004A25E3" w:rsidP="00011B40">
            <w:pPr>
              <w:rPr>
                <w:b/>
                <w:i/>
                <w:sz w:val="24"/>
                <w:szCs w:val="24"/>
              </w:rPr>
            </w:pPr>
          </w:p>
          <w:p w:rsidR="001B165D" w:rsidRDefault="001B165D" w:rsidP="00011B40">
            <w:r w:rsidRPr="007E67C5">
              <w:t xml:space="preserve">As a young mum with two children (a son five years of age and a daughter three years of age) Susan </w:t>
            </w:r>
            <w:r w:rsidRPr="007E67C5">
              <w:lastRenderedPageBreak/>
              <w:t>(name changed) found the idea of attending a playgroup daunting at first. As the playgroup was next door to the school-based preschool where her son Matthew (name changed) attended half days, she found it was easier to attend playgroup for an hour and a half rather than to go home and have to turn around and come back.</w:t>
            </w:r>
          </w:p>
          <w:p w:rsidR="004A25E3" w:rsidRPr="007E67C5" w:rsidRDefault="004A25E3" w:rsidP="00011B40"/>
          <w:p w:rsidR="001B165D" w:rsidRPr="007E67C5" w:rsidRDefault="001B165D" w:rsidP="00011B40">
            <w:r w:rsidRPr="007E67C5">
              <w:t>At playgroup, Susan met more people and formed networks with other parents. Her daughter Ella (name changed) was enjoying the interaction with other children and the learning activities. Susan stated that playgroup was very welcoming and that helped her to make the decision “to come back again.”</w:t>
            </w:r>
          </w:p>
          <w:p w:rsidR="004A25E3" w:rsidRPr="007E67C5" w:rsidRDefault="001B165D" w:rsidP="00011B40">
            <w:r w:rsidRPr="007E67C5">
              <w:t>Importantly, Susan learnt about all the different activities she could do with her children. She started to take ideas home and try them. Previously, she had avoided doing ‘messy’ experiences and would often clean while the children were playing.</w:t>
            </w:r>
          </w:p>
          <w:p w:rsidR="001B165D" w:rsidRPr="004A25E3" w:rsidRDefault="001B165D" w:rsidP="00AE6D45">
            <w:pPr>
              <w:pStyle w:val="ListParagraph"/>
              <w:numPr>
                <w:ilvl w:val="0"/>
                <w:numId w:val="7"/>
              </w:numPr>
              <w:tabs>
                <w:tab w:val="clear" w:pos="720"/>
                <w:tab w:val="num" w:pos="1134"/>
              </w:tabs>
              <w:ind w:left="1134" w:hanging="425"/>
              <w:jc w:val="left"/>
              <w:rPr>
                <w:i/>
              </w:rPr>
            </w:pPr>
            <w:r w:rsidRPr="004A25E3">
              <w:rPr>
                <w:i/>
              </w:rPr>
              <w:t>“I wasn’t a reader before I started Learning together, which was a big issue for me. Reading is now an everyday activity I do with my children. My children know reading is an everyday activity at school. Before Ella commenced school, the two of us would read, sing or count. When I was younger these were activities that I just wasn’t into and I was not worried about that sort of stuff.”</w:t>
            </w:r>
          </w:p>
          <w:p w:rsidR="004A25E3" w:rsidRPr="004A25E3" w:rsidRDefault="001B165D" w:rsidP="004A25E3">
            <w:r w:rsidRPr="007E67C5">
              <w:t>Over time, Susan was offered part-time work in the Learning together program and enjoyed working in the program. Susan said that being involved in the deeper learning opportunities offered by Learning together changed how she interacted with her children. Susan’s baseline parenting and learning survey showed that she thought that routines, boundaries and comforting a child were only ‘important’ (three on a five point scale) for a child’s learning, compared with reading which she rated as ‘very important’.</w:t>
            </w:r>
          </w:p>
          <w:p w:rsidR="001B165D" w:rsidRPr="004A25E3" w:rsidRDefault="001B165D" w:rsidP="00AE6D45">
            <w:pPr>
              <w:pStyle w:val="ListParagraph"/>
              <w:numPr>
                <w:ilvl w:val="0"/>
                <w:numId w:val="7"/>
              </w:numPr>
              <w:tabs>
                <w:tab w:val="clear" w:pos="720"/>
                <w:tab w:val="num" w:pos="1134"/>
              </w:tabs>
              <w:ind w:left="1134" w:hanging="425"/>
              <w:jc w:val="left"/>
              <w:rPr>
                <w:i/>
              </w:rPr>
            </w:pPr>
            <w:r w:rsidRPr="004A25E3">
              <w:rPr>
                <w:i/>
              </w:rPr>
              <w:t>“Learning together has helped me connect better with my kids. The training that I’ve undertaken (Circle of security training) was a massive help for me. There were so many times before when the children were upset, it wouldn’t be about comforting them, it was more about ‘toughen up you’ll be alright’, which is what I always got as a child. Now it’s more about sitting with them and just letting them have their cry and telling them it’ll be ok and they talk about it more. It’s more comforting to me to know I’m actually being there for them not pushing them away in some circumstances.”</w:t>
            </w:r>
          </w:p>
          <w:p w:rsidR="001B165D" w:rsidRPr="007E67C5" w:rsidRDefault="001B165D" w:rsidP="00011B40">
            <w:r w:rsidRPr="007E67C5">
              <w:t>This family has made changes to their routines so that they can spend more time together as a family. They make time to spend time with the children, even if it is only five minutes, which they never did previously. Susan is also now more focussed on supporting her children’s learning. In particular, Susan has changed how the children read; the whole family now enjoys reading together.</w:t>
            </w:r>
          </w:p>
          <w:p w:rsidR="001B165D" w:rsidRPr="008B27CB" w:rsidRDefault="001B165D" w:rsidP="00AE6D45">
            <w:pPr>
              <w:pStyle w:val="ListParagraph"/>
              <w:numPr>
                <w:ilvl w:val="0"/>
                <w:numId w:val="7"/>
              </w:numPr>
              <w:tabs>
                <w:tab w:val="clear" w:pos="720"/>
                <w:tab w:val="num" w:pos="1134"/>
              </w:tabs>
              <w:ind w:left="1134" w:hanging="425"/>
              <w:jc w:val="left"/>
              <w:rPr>
                <w:i/>
              </w:rPr>
            </w:pPr>
            <w:r w:rsidRPr="008B27CB">
              <w:rPr>
                <w:i/>
              </w:rPr>
              <w:t>“The biggest impact that Learning together has had on me has been reading with my children. I’ve seen a change in my children since I started reading with them. Their view on books is completely different to what it used to be, they now love reading. I think it’s helped me realise that I never got over my issues with reading. My children now have the skills required to read with me and it doesn’t matter what they’re reading or what I’m reading, they just want to be a part of it. So for me, reading has been a real big thing.”</w:t>
            </w:r>
          </w:p>
          <w:p w:rsidR="001B165D" w:rsidRPr="007E67C5" w:rsidRDefault="001B165D" w:rsidP="00011B40">
            <w:r w:rsidRPr="007E67C5">
              <w:t xml:space="preserve">Working in the Learning together program has opened up other opportunities and possibilities for Susan. She is now enrolled in the Children’s Services’ Diploma through DECD. </w:t>
            </w:r>
          </w:p>
          <w:p w:rsidR="001B165D" w:rsidRPr="008B27CB" w:rsidRDefault="001B165D" w:rsidP="00AE6D45">
            <w:pPr>
              <w:pStyle w:val="ListParagraph"/>
              <w:numPr>
                <w:ilvl w:val="0"/>
                <w:numId w:val="7"/>
              </w:numPr>
              <w:tabs>
                <w:tab w:val="clear" w:pos="720"/>
                <w:tab w:val="num" w:pos="1134"/>
              </w:tabs>
              <w:ind w:left="1134" w:hanging="425"/>
              <w:jc w:val="left"/>
              <w:rPr>
                <w:i/>
              </w:rPr>
            </w:pPr>
            <w:r w:rsidRPr="008B27CB">
              <w:rPr>
                <w:i/>
              </w:rPr>
              <w:t>“Undertaking my Diploma, I couldn’t be happier, I love it. I’m so grateful, it makes me think about what I want to do in the future, possibly undertake my teaching degree. I love seeing the looks on children’s faces when you’re helping them.”</w:t>
            </w:r>
          </w:p>
          <w:p w:rsidR="001B165D" w:rsidRDefault="001B165D" w:rsidP="00011B40"/>
          <w:p w:rsidR="001B165D" w:rsidRDefault="001B165D" w:rsidP="00011B40">
            <w:pPr>
              <w:rPr>
                <w:b/>
                <w:i/>
                <w:sz w:val="24"/>
                <w:szCs w:val="24"/>
              </w:rPr>
            </w:pPr>
            <w:r w:rsidRPr="008B27CB">
              <w:rPr>
                <w:b/>
                <w:sz w:val="24"/>
                <w:szCs w:val="24"/>
              </w:rPr>
              <w:t>DEPARTMENT FOR EDUCATION AND CHILD DEVELOPMENT (</w:t>
            </w:r>
            <w:proofErr w:type="spellStart"/>
            <w:r w:rsidRPr="008B27CB">
              <w:rPr>
                <w:b/>
                <w:sz w:val="24"/>
                <w:szCs w:val="24"/>
              </w:rPr>
              <w:t>DECD</w:t>
            </w:r>
            <w:proofErr w:type="spellEnd"/>
            <w:r w:rsidRPr="008B27CB">
              <w:rPr>
                <w:b/>
                <w:sz w:val="24"/>
                <w:szCs w:val="24"/>
              </w:rPr>
              <w:t xml:space="preserve">) -  </w:t>
            </w:r>
            <w:r w:rsidRPr="008B27CB">
              <w:rPr>
                <w:b/>
                <w:i/>
                <w:sz w:val="24"/>
                <w:szCs w:val="24"/>
              </w:rPr>
              <w:t xml:space="preserve">Case study: Port Pirie West Primary School </w:t>
            </w:r>
          </w:p>
          <w:p w:rsidR="008B27CB" w:rsidRPr="008B27CB" w:rsidRDefault="008B27CB" w:rsidP="00011B40">
            <w:pPr>
              <w:rPr>
                <w:b/>
                <w:i/>
                <w:sz w:val="24"/>
                <w:szCs w:val="24"/>
              </w:rPr>
            </w:pPr>
          </w:p>
          <w:p w:rsidR="001B165D" w:rsidRPr="007E67C5" w:rsidRDefault="001B165D" w:rsidP="00011B40">
            <w:r w:rsidRPr="007E67C5">
              <w:t xml:space="preserve">Port Pirie West Primary is a Reception-Year 7 country school, situated 226 </w:t>
            </w:r>
            <w:proofErr w:type="spellStart"/>
            <w:r w:rsidRPr="007E67C5">
              <w:t>kms</w:t>
            </w:r>
            <w:proofErr w:type="spellEnd"/>
            <w:r w:rsidRPr="007E67C5">
              <w:t xml:space="preserve"> north of Adelaide. The school is part of the </w:t>
            </w:r>
            <w:proofErr w:type="spellStart"/>
            <w:r w:rsidRPr="007E67C5">
              <w:t>Yorke</w:t>
            </w:r>
            <w:proofErr w:type="spellEnd"/>
            <w:r w:rsidRPr="007E67C5">
              <w:t xml:space="preserve"> Peninsula/ Mid North region. In 2012, there were 260 students enrolled at the school, of which 11% were Indigenous. Port Pirie West Primary School has been involved in the Communities Making a Difference (</w:t>
            </w:r>
            <w:proofErr w:type="spellStart"/>
            <w:r w:rsidRPr="007E67C5">
              <w:t>CMaD</w:t>
            </w:r>
            <w:proofErr w:type="spellEnd"/>
            <w:r w:rsidRPr="007E67C5">
              <w:t xml:space="preserve"> NP) since 2010. </w:t>
            </w:r>
          </w:p>
          <w:p w:rsidR="001B165D" w:rsidRDefault="001B165D" w:rsidP="00011B40">
            <w:r w:rsidRPr="007E67C5">
              <w:lastRenderedPageBreak/>
              <w:t>Through the national partnership, school-based initiatives have been made available through the department. Key initiatives have included, but are not limited to, a diagnostic review, professional development opportunities (</w:t>
            </w:r>
            <w:proofErr w:type="spellStart"/>
            <w:r w:rsidRPr="007E67C5">
              <w:t>ie</w:t>
            </w:r>
            <w:proofErr w:type="spellEnd"/>
            <w:r w:rsidRPr="007E67C5">
              <w:t>, Principals as literacy leaders) and targeted student support (</w:t>
            </w:r>
            <w:proofErr w:type="spellStart"/>
            <w:r w:rsidRPr="007E67C5">
              <w:t>ie</w:t>
            </w:r>
            <w:proofErr w:type="spellEnd"/>
            <w:r w:rsidRPr="007E67C5">
              <w:t xml:space="preserve">, Aboriginal student mentoring). </w:t>
            </w:r>
          </w:p>
          <w:p w:rsidR="008B27CB" w:rsidRPr="007E67C5" w:rsidRDefault="008B27CB" w:rsidP="00011B40"/>
          <w:p w:rsidR="001B165D" w:rsidRPr="007E67C5" w:rsidRDefault="001B165D" w:rsidP="00011B40">
            <w:r w:rsidRPr="007E67C5">
              <w:t xml:space="preserve">In 2013 the school leadership and community remains committed to opportunities for continuous improvement, such as: </w:t>
            </w:r>
          </w:p>
          <w:p w:rsidR="001B165D" w:rsidRPr="007E67C5" w:rsidRDefault="001B165D" w:rsidP="00AE6D45">
            <w:pPr>
              <w:pStyle w:val="ListParagraph"/>
              <w:numPr>
                <w:ilvl w:val="0"/>
                <w:numId w:val="7"/>
              </w:numPr>
              <w:tabs>
                <w:tab w:val="clear" w:pos="720"/>
                <w:tab w:val="num" w:pos="1134"/>
              </w:tabs>
              <w:ind w:left="1134" w:hanging="425"/>
              <w:jc w:val="left"/>
            </w:pPr>
            <w:r w:rsidRPr="007E67C5">
              <w:t>strengthening common agreed beliefs and agreements across R-7 through the use of national literacy and numeracy standards</w:t>
            </w:r>
          </w:p>
          <w:p w:rsidR="001B165D" w:rsidRPr="007E67C5" w:rsidRDefault="001B165D" w:rsidP="00AE6D45">
            <w:pPr>
              <w:pStyle w:val="ListParagraph"/>
              <w:numPr>
                <w:ilvl w:val="0"/>
                <w:numId w:val="7"/>
              </w:numPr>
              <w:tabs>
                <w:tab w:val="clear" w:pos="720"/>
                <w:tab w:val="num" w:pos="1134"/>
              </w:tabs>
              <w:ind w:left="1134" w:hanging="425"/>
              <w:jc w:val="left"/>
            </w:pPr>
            <w:r w:rsidRPr="007E67C5">
              <w:t>providing professional learning for teachers, including availability of quality teaching resources that support teaching and learning, and regular meetings in year levels to plan/review curriculum documentation and assessment methods</w:t>
            </w:r>
          </w:p>
          <w:p w:rsidR="001B165D" w:rsidRPr="007E67C5" w:rsidRDefault="001B165D" w:rsidP="00AE6D45">
            <w:pPr>
              <w:pStyle w:val="ListParagraph"/>
              <w:numPr>
                <w:ilvl w:val="0"/>
                <w:numId w:val="7"/>
              </w:numPr>
              <w:tabs>
                <w:tab w:val="clear" w:pos="720"/>
                <w:tab w:val="num" w:pos="1134"/>
              </w:tabs>
              <w:ind w:left="1134" w:hanging="425"/>
              <w:jc w:val="left"/>
            </w:pPr>
            <w:proofErr w:type="gramStart"/>
            <w:r w:rsidRPr="007E67C5">
              <w:t>a</w:t>
            </w:r>
            <w:proofErr w:type="gramEnd"/>
            <w:r w:rsidRPr="007E67C5">
              <w:t xml:space="preserve"> focus on a sustained three week staff meeting cycle to enable positive opportunities to provide professional learning that engages staff in the development of whole school initiatives, linked directly to the site improvement plan. </w:t>
            </w:r>
            <w:r w:rsidRPr="007E67C5">
              <w:rPr>
                <w:rStyle w:val="FootnoteReference"/>
                <w:rFonts w:cstheme="minorHAnsi"/>
              </w:rPr>
              <w:footnoteReference w:id="5"/>
            </w:r>
          </w:p>
          <w:p w:rsidR="001B165D" w:rsidRPr="007E67C5" w:rsidRDefault="001B165D" w:rsidP="00011B40">
            <w:r w:rsidRPr="007E67C5">
              <w:t xml:space="preserve">These strategies are starting to show improvement in the literacy and numeracy outcomes for students. The 2012 </w:t>
            </w:r>
            <w:proofErr w:type="spellStart"/>
            <w:r w:rsidRPr="007E67C5">
              <w:t>NAPLAN</w:t>
            </w:r>
            <w:proofErr w:type="spellEnd"/>
            <w:r w:rsidRPr="007E67C5">
              <w:t xml:space="preserve"> results for this school show:</w:t>
            </w:r>
          </w:p>
          <w:p w:rsidR="001B165D" w:rsidRPr="007E67C5" w:rsidRDefault="001B165D" w:rsidP="00AE6D45">
            <w:pPr>
              <w:pStyle w:val="ListParagraph"/>
              <w:numPr>
                <w:ilvl w:val="0"/>
                <w:numId w:val="7"/>
              </w:numPr>
              <w:tabs>
                <w:tab w:val="clear" w:pos="720"/>
                <w:tab w:val="num" w:pos="1134"/>
              </w:tabs>
              <w:ind w:left="1134" w:hanging="425"/>
              <w:jc w:val="left"/>
            </w:pPr>
            <w:r w:rsidRPr="007E67C5">
              <w:t xml:space="preserve">88% of Year 3, 5 and 7 students (excluding those exempt) achieved at or above the national minimum standard for reading. This is an increase from the 81% in 2009. </w:t>
            </w:r>
          </w:p>
          <w:p w:rsidR="001B165D" w:rsidRPr="007E67C5" w:rsidRDefault="001B165D" w:rsidP="00AE6D45">
            <w:pPr>
              <w:pStyle w:val="ListParagraph"/>
              <w:numPr>
                <w:ilvl w:val="0"/>
                <w:numId w:val="7"/>
              </w:numPr>
              <w:tabs>
                <w:tab w:val="clear" w:pos="720"/>
                <w:tab w:val="num" w:pos="1134"/>
              </w:tabs>
              <w:ind w:left="1134" w:hanging="425"/>
              <w:jc w:val="left"/>
            </w:pPr>
            <w:r w:rsidRPr="007E67C5">
              <w:t>Students’ numeracy results have also seen a slight increase in the percentage at or above the national minimum standard (from 84.8% in 2009 to 86.0% in 2012).</w:t>
            </w:r>
          </w:p>
          <w:p w:rsidR="001B165D" w:rsidRDefault="001B165D" w:rsidP="00011B40">
            <w:r w:rsidRPr="007E67C5">
              <w:t>As the following graph illustrates there has been a clear improvement in mean scale scores for Year 3 and Year 5 students since 2009.</w:t>
            </w:r>
          </w:p>
          <w:p w:rsidR="001B165D" w:rsidRDefault="001B165D" w:rsidP="00011B40">
            <w:r>
              <w:rPr>
                <w:noProof/>
                <w:lang w:eastAsia="en-AU"/>
              </w:rPr>
              <w:drawing>
                <wp:inline distT="0" distB="0" distL="0" distR="0" wp14:anchorId="29C1B6F8" wp14:editId="07951EB7">
                  <wp:extent cx="5968365" cy="4364990"/>
                  <wp:effectExtent l="0" t="0" r="0" b="0"/>
                  <wp:docPr id="16" name="Picture 16" descr="Image of NAPLAN results for Year 3 and Year 5 Reading and Numeracy tests for the school compared to DECD all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365" cy="4364990"/>
                          </a:xfrm>
                          <a:prstGeom prst="rect">
                            <a:avLst/>
                          </a:prstGeom>
                          <a:noFill/>
                        </pic:spPr>
                      </pic:pic>
                    </a:graphicData>
                  </a:graphic>
                </wp:inline>
              </w:drawing>
            </w:r>
          </w:p>
          <w:p w:rsidR="001B165D" w:rsidRDefault="001B165D" w:rsidP="001B165D">
            <w:pPr>
              <w:pStyle w:val="Default"/>
              <w:widowControl w:val="0"/>
              <w:spacing w:before="120" w:after="120"/>
              <w:rPr>
                <w:rFonts w:asciiTheme="minorHAnsi" w:hAnsiTheme="minorHAnsi"/>
              </w:rPr>
            </w:pPr>
          </w:p>
        </w:tc>
      </w:tr>
    </w:tbl>
    <w:p w:rsidR="00832B45" w:rsidRPr="00C21A95" w:rsidRDefault="00832B45" w:rsidP="005A59BF">
      <w:pPr>
        <w:ind w:left="851" w:right="567"/>
        <w:rPr>
          <w:rFonts w:ascii="Arial" w:hAnsi="Arial" w:cs="Arial"/>
          <w:szCs w:val="22"/>
        </w:rPr>
        <w:sectPr w:rsidR="00832B45" w:rsidRPr="00C21A95" w:rsidSect="002158B1">
          <w:headerReference w:type="even" r:id="rId17"/>
          <w:headerReference w:type="default" r:id="rId18"/>
          <w:footerReference w:type="default" r:id="rId19"/>
          <w:footerReference w:type="first" r:id="rId20"/>
          <w:pgSz w:w="11906" w:h="16838" w:code="9"/>
          <w:pgMar w:top="539" w:right="1274" w:bottom="539" w:left="1276" w:header="709" w:footer="709" w:gutter="0"/>
          <w:pgNumType w:start="7"/>
          <w:cols w:space="708"/>
          <w:docGrid w:linePitch="360"/>
        </w:sectPr>
      </w:pPr>
    </w:p>
    <w:bookmarkStart w:id="12" w:name="_Toc379547559"/>
    <w:p w:rsidR="00DB4CA9" w:rsidRDefault="009B706A" w:rsidP="009B706A">
      <w:pPr>
        <w:pStyle w:val="Heading1"/>
        <w:rPr>
          <w:sz w:val="22"/>
          <w:szCs w:val="22"/>
        </w:rPr>
      </w:pPr>
      <w:r>
        <w:rPr>
          <w:noProof/>
          <w:lang w:eastAsia="en-AU"/>
        </w:rPr>
        <w:lastRenderedPageBreak/>
        <mc:AlternateContent>
          <mc:Choice Requires="wps">
            <w:drawing>
              <wp:anchor distT="0" distB="0" distL="114300" distR="114300" simplePos="0" relativeHeight="251677696" behindDoc="0" locked="0" layoutInCell="1" allowOverlap="1" wp14:anchorId="166BE0EE" wp14:editId="43A0D3D1">
                <wp:simplePos x="0" y="0"/>
                <wp:positionH relativeFrom="column">
                  <wp:posOffset>-46990</wp:posOffset>
                </wp:positionH>
                <wp:positionV relativeFrom="paragraph">
                  <wp:posOffset>80010</wp:posOffset>
                </wp:positionV>
                <wp:extent cx="9944100" cy="4381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9944100" cy="438150"/>
                        </a:xfrm>
                        <a:prstGeom prst="rect">
                          <a:avLst/>
                        </a:prstGeom>
                        <a:solidFill>
                          <a:schemeClr val="accent2">
                            <a:alpha val="26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3.7pt;margin-top:6.3pt;width:783pt;height:3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" fillcolor="#c0504d [3205]" strokecolor="#622423 [1605]" strokeweight="2pt">
                <v:fill opacity="16962f"/>
              </v:rect>
            </w:pict>
          </mc:Fallback>
        </mc:AlternateContent>
      </w:r>
      <w:r w:rsidRPr="00335ACD">
        <w:t xml:space="preserve">Section </w:t>
      </w:r>
      <w:r>
        <w:t>3</w:t>
      </w:r>
      <w:r w:rsidRPr="00335ACD">
        <w:t xml:space="preserve"> – </w:t>
      </w:r>
      <w:r>
        <w:t>Milestones</w:t>
      </w:r>
      <w:bookmarkEnd w:id="12"/>
    </w:p>
    <w:p w:rsidR="00DB4CA9" w:rsidRDefault="00DB4CA9" w:rsidP="00832B45">
      <w:pPr>
        <w:rPr>
          <w:rFonts w:ascii="Arial" w:hAnsi="Arial" w:cs="Arial"/>
          <w:szCs w:val="22"/>
        </w:rPr>
      </w:pPr>
    </w:p>
    <w:p w:rsidR="001B165D" w:rsidRPr="001B165D" w:rsidRDefault="001B165D" w:rsidP="00011B40">
      <w:pPr>
        <w:rPr>
          <w:rFonts w:eastAsiaTheme="majorEastAsia"/>
        </w:rPr>
      </w:pPr>
      <w:bookmarkStart w:id="13" w:name="_Toc349721514"/>
      <w:bookmarkStart w:id="14" w:name="_Toc349898803"/>
      <w:r w:rsidRPr="001B165D">
        <w:rPr>
          <w:rFonts w:eastAsiaTheme="majorEastAsia"/>
        </w:rPr>
        <w:t>Milestones in progress report (1 January – 30 June 201</w:t>
      </w:r>
      <w:bookmarkEnd w:id="13"/>
      <w:bookmarkEnd w:id="14"/>
      <w:r w:rsidRPr="001B165D">
        <w:rPr>
          <w:rFonts w:eastAsiaTheme="majorEastAsia"/>
        </w:rPr>
        <w:t>3)</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10602"/>
      </w:tblGrid>
      <w:tr w:rsidR="001B165D" w:rsidRPr="001B165D" w:rsidTr="001B165D">
        <w:trPr>
          <w:tblHeader/>
        </w:trPr>
        <w:tc>
          <w:tcPr>
            <w:tcW w:w="4282" w:type="dxa"/>
            <w:shd w:val="clear" w:color="auto" w:fill="1F497D" w:themeFill="text2"/>
          </w:tcPr>
          <w:p w:rsidR="001B165D" w:rsidRPr="001B165D" w:rsidRDefault="001B165D" w:rsidP="001B165D">
            <w:pPr>
              <w:spacing w:before="120" w:after="60"/>
              <w:rPr>
                <w:rFonts w:eastAsia="Symbol" w:cstheme="minorHAnsi"/>
                <w:b/>
                <w:color w:val="FFFFFF" w:themeColor="background1"/>
                <w:szCs w:val="24"/>
              </w:rPr>
            </w:pPr>
            <w:r w:rsidRPr="001B165D">
              <w:rPr>
                <w:rFonts w:eastAsia="Symbol" w:cstheme="minorHAnsi"/>
                <w:b/>
                <w:color w:val="FFFFFF" w:themeColor="background1"/>
                <w:szCs w:val="24"/>
              </w:rPr>
              <w:t>Milestone</w:t>
            </w:r>
          </w:p>
        </w:tc>
        <w:tc>
          <w:tcPr>
            <w:tcW w:w="10602" w:type="dxa"/>
            <w:shd w:val="clear" w:color="auto" w:fill="1F497D" w:themeFill="text2"/>
          </w:tcPr>
          <w:p w:rsidR="001B165D" w:rsidRPr="001B165D" w:rsidRDefault="001B165D" w:rsidP="001B165D">
            <w:pPr>
              <w:spacing w:before="120" w:after="60"/>
              <w:rPr>
                <w:rFonts w:cstheme="minorHAnsi"/>
                <w:b/>
                <w:color w:val="FFFFFF" w:themeColor="background1"/>
                <w:szCs w:val="24"/>
              </w:rPr>
            </w:pPr>
            <w:r w:rsidRPr="001B165D">
              <w:rPr>
                <w:rFonts w:eastAsia="Symbol" w:cstheme="minorHAnsi"/>
                <w:b/>
                <w:color w:val="FFFFFF" w:themeColor="background1"/>
                <w:szCs w:val="24"/>
              </w:rPr>
              <w:t>Detail of achievement against milestone</w:t>
            </w:r>
          </w:p>
        </w:tc>
      </w:tr>
      <w:tr w:rsidR="001B165D" w:rsidRPr="001B165D" w:rsidTr="001B165D">
        <w:tc>
          <w:tcPr>
            <w:tcW w:w="4282" w:type="dxa"/>
            <w:shd w:val="clear" w:color="auto" w:fill="auto"/>
          </w:tcPr>
          <w:p w:rsidR="001B165D" w:rsidRPr="001B165D" w:rsidRDefault="001B165D" w:rsidP="00011B40">
            <w:pPr>
              <w:rPr>
                <w:rFonts w:eastAsia="Symbol"/>
                <w:b/>
                <w:iCs/>
              </w:rPr>
            </w:pPr>
            <w:r w:rsidRPr="001B165D">
              <w:t>Review and evaluation of projects developed and piloted since 2011 to build professional pathways and support for Aboriginal students and employees who wish to progress into teaching.</w:t>
            </w:r>
            <w:r w:rsidRPr="001B165D">
              <w:rPr>
                <w:rFonts w:eastAsia="Symbol"/>
              </w:rPr>
              <w:t xml:space="preserve"> </w:t>
            </w:r>
            <w:r w:rsidRPr="001B165D">
              <w:rPr>
                <w:rFonts w:eastAsia="Symbol"/>
                <w:b/>
                <w:iCs/>
              </w:rPr>
              <w:t>(</w:t>
            </w:r>
            <w:proofErr w:type="spellStart"/>
            <w:r w:rsidRPr="001B165D">
              <w:rPr>
                <w:rFonts w:eastAsia="Symbol"/>
                <w:b/>
                <w:iCs/>
              </w:rPr>
              <w:t>DECD</w:t>
            </w:r>
            <w:proofErr w:type="spellEnd"/>
            <w:r w:rsidRPr="001B165D">
              <w:rPr>
                <w:rFonts w:eastAsia="Symbol"/>
                <w:b/>
                <w:iCs/>
              </w:rPr>
              <w:t>)</w:t>
            </w:r>
          </w:p>
          <w:p w:rsidR="001B165D" w:rsidRPr="001B165D" w:rsidRDefault="001B165D" w:rsidP="00011B40">
            <w:pPr>
              <w:rPr>
                <w:rFonts w:eastAsia="Symbol"/>
              </w:rPr>
            </w:pPr>
          </w:p>
        </w:tc>
        <w:tc>
          <w:tcPr>
            <w:tcW w:w="10602" w:type="dxa"/>
            <w:shd w:val="clear" w:color="auto" w:fill="auto"/>
          </w:tcPr>
          <w:p w:rsidR="001B165D" w:rsidRPr="001B165D" w:rsidRDefault="001B165D" w:rsidP="00011B40">
            <w:pPr>
              <w:rPr>
                <w:b/>
                <w:lang w:eastAsia="en-AU"/>
              </w:rPr>
            </w:pPr>
            <w:r w:rsidRPr="001B165D">
              <w:rPr>
                <w:b/>
                <w:lang w:eastAsia="en-AU"/>
              </w:rPr>
              <w:t>ACHIEVED</w:t>
            </w:r>
          </w:p>
          <w:p w:rsidR="001B165D" w:rsidRPr="001B165D" w:rsidRDefault="001B165D" w:rsidP="00011B40">
            <w:pPr>
              <w:rPr>
                <w:color w:val="0070C0"/>
              </w:rPr>
            </w:pPr>
            <w:r w:rsidRPr="001B165D">
              <w:t xml:space="preserve">Review and evaluation of the </w:t>
            </w:r>
            <w:r w:rsidRPr="001B165D">
              <w:rPr>
                <w:i/>
              </w:rPr>
              <w:t>Aboriginal pathways into teaching pilot (Go local)</w:t>
            </w:r>
            <w:r w:rsidRPr="001B165D">
              <w:t xml:space="preserve"> informed the implementation of the pathways into teaching partnership with the University of SA. There are now 8 </w:t>
            </w:r>
            <w:proofErr w:type="spellStart"/>
            <w:r w:rsidRPr="001B165D">
              <w:t>DECD</w:t>
            </w:r>
            <w:proofErr w:type="spellEnd"/>
            <w:r w:rsidRPr="001B165D">
              <w:t xml:space="preserve"> Aboriginal employees enrolled in the program.  </w:t>
            </w:r>
          </w:p>
        </w:tc>
      </w:tr>
    </w:tbl>
    <w:p w:rsidR="001B165D" w:rsidRPr="001B165D" w:rsidRDefault="001B165D" w:rsidP="001B165D">
      <w:pPr>
        <w:spacing w:before="120" w:after="60"/>
        <w:rPr>
          <w:rFonts w:cstheme="minorHAnsi"/>
          <w:szCs w:val="22"/>
        </w:rPr>
      </w:pPr>
    </w:p>
    <w:p w:rsidR="001B165D" w:rsidRPr="001B165D" w:rsidRDefault="001B165D" w:rsidP="00011B40">
      <w:r w:rsidRPr="001B165D">
        <w:t>With the achievement of this milestone, all agreed facilitation reform milestones for the Improving Teacher Quality NP have been achieved.</w:t>
      </w:r>
    </w:p>
    <w:p w:rsidR="001B165D" w:rsidRPr="001B165D" w:rsidRDefault="001B165D" w:rsidP="00011B40">
      <w:r w:rsidRPr="001B165D">
        <w:t>In addition, all agreed reward milestones were achieved by South Australia.</w:t>
      </w:r>
    </w:p>
    <w:p w:rsidR="00003742" w:rsidRDefault="001B165D" w:rsidP="00011B40">
      <w:pPr>
        <w:rPr>
          <w:rFonts w:ascii="Calibri" w:hAnsi="Calibri" w:cs="Arial"/>
          <w:sz w:val="32"/>
          <w:szCs w:val="32"/>
        </w:rPr>
      </w:pPr>
      <w:r w:rsidRPr="001B165D">
        <w:br w:type="page"/>
      </w:r>
    </w:p>
    <w:p w:rsidR="009B706A" w:rsidRDefault="001B165D" w:rsidP="006075A4">
      <w:pPr>
        <w:rPr>
          <w:rFonts w:ascii="Calibri" w:hAnsi="Calibri" w:cs="Arial"/>
          <w:b/>
          <w:sz w:val="32"/>
          <w:szCs w:val="32"/>
        </w:rPr>
      </w:pPr>
      <w:r>
        <w:rPr>
          <w:noProof/>
          <w:lang w:eastAsia="en-AU"/>
        </w:rPr>
        <w:lastRenderedPageBreak/>
        <mc:AlternateContent>
          <mc:Choice Requires="wps">
            <w:drawing>
              <wp:anchor distT="0" distB="0" distL="114300" distR="114300" simplePos="0" relativeHeight="251689984" behindDoc="1" locked="0" layoutInCell="1" allowOverlap="1" wp14:anchorId="7D95E65D" wp14:editId="7AB38148">
                <wp:simplePos x="0" y="0"/>
                <wp:positionH relativeFrom="column">
                  <wp:posOffset>-55084</wp:posOffset>
                </wp:positionH>
                <wp:positionV relativeFrom="paragraph">
                  <wp:posOffset>-44067</wp:posOffset>
                </wp:positionV>
                <wp:extent cx="9026434" cy="286438"/>
                <wp:effectExtent l="0" t="0" r="22860" b="18415"/>
                <wp:wrapNone/>
                <wp:docPr id="2" name="Rectangle 2"/>
                <wp:cNvGraphicFramePr/>
                <a:graphic xmlns:a="http://schemas.openxmlformats.org/drawingml/2006/main">
                  <a:graphicData uri="http://schemas.microsoft.com/office/word/2010/wordprocessingShape">
                    <wps:wsp>
                      <wps:cNvSpPr/>
                      <wps:spPr>
                        <a:xfrm>
                          <a:off x="0" y="0"/>
                          <a:ext cx="9026434" cy="286438"/>
                        </a:xfrm>
                        <a:prstGeom prst="rect">
                          <a:avLst/>
                        </a:prstGeom>
                        <a:solidFill>
                          <a:srgbClr val="C0504D">
                            <a:alpha val="26000"/>
                          </a:srgbClr>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4.35pt;margin-top:-3.45pt;width:710.75pt;height:22.5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" fillcolor="#c0504d" strokecolor="#8c3836" strokeweight="2pt">
                <v:fill opacity="16962f"/>
              </v:rect>
            </w:pict>
          </mc:Fallback>
        </mc:AlternateContent>
      </w:r>
      <w:r>
        <w:rPr>
          <w:rFonts w:ascii="Calibri" w:hAnsi="Calibri" w:cs="Arial"/>
          <w:b/>
          <w:sz w:val="32"/>
          <w:szCs w:val="32"/>
        </w:rPr>
        <w:t>Section 3</w:t>
      </w:r>
      <w:r w:rsidR="00003742">
        <w:rPr>
          <w:rFonts w:ascii="Calibri" w:hAnsi="Calibri" w:cs="Arial"/>
          <w:b/>
          <w:sz w:val="32"/>
          <w:szCs w:val="32"/>
        </w:rPr>
        <w:t xml:space="preserve"> </w:t>
      </w:r>
      <w:r>
        <w:rPr>
          <w:rFonts w:ascii="Calibri" w:hAnsi="Calibri" w:cs="Arial"/>
          <w:b/>
          <w:sz w:val="32"/>
          <w:szCs w:val="32"/>
        </w:rPr>
        <w:t>–</w:t>
      </w:r>
      <w:r w:rsidR="00003742">
        <w:rPr>
          <w:rFonts w:ascii="Calibri" w:hAnsi="Calibri" w:cs="Arial"/>
          <w:b/>
          <w:sz w:val="32"/>
          <w:szCs w:val="32"/>
        </w:rPr>
        <w:t xml:space="preserve"> Milestones</w:t>
      </w:r>
      <w:r w:rsidR="0010157C">
        <w:rPr>
          <w:rFonts w:ascii="Calibri" w:hAnsi="Calibri" w:cs="Arial"/>
          <w:b/>
          <w:sz w:val="32"/>
          <w:szCs w:val="32"/>
        </w:rPr>
        <w:tab/>
      </w:r>
      <w:r>
        <w:rPr>
          <w:rFonts w:ascii="Calibri" w:hAnsi="Calibri" w:cs="Arial"/>
          <w:b/>
          <w:sz w:val="32"/>
          <w:szCs w:val="32"/>
        </w:rPr>
        <w:t>Communities Making a Difference</w:t>
      </w:r>
      <w:r w:rsidR="00AF7C95" w:rsidRPr="00AF7C95">
        <w:rPr>
          <w:rFonts w:ascii="Calibri" w:hAnsi="Calibri" w:cs="Arial"/>
          <w:b/>
          <w:sz w:val="32"/>
          <w:szCs w:val="32"/>
        </w:rPr>
        <w:t xml:space="preserve"> </w:t>
      </w:r>
      <w:r w:rsidR="0010157C">
        <w:rPr>
          <w:rFonts w:ascii="Calibri" w:hAnsi="Calibri" w:cs="Arial"/>
          <w:b/>
          <w:sz w:val="32"/>
          <w:szCs w:val="32"/>
        </w:rPr>
        <w:t xml:space="preserve">- </w:t>
      </w:r>
      <w:r w:rsidR="00AF7C95" w:rsidRPr="00AF7C95">
        <w:rPr>
          <w:rFonts w:ascii="Calibri" w:hAnsi="Calibri" w:cs="Arial"/>
          <w:b/>
          <w:sz w:val="32"/>
          <w:szCs w:val="32"/>
        </w:rPr>
        <w:t>Low SES School Communities NP</w:t>
      </w:r>
    </w:p>
    <w:p w:rsidR="008B27CB" w:rsidRPr="008B27CB" w:rsidRDefault="008B27CB" w:rsidP="008B27CB">
      <w:pPr>
        <w:rPr>
          <w:b/>
          <w:color w:val="0070C0"/>
        </w:rPr>
      </w:pPr>
      <w:r w:rsidRPr="008B27CB">
        <w:rPr>
          <w:b/>
          <w:color w:val="0070C0"/>
        </w:rPr>
        <w:t>Milestones in progress report – (1 January to 30 June 2013)</w:t>
      </w:r>
    </w:p>
    <w:tbl>
      <w:tblPr>
        <w:tblpPr w:leftFromText="180" w:rightFromText="180" w:vertAnchor="text" w:horzAnchor="margin" w:tblpXSpec="center" w:tblpY="132"/>
        <w:tblW w:w="14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9216"/>
      </w:tblGrid>
      <w:tr w:rsidR="001B165D" w:rsidRPr="001B165D" w:rsidTr="001B165D">
        <w:trPr>
          <w:tblHeader/>
          <w:jc w:val="center"/>
        </w:trPr>
        <w:tc>
          <w:tcPr>
            <w:tcW w:w="4928" w:type="dxa"/>
            <w:shd w:val="clear" w:color="auto" w:fill="1F497D" w:themeFill="text2"/>
          </w:tcPr>
          <w:p w:rsidR="001B165D" w:rsidRPr="001B165D" w:rsidRDefault="001B165D" w:rsidP="001B165D">
            <w:pPr>
              <w:spacing w:before="120" w:after="60"/>
              <w:rPr>
                <w:rFonts w:eastAsia="Symbol" w:cstheme="minorHAnsi"/>
                <w:b/>
                <w:color w:val="FFFFFF" w:themeColor="background1"/>
                <w:szCs w:val="24"/>
              </w:rPr>
            </w:pPr>
            <w:r w:rsidRPr="001B165D">
              <w:rPr>
                <w:rFonts w:eastAsia="Symbol" w:cstheme="minorHAnsi"/>
                <w:b/>
                <w:color w:val="FFFFFF" w:themeColor="background1"/>
                <w:szCs w:val="24"/>
              </w:rPr>
              <w:t>Milestone</w:t>
            </w:r>
          </w:p>
        </w:tc>
        <w:tc>
          <w:tcPr>
            <w:tcW w:w="0" w:type="auto"/>
            <w:shd w:val="clear" w:color="auto" w:fill="1F497D" w:themeFill="text2"/>
          </w:tcPr>
          <w:p w:rsidR="001B165D" w:rsidRPr="001B165D" w:rsidRDefault="001B165D" w:rsidP="001B165D">
            <w:pPr>
              <w:spacing w:before="120" w:after="60"/>
              <w:rPr>
                <w:rFonts w:eastAsia="Symbol" w:cstheme="minorHAnsi"/>
                <w:b/>
                <w:color w:val="FFFFFF" w:themeColor="background1"/>
                <w:szCs w:val="24"/>
              </w:rPr>
            </w:pPr>
            <w:r w:rsidRPr="001B165D">
              <w:rPr>
                <w:rFonts w:eastAsia="Symbol" w:cstheme="minorHAnsi"/>
                <w:b/>
                <w:color w:val="FFFFFF" w:themeColor="background1"/>
                <w:szCs w:val="24"/>
              </w:rPr>
              <w:t>Detail of achievement against milestone</w:t>
            </w:r>
          </w:p>
        </w:tc>
      </w:tr>
      <w:tr w:rsidR="001B165D" w:rsidRPr="001B165D" w:rsidTr="001B165D">
        <w:trPr>
          <w:jc w:val="center"/>
        </w:trPr>
        <w:tc>
          <w:tcPr>
            <w:tcW w:w="4928" w:type="dxa"/>
            <w:shd w:val="clear" w:color="auto" w:fill="auto"/>
          </w:tcPr>
          <w:p w:rsidR="001B165D" w:rsidRPr="001B165D" w:rsidRDefault="001B165D" w:rsidP="00011B40">
            <w:pPr>
              <w:rPr>
                <w:i/>
                <w:iCs/>
              </w:rPr>
            </w:pPr>
            <w:r w:rsidRPr="001B165D">
              <w:t xml:space="preserve">List of schools receiving support. This will include reform strategy and scope of approach. </w:t>
            </w:r>
            <w:r w:rsidRPr="001B165D">
              <w:rPr>
                <w:b/>
              </w:rPr>
              <w:t>(All)</w:t>
            </w:r>
          </w:p>
        </w:tc>
        <w:tc>
          <w:tcPr>
            <w:tcW w:w="0" w:type="auto"/>
            <w:shd w:val="clear" w:color="auto" w:fill="auto"/>
          </w:tcPr>
          <w:p w:rsidR="001B165D" w:rsidRPr="001B165D" w:rsidRDefault="001B165D" w:rsidP="00011B40">
            <w:r w:rsidRPr="001B165D">
              <w:t xml:space="preserve">The list of schools for all sectors for 2013 is available from the DEEWR website (or alternatively put on the SA </w:t>
            </w:r>
            <w:proofErr w:type="spellStart"/>
            <w:r w:rsidRPr="001B165D">
              <w:t>SSNP</w:t>
            </w:r>
            <w:proofErr w:type="spellEnd"/>
            <w:r w:rsidRPr="001B165D">
              <w:t xml:space="preserve"> site of include full list here).</w:t>
            </w:r>
          </w:p>
          <w:p w:rsidR="001B165D" w:rsidRPr="001B165D" w:rsidRDefault="001B165D" w:rsidP="00011B40">
            <w:r w:rsidRPr="001B165D">
              <w:fldChar w:fldCharType="begin"/>
            </w:r>
            <w:r w:rsidRPr="001B165D">
              <w:instrText xml:space="preserve"> HYPERLINK "http://www.smarterschools.gov.au/</w:instrText>
            </w:r>
          </w:p>
          <w:p w:rsidR="001B165D" w:rsidRPr="001B165D" w:rsidRDefault="001B165D" w:rsidP="00011B40">
            <w:pPr>
              <w:rPr>
                <w:color w:val="0000FF"/>
                <w:u w:val="single"/>
              </w:rPr>
            </w:pPr>
            <w:r w:rsidRPr="001B165D">
              <w:instrText xml:space="preserve">" </w:instrText>
            </w:r>
            <w:r w:rsidRPr="001B165D">
              <w:fldChar w:fldCharType="separate"/>
            </w:r>
            <w:r w:rsidRPr="001B165D">
              <w:rPr>
                <w:color w:val="0000FF"/>
                <w:u w:val="single"/>
              </w:rPr>
              <w:t>http://www.smarterschools.gov.au/</w:t>
            </w:r>
          </w:p>
          <w:p w:rsidR="001B165D" w:rsidRPr="001B165D" w:rsidRDefault="001B165D" w:rsidP="00011B40">
            <w:pPr>
              <w:rPr>
                <w:bCs/>
                <w:color w:val="000000"/>
              </w:rPr>
            </w:pPr>
            <w:r w:rsidRPr="001B165D">
              <w:fldChar w:fldCharType="end"/>
            </w:r>
          </w:p>
        </w:tc>
      </w:tr>
      <w:tr w:rsidR="001B165D" w:rsidRPr="001B165D" w:rsidTr="001B165D">
        <w:trPr>
          <w:jc w:val="center"/>
        </w:trPr>
        <w:tc>
          <w:tcPr>
            <w:tcW w:w="4928" w:type="dxa"/>
            <w:shd w:val="clear" w:color="auto" w:fill="auto"/>
          </w:tcPr>
          <w:p w:rsidR="001B165D" w:rsidRPr="001B165D" w:rsidRDefault="001B165D" w:rsidP="00011B40">
            <w:r w:rsidRPr="001B165D">
              <w:t xml:space="preserve">List of schools that have undergone the low-SES diagnostic review. </w:t>
            </w:r>
            <w:r w:rsidRPr="001B165D">
              <w:rPr>
                <w:b/>
              </w:rPr>
              <w:t>(</w:t>
            </w:r>
            <w:proofErr w:type="spellStart"/>
            <w:r w:rsidRPr="001B165D">
              <w:rPr>
                <w:b/>
              </w:rPr>
              <w:t>AISSA</w:t>
            </w:r>
            <w:proofErr w:type="spellEnd"/>
            <w:r w:rsidRPr="001B165D">
              <w:rPr>
                <w:b/>
              </w:rPr>
              <w:t>/</w:t>
            </w:r>
            <w:proofErr w:type="spellStart"/>
            <w:r w:rsidRPr="001B165D">
              <w:rPr>
                <w:b/>
              </w:rPr>
              <w:t>DECD</w:t>
            </w:r>
            <w:proofErr w:type="spellEnd"/>
            <w:r w:rsidRPr="001B165D">
              <w:rPr>
                <w:b/>
              </w:rPr>
              <w:t>)</w:t>
            </w:r>
          </w:p>
        </w:tc>
        <w:tc>
          <w:tcPr>
            <w:tcW w:w="0" w:type="auto"/>
            <w:shd w:val="clear" w:color="auto" w:fill="auto"/>
          </w:tcPr>
          <w:p w:rsidR="001B165D" w:rsidRPr="001B165D" w:rsidRDefault="001B165D" w:rsidP="00011B40">
            <w:r w:rsidRPr="001B165D">
              <w:rPr>
                <w:b/>
              </w:rPr>
              <w:t xml:space="preserve">All schools </w:t>
            </w:r>
            <w:r w:rsidRPr="001B165D">
              <w:t xml:space="preserve">participating in the </w:t>
            </w:r>
            <w:proofErr w:type="spellStart"/>
            <w:r w:rsidRPr="001B165D">
              <w:t>CMaD</w:t>
            </w:r>
            <w:proofErr w:type="spellEnd"/>
            <w:r w:rsidRPr="001B165D">
              <w:t xml:space="preserve"> NP have undertaken a diagnostic review.</w:t>
            </w:r>
          </w:p>
          <w:p w:rsidR="001B165D" w:rsidRPr="001B165D" w:rsidRDefault="001B165D" w:rsidP="00011B40">
            <w:r w:rsidRPr="001B165D">
              <w:t xml:space="preserve">As well, an evaluation of school review processes across the three schooling sectors has been completed under the auspice of the SA National Partnership Council - Schooling and is available on the Reporting and Evaluation page of the SA Smarter Schools National Partnerships website </w:t>
            </w:r>
            <w:hyperlink r:id="rId21" w:history="1">
              <w:r w:rsidRPr="001B165D">
                <w:rPr>
                  <w:color w:val="0000FF"/>
                  <w:u w:val="single"/>
                </w:rPr>
                <w:t>http://www.smartschoolnatpart.sa.edu.au/</w:t>
              </w:r>
            </w:hyperlink>
            <w:r w:rsidRPr="001B165D">
              <w:t xml:space="preserve"> </w:t>
            </w:r>
          </w:p>
          <w:p w:rsidR="001B165D" w:rsidRPr="001B165D" w:rsidRDefault="001B165D" w:rsidP="00011B40"/>
        </w:tc>
      </w:tr>
      <w:tr w:rsidR="001B165D" w:rsidRPr="001B165D" w:rsidTr="001B165D">
        <w:trPr>
          <w:jc w:val="center"/>
        </w:trPr>
        <w:tc>
          <w:tcPr>
            <w:tcW w:w="4928" w:type="dxa"/>
            <w:shd w:val="clear" w:color="auto" w:fill="auto"/>
          </w:tcPr>
          <w:p w:rsidR="001B165D" w:rsidRPr="001B165D" w:rsidRDefault="001B165D" w:rsidP="00011B40">
            <w:pPr>
              <w:rPr>
                <w:i/>
                <w:iCs/>
              </w:rPr>
            </w:pPr>
            <w:r w:rsidRPr="001B165D">
              <w:t xml:space="preserve">Number of teachers and school leaders participating in professional development as part of the reform strategies. Scope of professional development activities will also be provided. </w:t>
            </w:r>
            <w:r w:rsidRPr="001B165D">
              <w:rPr>
                <w:b/>
              </w:rPr>
              <w:t>(All)</w:t>
            </w:r>
          </w:p>
        </w:tc>
        <w:tc>
          <w:tcPr>
            <w:tcW w:w="0" w:type="auto"/>
            <w:shd w:val="clear" w:color="auto" w:fill="auto"/>
          </w:tcPr>
          <w:p w:rsidR="001B165D" w:rsidRPr="001B165D" w:rsidRDefault="001B165D" w:rsidP="00011B40">
            <w:r w:rsidRPr="001B165D">
              <w:t>This will be reported in the 2013 Annual Report</w:t>
            </w:r>
          </w:p>
        </w:tc>
      </w:tr>
      <w:tr w:rsidR="001B165D" w:rsidRPr="001B165D" w:rsidTr="001B165D">
        <w:trPr>
          <w:jc w:val="center"/>
        </w:trPr>
        <w:tc>
          <w:tcPr>
            <w:tcW w:w="4928" w:type="dxa"/>
            <w:shd w:val="clear" w:color="auto" w:fill="auto"/>
          </w:tcPr>
          <w:p w:rsidR="001B165D" w:rsidRPr="001B165D" w:rsidRDefault="001B165D" w:rsidP="00011B40">
            <w:r w:rsidRPr="001B165D">
              <w:t xml:space="preserve">Number and scope of teachers/leaders involved in attraction, retention and development reform strategies. </w:t>
            </w:r>
            <w:r w:rsidRPr="001B165D">
              <w:rPr>
                <w:b/>
              </w:rPr>
              <w:t>(</w:t>
            </w:r>
            <w:proofErr w:type="spellStart"/>
            <w:r w:rsidRPr="001B165D">
              <w:rPr>
                <w:b/>
              </w:rPr>
              <w:t>DECD</w:t>
            </w:r>
            <w:proofErr w:type="spellEnd"/>
            <w:r w:rsidRPr="001B165D">
              <w:rPr>
                <w:b/>
              </w:rPr>
              <w:t>)</w:t>
            </w:r>
          </w:p>
        </w:tc>
        <w:tc>
          <w:tcPr>
            <w:tcW w:w="0" w:type="auto"/>
            <w:shd w:val="clear" w:color="auto" w:fill="auto"/>
          </w:tcPr>
          <w:p w:rsidR="001B165D" w:rsidRPr="001B165D" w:rsidRDefault="001B165D" w:rsidP="00011B40">
            <w:r w:rsidRPr="001B165D">
              <w:t>This will be reported in the 2013 Annual Report</w:t>
            </w:r>
          </w:p>
        </w:tc>
      </w:tr>
      <w:tr w:rsidR="001B165D" w:rsidRPr="001B165D" w:rsidTr="001B165D">
        <w:trPr>
          <w:jc w:val="center"/>
        </w:trPr>
        <w:tc>
          <w:tcPr>
            <w:tcW w:w="4928" w:type="dxa"/>
            <w:shd w:val="clear" w:color="auto" w:fill="auto"/>
          </w:tcPr>
          <w:p w:rsidR="001B165D" w:rsidRPr="001B165D" w:rsidRDefault="001B165D" w:rsidP="00011B40">
            <w:r w:rsidRPr="001B165D">
              <w:t xml:space="preserve">Number and scope of community groups/business/volunteers/NGOs involved in the low-SES NP plan implementation </w:t>
            </w:r>
            <w:r w:rsidRPr="001B165D">
              <w:rPr>
                <w:b/>
              </w:rPr>
              <w:t>(All)</w:t>
            </w:r>
          </w:p>
        </w:tc>
        <w:tc>
          <w:tcPr>
            <w:tcW w:w="0" w:type="auto"/>
            <w:shd w:val="clear" w:color="auto" w:fill="auto"/>
          </w:tcPr>
          <w:p w:rsidR="001B165D" w:rsidRPr="001B165D" w:rsidRDefault="001B165D" w:rsidP="00011B40">
            <w:r w:rsidRPr="001B165D">
              <w:t>This will be reported in the 2013 Annual Report</w:t>
            </w:r>
          </w:p>
        </w:tc>
      </w:tr>
      <w:tr w:rsidR="001B165D" w:rsidRPr="001B165D" w:rsidTr="001B165D">
        <w:trPr>
          <w:jc w:val="center"/>
        </w:trPr>
        <w:tc>
          <w:tcPr>
            <w:tcW w:w="4928" w:type="dxa"/>
            <w:shd w:val="clear" w:color="auto" w:fill="auto"/>
          </w:tcPr>
          <w:p w:rsidR="001B165D" w:rsidRPr="001B165D" w:rsidRDefault="001B165D" w:rsidP="00011B40">
            <w:r w:rsidRPr="001B165D">
              <w:t xml:space="preserve">Number of students, including a breakdown by specific cohorts, receiving support through the reform strategies. </w:t>
            </w:r>
            <w:r w:rsidRPr="001B165D">
              <w:rPr>
                <w:b/>
              </w:rPr>
              <w:t>(All)</w:t>
            </w:r>
          </w:p>
        </w:tc>
        <w:tc>
          <w:tcPr>
            <w:tcW w:w="0" w:type="auto"/>
            <w:shd w:val="clear" w:color="auto" w:fill="auto"/>
          </w:tcPr>
          <w:p w:rsidR="001B165D" w:rsidRPr="001B165D" w:rsidRDefault="001B165D" w:rsidP="00011B40">
            <w:pPr>
              <w:rPr>
                <w:b/>
              </w:rPr>
            </w:pPr>
            <w:proofErr w:type="spellStart"/>
            <w:r w:rsidRPr="001B165D">
              <w:rPr>
                <w:b/>
              </w:rPr>
              <w:t>AISSA</w:t>
            </w:r>
            <w:proofErr w:type="spellEnd"/>
          </w:p>
          <w:p w:rsidR="001B165D" w:rsidRPr="001B165D" w:rsidRDefault="001B165D" w:rsidP="00011B40">
            <w:r w:rsidRPr="001B165D">
              <w:t xml:space="preserve">At 2012, 2,489 students attended the seven </w:t>
            </w:r>
            <w:proofErr w:type="spellStart"/>
            <w:r w:rsidRPr="001B165D">
              <w:t>CMaD</w:t>
            </w:r>
            <w:proofErr w:type="spellEnd"/>
            <w:r w:rsidRPr="001B165D">
              <w:t xml:space="preserve"> (1 Reception – Year 9, 2 Reception – Year 7, 4 Reception – Year 12) schools. Of these 139 were Indigenous students and 107 were students with a verified disability.</w:t>
            </w:r>
          </w:p>
          <w:p w:rsidR="001B165D" w:rsidRPr="001B165D" w:rsidRDefault="001B165D" w:rsidP="00011B40">
            <w:pPr>
              <w:rPr>
                <w:b/>
                <w:lang w:eastAsia="en-AU"/>
              </w:rPr>
            </w:pPr>
            <w:proofErr w:type="spellStart"/>
            <w:r w:rsidRPr="001B165D">
              <w:rPr>
                <w:b/>
                <w:lang w:eastAsia="en-AU"/>
              </w:rPr>
              <w:t>CESA</w:t>
            </w:r>
            <w:proofErr w:type="spellEnd"/>
          </w:p>
          <w:p w:rsidR="001B165D" w:rsidRPr="001B165D" w:rsidRDefault="001B165D" w:rsidP="00011B40">
            <w:pPr>
              <w:rPr>
                <w:lang w:eastAsia="en-AU"/>
              </w:rPr>
            </w:pPr>
            <w:r w:rsidRPr="001B165D">
              <w:rPr>
                <w:lang w:eastAsia="en-AU"/>
              </w:rPr>
              <w:t xml:space="preserve">For the 12 </w:t>
            </w:r>
            <w:r w:rsidRPr="001B165D">
              <w:rPr>
                <w:b/>
                <w:lang w:eastAsia="en-AU"/>
              </w:rPr>
              <w:t xml:space="preserve">Catholic schools </w:t>
            </w:r>
            <w:r w:rsidRPr="001B165D">
              <w:rPr>
                <w:lang w:eastAsia="en-AU"/>
              </w:rPr>
              <w:t>participating in 2013, the August 2012 Census figures are:</w:t>
            </w:r>
          </w:p>
          <w:p w:rsidR="001B165D" w:rsidRPr="001B165D" w:rsidRDefault="001B165D" w:rsidP="00AE6D45">
            <w:pPr>
              <w:pStyle w:val="ListParagraph"/>
              <w:numPr>
                <w:ilvl w:val="0"/>
                <w:numId w:val="17"/>
              </w:numPr>
              <w:rPr>
                <w:lang w:eastAsia="en-AU"/>
              </w:rPr>
            </w:pPr>
            <w:r w:rsidRPr="001B165D">
              <w:rPr>
                <w:lang w:eastAsia="en-AU"/>
              </w:rPr>
              <w:t>247 total teachers and school leaders</w:t>
            </w:r>
          </w:p>
          <w:p w:rsidR="001B165D" w:rsidRPr="001B165D" w:rsidRDefault="001B165D" w:rsidP="00AE6D45">
            <w:pPr>
              <w:pStyle w:val="ListParagraph"/>
              <w:numPr>
                <w:ilvl w:val="0"/>
                <w:numId w:val="17"/>
              </w:numPr>
              <w:rPr>
                <w:lang w:eastAsia="en-AU"/>
              </w:rPr>
            </w:pPr>
            <w:r w:rsidRPr="001B165D">
              <w:rPr>
                <w:lang w:eastAsia="en-AU"/>
              </w:rPr>
              <w:t xml:space="preserve">521 total secondary students </w:t>
            </w:r>
            <w:r w:rsidRPr="001B165D">
              <w:rPr>
                <w:lang w:eastAsia="en-AU"/>
              </w:rPr>
              <w:tab/>
            </w:r>
          </w:p>
          <w:p w:rsidR="001B165D" w:rsidRPr="001B165D" w:rsidRDefault="001B165D" w:rsidP="00AE6D45">
            <w:pPr>
              <w:pStyle w:val="ListParagraph"/>
              <w:numPr>
                <w:ilvl w:val="0"/>
                <w:numId w:val="17"/>
              </w:numPr>
              <w:rPr>
                <w:lang w:eastAsia="en-AU"/>
              </w:rPr>
            </w:pPr>
            <w:r w:rsidRPr="001B165D">
              <w:rPr>
                <w:lang w:eastAsia="en-AU"/>
              </w:rPr>
              <w:t>2482 total primary students</w:t>
            </w:r>
            <w:r w:rsidRPr="001B165D">
              <w:rPr>
                <w:lang w:eastAsia="en-AU"/>
              </w:rPr>
              <w:tab/>
            </w:r>
          </w:p>
          <w:p w:rsidR="001B165D" w:rsidRPr="001B165D" w:rsidRDefault="001B165D" w:rsidP="00AE6D45">
            <w:pPr>
              <w:pStyle w:val="ListParagraph"/>
              <w:numPr>
                <w:ilvl w:val="0"/>
                <w:numId w:val="17"/>
              </w:numPr>
              <w:rPr>
                <w:lang w:eastAsia="en-AU"/>
              </w:rPr>
            </w:pPr>
            <w:r w:rsidRPr="001B165D">
              <w:rPr>
                <w:lang w:eastAsia="en-AU"/>
              </w:rPr>
              <w:t>100 Indigenous students</w:t>
            </w:r>
          </w:p>
          <w:p w:rsidR="001B165D" w:rsidRPr="008B27CB" w:rsidRDefault="001B165D" w:rsidP="00AE6D45">
            <w:pPr>
              <w:pStyle w:val="ListParagraph"/>
              <w:numPr>
                <w:ilvl w:val="0"/>
                <w:numId w:val="17"/>
              </w:numPr>
              <w:rPr>
                <w:lang w:eastAsia="en-AU"/>
              </w:rPr>
            </w:pPr>
            <w:r w:rsidRPr="008B27CB">
              <w:rPr>
                <w:lang w:eastAsia="en-AU"/>
              </w:rPr>
              <w:t>175 students with disabilities</w:t>
            </w:r>
            <w:r w:rsidRPr="008B27CB">
              <w:rPr>
                <w:lang w:eastAsia="en-AU"/>
              </w:rPr>
              <w:tab/>
            </w:r>
          </w:p>
          <w:p w:rsidR="001B165D" w:rsidRPr="008B27CB" w:rsidRDefault="001B165D" w:rsidP="00AE6D45">
            <w:pPr>
              <w:pStyle w:val="ListParagraph"/>
              <w:numPr>
                <w:ilvl w:val="0"/>
                <w:numId w:val="17"/>
              </w:numPr>
              <w:rPr>
                <w:lang w:eastAsia="en-AU"/>
              </w:rPr>
            </w:pPr>
            <w:r w:rsidRPr="008B27CB">
              <w:rPr>
                <w:lang w:eastAsia="en-AU"/>
              </w:rPr>
              <w:lastRenderedPageBreak/>
              <w:t>82 students on visas.</w:t>
            </w:r>
          </w:p>
          <w:p w:rsidR="001B165D" w:rsidRPr="001B165D" w:rsidRDefault="001B165D" w:rsidP="00011B40">
            <w:pPr>
              <w:rPr>
                <w:b/>
              </w:rPr>
            </w:pPr>
            <w:proofErr w:type="spellStart"/>
            <w:r w:rsidRPr="001B165D">
              <w:rPr>
                <w:b/>
              </w:rPr>
              <w:t>DECD</w:t>
            </w:r>
            <w:proofErr w:type="spellEnd"/>
          </w:p>
          <w:p w:rsidR="001B165D" w:rsidRPr="001B165D" w:rsidRDefault="001B165D" w:rsidP="00011B40">
            <w:pPr>
              <w:rPr>
                <w:b/>
              </w:rPr>
            </w:pPr>
            <w:proofErr w:type="spellStart"/>
            <w:r w:rsidRPr="001B165D">
              <w:rPr>
                <w:b/>
              </w:rPr>
              <w:t>ICAN</w:t>
            </w:r>
            <w:proofErr w:type="spellEnd"/>
          </w:p>
          <w:p w:rsidR="001B165D" w:rsidRPr="001B165D" w:rsidRDefault="001B165D" w:rsidP="00011B40">
            <w:r w:rsidRPr="001B165D">
              <w:t>Flexible learning option (FLO) enrolments Term 1, 2013:</w:t>
            </w:r>
          </w:p>
          <w:p w:rsidR="001B165D" w:rsidRPr="008B27CB" w:rsidRDefault="001B165D" w:rsidP="00AE6D45">
            <w:pPr>
              <w:pStyle w:val="ListParagraph"/>
              <w:numPr>
                <w:ilvl w:val="0"/>
                <w:numId w:val="18"/>
              </w:numPr>
              <w:tabs>
                <w:tab w:val="clear" w:pos="720"/>
                <w:tab w:val="num" w:pos="1451"/>
              </w:tabs>
              <w:ind w:left="1451" w:hanging="731"/>
            </w:pPr>
            <w:r w:rsidRPr="008B27CB">
              <w:t>4 744 individual students, 358 primary students supported with case management services</w:t>
            </w:r>
          </w:p>
          <w:p w:rsidR="001B165D" w:rsidRPr="008B27CB" w:rsidRDefault="001B165D" w:rsidP="00AE6D45">
            <w:pPr>
              <w:pStyle w:val="ListParagraph"/>
              <w:numPr>
                <w:ilvl w:val="0"/>
                <w:numId w:val="18"/>
              </w:numPr>
              <w:tabs>
                <w:tab w:val="clear" w:pos="720"/>
                <w:tab w:val="num" w:pos="1451"/>
              </w:tabs>
              <w:ind w:left="1451" w:hanging="731"/>
            </w:pPr>
            <w:r w:rsidRPr="008B27CB">
              <w:t xml:space="preserve">243 primary school students case management services transition into secondary school. </w:t>
            </w:r>
          </w:p>
          <w:p w:rsidR="001B165D" w:rsidRPr="001B165D" w:rsidRDefault="001B165D" w:rsidP="00011B40">
            <w:proofErr w:type="spellStart"/>
            <w:r w:rsidRPr="001B165D">
              <w:t>ICAN</w:t>
            </w:r>
            <w:proofErr w:type="spellEnd"/>
            <w:r w:rsidRPr="001B165D">
              <w:t xml:space="preserve"> community partnership grants during 2012-13 supported:</w:t>
            </w:r>
          </w:p>
          <w:p w:rsidR="001B165D" w:rsidRPr="001B165D" w:rsidRDefault="001B165D" w:rsidP="00AE6D45">
            <w:pPr>
              <w:pStyle w:val="ListParagraph"/>
              <w:numPr>
                <w:ilvl w:val="0"/>
                <w:numId w:val="18"/>
              </w:numPr>
              <w:tabs>
                <w:tab w:val="clear" w:pos="720"/>
                <w:tab w:val="num" w:pos="1451"/>
              </w:tabs>
              <w:ind w:left="1451" w:hanging="731"/>
            </w:pPr>
            <w:r w:rsidRPr="001B165D">
              <w:t xml:space="preserve">4 000 students across 73 initiatives for 13 local </w:t>
            </w:r>
            <w:proofErr w:type="spellStart"/>
            <w:r w:rsidRPr="001B165D">
              <w:t>ICAN</w:t>
            </w:r>
            <w:proofErr w:type="spellEnd"/>
            <w:r w:rsidRPr="001B165D">
              <w:t xml:space="preserve"> management committees.</w:t>
            </w:r>
          </w:p>
          <w:p w:rsidR="001B165D" w:rsidRPr="001B165D" w:rsidRDefault="001B165D" w:rsidP="00011B40">
            <w:r w:rsidRPr="001B165D">
              <w:t xml:space="preserve">The </w:t>
            </w:r>
            <w:proofErr w:type="spellStart"/>
            <w:r w:rsidRPr="001B165D">
              <w:t>ICAN</w:t>
            </w:r>
            <w:proofErr w:type="spellEnd"/>
            <w:r w:rsidRPr="001B165D">
              <w:t xml:space="preserve"> and </w:t>
            </w:r>
            <w:proofErr w:type="spellStart"/>
            <w:r w:rsidRPr="001B165D">
              <w:t>DFEEST</w:t>
            </w:r>
            <w:proofErr w:type="spellEnd"/>
            <w:r w:rsidRPr="001B165D">
              <w:t xml:space="preserve"> </w:t>
            </w:r>
            <w:r w:rsidRPr="001B165D">
              <w:rPr>
                <w:i/>
              </w:rPr>
              <w:t>Skills for all</w:t>
            </w:r>
            <w:r w:rsidRPr="001B165D">
              <w:t xml:space="preserve"> initiative program: </w:t>
            </w:r>
          </w:p>
          <w:p w:rsidR="001B165D" w:rsidRPr="001B165D" w:rsidRDefault="001B165D" w:rsidP="00AE6D45">
            <w:pPr>
              <w:pStyle w:val="ListParagraph"/>
              <w:numPr>
                <w:ilvl w:val="0"/>
                <w:numId w:val="18"/>
              </w:numPr>
              <w:tabs>
                <w:tab w:val="clear" w:pos="720"/>
                <w:tab w:val="num" w:pos="1451"/>
              </w:tabs>
              <w:ind w:left="1451" w:hanging="731"/>
            </w:pPr>
            <w:r w:rsidRPr="001B165D">
              <w:t>200 FLO students across the state enrol in Certificate II to Diploma courses</w:t>
            </w:r>
          </w:p>
          <w:p w:rsidR="001B165D" w:rsidRPr="001B165D" w:rsidRDefault="001B165D" w:rsidP="00011B40">
            <w:r w:rsidRPr="001B165D">
              <w:t xml:space="preserve">The </w:t>
            </w:r>
            <w:r w:rsidRPr="001B165D">
              <w:rPr>
                <w:i/>
              </w:rPr>
              <w:t>Passport</w:t>
            </w:r>
            <w:r w:rsidRPr="001B165D">
              <w:t xml:space="preserve"> program  for </w:t>
            </w:r>
            <w:proofErr w:type="spellStart"/>
            <w:r w:rsidRPr="001B165D">
              <w:t>ICAN</w:t>
            </w:r>
            <w:proofErr w:type="spellEnd"/>
            <w:r w:rsidRPr="001B165D">
              <w:t xml:space="preserve"> students:</w:t>
            </w:r>
          </w:p>
          <w:p w:rsidR="001B165D" w:rsidRPr="001B165D" w:rsidRDefault="001B165D" w:rsidP="00AE6D45">
            <w:pPr>
              <w:pStyle w:val="ListParagraph"/>
              <w:numPr>
                <w:ilvl w:val="0"/>
                <w:numId w:val="18"/>
              </w:numPr>
              <w:tabs>
                <w:tab w:val="clear" w:pos="720"/>
                <w:tab w:val="num" w:pos="1451"/>
              </w:tabs>
              <w:ind w:left="1451" w:hanging="731"/>
            </w:pPr>
            <w:r w:rsidRPr="001B165D">
              <w:t xml:space="preserve">15 regional country and remote schools with high numbers of Aboriginal students.  </w:t>
            </w:r>
          </w:p>
          <w:p w:rsidR="001B165D" w:rsidRPr="001B165D" w:rsidRDefault="001B165D" w:rsidP="00011B40">
            <w:r w:rsidRPr="001B165D">
              <w:rPr>
                <w:b/>
              </w:rPr>
              <w:t>Targeted student support (</w:t>
            </w:r>
            <w:proofErr w:type="spellStart"/>
            <w:r w:rsidRPr="001B165D">
              <w:rPr>
                <w:b/>
              </w:rPr>
              <w:t>TSS</w:t>
            </w:r>
            <w:proofErr w:type="spellEnd"/>
            <w:r w:rsidRPr="001B165D">
              <w:rPr>
                <w:b/>
              </w:rPr>
              <w:t>)</w:t>
            </w:r>
            <w:r w:rsidRPr="001B165D">
              <w:t xml:space="preserve">  January and June 2013, provided targeted support:</w:t>
            </w:r>
          </w:p>
          <w:p w:rsidR="001B165D" w:rsidRPr="001B165D" w:rsidRDefault="001B165D" w:rsidP="00AE6D45">
            <w:pPr>
              <w:pStyle w:val="ListParagraph"/>
              <w:numPr>
                <w:ilvl w:val="0"/>
                <w:numId w:val="18"/>
              </w:numPr>
              <w:tabs>
                <w:tab w:val="clear" w:pos="720"/>
                <w:tab w:val="num" w:pos="1451"/>
              </w:tabs>
              <w:ind w:left="1451" w:hanging="731"/>
            </w:pPr>
            <w:r w:rsidRPr="001B165D">
              <w:t>2 840 identified students, of which:</w:t>
            </w:r>
          </w:p>
          <w:p w:rsidR="001B165D" w:rsidRPr="001B165D" w:rsidRDefault="001B165D" w:rsidP="00AE6D45">
            <w:pPr>
              <w:pStyle w:val="ListParagraph"/>
              <w:numPr>
                <w:ilvl w:val="1"/>
                <w:numId w:val="18"/>
              </w:numPr>
            </w:pPr>
            <w:r w:rsidRPr="001B165D">
              <w:t xml:space="preserve"> 1 140 are Indigenous students</w:t>
            </w:r>
          </w:p>
          <w:p w:rsidR="001B165D" w:rsidRPr="001B165D" w:rsidRDefault="001B165D" w:rsidP="00AE6D45">
            <w:pPr>
              <w:pStyle w:val="ListParagraph"/>
              <w:numPr>
                <w:ilvl w:val="1"/>
                <w:numId w:val="18"/>
              </w:numPr>
            </w:pPr>
            <w:r w:rsidRPr="001B165D">
              <w:t xml:space="preserve"> 108 are under the care of the Minister</w:t>
            </w:r>
          </w:p>
          <w:p w:rsidR="001B165D" w:rsidRPr="001B165D" w:rsidRDefault="001B165D" w:rsidP="00AE6D45">
            <w:pPr>
              <w:pStyle w:val="ListParagraph"/>
              <w:numPr>
                <w:ilvl w:val="0"/>
                <w:numId w:val="18"/>
              </w:numPr>
              <w:tabs>
                <w:tab w:val="clear" w:pos="720"/>
                <w:tab w:val="num" w:pos="1451"/>
              </w:tabs>
              <w:ind w:left="1451" w:hanging="731"/>
            </w:pPr>
            <w:r w:rsidRPr="001B165D">
              <w:t>1 669 students through mentoring.</w:t>
            </w:r>
          </w:p>
          <w:p w:rsidR="001B165D" w:rsidRPr="001B165D" w:rsidRDefault="001B165D" w:rsidP="00011B40">
            <w:r w:rsidRPr="001B165D">
              <w:t xml:space="preserve">The </w:t>
            </w:r>
            <w:r w:rsidRPr="001B165D">
              <w:rPr>
                <w:b/>
              </w:rPr>
              <w:t>Aboriginal Turn Around Team (</w:t>
            </w:r>
            <w:proofErr w:type="spellStart"/>
            <w:r w:rsidRPr="001B165D">
              <w:rPr>
                <w:b/>
              </w:rPr>
              <w:t>ATAT</w:t>
            </w:r>
            <w:proofErr w:type="spellEnd"/>
            <w:r w:rsidRPr="001B165D">
              <w:rPr>
                <w:b/>
              </w:rPr>
              <w:t>)</w:t>
            </w:r>
            <w:r w:rsidRPr="001B165D">
              <w:t xml:space="preserve"> Terms 1 and 2, 2013:</w:t>
            </w:r>
          </w:p>
          <w:p w:rsidR="001B165D" w:rsidRPr="001B165D" w:rsidRDefault="001B165D" w:rsidP="00AE6D45">
            <w:pPr>
              <w:pStyle w:val="ListParagraph"/>
              <w:numPr>
                <w:ilvl w:val="0"/>
                <w:numId w:val="18"/>
              </w:numPr>
              <w:tabs>
                <w:tab w:val="clear" w:pos="720"/>
                <w:tab w:val="num" w:pos="1451"/>
              </w:tabs>
              <w:ind w:left="1451" w:hanging="731"/>
            </w:pPr>
            <w:r w:rsidRPr="001B165D">
              <w:t>87 referred students and 80 non-referred young people across 53 sites and 85 support agencies.</w:t>
            </w:r>
          </w:p>
          <w:p w:rsidR="001B165D" w:rsidRPr="001B165D" w:rsidRDefault="001B165D" w:rsidP="00011B40">
            <w:r w:rsidRPr="001B165D">
              <w:t xml:space="preserve">The </w:t>
            </w:r>
            <w:r w:rsidRPr="001B165D">
              <w:rPr>
                <w:b/>
                <w:i/>
              </w:rPr>
              <w:t>Community engagement – Aboriginal voice</w:t>
            </w:r>
            <w:r w:rsidRPr="001B165D">
              <w:t xml:space="preserve"> project, Term 1 and 2, 2013:</w:t>
            </w:r>
          </w:p>
          <w:p w:rsidR="001B165D" w:rsidRPr="001B165D" w:rsidRDefault="001B165D" w:rsidP="00AE6D45">
            <w:pPr>
              <w:pStyle w:val="ListParagraph"/>
              <w:numPr>
                <w:ilvl w:val="0"/>
                <w:numId w:val="18"/>
              </w:numPr>
              <w:tabs>
                <w:tab w:val="clear" w:pos="720"/>
                <w:tab w:val="num" w:pos="1451"/>
              </w:tabs>
              <w:ind w:left="1451" w:hanging="731"/>
            </w:pPr>
            <w:r w:rsidRPr="001B165D">
              <w:t xml:space="preserve">50 schools. Of these, 41 have conducted regular Aboriginal community voice meetings at their site. </w:t>
            </w:r>
          </w:p>
          <w:p w:rsidR="001B165D" w:rsidRPr="001B165D" w:rsidRDefault="001B165D" w:rsidP="00AE6D45">
            <w:pPr>
              <w:pStyle w:val="ListParagraph"/>
              <w:numPr>
                <w:ilvl w:val="0"/>
                <w:numId w:val="18"/>
              </w:numPr>
              <w:tabs>
                <w:tab w:val="clear" w:pos="720"/>
                <w:tab w:val="num" w:pos="1451"/>
              </w:tabs>
              <w:ind w:left="1451" w:hanging="731"/>
            </w:pPr>
            <w:r w:rsidRPr="001B165D">
              <w:t>Approximately 184 Aboriginal parents/community members have been involved in Aboriginal community voice meetings.</w:t>
            </w:r>
          </w:p>
          <w:p w:rsidR="001B165D" w:rsidRPr="001B165D" w:rsidRDefault="001B165D" w:rsidP="00011B40">
            <w:proofErr w:type="spellStart"/>
            <w:r w:rsidRPr="001B165D">
              <w:rPr>
                <w:b/>
                <w:i/>
              </w:rPr>
              <w:t>Witja</w:t>
            </w:r>
            <w:proofErr w:type="spellEnd"/>
            <w:r w:rsidRPr="001B165D">
              <w:rPr>
                <w:b/>
                <w:i/>
              </w:rPr>
              <w:t xml:space="preserve"> Secondary</w:t>
            </w:r>
            <w:r w:rsidRPr="001B165D">
              <w:rPr>
                <w:b/>
              </w:rPr>
              <w:t xml:space="preserve"> program</w:t>
            </w:r>
            <w:r w:rsidRPr="001B165D">
              <w:t>, in 2013:</w:t>
            </w:r>
          </w:p>
          <w:p w:rsidR="001B165D" w:rsidRPr="001B165D" w:rsidRDefault="001B165D" w:rsidP="00AE6D45">
            <w:pPr>
              <w:pStyle w:val="ListParagraph"/>
              <w:numPr>
                <w:ilvl w:val="0"/>
                <w:numId w:val="18"/>
              </w:numPr>
              <w:tabs>
                <w:tab w:val="clear" w:pos="720"/>
                <w:tab w:val="num" w:pos="1451"/>
              </w:tabs>
              <w:ind w:left="1451" w:hanging="731"/>
            </w:pPr>
            <w:r w:rsidRPr="001B165D">
              <w:t>12 students in Years 11 and 12 attending Windsor Gardens Vocational College</w:t>
            </w:r>
          </w:p>
          <w:p w:rsidR="001B165D" w:rsidRPr="001B165D" w:rsidRDefault="001B165D" w:rsidP="00AE6D45">
            <w:pPr>
              <w:pStyle w:val="ListParagraph"/>
              <w:numPr>
                <w:ilvl w:val="0"/>
                <w:numId w:val="18"/>
              </w:numPr>
              <w:tabs>
                <w:tab w:val="clear" w:pos="720"/>
                <w:tab w:val="num" w:pos="1451"/>
              </w:tabs>
              <w:ind w:left="1451" w:hanging="731"/>
            </w:pPr>
            <w:r w:rsidRPr="001B165D">
              <w:lastRenderedPageBreak/>
              <w:t xml:space="preserve">16 students in Year 10, 11 and 12 engaged in the </w:t>
            </w:r>
            <w:r w:rsidRPr="008B27CB">
              <w:rPr>
                <w:i/>
              </w:rPr>
              <w:t>Drivers licence</w:t>
            </w:r>
            <w:r w:rsidRPr="001B165D">
              <w:t xml:space="preserve"> program</w:t>
            </w:r>
          </w:p>
          <w:p w:rsidR="001B165D" w:rsidRPr="001B165D" w:rsidRDefault="001B165D" w:rsidP="00AE6D45">
            <w:pPr>
              <w:pStyle w:val="ListParagraph"/>
              <w:numPr>
                <w:ilvl w:val="0"/>
                <w:numId w:val="18"/>
              </w:numPr>
              <w:tabs>
                <w:tab w:val="clear" w:pos="720"/>
                <w:tab w:val="num" w:pos="1451"/>
              </w:tabs>
              <w:ind w:left="1451" w:hanging="731"/>
            </w:pPr>
            <w:r w:rsidRPr="001B165D">
              <w:t xml:space="preserve">104 </w:t>
            </w:r>
            <w:proofErr w:type="spellStart"/>
            <w:r w:rsidRPr="001B165D">
              <w:t>Anangu</w:t>
            </w:r>
            <w:proofErr w:type="spellEnd"/>
            <w:r w:rsidRPr="001B165D">
              <w:t xml:space="preserve"> students (two nights each week) received intensive numeracy and literacy support through the </w:t>
            </w:r>
            <w:proofErr w:type="spellStart"/>
            <w:r w:rsidRPr="001B165D">
              <w:t>Wiltja</w:t>
            </w:r>
            <w:proofErr w:type="spellEnd"/>
            <w:r w:rsidRPr="001B165D">
              <w:t xml:space="preserve"> Secondary Homework Centre </w:t>
            </w:r>
          </w:p>
          <w:p w:rsidR="001B165D" w:rsidRPr="001B165D" w:rsidRDefault="001B165D" w:rsidP="00011B40"/>
        </w:tc>
      </w:tr>
    </w:tbl>
    <w:p w:rsidR="001B165D" w:rsidRDefault="001B165D">
      <w:pPr>
        <w:rPr>
          <w:rFonts w:ascii="Calibri" w:hAnsi="Calibri" w:cs="Arial"/>
          <w:b/>
          <w:sz w:val="32"/>
          <w:szCs w:val="32"/>
        </w:rPr>
      </w:pPr>
      <w:r>
        <w:rPr>
          <w:rFonts w:ascii="Calibri" w:hAnsi="Calibri" w:cs="Arial"/>
          <w:b/>
          <w:sz w:val="32"/>
          <w:szCs w:val="32"/>
        </w:rPr>
        <w:lastRenderedPageBreak/>
        <w:br w:type="page"/>
      </w:r>
    </w:p>
    <w:p w:rsidR="001B165D" w:rsidRPr="008B27CB" w:rsidRDefault="001B165D" w:rsidP="008B27CB">
      <w:pPr>
        <w:pStyle w:val="Heading2"/>
      </w:pPr>
      <w:bookmarkStart w:id="15" w:name="_Toc379547560"/>
      <w:r w:rsidRPr="008B27CB">
        <w:lastRenderedPageBreak/>
        <mc:AlternateContent>
          <mc:Choice Requires="wps">
            <w:drawing>
              <wp:anchor distT="0" distB="0" distL="114300" distR="114300" simplePos="0" relativeHeight="251692032" behindDoc="1" locked="0" layoutInCell="1" allowOverlap="1" wp14:anchorId="52531570" wp14:editId="586A4CBE">
                <wp:simplePos x="0" y="0"/>
                <wp:positionH relativeFrom="column">
                  <wp:posOffset>-74141</wp:posOffset>
                </wp:positionH>
                <wp:positionV relativeFrom="paragraph">
                  <wp:posOffset>0</wp:posOffset>
                </wp:positionV>
                <wp:extent cx="9193427" cy="438150"/>
                <wp:effectExtent l="0" t="0" r="27305" b="19050"/>
                <wp:wrapNone/>
                <wp:docPr id="19" name="Rectangle 19"/>
                <wp:cNvGraphicFramePr/>
                <a:graphic xmlns:a="http://schemas.openxmlformats.org/drawingml/2006/main">
                  <a:graphicData uri="http://schemas.microsoft.com/office/word/2010/wordprocessingShape">
                    <wps:wsp>
                      <wps:cNvSpPr/>
                      <wps:spPr>
                        <a:xfrm>
                          <a:off x="0" y="0"/>
                          <a:ext cx="9193427" cy="438150"/>
                        </a:xfrm>
                        <a:prstGeom prst="rect">
                          <a:avLst/>
                        </a:prstGeom>
                        <a:solidFill>
                          <a:srgbClr val="C0504D">
                            <a:alpha val="26000"/>
                          </a:srgbClr>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9" o:spid="_x0000_s1026" style="position:absolute;margin-left:-5.85pt;margin-top:0;width:723.9pt;height:34.5pt;z-index:-251624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" fillcolor="#c0504d" strokecolor="#8c3836" strokeweight="2pt">
                <v:fill opacity="16962f"/>
              </v:rect>
            </w:pict>
          </mc:Fallback>
        </mc:AlternateContent>
      </w:r>
      <w:r w:rsidRPr="008B27CB">
        <w:t>Section 4 – SA Performance Measures Communities Making a Difference NP</w:t>
      </w:r>
      <w:bookmarkEnd w:id="15"/>
    </w:p>
    <w:p w:rsidR="001B165D" w:rsidRDefault="001B165D" w:rsidP="001B165D">
      <w:pPr>
        <w:rPr>
          <w:rFonts w:ascii="Calibri" w:hAnsi="Calibri" w:cs="Arial"/>
          <w:b/>
          <w:szCs w:val="24"/>
        </w:rPr>
      </w:pPr>
      <w:r w:rsidRPr="007E67C5">
        <w:rPr>
          <w:rFonts w:ascii="Calibri" w:hAnsi="Calibri" w:cs="Arial"/>
          <w:b/>
          <w:szCs w:val="24"/>
        </w:rPr>
        <w:t>(</w:t>
      </w:r>
      <w:proofErr w:type="gramStart"/>
      <w:r w:rsidRPr="007E67C5">
        <w:rPr>
          <w:rFonts w:ascii="Calibri" w:hAnsi="Calibri" w:cs="Arial"/>
          <w:b/>
          <w:szCs w:val="24"/>
        </w:rPr>
        <w:t>not</w:t>
      </w:r>
      <w:proofErr w:type="gramEnd"/>
      <w:r w:rsidRPr="007E67C5">
        <w:rPr>
          <w:rFonts w:ascii="Calibri" w:hAnsi="Calibri" w:cs="Arial"/>
          <w:b/>
          <w:szCs w:val="24"/>
        </w:rPr>
        <w:t xml:space="preserve"> able to be reported in 2012 Annual Report due to timing of data availability)</w:t>
      </w:r>
    </w:p>
    <w:p w:rsidR="008B27CB" w:rsidRDefault="008B27CB" w:rsidP="00011B40"/>
    <w:p w:rsidR="001B165D" w:rsidRPr="001B165D" w:rsidRDefault="001B165D" w:rsidP="00011B40">
      <w:r w:rsidRPr="001B165D">
        <w:t>Through the Communities Making a Difference National Partnership (</w:t>
      </w:r>
      <w:proofErr w:type="spellStart"/>
      <w:r w:rsidRPr="001B165D">
        <w:t>CMaD</w:t>
      </w:r>
      <w:proofErr w:type="spellEnd"/>
      <w:r w:rsidRPr="001B165D">
        <w:t xml:space="preserve"> NP) South Australia is working to achieve improved educational outcomes for students in two different ways:</w:t>
      </w:r>
    </w:p>
    <w:p w:rsidR="001B165D" w:rsidRPr="008B27CB" w:rsidRDefault="001B165D" w:rsidP="00AE6D45">
      <w:pPr>
        <w:pStyle w:val="ListParagraph"/>
        <w:numPr>
          <w:ilvl w:val="0"/>
          <w:numId w:val="19"/>
        </w:numPr>
        <w:tabs>
          <w:tab w:val="clear" w:pos="720"/>
          <w:tab w:val="num" w:pos="1418"/>
        </w:tabs>
        <w:ind w:left="1418" w:hanging="698"/>
      </w:pPr>
      <w:r w:rsidRPr="008B27CB">
        <w:t>Through specifically identified schools participating in ‘whole of school’ strategies and approaches (</w:t>
      </w:r>
      <w:r w:rsidRPr="008B27CB">
        <w:rPr>
          <w:b/>
        </w:rPr>
        <w:t>all three schooling sectors</w:t>
      </w:r>
      <w:r w:rsidRPr="008B27CB">
        <w:t xml:space="preserve"> — reported in Section 4 – Part 1)</w:t>
      </w:r>
    </w:p>
    <w:p w:rsidR="001B165D" w:rsidRPr="008B27CB" w:rsidRDefault="001B165D" w:rsidP="00AE6D45">
      <w:pPr>
        <w:pStyle w:val="ListParagraph"/>
        <w:numPr>
          <w:ilvl w:val="0"/>
          <w:numId w:val="19"/>
        </w:numPr>
        <w:tabs>
          <w:tab w:val="clear" w:pos="720"/>
          <w:tab w:val="num" w:pos="1418"/>
        </w:tabs>
        <w:ind w:left="1418" w:hanging="698"/>
      </w:pPr>
      <w:r w:rsidRPr="008B27CB">
        <w:t>Through ‘individualised targeted support’ strategies and approaches for students who are disconnected and disengaged from learning and education pathways. (</w:t>
      </w:r>
      <w:r w:rsidRPr="008B27CB">
        <w:rPr>
          <w:b/>
        </w:rPr>
        <w:t>Government sector only</w:t>
      </w:r>
      <w:r w:rsidRPr="008B27CB">
        <w:t xml:space="preserve"> — reported in Section 4 – Part 2).</w:t>
      </w:r>
    </w:p>
    <w:p w:rsidR="001B165D" w:rsidRDefault="001B165D" w:rsidP="00011B40">
      <w:r w:rsidRPr="001B165D">
        <w:t>This section will report the performance indicators that were not reported in the South Australian Smarter Schools National Partnership 2012 Annual Report, due to the timing of data releases and validation processes relating to end of year information. These indicators report performance relating to the South Australia Certificate of Education (</w:t>
      </w:r>
      <w:proofErr w:type="spellStart"/>
      <w:r w:rsidRPr="001B165D">
        <w:t>SACE</w:t>
      </w:r>
      <w:proofErr w:type="spellEnd"/>
      <w:r w:rsidRPr="001B165D">
        <w:t>) and the potential destination of senior secondary students (Year 10 and above).</w:t>
      </w:r>
    </w:p>
    <w:p w:rsidR="008B27CB" w:rsidRPr="001B165D" w:rsidRDefault="008B27CB" w:rsidP="00011B40"/>
    <w:p w:rsidR="001B165D" w:rsidRPr="001B165D" w:rsidRDefault="001B165D" w:rsidP="008B27CB">
      <w:pPr>
        <w:pStyle w:val="Heading3"/>
      </w:pPr>
      <w:bookmarkStart w:id="16" w:name="_Toc379547561"/>
      <w:r w:rsidRPr="001B165D">
        <w:t xml:space="preserve">Section 4 — Part 1 — </w:t>
      </w:r>
      <w:proofErr w:type="spellStart"/>
      <w:r w:rsidRPr="001B165D">
        <w:t>CMaD</w:t>
      </w:r>
      <w:proofErr w:type="spellEnd"/>
      <w:r w:rsidRPr="001B165D">
        <w:t xml:space="preserve"> National Partnership schools participating in ‘whole-of-school’ change strategies and approaches</w:t>
      </w:r>
      <w:bookmarkEnd w:id="16"/>
    </w:p>
    <w:p w:rsidR="008B27CB" w:rsidRDefault="008B27CB" w:rsidP="00011B40"/>
    <w:p w:rsidR="001B165D" w:rsidRDefault="001B165D" w:rsidP="00011B40">
      <w:r w:rsidRPr="001B165D">
        <w:t>This section reports on the South Australia Certificate of Education (</w:t>
      </w:r>
      <w:proofErr w:type="spellStart"/>
      <w:r w:rsidRPr="001B165D">
        <w:t>SACE</w:t>
      </w:r>
      <w:proofErr w:type="spellEnd"/>
      <w:r w:rsidRPr="001B165D">
        <w:t xml:space="preserve">) results of senior secondary students in 223 South Australian </w:t>
      </w:r>
      <w:proofErr w:type="spellStart"/>
      <w:r w:rsidRPr="001B165D">
        <w:t>CMaD</w:t>
      </w:r>
      <w:proofErr w:type="spellEnd"/>
      <w:r w:rsidRPr="001B165D">
        <w:t xml:space="preserve"> National Partnership schools participating in ‘whole of school’ strategies and approaches, across three groups: schools involved in the </w:t>
      </w:r>
      <w:proofErr w:type="spellStart"/>
      <w:r w:rsidRPr="001B165D">
        <w:t>CMaD</w:t>
      </w:r>
      <w:proofErr w:type="spellEnd"/>
      <w:r w:rsidRPr="001B165D">
        <w:t xml:space="preserve"> National Partnership since 2010 (87 </w:t>
      </w:r>
      <w:proofErr w:type="spellStart"/>
      <w:r w:rsidRPr="001B165D">
        <w:t>CMaD</w:t>
      </w:r>
      <w:proofErr w:type="spellEnd"/>
      <w:r w:rsidRPr="001B165D">
        <w:t xml:space="preserve"> NP schools), schools involved since 2011 (117 </w:t>
      </w:r>
      <w:proofErr w:type="spellStart"/>
      <w:r w:rsidRPr="001B165D">
        <w:t>CMaD</w:t>
      </w:r>
      <w:proofErr w:type="spellEnd"/>
      <w:r w:rsidRPr="001B165D">
        <w:t xml:space="preserve"> NP schools) and schools involved since 2012 (19 </w:t>
      </w:r>
      <w:proofErr w:type="spellStart"/>
      <w:r w:rsidRPr="001B165D">
        <w:t>CMaD</w:t>
      </w:r>
      <w:proofErr w:type="spellEnd"/>
      <w:r w:rsidRPr="001B165D">
        <w:t xml:space="preserve"> NP schools). As these schools commenced in the </w:t>
      </w:r>
      <w:proofErr w:type="spellStart"/>
      <w:r w:rsidRPr="001B165D">
        <w:t>CMaD</w:t>
      </w:r>
      <w:proofErr w:type="spellEnd"/>
      <w:r w:rsidRPr="001B165D">
        <w:t xml:space="preserve"> National Partnership in different periods, they are reported and tracked on separate tables over the life of the partnership. </w:t>
      </w:r>
    </w:p>
    <w:p w:rsidR="008B27CB" w:rsidRPr="001B165D" w:rsidRDefault="008B27CB" w:rsidP="00011B40"/>
    <w:p w:rsidR="001B165D" w:rsidRDefault="001B165D" w:rsidP="00011B40">
      <w:r w:rsidRPr="001B165D">
        <w:t xml:space="preserve">Government schooling reform initiatives across South Australia over the years have resulted in the amalgamation of some schools into new schools with different names and campuses. This will continue to impact on the total number of </w:t>
      </w:r>
      <w:proofErr w:type="spellStart"/>
      <w:r w:rsidRPr="001B165D">
        <w:t>CMaD</w:t>
      </w:r>
      <w:proofErr w:type="spellEnd"/>
      <w:r w:rsidRPr="001B165D">
        <w:t xml:space="preserve"> National Partnership schools participating in ‘whole of school’ interventions across reporting periods. </w:t>
      </w:r>
    </w:p>
    <w:p w:rsidR="008B27CB" w:rsidRPr="001B165D" w:rsidRDefault="008B27CB" w:rsidP="00011B40"/>
    <w:p w:rsidR="001B165D" w:rsidRPr="001B165D" w:rsidRDefault="001B165D" w:rsidP="00011B40">
      <w:pPr>
        <w:rPr>
          <w:b/>
          <w:color w:val="1F497D" w:themeColor="text2"/>
        </w:rPr>
      </w:pPr>
      <w:r w:rsidRPr="001B165D">
        <w:rPr>
          <w:b/>
          <w:color w:val="1F497D" w:themeColor="text2"/>
        </w:rPr>
        <w:t>Overview</w:t>
      </w:r>
    </w:p>
    <w:p w:rsidR="001B165D" w:rsidRDefault="001B165D" w:rsidP="00011B40">
      <w:pPr>
        <w:rPr>
          <w:rFonts w:cstheme="minorHAnsi"/>
        </w:rPr>
      </w:pPr>
      <w:r w:rsidRPr="001B165D">
        <w:rPr>
          <w:rFonts w:cstheme="minorHAnsi"/>
        </w:rPr>
        <w:t xml:space="preserve">In 2012, of the 223 </w:t>
      </w:r>
      <w:proofErr w:type="spellStart"/>
      <w:r w:rsidRPr="001B165D">
        <w:rPr>
          <w:rFonts w:cstheme="minorHAnsi"/>
        </w:rPr>
        <w:t>CMaD</w:t>
      </w:r>
      <w:proofErr w:type="spellEnd"/>
      <w:r w:rsidRPr="001B165D">
        <w:rPr>
          <w:rFonts w:cstheme="minorHAnsi"/>
        </w:rPr>
        <w:t xml:space="preserve"> National Partnership schools participating in ‘whole-of-school’ strategies and approaches, 62.8% (or 140 schools) were designated junior primary/primary, reflecting the important focus on improving learning outcomes in the primary years.</w:t>
      </w:r>
    </w:p>
    <w:p w:rsidR="008B27CB" w:rsidRPr="001B165D" w:rsidRDefault="008B27CB" w:rsidP="00011B40">
      <w:pPr>
        <w:rPr>
          <w:rFonts w:cstheme="minorHAnsi"/>
        </w:rPr>
      </w:pPr>
    </w:p>
    <w:p w:rsidR="001B165D" w:rsidRDefault="001B165D" w:rsidP="00011B40">
      <w:pPr>
        <w:rPr>
          <w:rFonts w:cstheme="minorHAnsi"/>
        </w:rPr>
      </w:pPr>
      <w:r w:rsidRPr="001B165D">
        <w:rPr>
          <w:rFonts w:cstheme="minorHAnsi"/>
        </w:rPr>
        <w:t xml:space="preserve">In 2012, 58 schools (26.0% of total) had potential </w:t>
      </w:r>
      <w:proofErr w:type="spellStart"/>
      <w:r w:rsidRPr="001B165D">
        <w:rPr>
          <w:rFonts w:cstheme="minorHAnsi"/>
        </w:rPr>
        <w:t>SACE</w:t>
      </w:r>
      <w:proofErr w:type="spellEnd"/>
      <w:r w:rsidRPr="001B165D">
        <w:rPr>
          <w:rFonts w:cstheme="minorHAnsi"/>
        </w:rPr>
        <w:t xml:space="preserve"> completers (or students eligible to receive a South Australian Certificate of Education). Over half (34 schools or 58.6%) of these schools were located in regional South Australia. </w:t>
      </w:r>
    </w:p>
    <w:p w:rsidR="008B27CB" w:rsidRPr="008B27CB" w:rsidRDefault="008B27CB" w:rsidP="00011B40">
      <w:pPr>
        <w:rPr>
          <w:rFonts w:cstheme="minorHAnsi"/>
          <w:sz w:val="72"/>
          <w:szCs w:val="72"/>
        </w:rPr>
      </w:pPr>
    </w:p>
    <w:p w:rsidR="001B165D" w:rsidRPr="001B165D" w:rsidRDefault="001B165D" w:rsidP="00011B40">
      <w:pPr>
        <w:rPr>
          <w:rFonts w:cstheme="minorHAnsi"/>
          <w:b/>
          <w:color w:val="1F497D" w:themeColor="text2"/>
        </w:rPr>
      </w:pPr>
      <w:r w:rsidRPr="001B165D">
        <w:rPr>
          <w:rFonts w:cstheme="minorHAnsi"/>
          <w:b/>
          <w:color w:val="1F497D" w:themeColor="text2"/>
        </w:rPr>
        <w:t xml:space="preserve">Increase in </w:t>
      </w:r>
      <w:proofErr w:type="spellStart"/>
      <w:r w:rsidRPr="001B165D">
        <w:rPr>
          <w:rFonts w:cstheme="minorHAnsi"/>
          <w:b/>
          <w:color w:val="1F497D" w:themeColor="text2"/>
        </w:rPr>
        <w:t>SACE</w:t>
      </w:r>
      <w:proofErr w:type="spellEnd"/>
      <w:r w:rsidRPr="001B165D">
        <w:rPr>
          <w:rFonts w:cstheme="minorHAnsi"/>
          <w:b/>
          <w:color w:val="1F497D" w:themeColor="text2"/>
        </w:rPr>
        <w:t xml:space="preserve"> completions</w:t>
      </w:r>
    </w:p>
    <w:p w:rsidR="001B165D" w:rsidRDefault="001B165D" w:rsidP="00011B40">
      <w:pPr>
        <w:rPr>
          <w:rFonts w:eastAsia="Calibri" w:cstheme="minorHAnsi"/>
          <w:vertAlign w:val="superscript"/>
        </w:rPr>
      </w:pPr>
      <w:r w:rsidRPr="001B165D">
        <w:rPr>
          <w:rFonts w:eastAsia="Calibri" w:cstheme="minorHAnsi"/>
        </w:rPr>
        <w:lastRenderedPageBreak/>
        <w:t xml:space="preserve">2 133 students in </w:t>
      </w:r>
      <w:proofErr w:type="spellStart"/>
      <w:r w:rsidRPr="001B165D">
        <w:rPr>
          <w:rFonts w:eastAsia="Calibri" w:cstheme="minorHAnsi"/>
        </w:rPr>
        <w:t>CMaD</w:t>
      </w:r>
      <w:proofErr w:type="spellEnd"/>
      <w:r w:rsidRPr="001B165D">
        <w:rPr>
          <w:rFonts w:eastAsia="Calibri" w:cstheme="minorHAnsi"/>
        </w:rPr>
        <w:t xml:space="preserve"> NP schools completed the </w:t>
      </w:r>
      <w:proofErr w:type="spellStart"/>
      <w:r w:rsidRPr="001B165D">
        <w:rPr>
          <w:rFonts w:eastAsia="Calibri" w:cstheme="minorHAnsi"/>
        </w:rPr>
        <w:t>SACE</w:t>
      </w:r>
      <w:proofErr w:type="spellEnd"/>
      <w:r w:rsidRPr="001B165D">
        <w:rPr>
          <w:rFonts w:eastAsia="Calibri" w:cstheme="minorHAnsi"/>
        </w:rPr>
        <w:t xml:space="preserve"> this year, up from 1 912 in 2011. Over the last three years, </w:t>
      </w:r>
      <w:proofErr w:type="spellStart"/>
      <w:r w:rsidRPr="001B165D">
        <w:rPr>
          <w:rFonts w:eastAsia="Calibri" w:cstheme="minorHAnsi"/>
        </w:rPr>
        <w:t>CMaD</w:t>
      </w:r>
      <w:proofErr w:type="spellEnd"/>
      <w:r w:rsidRPr="001B165D">
        <w:rPr>
          <w:rFonts w:eastAsia="Calibri" w:cstheme="minorHAnsi"/>
        </w:rPr>
        <w:t xml:space="preserve"> NP schools have shown an increase in </w:t>
      </w:r>
      <w:proofErr w:type="spellStart"/>
      <w:r w:rsidRPr="001B165D">
        <w:rPr>
          <w:rFonts w:eastAsia="Calibri" w:cstheme="minorHAnsi"/>
        </w:rPr>
        <w:t>SACE</w:t>
      </w:r>
      <w:proofErr w:type="spellEnd"/>
      <w:r w:rsidRPr="001B165D">
        <w:rPr>
          <w:rFonts w:eastAsia="Calibri" w:cstheme="minorHAnsi"/>
        </w:rPr>
        <w:t xml:space="preserve"> completion rates, from 82.2% in 2010 to 88.2% in 2012 – and represent a steady improvement towards the overall South Australian </w:t>
      </w:r>
      <w:proofErr w:type="spellStart"/>
      <w:r w:rsidRPr="001B165D">
        <w:rPr>
          <w:rFonts w:eastAsia="Calibri" w:cstheme="minorHAnsi"/>
        </w:rPr>
        <w:t>SACE</w:t>
      </w:r>
      <w:proofErr w:type="spellEnd"/>
      <w:r w:rsidRPr="001B165D">
        <w:rPr>
          <w:rFonts w:eastAsia="Calibri" w:cstheme="minorHAnsi"/>
        </w:rPr>
        <w:t xml:space="preserve"> completion rate of 92.2% in 2012. </w:t>
      </w:r>
      <w:r w:rsidRPr="001B165D">
        <w:rPr>
          <w:rFonts w:eastAsia="Calibri" w:cstheme="minorHAnsi"/>
          <w:vertAlign w:val="superscript"/>
        </w:rPr>
        <w:t>(1)</w:t>
      </w:r>
    </w:p>
    <w:p w:rsidR="008B27CB" w:rsidRPr="001B165D" w:rsidRDefault="008B27CB" w:rsidP="00011B40">
      <w:pPr>
        <w:rPr>
          <w:rFonts w:eastAsia="Calibri" w:cstheme="minorHAnsi"/>
        </w:rPr>
      </w:pPr>
    </w:p>
    <w:p w:rsidR="001B165D" w:rsidRDefault="001B165D" w:rsidP="00011B40">
      <w:pPr>
        <w:rPr>
          <w:rFonts w:eastAsia="Calibri" w:cstheme="minorHAnsi"/>
        </w:rPr>
      </w:pPr>
      <w:r w:rsidRPr="001B165D">
        <w:rPr>
          <w:rFonts w:eastAsia="Calibri" w:cstheme="minorHAnsi"/>
        </w:rPr>
        <w:t xml:space="preserve">As the Graph 1 illustrates, </w:t>
      </w:r>
      <w:proofErr w:type="spellStart"/>
      <w:r w:rsidRPr="001B165D">
        <w:rPr>
          <w:rFonts w:eastAsia="Calibri" w:cstheme="minorHAnsi"/>
        </w:rPr>
        <w:t>CMaD</w:t>
      </w:r>
      <w:proofErr w:type="spellEnd"/>
      <w:r w:rsidRPr="001B165D">
        <w:rPr>
          <w:rFonts w:eastAsia="Calibri" w:cstheme="minorHAnsi"/>
        </w:rPr>
        <w:t xml:space="preserve"> NP schools in metropolitan Adelaide have shown the largest improvement of 6.2% percentage points from 2011 (81.7% to 87.9%).</w:t>
      </w:r>
    </w:p>
    <w:p w:rsidR="008B27CB" w:rsidRPr="001B165D" w:rsidRDefault="008B27CB" w:rsidP="00011B40">
      <w:pPr>
        <w:rPr>
          <w:rFonts w:eastAsia="Calibri" w:cstheme="minorHAnsi"/>
        </w:rPr>
      </w:pPr>
    </w:p>
    <w:p w:rsidR="001B165D" w:rsidRDefault="001B165D" w:rsidP="00011B40">
      <w:pPr>
        <w:rPr>
          <w:rFonts w:eastAsia="Calibri" w:cstheme="minorHAnsi"/>
        </w:rPr>
      </w:pPr>
      <w:r w:rsidRPr="001B165D">
        <w:rPr>
          <w:rFonts w:eastAsia="Calibri" w:cstheme="minorHAnsi"/>
        </w:rPr>
        <w:t xml:space="preserve">More Aboriginal students achieved their </w:t>
      </w:r>
      <w:proofErr w:type="spellStart"/>
      <w:r w:rsidRPr="001B165D">
        <w:rPr>
          <w:rFonts w:eastAsia="Calibri" w:cstheme="minorHAnsi"/>
        </w:rPr>
        <w:t>SACE</w:t>
      </w:r>
      <w:proofErr w:type="spellEnd"/>
      <w:r w:rsidRPr="001B165D">
        <w:rPr>
          <w:rFonts w:eastAsia="Calibri" w:cstheme="minorHAnsi"/>
        </w:rPr>
        <w:t xml:space="preserve"> this year – 64 Indigenous students received their certificate, compared to 46 last year. </w:t>
      </w:r>
    </w:p>
    <w:p w:rsidR="0073635A" w:rsidRDefault="0073635A" w:rsidP="00011B40">
      <w:pPr>
        <w:rPr>
          <w:rFonts w:ascii="Calibri" w:hAnsi="Calibri" w:cs="Arial"/>
          <w:b/>
          <w:bCs/>
          <w:color w:val="000000"/>
          <w:szCs w:val="24"/>
        </w:rPr>
      </w:pPr>
    </w:p>
    <w:p w:rsidR="008B27CB" w:rsidRPr="001B165D" w:rsidRDefault="0073635A" w:rsidP="00011B40">
      <w:pPr>
        <w:rPr>
          <w:rFonts w:eastAsia="Calibri" w:cstheme="minorHAnsi"/>
        </w:rPr>
      </w:pPr>
      <w:r w:rsidRPr="001B165D">
        <w:rPr>
          <w:rFonts w:ascii="Calibri" w:hAnsi="Calibri" w:cs="Arial"/>
          <w:b/>
          <w:bCs/>
          <w:color w:val="000000"/>
          <w:szCs w:val="24"/>
        </w:rPr>
        <w:t xml:space="preserve">Graph </w:t>
      </w:r>
      <w:r>
        <w:rPr>
          <w:rFonts w:ascii="Calibri" w:hAnsi="Calibri" w:cs="Arial"/>
          <w:b/>
          <w:bCs/>
          <w:color w:val="000000"/>
          <w:szCs w:val="24"/>
        </w:rPr>
        <w:t>1</w:t>
      </w:r>
      <w:r w:rsidRPr="001B165D">
        <w:rPr>
          <w:rFonts w:ascii="Calibri" w:hAnsi="Calibri" w:cs="Arial"/>
          <w:b/>
          <w:bCs/>
          <w:color w:val="000000"/>
          <w:szCs w:val="24"/>
        </w:rPr>
        <w:t xml:space="preserve">: </w:t>
      </w:r>
      <w:proofErr w:type="spellStart"/>
      <w:r>
        <w:rPr>
          <w:rFonts w:ascii="Calibri" w:hAnsi="Calibri" w:cs="Arial"/>
          <w:b/>
          <w:bCs/>
          <w:color w:val="000000"/>
          <w:szCs w:val="24"/>
        </w:rPr>
        <w:t>SACE</w:t>
      </w:r>
      <w:proofErr w:type="spellEnd"/>
      <w:r>
        <w:rPr>
          <w:rFonts w:ascii="Calibri" w:hAnsi="Calibri" w:cs="Arial"/>
          <w:b/>
          <w:bCs/>
          <w:color w:val="000000"/>
          <w:szCs w:val="24"/>
        </w:rPr>
        <w:t xml:space="preserve"> Completion Rates (%) in </w:t>
      </w:r>
      <w:proofErr w:type="spellStart"/>
      <w:r>
        <w:rPr>
          <w:rFonts w:ascii="Calibri" w:hAnsi="Calibri" w:cs="Arial"/>
          <w:b/>
          <w:bCs/>
          <w:color w:val="000000"/>
          <w:szCs w:val="24"/>
        </w:rPr>
        <w:t>CMaD</w:t>
      </w:r>
      <w:proofErr w:type="spellEnd"/>
      <w:r>
        <w:rPr>
          <w:rFonts w:ascii="Calibri" w:hAnsi="Calibri" w:cs="Arial"/>
          <w:b/>
          <w:bCs/>
          <w:color w:val="000000"/>
          <w:szCs w:val="24"/>
        </w:rPr>
        <w:t xml:space="preserve"> NP schools by Regional South Australia and Metropolitan breakdown, 2010 to 2012</w:t>
      </w:r>
    </w:p>
    <w:p w:rsidR="001B165D" w:rsidRPr="001B165D" w:rsidRDefault="001B165D" w:rsidP="00011B40">
      <w:pPr>
        <w:rPr>
          <w:rFonts w:ascii="Arial" w:hAnsi="Arial"/>
          <w:szCs w:val="22"/>
        </w:rPr>
      </w:pPr>
      <w:r w:rsidRPr="001B165D">
        <w:rPr>
          <w:rFonts w:eastAsia="Calibri" w:cstheme="minorHAnsi"/>
          <w:noProof/>
          <w:lang w:eastAsia="en-AU"/>
        </w:rPr>
        <w:drawing>
          <wp:inline distT="0" distB="0" distL="0" distR="0">
            <wp:extent cx="6590030" cy="3712845"/>
            <wp:effectExtent l="0" t="0" r="127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90030" cy="3712845"/>
                    </a:xfrm>
                    <a:prstGeom prst="rect">
                      <a:avLst/>
                    </a:prstGeom>
                    <a:noFill/>
                  </pic:spPr>
                </pic:pic>
              </a:graphicData>
            </a:graphic>
          </wp:inline>
        </w:drawing>
      </w:r>
    </w:p>
    <w:p w:rsidR="008B27CB" w:rsidRPr="001B165D" w:rsidRDefault="008B27CB" w:rsidP="008B27CB">
      <w:pPr>
        <w:rPr>
          <w:rFonts w:eastAsia="Calibri" w:cstheme="minorHAnsi"/>
          <w:sz w:val="18"/>
          <w:szCs w:val="18"/>
        </w:rPr>
      </w:pPr>
      <w:proofErr w:type="spellStart"/>
      <w:proofErr w:type="gramStart"/>
      <w:r w:rsidRPr="001B165D">
        <w:rPr>
          <w:rFonts w:eastAsia="Calibri" w:cstheme="minorHAnsi"/>
          <w:sz w:val="18"/>
          <w:szCs w:val="18"/>
        </w:rPr>
        <w:t>SACE</w:t>
      </w:r>
      <w:proofErr w:type="spellEnd"/>
      <w:r w:rsidRPr="001B165D">
        <w:rPr>
          <w:rFonts w:eastAsia="Calibri" w:cstheme="minorHAnsi"/>
          <w:sz w:val="18"/>
          <w:szCs w:val="18"/>
        </w:rPr>
        <w:t xml:space="preserve"> Board of South Australia.</w:t>
      </w:r>
      <w:proofErr w:type="gramEnd"/>
      <w:r w:rsidRPr="001B165D">
        <w:rPr>
          <w:rFonts w:eastAsia="Calibri" w:cstheme="minorHAnsi"/>
          <w:sz w:val="18"/>
          <w:szCs w:val="18"/>
        </w:rPr>
        <w:t xml:space="preserve"> Media Release, 19 December 2012. </w:t>
      </w:r>
      <w:hyperlink r:id="rId23" w:history="1">
        <w:r w:rsidRPr="001B165D">
          <w:rPr>
            <w:rFonts w:eastAsia="Calibri" w:cstheme="minorHAnsi"/>
            <w:color w:val="0000FF"/>
            <w:sz w:val="18"/>
            <w:szCs w:val="18"/>
            <w:u w:val="single"/>
          </w:rPr>
          <w:t>http://www.sace.sa.edu.au/documents/10336/bec28ef8-2f90-46f0-a9e5-c8ed9b18abe4</w:t>
        </w:r>
      </w:hyperlink>
      <w:r w:rsidRPr="001B165D">
        <w:rPr>
          <w:rFonts w:eastAsia="Calibri" w:cstheme="minorHAnsi"/>
          <w:sz w:val="18"/>
          <w:szCs w:val="18"/>
        </w:rPr>
        <w:t xml:space="preserve">. </w:t>
      </w:r>
      <w:proofErr w:type="gramStart"/>
      <w:r w:rsidRPr="001B165D">
        <w:rPr>
          <w:rFonts w:eastAsia="Calibri" w:cstheme="minorHAnsi"/>
          <w:sz w:val="18"/>
          <w:szCs w:val="18"/>
        </w:rPr>
        <w:t>Accessed 5 August 2013.</w:t>
      </w:r>
      <w:proofErr w:type="gramEnd"/>
    </w:p>
    <w:p w:rsidR="001B165D" w:rsidRPr="001B165D" w:rsidRDefault="001B165D" w:rsidP="00011B40">
      <w:pPr>
        <w:rPr>
          <w:rFonts w:eastAsia="Calibri" w:cstheme="minorHAnsi"/>
        </w:rPr>
      </w:pPr>
    </w:p>
    <w:p w:rsidR="0010157C" w:rsidRDefault="0010157C" w:rsidP="00011B40">
      <w:pPr>
        <w:rPr>
          <w:rFonts w:eastAsia="Calibri" w:cstheme="minorHAnsi"/>
          <w:b/>
          <w:sz w:val="28"/>
          <w:szCs w:val="28"/>
        </w:rPr>
      </w:pPr>
      <w:r>
        <w:rPr>
          <w:rFonts w:eastAsia="Calibri" w:cstheme="minorHAnsi"/>
          <w:b/>
          <w:sz w:val="28"/>
          <w:szCs w:val="28"/>
        </w:rPr>
        <w:br w:type="page"/>
      </w:r>
    </w:p>
    <w:p w:rsidR="001B165D" w:rsidRPr="001B165D" w:rsidRDefault="001B165D" w:rsidP="001B165D">
      <w:pPr>
        <w:widowControl w:val="0"/>
        <w:spacing w:before="120" w:after="60"/>
        <w:contextualSpacing/>
        <w:rPr>
          <w:rFonts w:eastAsia="Calibri" w:cstheme="minorHAnsi"/>
          <w:b/>
          <w:sz w:val="28"/>
          <w:szCs w:val="28"/>
        </w:rPr>
      </w:pPr>
    </w:p>
    <w:p w:rsidR="001B165D" w:rsidRPr="001B165D" w:rsidRDefault="001B165D" w:rsidP="001B165D">
      <w:pPr>
        <w:widowControl w:val="0"/>
        <w:spacing w:before="120" w:after="60"/>
        <w:contextualSpacing/>
        <w:rPr>
          <w:rFonts w:eastAsia="Calibri" w:cstheme="minorHAnsi"/>
          <w:b/>
          <w:sz w:val="28"/>
          <w:szCs w:val="28"/>
        </w:rPr>
      </w:pPr>
      <w:r w:rsidRPr="001B165D">
        <w:rPr>
          <w:rFonts w:eastAsia="Calibri" w:cstheme="minorHAnsi"/>
          <w:b/>
          <w:sz w:val="28"/>
          <w:szCs w:val="28"/>
        </w:rPr>
        <w:t xml:space="preserve">Communities Making a Difference (Low SES) National Partnership for schools participating in ‘whole-of-school’ strategies and approaches by </w:t>
      </w:r>
      <w:proofErr w:type="spellStart"/>
      <w:r w:rsidRPr="001B165D">
        <w:rPr>
          <w:rFonts w:eastAsia="Calibri" w:cstheme="minorHAnsi"/>
          <w:b/>
          <w:sz w:val="28"/>
          <w:szCs w:val="28"/>
        </w:rPr>
        <w:t>SACE</w:t>
      </w:r>
      <w:proofErr w:type="spellEnd"/>
      <w:r w:rsidRPr="001B165D">
        <w:rPr>
          <w:rFonts w:eastAsia="Calibri" w:cstheme="minorHAnsi"/>
          <w:b/>
          <w:sz w:val="28"/>
          <w:szCs w:val="28"/>
        </w:rPr>
        <w:t xml:space="preserve"> completions, 2010 to 2012:</w:t>
      </w:r>
    </w:p>
    <w:p w:rsidR="001B165D" w:rsidRPr="001B165D" w:rsidRDefault="001B165D" w:rsidP="001B165D">
      <w:pPr>
        <w:widowControl w:val="0"/>
        <w:spacing w:before="120" w:after="60"/>
        <w:contextualSpacing/>
        <w:rPr>
          <w:rFonts w:eastAsia="Calibri" w:cstheme="minorHAnsi"/>
          <w:szCs w:val="24"/>
        </w:rPr>
      </w:pPr>
    </w:p>
    <w:p w:rsidR="001B165D" w:rsidRPr="001B165D" w:rsidRDefault="001B165D" w:rsidP="001B165D">
      <w:pPr>
        <w:widowControl w:val="0"/>
        <w:spacing w:before="120" w:after="60"/>
        <w:contextualSpacing/>
        <w:rPr>
          <w:rFonts w:eastAsia="Calibri" w:cstheme="minorHAnsi"/>
          <w:b/>
          <w:szCs w:val="24"/>
        </w:rPr>
      </w:pPr>
      <w:r w:rsidRPr="001B165D">
        <w:rPr>
          <w:rFonts w:eastAsia="Calibri" w:cstheme="minorHAnsi"/>
          <w:b/>
          <w:szCs w:val="24"/>
        </w:rPr>
        <w:t xml:space="preserve">Table 3.1(a) – All schools in </w:t>
      </w:r>
      <w:proofErr w:type="spellStart"/>
      <w:r w:rsidRPr="001B165D">
        <w:rPr>
          <w:rFonts w:eastAsia="Calibri" w:cstheme="minorHAnsi"/>
          <w:b/>
          <w:szCs w:val="24"/>
        </w:rPr>
        <w:t>CMaD</w:t>
      </w:r>
      <w:proofErr w:type="spellEnd"/>
      <w:r w:rsidRPr="001B165D">
        <w:rPr>
          <w:rFonts w:eastAsia="Calibri" w:cstheme="minorHAnsi"/>
          <w:b/>
          <w:szCs w:val="24"/>
        </w:rPr>
        <w:t xml:space="preserve"> NP ‘whole-of-school’ interventions with </w:t>
      </w:r>
      <w:proofErr w:type="spellStart"/>
      <w:r w:rsidRPr="001B165D">
        <w:rPr>
          <w:rFonts w:eastAsia="Calibri" w:cstheme="minorHAnsi"/>
          <w:b/>
          <w:szCs w:val="24"/>
        </w:rPr>
        <w:t>SACE</w:t>
      </w:r>
      <w:proofErr w:type="spellEnd"/>
      <w:r w:rsidRPr="001B165D">
        <w:rPr>
          <w:rFonts w:eastAsia="Calibri" w:cstheme="minorHAnsi"/>
          <w:b/>
          <w:szCs w:val="24"/>
        </w:rPr>
        <w:t xml:space="preserve"> completions, since 2010</w:t>
      </w:r>
    </w:p>
    <w:tbl>
      <w:tblPr>
        <w:tblW w:w="5000" w:type="pct"/>
        <w:tblLook w:val="04A0" w:firstRow="1" w:lastRow="0" w:firstColumn="1" w:lastColumn="0" w:noHBand="0" w:noVBand="1"/>
      </w:tblPr>
      <w:tblGrid>
        <w:gridCol w:w="6090"/>
        <w:gridCol w:w="1774"/>
        <w:gridCol w:w="1774"/>
        <w:gridCol w:w="1774"/>
        <w:gridCol w:w="1774"/>
        <w:gridCol w:w="1771"/>
      </w:tblGrid>
      <w:tr w:rsidR="001B165D" w:rsidRPr="001B165D" w:rsidTr="001B165D">
        <w:trPr>
          <w:trHeight w:val="705"/>
        </w:trPr>
        <w:tc>
          <w:tcPr>
            <w:tcW w:w="2036" w:type="pct"/>
            <w:tcBorders>
              <w:top w:val="single" w:sz="8" w:space="0" w:color="auto"/>
              <w:left w:val="single" w:sz="8" w:space="0" w:color="auto"/>
              <w:bottom w:val="nil"/>
              <w:right w:val="nil"/>
            </w:tcBorders>
            <w:shd w:val="clear" w:color="000000" w:fill="FABF8F"/>
            <w:vAlign w:val="center"/>
            <w:hideMark/>
          </w:tcPr>
          <w:p w:rsidR="001B165D" w:rsidRPr="001B165D" w:rsidRDefault="001B165D" w:rsidP="001B165D">
            <w:pPr>
              <w:rPr>
                <w:rFonts w:ascii="Calibri" w:hAnsi="Calibri" w:cs="Calibri"/>
                <w:b/>
                <w:bCs/>
                <w:color w:val="000000"/>
                <w:szCs w:val="22"/>
                <w:lang w:eastAsia="en-AU"/>
              </w:rPr>
            </w:pPr>
            <w:proofErr w:type="spellStart"/>
            <w:r w:rsidRPr="001B165D">
              <w:rPr>
                <w:rFonts w:ascii="Calibri" w:hAnsi="Calibri" w:cs="Calibri"/>
                <w:b/>
                <w:bCs/>
                <w:color w:val="000000"/>
                <w:szCs w:val="22"/>
                <w:lang w:eastAsia="en-AU"/>
              </w:rPr>
              <w:t>SACE</w:t>
            </w:r>
            <w:proofErr w:type="spellEnd"/>
            <w:r w:rsidRPr="001B165D">
              <w:rPr>
                <w:rFonts w:ascii="Calibri" w:hAnsi="Calibri" w:cs="Calibri"/>
                <w:b/>
                <w:bCs/>
                <w:color w:val="000000"/>
                <w:szCs w:val="22"/>
                <w:lang w:eastAsia="en-AU"/>
              </w:rPr>
              <w:t xml:space="preserve"> completion in </w:t>
            </w:r>
            <w:proofErr w:type="spellStart"/>
            <w:r w:rsidRPr="001B165D">
              <w:rPr>
                <w:rFonts w:ascii="Calibri" w:hAnsi="Calibri" w:cs="Calibri"/>
                <w:b/>
                <w:bCs/>
                <w:color w:val="000000"/>
                <w:szCs w:val="22"/>
                <w:lang w:eastAsia="en-AU"/>
              </w:rPr>
              <w:t>CMaD</w:t>
            </w:r>
            <w:proofErr w:type="spellEnd"/>
            <w:r w:rsidRPr="001B165D">
              <w:rPr>
                <w:rFonts w:ascii="Calibri" w:hAnsi="Calibri" w:cs="Calibri"/>
                <w:b/>
                <w:bCs/>
                <w:color w:val="000000"/>
                <w:szCs w:val="22"/>
                <w:lang w:eastAsia="en-AU"/>
              </w:rPr>
              <w:t xml:space="preserve"> NP schools participating since 2010 </w:t>
            </w:r>
            <w:r w:rsidRPr="001B165D">
              <w:rPr>
                <w:rFonts w:ascii="Calibri" w:hAnsi="Calibri" w:cs="Calibri"/>
                <w:color w:val="000000"/>
                <w:szCs w:val="22"/>
                <w:vertAlign w:val="superscript"/>
                <w:lang w:eastAsia="en-AU"/>
              </w:rPr>
              <w:t>(1)</w:t>
            </w:r>
          </w:p>
        </w:tc>
        <w:tc>
          <w:tcPr>
            <w:tcW w:w="593" w:type="pct"/>
            <w:tcBorders>
              <w:top w:val="single" w:sz="8" w:space="0" w:color="auto"/>
              <w:left w:val="single" w:sz="8" w:space="0" w:color="auto"/>
              <w:bottom w:val="single" w:sz="4" w:space="0" w:color="auto"/>
              <w:right w:val="nil"/>
            </w:tcBorders>
            <w:shd w:val="clear" w:color="000000" w:fill="FABF8F"/>
            <w:vAlign w:val="center"/>
            <w:hideMark/>
          </w:tcPr>
          <w:p w:rsidR="001B165D" w:rsidRPr="001B165D" w:rsidRDefault="001B165D"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2009 (baseline)</w:t>
            </w:r>
          </w:p>
        </w:tc>
        <w:tc>
          <w:tcPr>
            <w:tcW w:w="593" w:type="pct"/>
            <w:tcBorders>
              <w:top w:val="single" w:sz="8" w:space="0" w:color="auto"/>
              <w:left w:val="single" w:sz="4" w:space="0" w:color="auto"/>
              <w:bottom w:val="single" w:sz="4" w:space="0" w:color="auto"/>
              <w:right w:val="nil"/>
            </w:tcBorders>
            <w:shd w:val="clear" w:color="000000" w:fill="FABF8F"/>
            <w:vAlign w:val="center"/>
            <w:hideMark/>
          </w:tcPr>
          <w:p w:rsidR="001B165D" w:rsidRPr="001B165D" w:rsidRDefault="001B165D"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2010</w:t>
            </w:r>
          </w:p>
        </w:tc>
        <w:tc>
          <w:tcPr>
            <w:tcW w:w="593" w:type="pct"/>
            <w:tcBorders>
              <w:top w:val="single" w:sz="8" w:space="0" w:color="auto"/>
              <w:left w:val="single" w:sz="4" w:space="0" w:color="auto"/>
              <w:bottom w:val="single" w:sz="4" w:space="0" w:color="auto"/>
              <w:right w:val="nil"/>
            </w:tcBorders>
            <w:shd w:val="clear" w:color="000000" w:fill="FABF8F"/>
            <w:vAlign w:val="center"/>
            <w:hideMark/>
          </w:tcPr>
          <w:p w:rsidR="001B165D" w:rsidRPr="001B165D" w:rsidRDefault="001B165D"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2011</w:t>
            </w:r>
          </w:p>
        </w:tc>
        <w:tc>
          <w:tcPr>
            <w:tcW w:w="593" w:type="pct"/>
            <w:tcBorders>
              <w:top w:val="single" w:sz="8" w:space="0" w:color="auto"/>
              <w:left w:val="single" w:sz="4" w:space="0" w:color="auto"/>
              <w:bottom w:val="single" w:sz="4" w:space="0" w:color="auto"/>
              <w:right w:val="nil"/>
            </w:tcBorders>
            <w:shd w:val="clear" w:color="000000" w:fill="FABF8F"/>
            <w:vAlign w:val="center"/>
            <w:hideMark/>
          </w:tcPr>
          <w:p w:rsidR="001B165D" w:rsidRPr="001B165D" w:rsidRDefault="001B165D"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2012</w:t>
            </w:r>
          </w:p>
        </w:tc>
        <w:tc>
          <w:tcPr>
            <w:tcW w:w="592" w:type="pct"/>
            <w:tcBorders>
              <w:top w:val="single" w:sz="8" w:space="0" w:color="auto"/>
              <w:left w:val="single" w:sz="4" w:space="0" w:color="auto"/>
              <w:bottom w:val="single" w:sz="4" w:space="0" w:color="auto"/>
              <w:right w:val="single" w:sz="8" w:space="0" w:color="auto"/>
            </w:tcBorders>
            <w:shd w:val="clear" w:color="000000" w:fill="FABF8F"/>
            <w:vAlign w:val="center"/>
            <w:hideMark/>
          </w:tcPr>
          <w:p w:rsidR="001B165D" w:rsidRPr="001B165D" w:rsidRDefault="001B165D"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Difference 2009-12</w:t>
            </w:r>
          </w:p>
        </w:tc>
      </w:tr>
      <w:tr w:rsidR="001B165D" w:rsidRPr="001B165D" w:rsidTr="001B165D">
        <w:trPr>
          <w:trHeight w:val="349"/>
        </w:trPr>
        <w:tc>
          <w:tcPr>
            <w:tcW w:w="2036" w:type="pct"/>
            <w:tcBorders>
              <w:top w:val="single" w:sz="8" w:space="0" w:color="auto"/>
              <w:left w:val="single" w:sz="8" w:space="0" w:color="auto"/>
              <w:bottom w:val="single" w:sz="4" w:space="0" w:color="auto"/>
              <w:right w:val="nil"/>
            </w:tcBorders>
            <w:shd w:val="clear" w:color="auto" w:fill="auto"/>
            <w:vAlign w:val="bottom"/>
            <w:hideMark/>
          </w:tcPr>
          <w:p w:rsidR="001B165D" w:rsidRPr="001B165D" w:rsidRDefault="001B165D" w:rsidP="001B165D">
            <w:pPr>
              <w:rPr>
                <w:rFonts w:ascii="Calibri" w:hAnsi="Calibri" w:cs="Calibri"/>
                <w:szCs w:val="22"/>
                <w:lang w:eastAsia="en-AU"/>
              </w:rPr>
            </w:pPr>
            <w:r w:rsidRPr="001B165D">
              <w:rPr>
                <w:rFonts w:ascii="Calibri" w:hAnsi="Calibri" w:cs="Calibri"/>
                <w:szCs w:val="22"/>
                <w:lang w:eastAsia="en-AU"/>
              </w:rPr>
              <w:t xml:space="preserve">Total no. of </w:t>
            </w:r>
            <w:proofErr w:type="spellStart"/>
            <w:r w:rsidRPr="001B165D">
              <w:rPr>
                <w:rFonts w:ascii="Calibri" w:hAnsi="Calibri" w:cs="Calibri"/>
                <w:szCs w:val="22"/>
                <w:lang w:eastAsia="en-AU"/>
              </w:rPr>
              <w:t>SACE</w:t>
            </w:r>
            <w:proofErr w:type="spellEnd"/>
            <w:r w:rsidRPr="001B165D">
              <w:rPr>
                <w:rFonts w:ascii="Calibri" w:hAnsi="Calibri" w:cs="Calibri"/>
                <w:szCs w:val="22"/>
                <w:lang w:eastAsia="en-AU"/>
              </w:rPr>
              <w:t xml:space="preserve"> completions</w:t>
            </w:r>
            <w:r w:rsidRPr="001B165D">
              <w:rPr>
                <w:rFonts w:ascii="Calibri" w:hAnsi="Calibri" w:cs="Calibri"/>
                <w:b/>
                <w:bCs/>
                <w:szCs w:val="22"/>
                <w:lang w:eastAsia="en-AU"/>
              </w:rPr>
              <w:t xml:space="preserve"> (all students)</w:t>
            </w:r>
          </w:p>
        </w:tc>
        <w:tc>
          <w:tcPr>
            <w:tcW w:w="593"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703</w:t>
            </w:r>
          </w:p>
        </w:tc>
        <w:tc>
          <w:tcPr>
            <w:tcW w:w="593" w:type="pct"/>
            <w:tcBorders>
              <w:top w:val="single" w:sz="8" w:space="0" w:color="auto"/>
              <w:left w:val="nil"/>
              <w:bottom w:val="single" w:sz="4" w:space="0" w:color="auto"/>
              <w:right w:val="nil"/>
            </w:tcBorders>
            <w:shd w:val="clear" w:color="auto" w:fill="auto"/>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742</w:t>
            </w:r>
          </w:p>
        </w:tc>
        <w:tc>
          <w:tcPr>
            <w:tcW w:w="593" w:type="pct"/>
            <w:tcBorders>
              <w:top w:val="single" w:sz="8" w:space="0" w:color="auto"/>
              <w:left w:val="single" w:sz="4" w:space="0" w:color="auto"/>
              <w:bottom w:val="single" w:sz="4" w:space="0" w:color="auto"/>
              <w:right w:val="nil"/>
            </w:tcBorders>
            <w:shd w:val="clear" w:color="auto" w:fill="auto"/>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676</w:t>
            </w:r>
          </w:p>
        </w:tc>
        <w:tc>
          <w:tcPr>
            <w:tcW w:w="593" w:type="pct"/>
            <w:tcBorders>
              <w:top w:val="single" w:sz="8" w:space="0" w:color="auto"/>
              <w:left w:val="single" w:sz="4" w:space="0" w:color="auto"/>
              <w:bottom w:val="single" w:sz="4" w:space="0" w:color="auto"/>
              <w:right w:val="nil"/>
            </w:tcBorders>
            <w:shd w:val="clear" w:color="auto" w:fill="auto"/>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794</w:t>
            </w:r>
          </w:p>
        </w:tc>
        <w:tc>
          <w:tcPr>
            <w:tcW w:w="592" w:type="pct"/>
            <w:tcBorders>
              <w:top w:val="single" w:sz="8" w:space="0" w:color="auto"/>
              <w:left w:val="single" w:sz="4" w:space="0" w:color="auto"/>
              <w:bottom w:val="single" w:sz="4" w:space="0" w:color="auto"/>
              <w:right w:val="single" w:sz="8" w:space="0" w:color="auto"/>
            </w:tcBorders>
            <w:shd w:val="clear" w:color="auto" w:fill="auto"/>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91</w:t>
            </w:r>
          </w:p>
        </w:tc>
      </w:tr>
      <w:tr w:rsidR="001B165D" w:rsidRPr="001B165D" w:rsidTr="001B165D">
        <w:trPr>
          <w:trHeight w:val="349"/>
        </w:trPr>
        <w:tc>
          <w:tcPr>
            <w:tcW w:w="2036" w:type="pct"/>
            <w:tcBorders>
              <w:top w:val="nil"/>
              <w:left w:val="single" w:sz="8" w:space="0" w:color="auto"/>
              <w:bottom w:val="single" w:sz="4" w:space="0" w:color="auto"/>
              <w:right w:val="nil"/>
            </w:tcBorders>
            <w:shd w:val="clear" w:color="000000" w:fill="C0C0C0"/>
            <w:vAlign w:val="bottom"/>
            <w:hideMark/>
          </w:tcPr>
          <w:p w:rsidR="001B165D" w:rsidRPr="001B165D" w:rsidRDefault="001B165D" w:rsidP="001B165D">
            <w:pPr>
              <w:rPr>
                <w:rFonts w:ascii="Calibri" w:hAnsi="Calibri" w:cs="Calibri"/>
                <w:szCs w:val="22"/>
                <w:lang w:eastAsia="en-AU"/>
              </w:rPr>
            </w:pPr>
            <w:proofErr w:type="spellStart"/>
            <w:r w:rsidRPr="001B165D">
              <w:rPr>
                <w:rFonts w:ascii="Calibri" w:hAnsi="Calibri" w:cs="Calibri"/>
                <w:szCs w:val="22"/>
                <w:lang w:eastAsia="en-AU"/>
              </w:rPr>
              <w:t>SACE</w:t>
            </w:r>
            <w:proofErr w:type="spellEnd"/>
            <w:r w:rsidRPr="001B165D">
              <w:rPr>
                <w:rFonts w:ascii="Calibri" w:hAnsi="Calibri" w:cs="Calibri"/>
                <w:szCs w:val="22"/>
                <w:lang w:eastAsia="en-AU"/>
              </w:rPr>
              <w:t xml:space="preserve"> completion rate (all students) (%) </w:t>
            </w:r>
            <w:r w:rsidRPr="001B165D">
              <w:rPr>
                <w:rFonts w:ascii="Calibri" w:hAnsi="Calibri" w:cs="Calibri"/>
                <w:szCs w:val="22"/>
                <w:vertAlign w:val="superscript"/>
                <w:lang w:eastAsia="en-AU"/>
              </w:rPr>
              <w:t>(2)</w:t>
            </w:r>
          </w:p>
        </w:tc>
        <w:tc>
          <w:tcPr>
            <w:tcW w:w="593" w:type="pct"/>
            <w:tcBorders>
              <w:top w:val="nil"/>
              <w:left w:val="single" w:sz="8" w:space="0" w:color="auto"/>
              <w:bottom w:val="single" w:sz="4" w:space="0" w:color="auto"/>
              <w:right w:val="single" w:sz="4" w:space="0" w:color="auto"/>
            </w:tcBorders>
            <w:shd w:val="clear" w:color="000000" w:fill="C0C0C0"/>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81.9%</w:t>
            </w:r>
          </w:p>
        </w:tc>
        <w:tc>
          <w:tcPr>
            <w:tcW w:w="593" w:type="pct"/>
            <w:tcBorders>
              <w:top w:val="single" w:sz="4" w:space="0" w:color="auto"/>
              <w:left w:val="single" w:sz="4" w:space="0" w:color="auto"/>
              <w:bottom w:val="single" w:sz="4" w:space="0" w:color="auto"/>
              <w:right w:val="nil"/>
            </w:tcBorders>
            <w:shd w:val="clear" w:color="000000" w:fill="FFCC99"/>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78.4%</w:t>
            </w:r>
          </w:p>
        </w:tc>
        <w:tc>
          <w:tcPr>
            <w:tcW w:w="593" w:type="pct"/>
            <w:tcBorders>
              <w:top w:val="single" w:sz="4" w:space="0" w:color="auto"/>
              <w:left w:val="single" w:sz="4" w:space="0" w:color="auto"/>
              <w:bottom w:val="single" w:sz="4" w:space="0" w:color="auto"/>
              <w:right w:val="nil"/>
            </w:tcBorders>
            <w:shd w:val="clear" w:color="000000" w:fill="FFCC99"/>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81.1%</w:t>
            </w:r>
          </w:p>
        </w:tc>
        <w:tc>
          <w:tcPr>
            <w:tcW w:w="593" w:type="pct"/>
            <w:tcBorders>
              <w:top w:val="single" w:sz="4" w:space="0" w:color="auto"/>
              <w:left w:val="single" w:sz="4" w:space="0" w:color="auto"/>
              <w:bottom w:val="single" w:sz="4" w:space="0" w:color="auto"/>
              <w:right w:val="nil"/>
            </w:tcBorders>
            <w:shd w:val="clear" w:color="000000" w:fill="FFCC99"/>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87.3%</w:t>
            </w:r>
          </w:p>
        </w:tc>
        <w:tc>
          <w:tcPr>
            <w:tcW w:w="592" w:type="pct"/>
            <w:tcBorders>
              <w:top w:val="single" w:sz="4" w:space="0" w:color="auto"/>
              <w:left w:val="single" w:sz="4" w:space="0" w:color="auto"/>
              <w:bottom w:val="single" w:sz="4" w:space="0" w:color="auto"/>
              <w:right w:val="single" w:sz="8" w:space="0" w:color="auto"/>
            </w:tcBorders>
            <w:shd w:val="clear" w:color="000000" w:fill="FFCC99"/>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5.4%</w:t>
            </w:r>
          </w:p>
        </w:tc>
      </w:tr>
      <w:tr w:rsidR="001B165D" w:rsidRPr="001B165D" w:rsidTr="001B165D">
        <w:trPr>
          <w:trHeight w:val="349"/>
        </w:trPr>
        <w:tc>
          <w:tcPr>
            <w:tcW w:w="2036" w:type="pct"/>
            <w:tcBorders>
              <w:top w:val="nil"/>
              <w:left w:val="single" w:sz="8" w:space="0" w:color="auto"/>
              <w:bottom w:val="single" w:sz="4" w:space="0" w:color="auto"/>
              <w:right w:val="nil"/>
            </w:tcBorders>
            <w:shd w:val="clear" w:color="auto" w:fill="auto"/>
            <w:vAlign w:val="bottom"/>
            <w:hideMark/>
          </w:tcPr>
          <w:p w:rsidR="001B165D" w:rsidRPr="001B165D" w:rsidRDefault="001B165D" w:rsidP="001B165D">
            <w:pPr>
              <w:rPr>
                <w:rFonts w:ascii="Calibri" w:hAnsi="Calibri" w:cs="Calibri"/>
                <w:szCs w:val="22"/>
                <w:lang w:eastAsia="en-AU"/>
              </w:rPr>
            </w:pPr>
            <w:r w:rsidRPr="001B165D">
              <w:rPr>
                <w:rFonts w:ascii="Calibri" w:hAnsi="Calibri" w:cs="Calibri"/>
                <w:szCs w:val="22"/>
                <w:lang w:eastAsia="en-AU"/>
              </w:rPr>
              <w:t xml:space="preserve">Total no. of </w:t>
            </w:r>
            <w:proofErr w:type="spellStart"/>
            <w:r w:rsidRPr="001B165D">
              <w:rPr>
                <w:rFonts w:ascii="Calibri" w:hAnsi="Calibri" w:cs="Calibri"/>
                <w:szCs w:val="22"/>
                <w:lang w:eastAsia="en-AU"/>
              </w:rPr>
              <w:t>SACE</w:t>
            </w:r>
            <w:proofErr w:type="spellEnd"/>
            <w:r w:rsidRPr="001B165D">
              <w:rPr>
                <w:rFonts w:ascii="Calibri" w:hAnsi="Calibri" w:cs="Calibri"/>
                <w:szCs w:val="22"/>
                <w:lang w:eastAsia="en-AU"/>
              </w:rPr>
              <w:t xml:space="preserve"> completions</w:t>
            </w:r>
            <w:r w:rsidRPr="001B165D">
              <w:rPr>
                <w:rFonts w:ascii="Calibri" w:hAnsi="Calibri" w:cs="Calibri"/>
                <w:b/>
                <w:bCs/>
                <w:szCs w:val="22"/>
                <w:lang w:eastAsia="en-AU"/>
              </w:rPr>
              <w:t xml:space="preserve"> (Indigenous students) </w:t>
            </w:r>
            <w:r w:rsidRPr="001B165D">
              <w:rPr>
                <w:rFonts w:ascii="Calibri" w:hAnsi="Calibri" w:cs="Calibri"/>
                <w:szCs w:val="22"/>
                <w:vertAlign w:val="superscript"/>
                <w:lang w:eastAsia="en-AU"/>
              </w:rPr>
              <w:t>(3)</w:t>
            </w:r>
          </w:p>
        </w:tc>
        <w:tc>
          <w:tcPr>
            <w:tcW w:w="593" w:type="pct"/>
            <w:tcBorders>
              <w:top w:val="nil"/>
              <w:left w:val="single" w:sz="8" w:space="0" w:color="auto"/>
              <w:bottom w:val="single" w:sz="4" w:space="0" w:color="auto"/>
              <w:right w:val="single" w:sz="4" w:space="0" w:color="auto"/>
            </w:tcBorders>
            <w:shd w:val="clear" w:color="auto" w:fill="auto"/>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18</w:t>
            </w:r>
          </w:p>
        </w:tc>
        <w:tc>
          <w:tcPr>
            <w:tcW w:w="593" w:type="pct"/>
            <w:tcBorders>
              <w:top w:val="nil"/>
              <w:left w:val="nil"/>
              <w:bottom w:val="single" w:sz="4" w:space="0" w:color="auto"/>
              <w:right w:val="nil"/>
            </w:tcBorders>
            <w:shd w:val="clear" w:color="auto" w:fill="auto"/>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23</w:t>
            </w:r>
          </w:p>
        </w:tc>
        <w:tc>
          <w:tcPr>
            <w:tcW w:w="593" w:type="pct"/>
            <w:tcBorders>
              <w:top w:val="nil"/>
              <w:left w:val="single" w:sz="4" w:space="0" w:color="auto"/>
              <w:bottom w:val="single" w:sz="4" w:space="0" w:color="auto"/>
              <w:right w:val="nil"/>
            </w:tcBorders>
            <w:shd w:val="clear" w:color="auto" w:fill="auto"/>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18</w:t>
            </w:r>
          </w:p>
        </w:tc>
        <w:tc>
          <w:tcPr>
            <w:tcW w:w="593" w:type="pct"/>
            <w:tcBorders>
              <w:top w:val="nil"/>
              <w:left w:val="single" w:sz="4" w:space="0" w:color="auto"/>
              <w:bottom w:val="single" w:sz="4" w:space="0" w:color="auto"/>
              <w:right w:val="nil"/>
            </w:tcBorders>
            <w:shd w:val="clear" w:color="auto" w:fill="auto"/>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30</w:t>
            </w:r>
          </w:p>
        </w:tc>
        <w:tc>
          <w:tcPr>
            <w:tcW w:w="592" w:type="pct"/>
            <w:tcBorders>
              <w:top w:val="nil"/>
              <w:left w:val="single" w:sz="4" w:space="0" w:color="auto"/>
              <w:bottom w:val="single" w:sz="4" w:space="0" w:color="auto"/>
              <w:right w:val="single" w:sz="8" w:space="0" w:color="auto"/>
            </w:tcBorders>
            <w:shd w:val="clear" w:color="auto" w:fill="auto"/>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12</w:t>
            </w:r>
          </w:p>
        </w:tc>
      </w:tr>
      <w:tr w:rsidR="001B165D" w:rsidRPr="001B165D" w:rsidTr="001B165D">
        <w:trPr>
          <w:trHeight w:val="349"/>
        </w:trPr>
        <w:tc>
          <w:tcPr>
            <w:tcW w:w="2036" w:type="pct"/>
            <w:tcBorders>
              <w:top w:val="nil"/>
              <w:left w:val="single" w:sz="8" w:space="0" w:color="auto"/>
              <w:bottom w:val="single" w:sz="4" w:space="0" w:color="auto"/>
              <w:right w:val="nil"/>
            </w:tcBorders>
            <w:shd w:val="clear" w:color="000000" w:fill="C0C0C0"/>
            <w:vAlign w:val="bottom"/>
            <w:hideMark/>
          </w:tcPr>
          <w:p w:rsidR="001B165D" w:rsidRPr="001B165D" w:rsidRDefault="001B165D" w:rsidP="001B165D">
            <w:pPr>
              <w:rPr>
                <w:rFonts w:ascii="Calibri" w:hAnsi="Calibri" w:cs="Calibri"/>
                <w:szCs w:val="22"/>
                <w:lang w:eastAsia="en-AU"/>
              </w:rPr>
            </w:pPr>
            <w:proofErr w:type="spellStart"/>
            <w:r w:rsidRPr="001B165D">
              <w:rPr>
                <w:rFonts w:ascii="Calibri" w:hAnsi="Calibri" w:cs="Calibri"/>
                <w:szCs w:val="22"/>
                <w:lang w:eastAsia="en-AU"/>
              </w:rPr>
              <w:t>SACE</w:t>
            </w:r>
            <w:proofErr w:type="spellEnd"/>
            <w:r w:rsidRPr="001B165D">
              <w:rPr>
                <w:rFonts w:ascii="Calibri" w:hAnsi="Calibri" w:cs="Calibri"/>
                <w:szCs w:val="22"/>
                <w:lang w:eastAsia="en-AU"/>
              </w:rPr>
              <w:t xml:space="preserve"> completion rate Indigenous students (%) </w:t>
            </w:r>
            <w:r w:rsidRPr="001B165D">
              <w:rPr>
                <w:rFonts w:ascii="Calibri" w:hAnsi="Calibri" w:cs="Calibri"/>
                <w:szCs w:val="22"/>
                <w:vertAlign w:val="superscript"/>
                <w:lang w:eastAsia="en-AU"/>
              </w:rPr>
              <w:t>(2)</w:t>
            </w:r>
          </w:p>
        </w:tc>
        <w:tc>
          <w:tcPr>
            <w:tcW w:w="593" w:type="pct"/>
            <w:tcBorders>
              <w:top w:val="nil"/>
              <w:left w:val="single" w:sz="8" w:space="0" w:color="auto"/>
              <w:bottom w:val="single" w:sz="4" w:space="0" w:color="auto"/>
              <w:right w:val="single" w:sz="4" w:space="0" w:color="auto"/>
            </w:tcBorders>
            <w:shd w:val="clear" w:color="000000" w:fill="C0C0C0"/>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66.7%</w:t>
            </w:r>
          </w:p>
        </w:tc>
        <w:tc>
          <w:tcPr>
            <w:tcW w:w="593" w:type="pct"/>
            <w:tcBorders>
              <w:top w:val="single" w:sz="4" w:space="0" w:color="auto"/>
              <w:left w:val="single" w:sz="4" w:space="0" w:color="auto"/>
              <w:bottom w:val="single" w:sz="4" w:space="0" w:color="auto"/>
              <w:right w:val="nil"/>
            </w:tcBorders>
            <w:shd w:val="clear" w:color="000000" w:fill="FFCC99"/>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69.7%</w:t>
            </w:r>
          </w:p>
        </w:tc>
        <w:tc>
          <w:tcPr>
            <w:tcW w:w="593" w:type="pct"/>
            <w:tcBorders>
              <w:top w:val="single" w:sz="4" w:space="0" w:color="auto"/>
              <w:left w:val="single" w:sz="4" w:space="0" w:color="auto"/>
              <w:bottom w:val="single" w:sz="4" w:space="0" w:color="auto"/>
              <w:right w:val="nil"/>
            </w:tcBorders>
            <w:shd w:val="clear" w:color="000000" w:fill="FFCC99"/>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69.2%</w:t>
            </w:r>
          </w:p>
        </w:tc>
        <w:tc>
          <w:tcPr>
            <w:tcW w:w="593" w:type="pct"/>
            <w:tcBorders>
              <w:top w:val="single" w:sz="4" w:space="0" w:color="auto"/>
              <w:left w:val="single" w:sz="4" w:space="0" w:color="auto"/>
              <w:bottom w:val="single" w:sz="4" w:space="0" w:color="auto"/>
              <w:right w:val="nil"/>
            </w:tcBorders>
            <w:shd w:val="clear" w:color="000000" w:fill="FFCC99"/>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71.4%</w:t>
            </w:r>
          </w:p>
        </w:tc>
        <w:tc>
          <w:tcPr>
            <w:tcW w:w="592" w:type="pct"/>
            <w:tcBorders>
              <w:top w:val="single" w:sz="4" w:space="0" w:color="auto"/>
              <w:left w:val="single" w:sz="4" w:space="0" w:color="auto"/>
              <w:bottom w:val="single" w:sz="4" w:space="0" w:color="auto"/>
              <w:right w:val="single" w:sz="8" w:space="0" w:color="auto"/>
            </w:tcBorders>
            <w:shd w:val="clear" w:color="000000" w:fill="FFCC99"/>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4.8%</w:t>
            </w:r>
          </w:p>
        </w:tc>
      </w:tr>
      <w:tr w:rsidR="001B165D" w:rsidRPr="001B165D" w:rsidTr="001B165D">
        <w:trPr>
          <w:trHeight w:val="349"/>
        </w:trPr>
        <w:tc>
          <w:tcPr>
            <w:tcW w:w="2036" w:type="pct"/>
            <w:tcBorders>
              <w:top w:val="nil"/>
              <w:left w:val="single" w:sz="8" w:space="0" w:color="auto"/>
              <w:bottom w:val="single" w:sz="4" w:space="0" w:color="auto"/>
              <w:right w:val="nil"/>
            </w:tcBorders>
            <w:shd w:val="clear" w:color="auto" w:fill="auto"/>
            <w:vAlign w:val="bottom"/>
            <w:hideMark/>
          </w:tcPr>
          <w:p w:rsidR="001B165D" w:rsidRPr="001B165D" w:rsidRDefault="001B165D" w:rsidP="001B165D">
            <w:pPr>
              <w:rPr>
                <w:rFonts w:ascii="Calibri" w:hAnsi="Calibri" w:cs="Calibri"/>
                <w:szCs w:val="22"/>
                <w:lang w:eastAsia="en-AU"/>
              </w:rPr>
            </w:pPr>
            <w:r w:rsidRPr="001B165D">
              <w:rPr>
                <w:rFonts w:ascii="Calibri" w:hAnsi="Calibri" w:cs="Calibri"/>
                <w:szCs w:val="22"/>
                <w:lang w:eastAsia="en-AU"/>
              </w:rPr>
              <w:t xml:space="preserve">Total no. of </w:t>
            </w:r>
            <w:proofErr w:type="spellStart"/>
            <w:r w:rsidRPr="001B165D">
              <w:rPr>
                <w:rFonts w:ascii="Calibri" w:hAnsi="Calibri" w:cs="Calibri"/>
                <w:szCs w:val="22"/>
                <w:lang w:eastAsia="en-AU"/>
              </w:rPr>
              <w:t>SACE</w:t>
            </w:r>
            <w:proofErr w:type="spellEnd"/>
            <w:r w:rsidRPr="001B165D">
              <w:rPr>
                <w:rFonts w:ascii="Calibri" w:hAnsi="Calibri" w:cs="Calibri"/>
                <w:szCs w:val="22"/>
                <w:lang w:eastAsia="en-AU"/>
              </w:rPr>
              <w:t xml:space="preserve"> completions </w:t>
            </w:r>
            <w:r w:rsidRPr="001B165D">
              <w:rPr>
                <w:rFonts w:ascii="Calibri" w:hAnsi="Calibri" w:cs="Calibri"/>
                <w:b/>
                <w:bCs/>
                <w:szCs w:val="22"/>
                <w:lang w:eastAsia="en-AU"/>
              </w:rPr>
              <w:t>(</w:t>
            </w:r>
            <w:proofErr w:type="spellStart"/>
            <w:r w:rsidRPr="001B165D">
              <w:rPr>
                <w:rFonts w:ascii="Calibri" w:hAnsi="Calibri" w:cs="Calibri"/>
                <w:b/>
                <w:bCs/>
                <w:szCs w:val="22"/>
                <w:lang w:eastAsia="en-AU"/>
              </w:rPr>
              <w:t>LBOTE</w:t>
            </w:r>
            <w:proofErr w:type="spellEnd"/>
            <w:r w:rsidRPr="001B165D">
              <w:rPr>
                <w:rFonts w:ascii="Calibri" w:hAnsi="Calibri" w:cs="Calibri"/>
                <w:b/>
                <w:bCs/>
                <w:szCs w:val="22"/>
                <w:lang w:eastAsia="en-AU"/>
              </w:rPr>
              <w:t xml:space="preserve"> students)</w:t>
            </w:r>
            <w:r w:rsidRPr="001B165D">
              <w:rPr>
                <w:rFonts w:ascii="Calibri" w:hAnsi="Calibri" w:cs="Calibri"/>
                <w:b/>
                <w:bCs/>
                <w:szCs w:val="22"/>
                <w:vertAlign w:val="superscript"/>
                <w:lang w:eastAsia="en-AU"/>
              </w:rPr>
              <w:t xml:space="preserve"> </w:t>
            </w:r>
            <w:r w:rsidRPr="001B165D">
              <w:rPr>
                <w:rFonts w:ascii="Calibri" w:hAnsi="Calibri" w:cs="Calibri"/>
                <w:szCs w:val="22"/>
                <w:vertAlign w:val="superscript"/>
                <w:lang w:eastAsia="en-AU"/>
              </w:rPr>
              <w:t>(4)</w:t>
            </w:r>
          </w:p>
        </w:tc>
        <w:tc>
          <w:tcPr>
            <w:tcW w:w="593" w:type="pct"/>
            <w:tcBorders>
              <w:top w:val="nil"/>
              <w:left w:val="single" w:sz="8" w:space="0" w:color="auto"/>
              <w:bottom w:val="single" w:sz="4" w:space="0" w:color="auto"/>
              <w:right w:val="single" w:sz="4" w:space="0" w:color="auto"/>
            </w:tcBorders>
            <w:shd w:val="clear" w:color="auto" w:fill="auto"/>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43</w:t>
            </w:r>
          </w:p>
        </w:tc>
        <w:tc>
          <w:tcPr>
            <w:tcW w:w="593" w:type="pct"/>
            <w:tcBorders>
              <w:top w:val="nil"/>
              <w:left w:val="nil"/>
              <w:bottom w:val="single" w:sz="4" w:space="0" w:color="auto"/>
              <w:right w:val="nil"/>
            </w:tcBorders>
            <w:shd w:val="clear" w:color="auto" w:fill="auto"/>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102</w:t>
            </w:r>
          </w:p>
        </w:tc>
        <w:tc>
          <w:tcPr>
            <w:tcW w:w="593" w:type="pct"/>
            <w:tcBorders>
              <w:top w:val="nil"/>
              <w:left w:val="single" w:sz="4" w:space="0" w:color="auto"/>
              <w:bottom w:val="single" w:sz="4" w:space="0" w:color="auto"/>
              <w:right w:val="nil"/>
            </w:tcBorders>
            <w:shd w:val="clear" w:color="auto" w:fill="auto"/>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146</w:t>
            </w:r>
          </w:p>
        </w:tc>
        <w:tc>
          <w:tcPr>
            <w:tcW w:w="593" w:type="pct"/>
            <w:tcBorders>
              <w:top w:val="nil"/>
              <w:left w:val="single" w:sz="4" w:space="0" w:color="auto"/>
              <w:bottom w:val="single" w:sz="4" w:space="0" w:color="auto"/>
              <w:right w:val="nil"/>
            </w:tcBorders>
            <w:shd w:val="clear" w:color="auto" w:fill="auto"/>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140</w:t>
            </w:r>
          </w:p>
        </w:tc>
        <w:tc>
          <w:tcPr>
            <w:tcW w:w="592" w:type="pct"/>
            <w:tcBorders>
              <w:top w:val="nil"/>
              <w:left w:val="single" w:sz="4" w:space="0" w:color="auto"/>
              <w:bottom w:val="single" w:sz="4" w:space="0" w:color="auto"/>
              <w:right w:val="single" w:sz="8" w:space="0" w:color="auto"/>
            </w:tcBorders>
            <w:shd w:val="clear" w:color="auto" w:fill="auto"/>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97</w:t>
            </w:r>
          </w:p>
        </w:tc>
      </w:tr>
      <w:tr w:rsidR="001B165D" w:rsidRPr="001B165D" w:rsidTr="001B165D">
        <w:trPr>
          <w:trHeight w:val="349"/>
        </w:trPr>
        <w:tc>
          <w:tcPr>
            <w:tcW w:w="2036" w:type="pct"/>
            <w:tcBorders>
              <w:top w:val="nil"/>
              <w:left w:val="single" w:sz="8" w:space="0" w:color="auto"/>
              <w:bottom w:val="single" w:sz="8" w:space="0" w:color="auto"/>
              <w:right w:val="nil"/>
            </w:tcBorders>
            <w:shd w:val="clear" w:color="000000" w:fill="C0C0C0"/>
            <w:vAlign w:val="bottom"/>
            <w:hideMark/>
          </w:tcPr>
          <w:p w:rsidR="001B165D" w:rsidRPr="001B165D" w:rsidRDefault="001B165D" w:rsidP="001B165D">
            <w:pPr>
              <w:rPr>
                <w:rFonts w:ascii="Calibri" w:hAnsi="Calibri" w:cs="Calibri"/>
                <w:szCs w:val="22"/>
                <w:lang w:eastAsia="en-AU"/>
              </w:rPr>
            </w:pPr>
            <w:proofErr w:type="spellStart"/>
            <w:r w:rsidRPr="001B165D">
              <w:rPr>
                <w:rFonts w:ascii="Calibri" w:hAnsi="Calibri" w:cs="Calibri"/>
                <w:szCs w:val="22"/>
                <w:lang w:eastAsia="en-AU"/>
              </w:rPr>
              <w:t>SACE</w:t>
            </w:r>
            <w:proofErr w:type="spellEnd"/>
            <w:r w:rsidRPr="001B165D">
              <w:rPr>
                <w:rFonts w:ascii="Calibri" w:hAnsi="Calibri" w:cs="Calibri"/>
                <w:szCs w:val="22"/>
                <w:lang w:eastAsia="en-AU"/>
              </w:rPr>
              <w:t xml:space="preserve"> completion rate </w:t>
            </w:r>
            <w:proofErr w:type="spellStart"/>
            <w:r w:rsidRPr="001B165D">
              <w:rPr>
                <w:rFonts w:ascii="Calibri" w:hAnsi="Calibri" w:cs="Calibri"/>
                <w:szCs w:val="22"/>
                <w:lang w:eastAsia="en-AU"/>
              </w:rPr>
              <w:t>LBOTE</w:t>
            </w:r>
            <w:proofErr w:type="spellEnd"/>
            <w:r w:rsidRPr="001B165D">
              <w:rPr>
                <w:rFonts w:ascii="Calibri" w:hAnsi="Calibri" w:cs="Calibri"/>
                <w:szCs w:val="22"/>
                <w:lang w:eastAsia="en-AU"/>
              </w:rPr>
              <w:t xml:space="preserve"> students (%) </w:t>
            </w:r>
            <w:r w:rsidRPr="001B165D">
              <w:rPr>
                <w:rFonts w:ascii="Calibri" w:hAnsi="Calibri" w:cs="Calibri"/>
                <w:szCs w:val="22"/>
                <w:vertAlign w:val="superscript"/>
                <w:lang w:eastAsia="en-AU"/>
              </w:rPr>
              <w:t>(2)</w:t>
            </w:r>
          </w:p>
        </w:tc>
        <w:tc>
          <w:tcPr>
            <w:tcW w:w="593" w:type="pct"/>
            <w:tcBorders>
              <w:top w:val="nil"/>
              <w:left w:val="single" w:sz="8" w:space="0" w:color="auto"/>
              <w:bottom w:val="single" w:sz="8" w:space="0" w:color="auto"/>
              <w:right w:val="single" w:sz="4" w:space="0" w:color="auto"/>
            </w:tcBorders>
            <w:shd w:val="clear" w:color="000000" w:fill="C0C0C0"/>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69.4%</w:t>
            </w:r>
          </w:p>
        </w:tc>
        <w:tc>
          <w:tcPr>
            <w:tcW w:w="593" w:type="pct"/>
            <w:tcBorders>
              <w:top w:val="single" w:sz="4" w:space="0" w:color="auto"/>
              <w:left w:val="single" w:sz="4" w:space="0" w:color="auto"/>
              <w:bottom w:val="single" w:sz="8" w:space="0" w:color="auto"/>
              <w:right w:val="nil"/>
            </w:tcBorders>
            <w:shd w:val="clear" w:color="000000" w:fill="FFCC99"/>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77.3%</w:t>
            </w:r>
          </w:p>
        </w:tc>
        <w:tc>
          <w:tcPr>
            <w:tcW w:w="593" w:type="pct"/>
            <w:tcBorders>
              <w:top w:val="single" w:sz="4" w:space="0" w:color="auto"/>
              <w:left w:val="single" w:sz="4" w:space="0" w:color="auto"/>
              <w:bottom w:val="single" w:sz="8" w:space="0" w:color="auto"/>
              <w:right w:val="nil"/>
            </w:tcBorders>
            <w:shd w:val="clear" w:color="000000" w:fill="FFCC99"/>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74.1%</w:t>
            </w:r>
          </w:p>
        </w:tc>
        <w:tc>
          <w:tcPr>
            <w:tcW w:w="593" w:type="pct"/>
            <w:tcBorders>
              <w:top w:val="single" w:sz="4" w:space="0" w:color="auto"/>
              <w:left w:val="single" w:sz="4" w:space="0" w:color="auto"/>
              <w:bottom w:val="single" w:sz="8" w:space="0" w:color="auto"/>
              <w:right w:val="nil"/>
            </w:tcBorders>
            <w:shd w:val="clear" w:color="000000" w:fill="FFCC99"/>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88.6%</w:t>
            </w:r>
          </w:p>
        </w:tc>
        <w:tc>
          <w:tcPr>
            <w:tcW w:w="592" w:type="pct"/>
            <w:tcBorders>
              <w:top w:val="single" w:sz="4" w:space="0" w:color="auto"/>
              <w:left w:val="single" w:sz="4" w:space="0" w:color="auto"/>
              <w:bottom w:val="single" w:sz="8" w:space="0" w:color="auto"/>
              <w:right w:val="single" w:sz="8" w:space="0" w:color="auto"/>
            </w:tcBorders>
            <w:shd w:val="clear" w:color="000000" w:fill="FFCC99"/>
            <w:noWrap/>
            <w:vAlign w:val="bottom"/>
            <w:hideMark/>
          </w:tcPr>
          <w:p w:rsidR="001B165D" w:rsidRPr="001B165D" w:rsidRDefault="001B165D" w:rsidP="001B165D">
            <w:pPr>
              <w:ind w:right="228" w:firstLineChars="200" w:firstLine="440"/>
              <w:jc w:val="right"/>
              <w:rPr>
                <w:rFonts w:ascii="Calibri" w:hAnsi="Calibri" w:cs="Calibri"/>
                <w:szCs w:val="22"/>
                <w:lang w:eastAsia="en-AU"/>
              </w:rPr>
            </w:pPr>
            <w:r w:rsidRPr="001B165D">
              <w:rPr>
                <w:rFonts w:ascii="Calibri" w:hAnsi="Calibri" w:cs="Calibri"/>
                <w:szCs w:val="22"/>
                <w:lang w:eastAsia="en-AU"/>
              </w:rPr>
              <w:t>19.3%</w:t>
            </w:r>
          </w:p>
        </w:tc>
      </w:tr>
    </w:tbl>
    <w:p w:rsidR="001B165D" w:rsidRPr="001B165D" w:rsidRDefault="001B165D" w:rsidP="001B165D">
      <w:pPr>
        <w:widowControl w:val="0"/>
        <w:spacing w:before="120" w:after="60"/>
        <w:contextualSpacing/>
        <w:rPr>
          <w:rFonts w:eastAsia="Calibri" w:cstheme="minorHAnsi"/>
          <w:b/>
          <w:szCs w:val="24"/>
        </w:rPr>
      </w:pPr>
    </w:p>
    <w:p w:rsidR="001B165D" w:rsidRPr="001B165D" w:rsidRDefault="001B165D" w:rsidP="001B165D">
      <w:pPr>
        <w:widowControl w:val="0"/>
        <w:spacing w:before="120" w:after="60"/>
        <w:contextualSpacing/>
        <w:rPr>
          <w:rFonts w:eastAsia="Calibri" w:cstheme="minorHAnsi"/>
          <w:b/>
          <w:szCs w:val="24"/>
        </w:rPr>
      </w:pPr>
      <w:r w:rsidRPr="001B165D">
        <w:rPr>
          <w:rFonts w:eastAsia="Calibri" w:cstheme="minorHAnsi"/>
          <w:b/>
          <w:szCs w:val="24"/>
        </w:rPr>
        <w:t xml:space="preserve">Table 3.1(b) – All schools in </w:t>
      </w:r>
      <w:proofErr w:type="spellStart"/>
      <w:r w:rsidRPr="001B165D">
        <w:rPr>
          <w:rFonts w:eastAsia="Calibri" w:cstheme="minorHAnsi"/>
          <w:b/>
          <w:szCs w:val="24"/>
        </w:rPr>
        <w:t>CMaD</w:t>
      </w:r>
      <w:proofErr w:type="spellEnd"/>
      <w:r w:rsidRPr="001B165D">
        <w:rPr>
          <w:rFonts w:eastAsia="Calibri" w:cstheme="minorHAnsi"/>
          <w:b/>
          <w:szCs w:val="24"/>
        </w:rPr>
        <w:t xml:space="preserve"> NP ‘whole-of-school’ interventions with </w:t>
      </w:r>
      <w:proofErr w:type="spellStart"/>
      <w:r w:rsidRPr="001B165D">
        <w:rPr>
          <w:rFonts w:eastAsia="Calibri" w:cstheme="minorHAnsi"/>
          <w:b/>
          <w:szCs w:val="24"/>
        </w:rPr>
        <w:t>SACE</w:t>
      </w:r>
      <w:proofErr w:type="spellEnd"/>
      <w:r w:rsidRPr="001B165D">
        <w:rPr>
          <w:rFonts w:eastAsia="Calibri" w:cstheme="minorHAnsi"/>
          <w:b/>
          <w:szCs w:val="24"/>
        </w:rPr>
        <w:t xml:space="preserve"> completions, since 2011</w:t>
      </w:r>
    </w:p>
    <w:tbl>
      <w:tblPr>
        <w:tblW w:w="5000" w:type="pct"/>
        <w:tblLook w:val="04A0" w:firstRow="1" w:lastRow="0" w:firstColumn="1" w:lastColumn="0" w:noHBand="0" w:noVBand="1"/>
      </w:tblPr>
      <w:tblGrid>
        <w:gridCol w:w="6911"/>
        <w:gridCol w:w="2013"/>
        <w:gridCol w:w="2013"/>
        <w:gridCol w:w="2013"/>
        <w:gridCol w:w="2007"/>
      </w:tblGrid>
      <w:tr w:rsidR="001B165D" w:rsidRPr="001B165D" w:rsidTr="001B165D">
        <w:trPr>
          <w:trHeight w:val="660"/>
        </w:trPr>
        <w:tc>
          <w:tcPr>
            <w:tcW w:w="2310" w:type="pct"/>
            <w:tcBorders>
              <w:top w:val="single" w:sz="8" w:space="0" w:color="auto"/>
              <w:left w:val="single" w:sz="8" w:space="0" w:color="auto"/>
              <w:bottom w:val="nil"/>
              <w:right w:val="nil"/>
            </w:tcBorders>
            <w:shd w:val="clear" w:color="000000" w:fill="B8CCE4"/>
            <w:vAlign w:val="center"/>
            <w:hideMark/>
          </w:tcPr>
          <w:p w:rsidR="001B165D" w:rsidRPr="001B165D" w:rsidRDefault="001B165D" w:rsidP="001B165D">
            <w:pPr>
              <w:rPr>
                <w:rFonts w:ascii="Calibri" w:hAnsi="Calibri" w:cs="Calibri"/>
                <w:b/>
                <w:bCs/>
                <w:color w:val="000000"/>
                <w:szCs w:val="22"/>
                <w:lang w:eastAsia="en-AU"/>
              </w:rPr>
            </w:pPr>
            <w:proofErr w:type="spellStart"/>
            <w:r w:rsidRPr="001B165D">
              <w:rPr>
                <w:rFonts w:ascii="Calibri" w:hAnsi="Calibri" w:cs="Calibri"/>
                <w:b/>
                <w:bCs/>
                <w:color w:val="000000"/>
                <w:szCs w:val="22"/>
                <w:lang w:eastAsia="en-AU"/>
              </w:rPr>
              <w:t>SACE</w:t>
            </w:r>
            <w:proofErr w:type="spellEnd"/>
            <w:r w:rsidRPr="001B165D">
              <w:rPr>
                <w:rFonts w:ascii="Calibri" w:hAnsi="Calibri" w:cs="Calibri"/>
                <w:b/>
                <w:bCs/>
                <w:color w:val="000000"/>
                <w:szCs w:val="22"/>
                <w:lang w:eastAsia="en-AU"/>
              </w:rPr>
              <w:t xml:space="preserve"> completion in </w:t>
            </w:r>
            <w:proofErr w:type="spellStart"/>
            <w:r w:rsidRPr="001B165D">
              <w:rPr>
                <w:rFonts w:ascii="Calibri" w:hAnsi="Calibri" w:cs="Calibri"/>
                <w:b/>
                <w:bCs/>
                <w:color w:val="000000"/>
                <w:szCs w:val="22"/>
                <w:lang w:eastAsia="en-AU"/>
              </w:rPr>
              <w:t>CMaD</w:t>
            </w:r>
            <w:proofErr w:type="spellEnd"/>
            <w:r w:rsidRPr="001B165D">
              <w:rPr>
                <w:rFonts w:ascii="Calibri" w:hAnsi="Calibri" w:cs="Calibri"/>
                <w:b/>
                <w:bCs/>
                <w:color w:val="000000"/>
                <w:szCs w:val="22"/>
                <w:lang w:eastAsia="en-AU"/>
              </w:rPr>
              <w:t xml:space="preserve"> NP schools participating since 2011 </w:t>
            </w:r>
            <w:r w:rsidRPr="001B165D">
              <w:rPr>
                <w:rFonts w:ascii="Calibri" w:hAnsi="Calibri" w:cs="Calibri"/>
                <w:color w:val="000000"/>
                <w:szCs w:val="22"/>
                <w:vertAlign w:val="superscript"/>
                <w:lang w:eastAsia="en-AU"/>
              </w:rPr>
              <w:t>(1)</w:t>
            </w:r>
          </w:p>
        </w:tc>
        <w:tc>
          <w:tcPr>
            <w:tcW w:w="673" w:type="pct"/>
            <w:tcBorders>
              <w:top w:val="single" w:sz="8" w:space="0" w:color="auto"/>
              <w:left w:val="single" w:sz="8" w:space="0" w:color="auto"/>
              <w:bottom w:val="single" w:sz="4" w:space="0" w:color="auto"/>
              <w:right w:val="nil"/>
            </w:tcBorders>
            <w:shd w:val="clear" w:color="000000" w:fill="B8CCE4"/>
            <w:vAlign w:val="center"/>
            <w:hideMark/>
          </w:tcPr>
          <w:p w:rsidR="001B165D" w:rsidRPr="001B165D" w:rsidRDefault="001B165D"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2010 (baseline)</w:t>
            </w:r>
          </w:p>
        </w:tc>
        <w:tc>
          <w:tcPr>
            <w:tcW w:w="673" w:type="pct"/>
            <w:tcBorders>
              <w:top w:val="single" w:sz="8" w:space="0" w:color="auto"/>
              <w:left w:val="single" w:sz="4" w:space="0" w:color="auto"/>
              <w:bottom w:val="single" w:sz="4" w:space="0" w:color="auto"/>
              <w:right w:val="nil"/>
            </w:tcBorders>
            <w:shd w:val="clear" w:color="000000" w:fill="B8CCE4"/>
            <w:vAlign w:val="center"/>
            <w:hideMark/>
          </w:tcPr>
          <w:p w:rsidR="001B165D" w:rsidRPr="001B165D" w:rsidRDefault="001B165D"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2011</w:t>
            </w:r>
          </w:p>
        </w:tc>
        <w:tc>
          <w:tcPr>
            <w:tcW w:w="673" w:type="pct"/>
            <w:tcBorders>
              <w:top w:val="single" w:sz="8" w:space="0" w:color="auto"/>
              <w:left w:val="single" w:sz="4" w:space="0" w:color="auto"/>
              <w:bottom w:val="single" w:sz="4" w:space="0" w:color="auto"/>
              <w:right w:val="nil"/>
            </w:tcBorders>
            <w:shd w:val="clear" w:color="000000" w:fill="B8CCE4"/>
            <w:vAlign w:val="center"/>
            <w:hideMark/>
          </w:tcPr>
          <w:p w:rsidR="001B165D" w:rsidRPr="001B165D" w:rsidRDefault="001B165D"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2012</w:t>
            </w:r>
          </w:p>
        </w:tc>
        <w:tc>
          <w:tcPr>
            <w:tcW w:w="673" w:type="pct"/>
            <w:tcBorders>
              <w:top w:val="single" w:sz="8" w:space="0" w:color="auto"/>
              <w:left w:val="single" w:sz="4" w:space="0" w:color="auto"/>
              <w:bottom w:val="single" w:sz="4" w:space="0" w:color="auto"/>
              <w:right w:val="single" w:sz="8" w:space="0" w:color="auto"/>
            </w:tcBorders>
            <w:shd w:val="clear" w:color="000000" w:fill="B8CCE4"/>
            <w:vAlign w:val="center"/>
            <w:hideMark/>
          </w:tcPr>
          <w:p w:rsidR="001B165D" w:rsidRPr="001B165D" w:rsidRDefault="001B165D"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Difference     2010-11</w:t>
            </w:r>
          </w:p>
        </w:tc>
      </w:tr>
      <w:tr w:rsidR="001B165D" w:rsidRPr="001B165D" w:rsidTr="001B165D">
        <w:trPr>
          <w:trHeight w:val="349"/>
        </w:trPr>
        <w:tc>
          <w:tcPr>
            <w:tcW w:w="2310" w:type="pct"/>
            <w:tcBorders>
              <w:top w:val="single" w:sz="8" w:space="0" w:color="auto"/>
              <w:left w:val="single" w:sz="8" w:space="0" w:color="auto"/>
              <w:bottom w:val="single" w:sz="4" w:space="0" w:color="auto"/>
              <w:right w:val="nil"/>
            </w:tcBorders>
            <w:shd w:val="clear" w:color="auto" w:fill="auto"/>
            <w:vAlign w:val="bottom"/>
            <w:hideMark/>
          </w:tcPr>
          <w:p w:rsidR="001B165D" w:rsidRPr="001B165D" w:rsidRDefault="001B165D" w:rsidP="001B165D">
            <w:pPr>
              <w:rPr>
                <w:rFonts w:ascii="Calibri" w:hAnsi="Calibri" w:cs="Calibri"/>
                <w:szCs w:val="22"/>
                <w:lang w:eastAsia="en-AU"/>
              </w:rPr>
            </w:pPr>
            <w:r w:rsidRPr="001B165D">
              <w:rPr>
                <w:rFonts w:ascii="Calibri" w:hAnsi="Calibri" w:cs="Calibri"/>
                <w:szCs w:val="22"/>
                <w:lang w:eastAsia="en-AU"/>
              </w:rPr>
              <w:t xml:space="preserve">Total no. of </w:t>
            </w:r>
            <w:proofErr w:type="spellStart"/>
            <w:r w:rsidRPr="001B165D">
              <w:rPr>
                <w:rFonts w:ascii="Calibri" w:hAnsi="Calibri" w:cs="Calibri"/>
                <w:szCs w:val="22"/>
                <w:lang w:eastAsia="en-AU"/>
              </w:rPr>
              <w:t>SACE</w:t>
            </w:r>
            <w:proofErr w:type="spellEnd"/>
            <w:r w:rsidRPr="001B165D">
              <w:rPr>
                <w:rFonts w:ascii="Calibri" w:hAnsi="Calibri" w:cs="Calibri"/>
                <w:szCs w:val="22"/>
                <w:lang w:eastAsia="en-AU"/>
              </w:rPr>
              <w:t xml:space="preserve"> completions</w:t>
            </w:r>
            <w:r w:rsidRPr="001B165D">
              <w:rPr>
                <w:rFonts w:ascii="Calibri" w:hAnsi="Calibri" w:cs="Calibri"/>
                <w:b/>
                <w:bCs/>
                <w:szCs w:val="22"/>
                <w:lang w:eastAsia="en-AU"/>
              </w:rPr>
              <w:t xml:space="preserve"> (all students)</w:t>
            </w:r>
          </w:p>
        </w:tc>
        <w:tc>
          <w:tcPr>
            <w:tcW w:w="673" w:type="pct"/>
            <w:tcBorders>
              <w:top w:val="single" w:sz="8" w:space="0" w:color="auto"/>
              <w:left w:val="single" w:sz="8" w:space="0" w:color="auto"/>
              <w:bottom w:val="single" w:sz="4" w:space="0" w:color="auto"/>
              <w:right w:val="nil"/>
            </w:tcBorders>
            <w:shd w:val="clear" w:color="auto" w:fill="auto"/>
            <w:noWrap/>
            <w:vAlign w:val="bottom"/>
            <w:hideMark/>
          </w:tcPr>
          <w:p w:rsidR="001B165D" w:rsidRPr="001B165D" w:rsidRDefault="001B165D" w:rsidP="001B165D">
            <w:pPr>
              <w:ind w:right="275" w:firstLineChars="200" w:firstLine="440"/>
              <w:jc w:val="right"/>
              <w:rPr>
                <w:rFonts w:ascii="Calibri" w:hAnsi="Calibri" w:cs="Calibri"/>
                <w:szCs w:val="22"/>
                <w:lang w:eastAsia="en-AU"/>
              </w:rPr>
            </w:pPr>
            <w:r w:rsidRPr="001B165D">
              <w:rPr>
                <w:rFonts w:ascii="Calibri" w:hAnsi="Calibri" w:cs="Calibri"/>
                <w:szCs w:val="22"/>
                <w:lang w:eastAsia="en-AU"/>
              </w:rPr>
              <w:t>1078</w:t>
            </w:r>
          </w:p>
        </w:tc>
        <w:tc>
          <w:tcPr>
            <w:tcW w:w="673" w:type="pct"/>
            <w:tcBorders>
              <w:top w:val="single" w:sz="8" w:space="0" w:color="auto"/>
              <w:left w:val="single" w:sz="4" w:space="0" w:color="auto"/>
              <w:bottom w:val="single" w:sz="4" w:space="0" w:color="auto"/>
              <w:right w:val="nil"/>
            </w:tcBorders>
            <w:shd w:val="clear" w:color="auto" w:fill="auto"/>
            <w:noWrap/>
            <w:vAlign w:val="bottom"/>
            <w:hideMark/>
          </w:tcPr>
          <w:p w:rsidR="001B165D" w:rsidRPr="001B165D" w:rsidRDefault="001B165D" w:rsidP="001B165D">
            <w:pPr>
              <w:ind w:right="275" w:firstLineChars="200" w:firstLine="440"/>
              <w:jc w:val="right"/>
              <w:rPr>
                <w:rFonts w:ascii="Calibri" w:hAnsi="Calibri" w:cs="Calibri"/>
                <w:szCs w:val="22"/>
                <w:lang w:eastAsia="en-AU"/>
              </w:rPr>
            </w:pPr>
            <w:r w:rsidRPr="001B165D">
              <w:rPr>
                <w:rFonts w:ascii="Calibri" w:hAnsi="Calibri" w:cs="Calibri"/>
                <w:szCs w:val="22"/>
                <w:lang w:eastAsia="en-AU"/>
              </w:rPr>
              <w:t>1015</w:t>
            </w:r>
          </w:p>
        </w:tc>
        <w:tc>
          <w:tcPr>
            <w:tcW w:w="673" w:type="pct"/>
            <w:tcBorders>
              <w:top w:val="single" w:sz="8" w:space="0" w:color="auto"/>
              <w:left w:val="single" w:sz="4" w:space="0" w:color="auto"/>
              <w:bottom w:val="single" w:sz="4" w:space="0" w:color="auto"/>
              <w:right w:val="nil"/>
            </w:tcBorders>
            <w:shd w:val="clear" w:color="auto" w:fill="auto"/>
            <w:noWrap/>
            <w:vAlign w:val="bottom"/>
            <w:hideMark/>
          </w:tcPr>
          <w:p w:rsidR="001B165D" w:rsidRPr="001B165D" w:rsidRDefault="001B165D" w:rsidP="001B165D">
            <w:pPr>
              <w:ind w:right="275" w:firstLineChars="200" w:firstLine="440"/>
              <w:jc w:val="right"/>
              <w:rPr>
                <w:rFonts w:ascii="Calibri" w:hAnsi="Calibri" w:cs="Calibri"/>
                <w:szCs w:val="22"/>
                <w:lang w:eastAsia="en-AU"/>
              </w:rPr>
            </w:pPr>
            <w:r w:rsidRPr="001B165D">
              <w:rPr>
                <w:rFonts w:ascii="Calibri" w:hAnsi="Calibri" w:cs="Calibri"/>
                <w:szCs w:val="22"/>
                <w:lang w:eastAsia="en-AU"/>
              </w:rPr>
              <w:t>1130</w:t>
            </w:r>
          </w:p>
        </w:tc>
        <w:tc>
          <w:tcPr>
            <w:tcW w:w="673" w:type="pct"/>
            <w:tcBorders>
              <w:top w:val="single" w:sz="8" w:space="0" w:color="auto"/>
              <w:left w:val="single" w:sz="4" w:space="0" w:color="auto"/>
              <w:bottom w:val="single" w:sz="4" w:space="0" w:color="auto"/>
              <w:right w:val="single" w:sz="8" w:space="0" w:color="auto"/>
            </w:tcBorders>
            <w:shd w:val="clear" w:color="auto" w:fill="auto"/>
            <w:noWrap/>
            <w:vAlign w:val="bottom"/>
            <w:hideMark/>
          </w:tcPr>
          <w:p w:rsidR="001B165D" w:rsidRPr="001B165D" w:rsidRDefault="001B165D" w:rsidP="001B165D">
            <w:pPr>
              <w:ind w:right="275" w:firstLineChars="200" w:firstLine="440"/>
              <w:jc w:val="right"/>
              <w:rPr>
                <w:rFonts w:ascii="Calibri" w:hAnsi="Calibri" w:cs="Calibri"/>
                <w:szCs w:val="22"/>
                <w:lang w:eastAsia="en-AU"/>
              </w:rPr>
            </w:pPr>
            <w:r w:rsidRPr="001B165D">
              <w:rPr>
                <w:rFonts w:ascii="Calibri" w:hAnsi="Calibri" w:cs="Calibri"/>
                <w:szCs w:val="22"/>
                <w:lang w:eastAsia="en-AU"/>
              </w:rPr>
              <w:t>52</w:t>
            </w:r>
          </w:p>
        </w:tc>
      </w:tr>
      <w:tr w:rsidR="001B165D" w:rsidRPr="001B165D" w:rsidTr="001B165D">
        <w:trPr>
          <w:trHeight w:val="349"/>
        </w:trPr>
        <w:tc>
          <w:tcPr>
            <w:tcW w:w="2310" w:type="pct"/>
            <w:tcBorders>
              <w:top w:val="nil"/>
              <w:left w:val="single" w:sz="8" w:space="0" w:color="auto"/>
              <w:bottom w:val="single" w:sz="4" w:space="0" w:color="auto"/>
              <w:right w:val="nil"/>
            </w:tcBorders>
            <w:shd w:val="clear" w:color="000000" w:fill="C0C0C0"/>
            <w:vAlign w:val="bottom"/>
            <w:hideMark/>
          </w:tcPr>
          <w:p w:rsidR="001B165D" w:rsidRPr="001B165D" w:rsidRDefault="001B165D" w:rsidP="001B165D">
            <w:pPr>
              <w:rPr>
                <w:rFonts w:ascii="Calibri" w:hAnsi="Calibri" w:cs="Calibri"/>
                <w:szCs w:val="22"/>
                <w:lang w:eastAsia="en-AU"/>
              </w:rPr>
            </w:pPr>
            <w:proofErr w:type="spellStart"/>
            <w:r w:rsidRPr="001B165D">
              <w:rPr>
                <w:rFonts w:ascii="Calibri" w:hAnsi="Calibri" w:cs="Calibri"/>
                <w:szCs w:val="22"/>
                <w:lang w:eastAsia="en-AU"/>
              </w:rPr>
              <w:t>SACE</w:t>
            </w:r>
            <w:proofErr w:type="spellEnd"/>
            <w:r w:rsidRPr="001B165D">
              <w:rPr>
                <w:rFonts w:ascii="Calibri" w:hAnsi="Calibri" w:cs="Calibri"/>
                <w:szCs w:val="22"/>
                <w:lang w:eastAsia="en-AU"/>
              </w:rPr>
              <w:t xml:space="preserve"> completion rate (all students (%) </w:t>
            </w:r>
            <w:r w:rsidRPr="001B165D">
              <w:rPr>
                <w:rFonts w:ascii="Calibri" w:hAnsi="Calibri" w:cs="Calibri"/>
                <w:szCs w:val="22"/>
                <w:vertAlign w:val="superscript"/>
                <w:lang w:eastAsia="en-AU"/>
              </w:rPr>
              <w:t>(2)</w:t>
            </w:r>
          </w:p>
        </w:tc>
        <w:tc>
          <w:tcPr>
            <w:tcW w:w="673" w:type="pct"/>
            <w:tcBorders>
              <w:top w:val="nil"/>
              <w:left w:val="single" w:sz="8" w:space="0" w:color="auto"/>
              <w:bottom w:val="single" w:sz="4" w:space="0" w:color="auto"/>
              <w:right w:val="nil"/>
            </w:tcBorders>
            <w:shd w:val="clear" w:color="000000" w:fill="C0C0C0"/>
            <w:noWrap/>
            <w:vAlign w:val="bottom"/>
            <w:hideMark/>
          </w:tcPr>
          <w:p w:rsidR="001B165D" w:rsidRPr="001B165D" w:rsidRDefault="001B165D" w:rsidP="001B165D">
            <w:pPr>
              <w:ind w:right="275" w:firstLineChars="200" w:firstLine="440"/>
              <w:jc w:val="right"/>
              <w:rPr>
                <w:rFonts w:ascii="Calibri" w:hAnsi="Calibri" w:cs="Calibri"/>
                <w:szCs w:val="22"/>
                <w:lang w:eastAsia="en-AU"/>
              </w:rPr>
            </w:pPr>
            <w:r w:rsidRPr="001B165D">
              <w:rPr>
                <w:rFonts w:ascii="Calibri" w:hAnsi="Calibri" w:cs="Calibri"/>
                <w:szCs w:val="22"/>
                <w:lang w:eastAsia="en-AU"/>
              </w:rPr>
              <w:t>86.9%</w:t>
            </w:r>
          </w:p>
        </w:tc>
        <w:tc>
          <w:tcPr>
            <w:tcW w:w="673" w:type="pct"/>
            <w:tcBorders>
              <w:top w:val="nil"/>
              <w:left w:val="single" w:sz="4" w:space="0" w:color="auto"/>
              <w:bottom w:val="single" w:sz="4" w:space="0" w:color="auto"/>
              <w:right w:val="nil"/>
            </w:tcBorders>
            <w:shd w:val="clear" w:color="000000" w:fill="C5D9F1"/>
            <w:noWrap/>
            <w:vAlign w:val="bottom"/>
            <w:hideMark/>
          </w:tcPr>
          <w:p w:rsidR="001B165D" w:rsidRPr="001B165D" w:rsidRDefault="001B165D" w:rsidP="001B165D">
            <w:pPr>
              <w:ind w:right="275" w:firstLineChars="200" w:firstLine="440"/>
              <w:jc w:val="right"/>
              <w:rPr>
                <w:rFonts w:ascii="Calibri" w:hAnsi="Calibri" w:cs="Calibri"/>
                <w:szCs w:val="22"/>
                <w:lang w:eastAsia="en-AU"/>
              </w:rPr>
            </w:pPr>
            <w:r w:rsidRPr="001B165D">
              <w:rPr>
                <w:rFonts w:ascii="Calibri" w:hAnsi="Calibri" w:cs="Calibri"/>
                <w:szCs w:val="22"/>
                <w:lang w:eastAsia="en-AU"/>
              </w:rPr>
              <w:t>84.1%</w:t>
            </w:r>
          </w:p>
        </w:tc>
        <w:tc>
          <w:tcPr>
            <w:tcW w:w="673" w:type="pct"/>
            <w:tcBorders>
              <w:top w:val="nil"/>
              <w:left w:val="single" w:sz="4" w:space="0" w:color="auto"/>
              <w:bottom w:val="single" w:sz="4" w:space="0" w:color="auto"/>
              <w:right w:val="nil"/>
            </w:tcBorders>
            <w:shd w:val="clear" w:color="000000" w:fill="C5D9F1"/>
            <w:noWrap/>
            <w:vAlign w:val="bottom"/>
            <w:hideMark/>
          </w:tcPr>
          <w:p w:rsidR="001B165D" w:rsidRPr="001B165D" w:rsidRDefault="001B165D" w:rsidP="001B165D">
            <w:pPr>
              <w:ind w:right="275" w:firstLineChars="200" w:firstLine="440"/>
              <w:jc w:val="right"/>
              <w:rPr>
                <w:rFonts w:ascii="Calibri" w:hAnsi="Calibri" w:cs="Calibri"/>
                <w:szCs w:val="22"/>
                <w:lang w:eastAsia="en-AU"/>
              </w:rPr>
            </w:pPr>
            <w:r w:rsidRPr="001B165D">
              <w:rPr>
                <w:rFonts w:ascii="Calibri" w:hAnsi="Calibri" w:cs="Calibri"/>
                <w:szCs w:val="22"/>
                <w:lang w:eastAsia="en-AU"/>
              </w:rPr>
              <w:t>89.9%</w:t>
            </w:r>
          </w:p>
        </w:tc>
        <w:tc>
          <w:tcPr>
            <w:tcW w:w="673" w:type="pct"/>
            <w:tcBorders>
              <w:top w:val="nil"/>
              <w:left w:val="single" w:sz="4" w:space="0" w:color="auto"/>
              <w:bottom w:val="single" w:sz="4" w:space="0" w:color="auto"/>
              <w:right w:val="single" w:sz="8" w:space="0" w:color="auto"/>
            </w:tcBorders>
            <w:shd w:val="clear" w:color="000000" w:fill="C5D9F1"/>
            <w:noWrap/>
            <w:vAlign w:val="bottom"/>
            <w:hideMark/>
          </w:tcPr>
          <w:p w:rsidR="001B165D" w:rsidRPr="001B165D" w:rsidRDefault="001B165D" w:rsidP="001B165D">
            <w:pPr>
              <w:ind w:right="275" w:firstLineChars="200" w:firstLine="440"/>
              <w:jc w:val="right"/>
              <w:rPr>
                <w:rFonts w:ascii="Calibri" w:hAnsi="Calibri" w:cs="Calibri"/>
                <w:szCs w:val="22"/>
                <w:lang w:eastAsia="en-AU"/>
              </w:rPr>
            </w:pPr>
            <w:r w:rsidRPr="001B165D">
              <w:rPr>
                <w:rFonts w:ascii="Calibri" w:hAnsi="Calibri" w:cs="Calibri"/>
                <w:szCs w:val="22"/>
                <w:lang w:eastAsia="en-AU"/>
              </w:rPr>
              <w:t>3.0%</w:t>
            </w:r>
          </w:p>
        </w:tc>
      </w:tr>
      <w:tr w:rsidR="001B165D" w:rsidRPr="001B165D" w:rsidTr="001B165D">
        <w:trPr>
          <w:trHeight w:val="349"/>
        </w:trPr>
        <w:tc>
          <w:tcPr>
            <w:tcW w:w="2310" w:type="pct"/>
            <w:tcBorders>
              <w:top w:val="nil"/>
              <w:left w:val="single" w:sz="8" w:space="0" w:color="auto"/>
              <w:bottom w:val="single" w:sz="4" w:space="0" w:color="auto"/>
              <w:right w:val="nil"/>
            </w:tcBorders>
            <w:shd w:val="clear" w:color="auto" w:fill="auto"/>
            <w:vAlign w:val="bottom"/>
            <w:hideMark/>
          </w:tcPr>
          <w:p w:rsidR="001B165D" w:rsidRPr="001B165D" w:rsidRDefault="001B165D" w:rsidP="001B165D">
            <w:pPr>
              <w:rPr>
                <w:rFonts w:ascii="Calibri" w:hAnsi="Calibri" w:cs="Calibri"/>
                <w:szCs w:val="22"/>
                <w:lang w:eastAsia="en-AU"/>
              </w:rPr>
            </w:pPr>
            <w:r w:rsidRPr="001B165D">
              <w:rPr>
                <w:rFonts w:ascii="Calibri" w:hAnsi="Calibri" w:cs="Calibri"/>
                <w:szCs w:val="22"/>
                <w:lang w:eastAsia="en-AU"/>
              </w:rPr>
              <w:t xml:space="preserve">Total no. of </w:t>
            </w:r>
            <w:proofErr w:type="spellStart"/>
            <w:r w:rsidRPr="001B165D">
              <w:rPr>
                <w:rFonts w:ascii="Calibri" w:hAnsi="Calibri" w:cs="Calibri"/>
                <w:szCs w:val="22"/>
                <w:lang w:eastAsia="en-AU"/>
              </w:rPr>
              <w:t>SACE</w:t>
            </w:r>
            <w:proofErr w:type="spellEnd"/>
            <w:r w:rsidRPr="001B165D">
              <w:rPr>
                <w:rFonts w:ascii="Calibri" w:hAnsi="Calibri" w:cs="Calibri"/>
                <w:szCs w:val="22"/>
                <w:lang w:eastAsia="en-AU"/>
              </w:rPr>
              <w:t xml:space="preserve"> completions</w:t>
            </w:r>
            <w:r w:rsidRPr="001B165D">
              <w:rPr>
                <w:rFonts w:ascii="Calibri" w:hAnsi="Calibri" w:cs="Calibri"/>
                <w:b/>
                <w:bCs/>
                <w:szCs w:val="22"/>
                <w:lang w:eastAsia="en-AU"/>
              </w:rPr>
              <w:t xml:space="preserve"> (Indigenous students) </w:t>
            </w:r>
            <w:r w:rsidRPr="001B165D">
              <w:rPr>
                <w:rFonts w:ascii="Calibri" w:hAnsi="Calibri" w:cs="Calibri"/>
                <w:szCs w:val="22"/>
                <w:vertAlign w:val="superscript"/>
                <w:lang w:eastAsia="en-AU"/>
              </w:rPr>
              <w:t>(3)</w:t>
            </w:r>
          </w:p>
        </w:tc>
        <w:tc>
          <w:tcPr>
            <w:tcW w:w="673" w:type="pct"/>
            <w:tcBorders>
              <w:top w:val="nil"/>
              <w:left w:val="single" w:sz="8" w:space="0" w:color="auto"/>
              <w:bottom w:val="single" w:sz="4" w:space="0" w:color="auto"/>
              <w:right w:val="nil"/>
            </w:tcBorders>
            <w:shd w:val="clear" w:color="auto" w:fill="auto"/>
            <w:noWrap/>
            <w:vAlign w:val="bottom"/>
            <w:hideMark/>
          </w:tcPr>
          <w:p w:rsidR="001B165D" w:rsidRPr="001B165D" w:rsidRDefault="001B165D" w:rsidP="001B165D">
            <w:pPr>
              <w:ind w:right="275" w:firstLineChars="200" w:firstLine="440"/>
              <w:jc w:val="right"/>
              <w:rPr>
                <w:rFonts w:ascii="Calibri" w:hAnsi="Calibri" w:cs="Calibri"/>
                <w:szCs w:val="22"/>
                <w:lang w:eastAsia="en-AU"/>
              </w:rPr>
            </w:pPr>
            <w:r w:rsidRPr="001B165D">
              <w:rPr>
                <w:rFonts w:ascii="Calibri" w:hAnsi="Calibri" w:cs="Calibri"/>
                <w:szCs w:val="22"/>
                <w:lang w:eastAsia="en-AU"/>
              </w:rPr>
              <w:t>24</w:t>
            </w:r>
          </w:p>
        </w:tc>
        <w:tc>
          <w:tcPr>
            <w:tcW w:w="673" w:type="pct"/>
            <w:tcBorders>
              <w:top w:val="nil"/>
              <w:left w:val="single" w:sz="4" w:space="0" w:color="auto"/>
              <w:bottom w:val="single" w:sz="4" w:space="0" w:color="auto"/>
              <w:right w:val="nil"/>
            </w:tcBorders>
            <w:shd w:val="clear" w:color="auto" w:fill="auto"/>
            <w:noWrap/>
            <w:vAlign w:val="bottom"/>
            <w:hideMark/>
          </w:tcPr>
          <w:p w:rsidR="001B165D" w:rsidRPr="001B165D" w:rsidRDefault="001B165D" w:rsidP="001B165D">
            <w:pPr>
              <w:ind w:right="275" w:firstLineChars="200" w:firstLine="440"/>
              <w:jc w:val="right"/>
              <w:rPr>
                <w:rFonts w:ascii="Calibri" w:hAnsi="Calibri" w:cs="Calibri"/>
                <w:szCs w:val="22"/>
                <w:lang w:eastAsia="en-AU"/>
              </w:rPr>
            </w:pPr>
            <w:r w:rsidRPr="001B165D">
              <w:rPr>
                <w:rFonts w:ascii="Calibri" w:hAnsi="Calibri" w:cs="Calibri"/>
                <w:szCs w:val="22"/>
                <w:lang w:eastAsia="en-AU"/>
              </w:rPr>
              <w:t>28</w:t>
            </w:r>
          </w:p>
        </w:tc>
        <w:tc>
          <w:tcPr>
            <w:tcW w:w="673" w:type="pct"/>
            <w:tcBorders>
              <w:top w:val="nil"/>
              <w:left w:val="single" w:sz="4" w:space="0" w:color="auto"/>
              <w:bottom w:val="single" w:sz="4" w:space="0" w:color="auto"/>
              <w:right w:val="nil"/>
            </w:tcBorders>
            <w:shd w:val="clear" w:color="auto" w:fill="auto"/>
            <w:noWrap/>
            <w:vAlign w:val="bottom"/>
            <w:hideMark/>
          </w:tcPr>
          <w:p w:rsidR="001B165D" w:rsidRPr="001B165D" w:rsidRDefault="001B165D" w:rsidP="001B165D">
            <w:pPr>
              <w:ind w:right="275" w:firstLineChars="200" w:firstLine="440"/>
              <w:jc w:val="right"/>
              <w:rPr>
                <w:rFonts w:ascii="Calibri" w:hAnsi="Calibri" w:cs="Calibri"/>
                <w:szCs w:val="22"/>
                <w:lang w:eastAsia="en-AU"/>
              </w:rPr>
            </w:pPr>
            <w:r w:rsidRPr="001B165D">
              <w:rPr>
                <w:rFonts w:ascii="Calibri" w:hAnsi="Calibri" w:cs="Calibri"/>
                <w:szCs w:val="22"/>
                <w:lang w:eastAsia="en-AU"/>
              </w:rPr>
              <w:t>34</w:t>
            </w:r>
          </w:p>
        </w:tc>
        <w:tc>
          <w:tcPr>
            <w:tcW w:w="673" w:type="pct"/>
            <w:tcBorders>
              <w:top w:val="nil"/>
              <w:left w:val="single" w:sz="4" w:space="0" w:color="auto"/>
              <w:bottom w:val="single" w:sz="4" w:space="0" w:color="auto"/>
              <w:right w:val="single" w:sz="8" w:space="0" w:color="auto"/>
            </w:tcBorders>
            <w:shd w:val="clear" w:color="auto" w:fill="auto"/>
            <w:noWrap/>
            <w:vAlign w:val="bottom"/>
            <w:hideMark/>
          </w:tcPr>
          <w:p w:rsidR="001B165D" w:rsidRPr="001B165D" w:rsidRDefault="001B165D" w:rsidP="001B165D">
            <w:pPr>
              <w:ind w:right="275" w:firstLineChars="200" w:firstLine="440"/>
              <w:jc w:val="right"/>
              <w:rPr>
                <w:rFonts w:ascii="Calibri" w:hAnsi="Calibri" w:cs="Calibri"/>
                <w:szCs w:val="22"/>
                <w:lang w:eastAsia="en-AU"/>
              </w:rPr>
            </w:pPr>
            <w:r w:rsidRPr="001B165D">
              <w:rPr>
                <w:rFonts w:ascii="Calibri" w:hAnsi="Calibri" w:cs="Calibri"/>
                <w:szCs w:val="22"/>
                <w:lang w:eastAsia="en-AU"/>
              </w:rPr>
              <w:t>10</w:t>
            </w:r>
          </w:p>
        </w:tc>
      </w:tr>
      <w:tr w:rsidR="001B165D" w:rsidRPr="001B165D" w:rsidTr="001B165D">
        <w:trPr>
          <w:trHeight w:val="349"/>
        </w:trPr>
        <w:tc>
          <w:tcPr>
            <w:tcW w:w="2310" w:type="pct"/>
            <w:tcBorders>
              <w:top w:val="nil"/>
              <w:left w:val="single" w:sz="8" w:space="0" w:color="auto"/>
              <w:bottom w:val="single" w:sz="4" w:space="0" w:color="auto"/>
              <w:right w:val="nil"/>
            </w:tcBorders>
            <w:shd w:val="clear" w:color="000000" w:fill="C0C0C0"/>
            <w:vAlign w:val="bottom"/>
            <w:hideMark/>
          </w:tcPr>
          <w:p w:rsidR="001B165D" w:rsidRPr="001B165D" w:rsidRDefault="001B165D" w:rsidP="001B165D">
            <w:pPr>
              <w:rPr>
                <w:rFonts w:ascii="Calibri" w:hAnsi="Calibri" w:cs="Calibri"/>
                <w:szCs w:val="22"/>
                <w:lang w:eastAsia="en-AU"/>
              </w:rPr>
            </w:pPr>
            <w:proofErr w:type="spellStart"/>
            <w:r w:rsidRPr="001B165D">
              <w:rPr>
                <w:rFonts w:ascii="Calibri" w:hAnsi="Calibri" w:cs="Calibri"/>
                <w:szCs w:val="22"/>
                <w:lang w:eastAsia="en-AU"/>
              </w:rPr>
              <w:t>SACE</w:t>
            </w:r>
            <w:proofErr w:type="spellEnd"/>
            <w:r w:rsidRPr="001B165D">
              <w:rPr>
                <w:rFonts w:ascii="Calibri" w:hAnsi="Calibri" w:cs="Calibri"/>
                <w:szCs w:val="22"/>
                <w:lang w:eastAsia="en-AU"/>
              </w:rPr>
              <w:t xml:space="preserve"> completion rate Indigenous students (%) </w:t>
            </w:r>
            <w:r w:rsidRPr="001B165D">
              <w:rPr>
                <w:rFonts w:ascii="Calibri" w:hAnsi="Calibri" w:cs="Calibri"/>
                <w:szCs w:val="22"/>
                <w:vertAlign w:val="superscript"/>
                <w:lang w:eastAsia="en-AU"/>
              </w:rPr>
              <w:t>(2)</w:t>
            </w:r>
          </w:p>
        </w:tc>
        <w:tc>
          <w:tcPr>
            <w:tcW w:w="673" w:type="pct"/>
            <w:tcBorders>
              <w:top w:val="nil"/>
              <w:left w:val="single" w:sz="8" w:space="0" w:color="auto"/>
              <w:bottom w:val="single" w:sz="4" w:space="0" w:color="auto"/>
              <w:right w:val="nil"/>
            </w:tcBorders>
            <w:shd w:val="clear" w:color="000000" w:fill="C0C0C0"/>
            <w:noWrap/>
            <w:vAlign w:val="bottom"/>
            <w:hideMark/>
          </w:tcPr>
          <w:p w:rsidR="001B165D" w:rsidRPr="001B165D" w:rsidRDefault="001B165D" w:rsidP="001B165D">
            <w:pPr>
              <w:ind w:right="275" w:firstLineChars="200" w:firstLine="440"/>
              <w:jc w:val="right"/>
              <w:rPr>
                <w:rFonts w:ascii="Calibri" w:hAnsi="Calibri" w:cs="Calibri"/>
                <w:szCs w:val="22"/>
                <w:lang w:eastAsia="en-AU"/>
              </w:rPr>
            </w:pPr>
            <w:r w:rsidRPr="001B165D">
              <w:rPr>
                <w:rFonts w:ascii="Calibri" w:hAnsi="Calibri" w:cs="Calibri"/>
                <w:szCs w:val="22"/>
                <w:lang w:eastAsia="en-AU"/>
              </w:rPr>
              <w:t>82.8%</w:t>
            </w:r>
          </w:p>
        </w:tc>
        <w:tc>
          <w:tcPr>
            <w:tcW w:w="673" w:type="pct"/>
            <w:tcBorders>
              <w:top w:val="nil"/>
              <w:left w:val="single" w:sz="4" w:space="0" w:color="auto"/>
              <w:bottom w:val="single" w:sz="4" w:space="0" w:color="auto"/>
              <w:right w:val="nil"/>
            </w:tcBorders>
            <w:shd w:val="clear" w:color="000000" w:fill="C5D9F1"/>
            <w:noWrap/>
            <w:vAlign w:val="bottom"/>
            <w:hideMark/>
          </w:tcPr>
          <w:p w:rsidR="001B165D" w:rsidRPr="001B165D" w:rsidRDefault="001B165D" w:rsidP="001B165D">
            <w:pPr>
              <w:ind w:right="275" w:firstLineChars="200" w:firstLine="440"/>
              <w:jc w:val="right"/>
              <w:rPr>
                <w:rFonts w:ascii="Calibri" w:hAnsi="Calibri" w:cs="Calibri"/>
                <w:szCs w:val="22"/>
                <w:lang w:eastAsia="en-AU"/>
              </w:rPr>
            </w:pPr>
            <w:r w:rsidRPr="001B165D">
              <w:rPr>
                <w:rFonts w:ascii="Calibri" w:hAnsi="Calibri" w:cs="Calibri"/>
                <w:szCs w:val="22"/>
                <w:lang w:eastAsia="en-AU"/>
              </w:rPr>
              <w:t>82.4%</w:t>
            </w:r>
          </w:p>
        </w:tc>
        <w:tc>
          <w:tcPr>
            <w:tcW w:w="673" w:type="pct"/>
            <w:tcBorders>
              <w:top w:val="nil"/>
              <w:left w:val="single" w:sz="4" w:space="0" w:color="auto"/>
              <w:bottom w:val="single" w:sz="4" w:space="0" w:color="auto"/>
              <w:right w:val="nil"/>
            </w:tcBorders>
            <w:shd w:val="clear" w:color="000000" w:fill="C5D9F1"/>
            <w:noWrap/>
            <w:vAlign w:val="bottom"/>
            <w:hideMark/>
          </w:tcPr>
          <w:p w:rsidR="001B165D" w:rsidRPr="001B165D" w:rsidRDefault="001B165D" w:rsidP="001B165D">
            <w:pPr>
              <w:ind w:right="275" w:firstLineChars="200" w:firstLine="440"/>
              <w:jc w:val="right"/>
              <w:rPr>
                <w:rFonts w:ascii="Calibri" w:hAnsi="Calibri" w:cs="Calibri"/>
                <w:szCs w:val="22"/>
                <w:lang w:eastAsia="en-AU"/>
              </w:rPr>
            </w:pPr>
            <w:r w:rsidRPr="001B165D">
              <w:rPr>
                <w:rFonts w:ascii="Calibri" w:hAnsi="Calibri" w:cs="Calibri"/>
                <w:szCs w:val="22"/>
                <w:lang w:eastAsia="en-AU"/>
              </w:rPr>
              <w:t>87.2%</w:t>
            </w:r>
          </w:p>
        </w:tc>
        <w:tc>
          <w:tcPr>
            <w:tcW w:w="673" w:type="pct"/>
            <w:tcBorders>
              <w:top w:val="nil"/>
              <w:left w:val="single" w:sz="4" w:space="0" w:color="auto"/>
              <w:bottom w:val="single" w:sz="4" w:space="0" w:color="auto"/>
              <w:right w:val="single" w:sz="8" w:space="0" w:color="auto"/>
            </w:tcBorders>
            <w:shd w:val="clear" w:color="000000" w:fill="C5D9F1"/>
            <w:noWrap/>
            <w:vAlign w:val="bottom"/>
            <w:hideMark/>
          </w:tcPr>
          <w:p w:rsidR="001B165D" w:rsidRPr="001B165D" w:rsidRDefault="001B165D" w:rsidP="001B165D">
            <w:pPr>
              <w:ind w:right="275" w:firstLineChars="200" w:firstLine="440"/>
              <w:jc w:val="right"/>
              <w:rPr>
                <w:rFonts w:ascii="Calibri" w:hAnsi="Calibri" w:cs="Calibri"/>
                <w:szCs w:val="22"/>
                <w:lang w:eastAsia="en-AU"/>
              </w:rPr>
            </w:pPr>
            <w:r w:rsidRPr="001B165D">
              <w:rPr>
                <w:rFonts w:ascii="Calibri" w:hAnsi="Calibri" w:cs="Calibri"/>
                <w:szCs w:val="22"/>
                <w:lang w:eastAsia="en-AU"/>
              </w:rPr>
              <w:t>4.4%</w:t>
            </w:r>
          </w:p>
        </w:tc>
      </w:tr>
      <w:tr w:rsidR="001B165D" w:rsidRPr="001B165D" w:rsidTr="001B165D">
        <w:trPr>
          <w:trHeight w:val="349"/>
        </w:trPr>
        <w:tc>
          <w:tcPr>
            <w:tcW w:w="2310" w:type="pct"/>
            <w:tcBorders>
              <w:top w:val="nil"/>
              <w:left w:val="single" w:sz="8" w:space="0" w:color="auto"/>
              <w:bottom w:val="single" w:sz="4" w:space="0" w:color="auto"/>
              <w:right w:val="nil"/>
            </w:tcBorders>
            <w:shd w:val="clear" w:color="auto" w:fill="auto"/>
            <w:vAlign w:val="bottom"/>
            <w:hideMark/>
          </w:tcPr>
          <w:p w:rsidR="001B165D" w:rsidRPr="001B165D" w:rsidRDefault="001B165D" w:rsidP="001B165D">
            <w:pPr>
              <w:rPr>
                <w:rFonts w:ascii="Calibri" w:hAnsi="Calibri" w:cs="Calibri"/>
                <w:szCs w:val="22"/>
                <w:lang w:eastAsia="en-AU"/>
              </w:rPr>
            </w:pPr>
            <w:r w:rsidRPr="001B165D">
              <w:rPr>
                <w:rFonts w:ascii="Calibri" w:hAnsi="Calibri" w:cs="Calibri"/>
                <w:szCs w:val="22"/>
                <w:lang w:eastAsia="en-AU"/>
              </w:rPr>
              <w:t xml:space="preserve">Total no. of </w:t>
            </w:r>
            <w:proofErr w:type="spellStart"/>
            <w:r w:rsidRPr="001B165D">
              <w:rPr>
                <w:rFonts w:ascii="Calibri" w:hAnsi="Calibri" w:cs="Calibri"/>
                <w:szCs w:val="22"/>
                <w:lang w:eastAsia="en-AU"/>
              </w:rPr>
              <w:t>SACE</w:t>
            </w:r>
            <w:proofErr w:type="spellEnd"/>
            <w:r w:rsidRPr="001B165D">
              <w:rPr>
                <w:rFonts w:ascii="Calibri" w:hAnsi="Calibri" w:cs="Calibri"/>
                <w:szCs w:val="22"/>
                <w:lang w:eastAsia="en-AU"/>
              </w:rPr>
              <w:t xml:space="preserve"> completions </w:t>
            </w:r>
            <w:r w:rsidRPr="001B165D">
              <w:rPr>
                <w:rFonts w:ascii="Calibri" w:hAnsi="Calibri" w:cs="Calibri"/>
                <w:b/>
                <w:bCs/>
                <w:szCs w:val="22"/>
                <w:lang w:eastAsia="en-AU"/>
              </w:rPr>
              <w:t>(</w:t>
            </w:r>
            <w:proofErr w:type="spellStart"/>
            <w:r w:rsidRPr="001B165D">
              <w:rPr>
                <w:rFonts w:ascii="Calibri" w:hAnsi="Calibri" w:cs="Calibri"/>
                <w:b/>
                <w:bCs/>
                <w:szCs w:val="22"/>
                <w:lang w:eastAsia="en-AU"/>
              </w:rPr>
              <w:t>LBOTE</w:t>
            </w:r>
            <w:proofErr w:type="spellEnd"/>
            <w:r w:rsidRPr="001B165D">
              <w:rPr>
                <w:rFonts w:ascii="Calibri" w:hAnsi="Calibri" w:cs="Calibri"/>
                <w:b/>
                <w:bCs/>
                <w:szCs w:val="22"/>
                <w:lang w:eastAsia="en-AU"/>
              </w:rPr>
              <w:t xml:space="preserve"> students)</w:t>
            </w:r>
            <w:r w:rsidRPr="001B165D">
              <w:rPr>
                <w:rFonts w:ascii="Calibri" w:hAnsi="Calibri" w:cs="Calibri"/>
                <w:b/>
                <w:bCs/>
                <w:szCs w:val="22"/>
                <w:vertAlign w:val="superscript"/>
                <w:lang w:eastAsia="en-AU"/>
              </w:rPr>
              <w:t xml:space="preserve"> </w:t>
            </w:r>
            <w:r w:rsidRPr="001B165D">
              <w:rPr>
                <w:rFonts w:ascii="Calibri" w:hAnsi="Calibri" w:cs="Calibri"/>
                <w:szCs w:val="22"/>
                <w:vertAlign w:val="superscript"/>
                <w:lang w:eastAsia="en-AU"/>
              </w:rPr>
              <w:t>(4)</w:t>
            </w:r>
          </w:p>
        </w:tc>
        <w:tc>
          <w:tcPr>
            <w:tcW w:w="673" w:type="pct"/>
            <w:tcBorders>
              <w:top w:val="nil"/>
              <w:left w:val="single" w:sz="8" w:space="0" w:color="auto"/>
              <w:bottom w:val="single" w:sz="4" w:space="0" w:color="auto"/>
              <w:right w:val="nil"/>
            </w:tcBorders>
            <w:shd w:val="clear" w:color="auto" w:fill="auto"/>
            <w:noWrap/>
            <w:vAlign w:val="bottom"/>
            <w:hideMark/>
          </w:tcPr>
          <w:p w:rsidR="001B165D" w:rsidRPr="001B165D" w:rsidRDefault="001B165D" w:rsidP="001B165D">
            <w:pPr>
              <w:ind w:right="275" w:firstLineChars="200" w:firstLine="440"/>
              <w:jc w:val="right"/>
              <w:rPr>
                <w:rFonts w:ascii="Calibri" w:hAnsi="Calibri" w:cs="Calibri"/>
                <w:szCs w:val="22"/>
                <w:lang w:eastAsia="en-AU"/>
              </w:rPr>
            </w:pPr>
            <w:r w:rsidRPr="001B165D">
              <w:rPr>
                <w:rFonts w:ascii="Calibri" w:hAnsi="Calibri" w:cs="Calibri"/>
                <w:szCs w:val="22"/>
                <w:lang w:eastAsia="en-AU"/>
              </w:rPr>
              <w:t>183</w:t>
            </w:r>
          </w:p>
        </w:tc>
        <w:tc>
          <w:tcPr>
            <w:tcW w:w="673" w:type="pct"/>
            <w:tcBorders>
              <w:top w:val="nil"/>
              <w:left w:val="single" w:sz="4" w:space="0" w:color="auto"/>
              <w:bottom w:val="single" w:sz="4" w:space="0" w:color="auto"/>
              <w:right w:val="nil"/>
            </w:tcBorders>
            <w:shd w:val="clear" w:color="auto" w:fill="auto"/>
            <w:noWrap/>
            <w:vAlign w:val="bottom"/>
            <w:hideMark/>
          </w:tcPr>
          <w:p w:rsidR="001B165D" w:rsidRPr="001B165D" w:rsidRDefault="001B165D" w:rsidP="001B165D">
            <w:pPr>
              <w:ind w:right="275" w:firstLineChars="200" w:firstLine="440"/>
              <w:jc w:val="right"/>
              <w:rPr>
                <w:rFonts w:ascii="Calibri" w:hAnsi="Calibri" w:cs="Calibri"/>
                <w:szCs w:val="22"/>
                <w:lang w:eastAsia="en-AU"/>
              </w:rPr>
            </w:pPr>
            <w:r w:rsidRPr="001B165D">
              <w:rPr>
                <w:rFonts w:ascii="Calibri" w:hAnsi="Calibri" w:cs="Calibri"/>
                <w:szCs w:val="22"/>
                <w:lang w:eastAsia="en-AU"/>
              </w:rPr>
              <w:t>263</w:t>
            </w:r>
          </w:p>
        </w:tc>
        <w:tc>
          <w:tcPr>
            <w:tcW w:w="673" w:type="pct"/>
            <w:tcBorders>
              <w:top w:val="nil"/>
              <w:left w:val="single" w:sz="4" w:space="0" w:color="auto"/>
              <w:bottom w:val="single" w:sz="4" w:space="0" w:color="auto"/>
              <w:right w:val="nil"/>
            </w:tcBorders>
            <w:shd w:val="clear" w:color="auto" w:fill="auto"/>
            <w:noWrap/>
            <w:vAlign w:val="bottom"/>
            <w:hideMark/>
          </w:tcPr>
          <w:p w:rsidR="001B165D" w:rsidRPr="001B165D" w:rsidRDefault="001B165D" w:rsidP="001B165D">
            <w:pPr>
              <w:ind w:right="275" w:firstLineChars="200" w:firstLine="440"/>
              <w:jc w:val="right"/>
              <w:rPr>
                <w:rFonts w:ascii="Calibri" w:hAnsi="Calibri" w:cs="Calibri"/>
                <w:szCs w:val="22"/>
                <w:lang w:eastAsia="en-AU"/>
              </w:rPr>
            </w:pPr>
            <w:r w:rsidRPr="001B165D">
              <w:rPr>
                <w:rFonts w:ascii="Calibri" w:hAnsi="Calibri" w:cs="Calibri"/>
                <w:szCs w:val="22"/>
                <w:lang w:eastAsia="en-AU"/>
              </w:rPr>
              <w:t>235</w:t>
            </w:r>
          </w:p>
        </w:tc>
        <w:tc>
          <w:tcPr>
            <w:tcW w:w="673" w:type="pct"/>
            <w:tcBorders>
              <w:top w:val="nil"/>
              <w:left w:val="single" w:sz="4" w:space="0" w:color="auto"/>
              <w:bottom w:val="single" w:sz="4" w:space="0" w:color="auto"/>
              <w:right w:val="single" w:sz="8" w:space="0" w:color="auto"/>
            </w:tcBorders>
            <w:shd w:val="clear" w:color="auto" w:fill="auto"/>
            <w:noWrap/>
            <w:vAlign w:val="bottom"/>
            <w:hideMark/>
          </w:tcPr>
          <w:p w:rsidR="001B165D" w:rsidRPr="001B165D" w:rsidRDefault="001B165D" w:rsidP="001B165D">
            <w:pPr>
              <w:ind w:right="275" w:firstLineChars="200" w:firstLine="440"/>
              <w:jc w:val="right"/>
              <w:rPr>
                <w:rFonts w:ascii="Calibri" w:hAnsi="Calibri" w:cs="Calibri"/>
                <w:szCs w:val="22"/>
                <w:lang w:eastAsia="en-AU"/>
              </w:rPr>
            </w:pPr>
            <w:r w:rsidRPr="001B165D">
              <w:rPr>
                <w:rFonts w:ascii="Calibri" w:hAnsi="Calibri" w:cs="Calibri"/>
                <w:szCs w:val="22"/>
                <w:lang w:eastAsia="en-AU"/>
              </w:rPr>
              <w:t>52</w:t>
            </w:r>
          </w:p>
        </w:tc>
      </w:tr>
      <w:tr w:rsidR="001B165D" w:rsidRPr="001B165D" w:rsidTr="001B165D">
        <w:trPr>
          <w:trHeight w:val="349"/>
        </w:trPr>
        <w:tc>
          <w:tcPr>
            <w:tcW w:w="2310" w:type="pct"/>
            <w:tcBorders>
              <w:top w:val="nil"/>
              <w:left w:val="single" w:sz="8" w:space="0" w:color="auto"/>
              <w:bottom w:val="single" w:sz="8" w:space="0" w:color="auto"/>
              <w:right w:val="nil"/>
            </w:tcBorders>
            <w:shd w:val="clear" w:color="000000" w:fill="C0C0C0"/>
            <w:vAlign w:val="bottom"/>
            <w:hideMark/>
          </w:tcPr>
          <w:p w:rsidR="001B165D" w:rsidRPr="001B165D" w:rsidRDefault="001B165D" w:rsidP="001B165D">
            <w:pPr>
              <w:rPr>
                <w:rFonts w:ascii="Calibri" w:hAnsi="Calibri" w:cs="Calibri"/>
                <w:szCs w:val="22"/>
                <w:lang w:eastAsia="en-AU"/>
              </w:rPr>
            </w:pPr>
            <w:proofErr w:type="spellStart"/>
            <w:r w:rsidRPr="001B165D">
              <w:rPr>
                <w:rFonts w:ascii="Calibri" w:hAnsi="Calibri" w:cs="Calibri"/>
                <w:szCs w:val="22"/>
                <w:lang w:eastAsia="en-AU"/>
              </w:rPr>
              <w:t>SACE</w:t>
            </w:r>
            <w:proofErr w:type="spellEnd"/>
            <w:r w:rsidRPr="001B165D">
              <w:rPr>
                <w:rFonts w:ascii="Calibri" w:hAnsi="Calibri" w:cs="Calibri"/>
                <w:szCs w:val="22"/>
                <w:lang w:eastAsia="en-AU"/>
              </w:rPr>
              <w:t xml:space="preserve"> completion rate </w:t>
            </w:r>
            <w:proofErr w:type="spellStart"/>
            <w:r w:rsidRPr="001B165D">
              <w:rPr>
                <w:rFonts w:ascii="Calibri" w:hAnsi="Calibri" w:cs="Calibri"/>
                <w:szCs w:val="22"/>
                <w:lang w:eastAsia="en-AU"/>
              </w:rPr>
              <w:t>LBOTE</w:t>
            </w:r>
            <w:proofErr w:type="spellEnd"/>
            <w:r w:rsidRPr="001B165D">
              <w:rPr>
                <w:rFonts w:ascii="Calibri" w:hAnsi="Calibri" w:cs="Calibri"/>
                <w:szCs w:val="22"/>
                <w:lang w:eastAsia="en-AU"/>
              </w:rPr>
              <w:t xml:space="preserve"> students (%) </w:t>
            </w:r>
            <w:r w:rsidRPr="001B165D">
              <w:rPr>
                <w:rFonts w:ascii="Calibri" w:hAnsi="Calibri" w:cs="Calibri"/>
                <w:szCs w:val="22"/>
                <w:vertAlign w:val="superscript"/>
                <w:lang w:eastAsia="en-AU"/>
              </w:rPr>
              <w:t>(2)</w:t>
            </w:r>
          </w:p>
        </w:tc>
        <w:tc>
          <w:tcPr>
            <w:tcW w:w="673" w:type="pct"/>
            <w:tcBorders>
              <w:top w:val="nil"/>
              <w:left w:val="single" w:sz="8" w:space="0" w:color="auto"/>
              <w:bottom w:val="single" w:sz="8" w:space="0" w:color="auto"/>
              <w:right w:val="nil"/>
            </w:tcBorders>
            <w:shd w:val="clear" w:color="000000" w:fill="C0C0C0"/>
            <w:noWrap/>
            <w:vAlign w:val="bottom"/>
            <w:hideMark/>
          </w:tcPr>
          <w:p w:rsidR="001B165D" w:rsidRPr="001B165D" w:rsidRDefault="001B165D" w:rsidP="001B165D">
            <w:pPr>
              <w:ind w:right="275" w:firstLineChars="200" w:firstLine="440"/>
              <w:jc w:val="right"/>
              <w:rPr>
                <w:rFonts w:ascii="Calibri" w:hAnsi="Calibri" w:cs="Calibri"/>
                <w:szCs w:val="22"/>
                <w:lang w:eastAsia="en-AU"/>
              </w:rPr>
            </w:pPr>
            <w:r w:rsidRPr="001B165D">
              <w:rPr>
                <w:rFonts w:ascii="Calibri" w:hAnsi="Calibri" w:cs="Calibri"/>
                <w:szCs w:val="22"/>
                <w:lang w:eastAsia="en-AU"/>
              </w:rPr>
              <w:t>80.6%</w:t>
            </w:r>
          </w:p>
        </w:tc>
        <w:tc>
          <w:tcPr>
            <w:tcW w:w="673" w:type="pct"/>
            <w:tcBorders>
              <w:top w:val="nil"/>
              <w:left w:val="single" w:sz="4" w:space="0" w:color="auto"/>
              <w:bottom w:val="single" w:sz="8" w:space="0" w:color="auto"/>
              <w:right w:val="nil"/>
            </w:tcBorders>
            <w:shd w:val="clear" w:color="000000" w:fill="C5D9F1"/>
            <w:noWrap/>
            <w:vAlign w:val="bottom"/>
            <w:hideMark/>
          </w:tcPr>
          <w:p w:rsidR="001B165D" w:rsidRPr="001B165D" w:rsidRDefault="001B165D" w:rsidP="001B165D">
            <w:pPr>
              <w:ind w:right="275" w:firstLineChars="200" w:firstLine="440"/>
              <w:jc w:val="right"/>
              <w:rPr>
                <w:rFonts w:ascii="Calibri" w:hAnsi="Calibri" w:cs="Calibri"/>
                <w:szCs w:val="22"/>
                <w:lang w:eastAsia="en-AU"/>
              </w:rPr>
            </w:pPr>
            <w:r w:rsidRPr="001B165D">
              <w:rPr>
                <w:rFonts w:ascii="Calibri" w:hAnsi="Calibri" w:cs="Calibri"/>
                <w:szCs w:val="22"/>
                <w:lang w:eastAsia="en-AU"/>
              </w:rPr>
              <w:t>82.7%</w:t>
            </w:r>
          </w:p>
        </w:tc>
        <w:tc>
          <w:tcPr>
            <w:tcW w:w="673" w:type="pct"/>
            <w:tcBorders>
              <w:top w:val="nil"/>
              <w:left w:val="single" w:sz="4" w:space="0" w:color="auto"/>
              <w:bottom w:val="single" w:sz="8" w:space="0" w:color="auto"/>
              <w:right w:val="nil"/>
            </w:tcBorders>
            <w:shd w:val="clear" w:color="000000" w:fill="C5D9F1"/>
            <w:noWrap/>
            <w:vAlign w:val="bottom"/>
            <w:hideMark/>
          </w:tcPr>
          <w:p w:rsidR="001B165D" w:rsidRPr="001B165D" w:rsidRDefault="001B165D" w:rsidP="001B165D">
            <w:pPr>
              <w:ind w:right="275" w:firstLineChars="200" w:firstLine="440"/>
              <w:jc w:val="right"/>
              <w:rPr>
                <w:rFonts w:ascii="Calibri" w:hAnsi="Calibri" w:cs="Calibri"/>
                <w:szCs w:val="22"/>
                <w:lang w:eastAsia="en-AU"/>
              </w:rPr>
            </w:pPr>
            <w:r w:rsidRPr="001B165D">
              <w:rPr>
                <w:rFonts w:ascii="Calibri" w:hAnsi="Calibri" w:cs="Calibri"/>
                <w:szCs w:val="22"/>
                <w:lang w:eastAsia="en-AU"/>
              </w:rPr>
              <w:t>85.8%</w:t>
            </w:r>
          </w:p>
        </w:tc>
        <w:tc>
          <w:tcPr>
            <w:tcW w:w="673" w:type="pct"/>
            <w:tcBorders>
              <w:top w:val="nil"/>
              <w:left w:val="single" w:sz="4" w:space="0" w:color="auto"/>
              <w:bottom w:val="single" w:sz="8" w:space="0" w:color="auto"/>
              <w:right w:val="single" w:sz="8" w:space="0" w:color="auto"/>
            </w:tcBorders>
            <w:shd w:val="clear" w:color="000000" w:fill="C5D9F1"/>
            <w:noWrap/>
            <w:vAlign w:val="bottom"/>
            <w:hideMark/>
          </w:tcPr>
          <w:p w:rsidR="001B165D" w:rsidRPr="001B165D" w:rsidRDefault="001B165D" w:rsidP="001B165D">
            <w:pPr>
              <w:ind w:right="275" w:firstLineChars="200" w:firstLine="440"/>
              <w:jc w:val="right"/>
              <w:rPr>
                <w:rFonts w:ascii="Calibri" w:hAnsi="Calibri" w:cs="Calibri"/>
                <w:szCs w:val="22"/>
                <w:lang w:eastAsia="en-AU"/>
              </w:rPr>
            </w:pPr>
            <w:r w:rsidRPr="001B165D">
              <w:rPr>
                <w:rFonts w:ascii="Calibri" w:hAnsi="Calibri" w:cs="Calibri"/>
                <w:szCs w:val="22"/>
                <w:lang w:eastAsia="en-AU"/>
              </w:rPr>
              <w:t>5.1%</w:t>
            </w:r>
          </w:p>
        </w:tc>
      </w:tr>
    </w:tbl>
    <w:p w:rsidR="001B165D" w:rsidRPr="001B165D" w:rsidRDefault="001B165D" w:rsidP="001B165D">
      <w:pPr>
        <w:widowControl w:val="0"/>
        <w:spacing w:before="120" w:after="60"/>
        <w:contextualSpacing/>
        <w:rPr>
          <w:rFonts w:eastAsia="Calibri" w:cstheme="minorHAnsi"/>
          <w:b/>
          <w:szCs w:val="24"/>
        </w:rPr>
      </w:pPr>
    </w:p>
    <w:p w:rsidR="0010157C" w:rsidRDefault="0010157C" w:rsidP="001B165D">
      <w:pPr>
        <w:widowControl w:val="0"/>
        <w:spacing w:before="120" w:after="60"/>
        <w:contextualSpacing/>
        <w:rPr>
          <w:rFonts w:eastAsia="Calibri" w:cstheme="minorHAnsi"/>
          <w:b/>
          <w:szCs w:val="24"/>
        </w:rPr>
      </w:pPr>
      <w:r>
        <w:rPr>
          <w:rFonts w:eastAsia="Calibri" w:cstheme="minorHAnsi"/>
          <w:b/>
          <w:szCs w:val="24"/>
        </w:rPr>
        <w:br w:type="page"/>
      </w:r>
    </w:p>
    <w:p w:rsidR="001B165D" w:rsidRPr="001B165D" w:rsidRDefault="001B165D" w:rsidP="00011B40">
      <w:pPr>
        <w:rPr>
          <w:rFonts w:eastAsia="Calibri"/>
        </w:rPr>
      </w:pPr>
      <w:r w:rsidRPr="001B165D">
        <w:rPr>
          <w:rFonts w:eastAsia="Calibri"/>
        </w:rPr>
        <w:lastRenderedPageBreak/>
        <w:t xml:space="preserve">Discretion should be used when considering </w:t>
      </w:r>
      <w:proofErr w:type="spellStart"/>
      <w:r w:rsidRPr="001B165D">
        <w:rPr>
          <w:rFonts w:eastAsia="Calibri"/>
        </w:rPr>
        <w:t>CMaD</w:t>
      </w:r>
      <w:proofErr w:type="spellEnd"/>
      <w:r w:rsidRPr="001B165D">
        <w:rPr>
          <w:rFonts w:eastAsia="Calibri"/>
        </w:rPr>
        <w:t xml:space="preserve"> NP schools participating since 2012, as results would be expected to fluctuate due to the short time frame and the small number of schools in this category (only six </w:t>
      </w:r>
      <w:proofErr w:type="spellStart"/>
      <w:r w:rsidRPr="001B165D">
        <w:rPr>
          <w:rFonts w:eastAsia="Calibri"/>
        </w:rPr>
        <w:t>CMaD</w:t>
      </w:r>
      <w:proofErr w:type="spellEnd"/>
      <w:r w:rsidRPr="001B165D">
        <w:rPr>
          <w:rFonts w:eastAsia="Calibri"/>
        </w:rPr>
        <w:t xml:space="preserve"> NP schools had </w:t>
      </w:r>
      <w:proofErr w:type="spellStart"/>
      <w:r w:rsidRPr="001B165D">
        <w:rPr>
          <w:rFonts w:eastAsia="Calibri"/>
        </w:rPr>
        <w:t>SACE</w:t>
      </w:r>
      <w:proofErr w:type="spellEnd"/>
      <w:r w:rsidRPr="001B165D">
        <w:rPr>
          <w:rFonts w:eastAsia="Calibri"/>
        </w:rPr>
        <w:t xml:space="preserve"> completers).</w:t>
      </w:r>
    </w:p>
    <w:p w:rsidR="001B165D" w:rsidRPr="001B165D" w:rsidRDefault="001B165D" w:rsidP="001B165D">
      <w:pPr>
        <w:widowControl w:val="0"/>
        <w:spacing w:before="240" w:after="60"/>
        <w:rPr>
          <w:rFonts w:eastAsia="Calibri" w:cstheme="minorHAnsi"/>
          <w:b/>
          <w:szCs w:val="24"/>
        </w:rPr>
      </w:pPr>
      <w:r w:rsidRPr="001B165D">
        <w:rPr>
          <w:rFonts w:eastAsia="Calibri" w:cstheme="minorHAnsi"/>
          <w:b/>
          <w:szCs w:val="24"/>
        </w:rPr>
        <w:t xml:space="preserve">Table 3.1(c) – All schools in </w:t>
      </w:r>
      <w:proofErr w:type="spellStart"/>
      <w:r w:rsidRPr="001B165D">
        <w:rPr>
          <w:rFonts w:eastAsia="Calibri" w:cstheme="minorHAnsi"/>
          <w:b/>
          <w:szCs w:val="24"/>
        </w:rPr>
        <w:t>CMaD</w:t>
      </w:r>
      <w:proofErr w:type="spellEnd"/>
      <w:r w:rsidRPr="001B165D">
        <w:rPr>
          <w:rFonts w:eastAsia="Calibri" w:cstheme="minorHAnsi"/>
          <w:b/>
          <w:szCs w:val="24"/>
        </w:rPr>
        <w:t xml:space="preserve"> NP ‘whole-of-school’ interventions with </w:t>
      </w:r>
      <w:proofErr w:type="spellStart"/>
      <w:r w:rsidRPr="001B165D">
        <w:rPr>
          <w:rFonts w:eastAsia="Calibri" w:cstheme="minorHAnsi"/>
          <w:b/>
          <w:szCs w:val="24"/>
        </w:rPr>
        <w:t>SACE</w:t>
      </w:r>
      <w:proofErr w:type="spellEnd"/>
      <w:r w:rsidRPr="001B165D">
        <w:rPr>
          <w:rFonts w:eastAsia="Calibri" w:cstheme="minorHAnsi"/>
          <w:b/>
          <w:szCs w:val="24"/>
        </w:rPr>
        <w:t xml:space="preserve"> completions, since 2012</w:t>
      </w:r>
    </w:p>
    <w:tbl>
      <w:tblPr>
        <w:tblW w:w="5000" w:type="pct"/>
        <w:tblLook w:val="04A0" w:firstRow="1" w:lastRow="0" w:firstColumn="1" w:lastColumn="0" w:noHBand="0" w:noVBand="1"/>
      </w:tblPr>
      <w:tblGrid>
        <w:gridCol w:w="7985"/>
        <w:gridCol w:w="2324"/>
        <w:gridCol w:w="2324"/>
        <w:gridCol w:w="2324"/>
      </w:tblGrid>
      <w:tr w:rsidR="001B165D" w:rsidRPr="001B165D" w:rsidTr="001B165D">
        <w:trPr>
          <w:trHeight w:val="660"/>
        </w:trPr>
        <w:tc>
          <w:tcPr>
            <w:tcW w:w="2669" w:type="pct"/>
            <w:tcBorders>
              <w:top w:val="single" w:sz="8" w:space="0" w:color="auto"/>
              <w:left w:val="single" w:sz="8" w:space="0" w:color="auto"/>
              <w:bottom w:val="nil"/>
              <w:right w:val="nil"/>
            </w:tcBorders>
            <w:shd w:val="clear" w:color="000000" w:fill="92CDDC"/>
            <w:vAlign w:val="center"/>
            <w:hideMark/>
          </w:tcPr>
          <w:p w:rsidR="001B165D" w:rsidRPr="001B165D" w:rsidRDefault="001B165D" w:rsidP="001B165D">
            <w:pPr>
              <w:rPr>
                <w:rFonts w:ascii="Calibri" w:hAnsi="Calibri" w:cs="Calibri"/>
                <w:b/>
                <w:bCs/>
                <w:color w:val="000000"/>
                <w:szCs w:val="22"/>
                <w:lang w:eastAsia="en-AU"/>
              </w:rPr>
            </w:pPr>
            <w:proofErr w:type="spellStart"/>
            <w:r w:rsidRPr="001B165D">
              <w:rPr>
                <w:rFonts w:ascii="Calibri" w:hAnsi="Calibri" w:cs="Calibri"/>
                <w:b/>
                <w:bCs/>
                <w:color w:val="000000"/>
                <w:szCs w:val="22"/>
                <w:lang w:eastAsia="en-AU"/>
              </w:rPr>
              <w:t>SACE</w:t>
            </w:r>
            <w:proofErr w:type="spellEnd"/>
            <w:r w:rsidRPr="001B165D">
              <w:rPr>
                <w:rFonts w:ascii="Calibri" w:hAnsi="Calibri" w:cs="Calibri"/>
                <w:b/>
                <w:bCs/>
                <w:color w:val="000000"/>
                <w:szCs w:val="22"/>
                <w:lang w:eastAsia="en-AU"/>
              </w:rPr>
              <w:t xml:space="preserve"> completion in </w:t>
            </w:r>
            <w:proofErr w:type="spellStart"/>
            <w:r w:rsidRPr="001B165D">
              <w:rPr>
                <w:rFonts w:ascii="Calibri" w:hAnsi="Calibri" w:cs="Calibri"/>
                <w:b/>
                <w:bCs/>
                <w:color w:val="000000"/>
                <w:szCs w:val="22"/>
                <w:lang w:eastAsia="en-AU"/>
              </w:rPr>
              <w:t>CMaD</w:t>
            </w:r>
            <w:proofErr w:type="spellEnd"/>
            <w:r w:rsidRPr="001B165D">
              <w:rPr>
                <w:rFonts w:ascii="Calibri" w:hAnsi="Calibri" w:cs="Calibri"/>
                <w:b/>
                <w:bCs/>
                <w:color w:val="000000"/>
                <w:szCs w:val="22"/>
                <w:lang w:eastAsia="en-AU"/>
              </w:rPr>
              <w:t xml:space="preserve"> NP schools participating since 2012 </w:t>
            </w:r>
            <w:r w:rsidRPr="001B165D">
              <w:rPr>
                <w:rFonts w:ascii="Calibri" w:hAnsi="Calibri" w:cs="Calibri"/>
                <w:color w:val="000000"/>
                <w:szCs w:val="22"/>
                <w:vertAlign w:val="superscript"/>
                <w:lang w:eastAsia="en-AU"/>
              </w:rPr>
              <w:t>(1)</w:t>
            </w:r>
          </w:p>
        </w:tc>
        <w:tc>
          <w:tcPr>
            <w:tcW w:w="777" w:type="pct"/>
            <w:tcBorders>
              <w:top w:val="single" w:sz="8" w:space="0" w:color="auto"/>
              <w:left w:val="single" w:sz="8" w:space="0" w:color="auto"/>
              <w:bottom w:val="single" w:sz="4" w:space="0" w:color="auto"/>
              <w:right w:val="nil"/>
            </w:tcBorders>
            <w:shd w:val="clear" w:color="000000" w:fill="92CDDC"/>
            <w:vAlign w:val="center"/>
            <w:hideMark/>
          </w:tcPr>
          <w:p w:rsidR="001B165D" w:rsidRPr="001B165D" w:rsidRDefault="001B165D"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2011 (baseline)</w:t>
            </w:r>
          </w:p>
        </w:tc>
        <w:tc>
          <w:tcPr>
            <w:tcW w:w="777" w:type="pct"/>
            <w:tcBorders>
              <w:top w:val="single" w:sz="8" w:space="0" w:color="auto"/>
              <w:left w:val="single" w:sz="4" w:space="0" w:color="auto"/>
              <w:bottom w:val="single" w:sz="4" w:space="0" w:color="auto"/>
              <w:right w:val="nil"/>
            </w:tcBorders>
            <w:shd w:val="clear" w:color="000000" w:fill="92CDDC"/>
            <w:vAlign w:val="center"/>
            <w:hideMark/>
          </w:tcPr>
          <w:p w:rsidR="001B165D" w:rsidRPr="001B165D" w:rsidRDefault="001B165D"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2012</w:t>
            </w:r>
          </w:p>
        </w:tc>
        <w:tc>
          <w:tcPr>
            <w:tcW w:w="777" w:type="pct"/>
            <w:tcBorders>
              <w:top w:val="single" w:sz="8" w:space="0" w:color="auto"/>
              <w:left w:val="single" w:sz="4" w:space="0" w:color="auto"/>
              <w:bottom w:val="single" w:sz="4" w:space="0" w:color="auto"/>
              <w:right w:val="single" w:sz="8" w:space="0" w:color="auto"/>
            </w:tcBorders>
            <w:shd w:val="clear" w:color="000000" w:fill="92CDDC"/>
            <w:vAlign w:val="center"/>
            <w:hideMark/>
          </w:tcPr>
          <w:p w:rsidR="001B165D" w:rsidRPr="001B165D" w:rsidRDefault="001B165D"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Difference            2011-12</w:t>
            </w:r>
          </w:p>
        </w:tc>
      </w:tr>
      <w:tr w:rsidR="001B165D" w:rsidRPr="001B165D" w:rsidTr="001B165D">
        <w:trPr>
          <w:trHeight w:val="349"/>
        </w:trPr>
        <w:tc>
          <w:tcPr>
            <w:tcW w:w="2669" w:type="pct"/>
            <w:tcBorders>
              <w:top w:val="single" w:sz="8" w:space="0" w:color="auto"/>
              <w:left w:val="single" w:sz="8" w:space="0" w:color="auto"/>
              <w:bottom w:val="single" w:sz="4" w:space="0" w:color="auto"/>
              <w:right w:val="nil"/>
            </w:tcBorders>
            <w:shd w:val="clear" w:color="auto" w:fill="auto"/>
            <w:vAlign w:val="bottom"/>
            <w:hideMark/>
          </w:tcPr>
          <w:p w:rsidR="001B165D" w:rsidRPr="001B165D" w:rsidRDefault="001B165D" w:rsidP="001B165D">
            <w:pPr>
              <w:rPr>
                <w:rFonts w:ascii="Calibri" w:hAnsi="Calibri" w:cs="Calibri"/>
                <w:szCs w:val="22"/>
                <w:lang w:eastAsia="en-AU"/>
              </w:rPr>
            </w:pPr>
            <w:r w:rsidRPr="001B165D">
              <w:rPr>
                <w:rFonts w:ascii="Calibri" w:hAnsi="Calibri" w:cs="Calibri"/>
                <w:szCs w:val="22"/>
                <w:lang w:eastAsia="en-AU"/>
              </w:rPr>
              <w:t xml:space="preserve">Total no. of </w:t>
            </w:r>
            <w:proofErr w:type="spellStart"/>
            <w:r w:rsidRPr="001B165D">
              <w:rPr>
                <w:rFonts w:ascii="Calibri" w:hAnsi="Calibri" w:cs="Calibri"/>
                <w:szCs w:val="22"/>
                <w:lang w:eastAsia="en-AU"/>
              </w:rPr>
              <w:t>SACE</w:t>
            </w:r>
            <w:proofErr w:type="spellEnd"/>
            <w:r w:rsidRPr="001B165D">
              <w:rPr>
                <w:rFonts w:ascii="Calibri" w:hAnsi="Calibri" w:cs="Calibri"/>
                <w:szCs w:val="22"/>
                <w:lang w:eastAsia="en-AU"/>
              </w:rPr>
              <w:t xml:space="preserve"> completions</w:t>
            </w:r>
            <w:r w:rsidRPr="001B165D">
              <w:rPr>
                <w:rFonts w:ascii="Calibri" w:hAnsi="Calibri" w:cs="Calibri"/>
                <w:b/>
                <w:bCs/>
                <w:szCs w:val="22"/>
                <w:lang w:eastAsia="en-AU"/>
              </w:rPr>
              <w:t xml:space="preserve"> (all students)</w:t>
            </w:r>
          </w:p>
        </w:tc>
        <w:tc>
          <w:tcPr>
            <w:tcW w:w="777" w:type="pct"/>
            <w:tcBorders>
              <w:top w:val="single" w:sz="8" w:space="0" w:color="auto"/>
              <w:left w:val="single" w:sz="8" w:space="0" w:color="auto"/>
              <w:bottom w:val="single" w:sz="4" w:space="0" w:color="auto"/>
              <w:right w:val="nil"/>
            </w:tcBorders>
            <w:shd w:val="clear" w:color="auto" w:fill="auto"/>
            <w:noWrap/>
            <w:vAlign w:val="bottom"/>
            <w:hideMark/>
          </w:tcPr>
          <w:p w:rsidR="001B165D" w:rsidRPr="001B165D" w:rsidRDefault="001B165D" w:rsidP="001B165D">
            <w:pPr>
              <w:ind w:right="329" w:firstLineChars="200" w:firstLine="440"/>
              <w:jc w:val="right"/>
              <w:rPr>
                <w:rFonts w:ascii="Calibri" w:hAnsi="Calibri" w:cs="Calibri"/>
                <w:szCs w:val="22"/>
                <w:lang w:eastAsia="en-AU"/>
              </w:rPr>
            </w:pPr>
            <w:r w:rsidRPr="001B165D">
              <w:rPr>
                <w:rFonts w:ascii="Calibri" w:hAnsi="Calibri" w:cs="Calibri"/>
                <w:szCs w:val="22"/>
                <w:lang w:eastAsia="en-AU"/>
              </w:rPr>
              <w:t>221</w:t>
            </w:r>
          </w:p>
        </w:tc>
        <w:tc>
          <w:tcPr>
            <w:tcW w:w="777" w:type="pct"/>
            <w:tcBorders>
              <w:top w:val="single" w:sz="8" w:space="0" w:color="auto"/>
              <w:left w:val="single" w:sz="4" w:space="0" w:color="auto"/>
              <w:bottom w:val="single" w:sz="4" w:space="0" w:color="auto"/>
              <w:right w:val="nil"/>
            </w:tcBorders>
            <w:shd w:val="clear" w:color="auto" w:fill="auto"/>
            <w:noWrap/>
            <w:vAlign w:val="bottom"/>
            <w:hideMark/>
          </w:tcPr>
          <w:p w:rsidR="001B165D" w:rsidRPr="001B165D" w:rsidRDefault="001B165D" w:rsidP="001B165D">
            <w:pPr>
              <w:ind w:right="329" w:firstLineChars="200" w:firstLine="440"/>
              <w:jc w:val="right"/>
              <w:rPr>
                <w:rFonts w:ascii="Calibri" w:hAnsi="Calibri" w:cs="Calibri"/>
                <w:szCs w:val="22"/>
                <w:lang w:eastAsia="en-AU"/>
              </w:rPr>
            </w:pPr>
            <w:r w:rsidRPr="001B165D">
              <w:rPr>
                <w:rFonts w:ascii="Calibri" w:hAnsi="Calibri" w:cs="Calibri"/>
                <w:szCs w:val="22"/>
                <w:lang w:eastAsia="en-AU"/>
              </w:rPr>
              <w:t>209</w:t>
            </w:r>
          </w:p>
        </w:tc>
        <w:tc>
          <w:tcPr>
            <w:tcW w:w="777" w:type="pct"/>
            <w:tcBorders>
              <w:top w:val="single" w:sz="8" w:space="0" w:color="auto"/>
              <w:left w:val="single" w:sz="4" w:space="0" w:color="auto"/>
              <w:bottom w:val="single" w:sz="4" w:space="0" w:color="auto"/>
              <w:right w:val="single" w:sz="8" w:space="0" w:color="auto"/>
            </w:tcBorders>
            <w:shd w:val="clear" w:color="auto" w:fill="auto"/>
            <w:noWrap/>
            <w:vAlign w:val="bottom"/>
            <w:hideMark/>
          </w:tcPr>
          <w:p w:rsidR="001B165D" w:rsidRPr="001B165D" w:rsidRDefault="001B165D" w:rsidP="001B165D">
            <w:pPr>
              <w:ind w:right="329" w:firstLineChars="200" w:firstLine="440"/>
              <w:jc w:val="right"/>
              <w:rPr>
                <w:rFonts w:ascii="Calibri" w:hAnsi="Calibri" w:cs="Calibri"/>
                <w:szCs w:val="22"/>
                <w:lang w:eastAsia="en-AU"/>
              </w:rPr>
            </w:pPr>
            <w:r w:rsidRPr="001B165D">
              <w:rPr>
                <w:rFonts w:ascii="Calibri" w:hAnsi="Calibri" w:cs="Calibri"/>
                <w:szCs w:val="22"/>
                <w:lang w:eastAsia="en-AU"/>
              </w:rPr>
              <w:t>-12</w:t>
            </w:r>
          </w:p>
        </w:tc>
      </w:tr>
      <w:tr w:rsidR="001B165D" w:rsidRPr="001B165D" w:rsidTr="001B165D">
        <w:trPr>
          <w:trHeight w:val="349"/>
        </w:trPr>
        <w:tc>
          <w:tcPr>
            <w:tcW w:w="2669" w:type="pct"/>
            <w:tcBorders>
              <w:top w:val="nil"/>
              <w:left w:val="single" w:sz="8" w:space="0" w:color="auto"/>
              <w:bottom w:val="single" w:sz="4" w:space="0" w:color="auto"/>
              <w:right w:val="nil"/>
            </w:tcBorders>
            <w:shd w:val="clear" w:color="000000" w:fill="C0C0C0"/>
            <w:vAlign w:val="bottom"/>
            <w:hideMark/>
          </w:tcPr>
          <w:p w:rsidR="001B165D" w:rsidRPr="001B165D" w:rsidRDefault="001B165D" w:rsidP="001B165D">
            <w:pPr>
              <w:rPr>
                <w:rFonts w:ascii="Calibri" w:hAnsi="Calibri" w:cs="Calibri"/>
                <w:szCs w:val="22"/>
                <w:lang w:eastAsia="en-AU"/>
              </w:rPr>
            </w:pPr>
            <w:proofErr w:type="spellStart"/>
            <w:r w:rsidRPr="001B165D">
              <w:rPr>
                <w:rFonts w:ascii="Calibri" w:hAnsi="Calibri" w:cs="Calibri"/>
                <w:szCs w:val="22"/>
                <w:lang w:eastAsia="en-AU"/>
              </w:rPr>
              <w:t>SACE</w:t>
            </w:r>
            <w:proofErr w:type="spellEnd"/>
            <w:r w:rsidRPr="001B165D">
              <w:rPr>
                <w:rFonts w:ascii="Calibri" w:hAnsi="Calibri" w:cs="Calibri"/>
                <w:szCs w:val="22"/>
                <w:lang w:eastAsia="en-AU"/>
              </w:rPr>
              <w:t xml:space="preserve"> completion rate (all students (%) </w:t>
            </w:r>
            <w:r w:rsidRPr="001B165D">
              <w:rPr>
                <w:rFonts w:ascii="Calibri" w:hAnsi="Calibri" w:cs="Calibri"/>
                <w:szCs w:val="22"/>
                <w:vertAlign w:val="superscript"/>
                <w:lang w:eastAsia="en-AU"/>
              </w:rPr>
              <w:t>(2)</w:t>
            </w:r>
          </w:p>
        </w:tc>
        <w:tc>
          <w:tcPr>
            <w:tcW w:w="777" w:type="pct"/>
            <w:tcBorders>
              <w:top w:val="nil"/>
              <w:left w:val="single" w:sz="8" w:space="0" w:color="auto"/>
              <w:bottom w:val="single" w:sz="4" w:space="0" w:color="auto"/>
              <w:right w:val="nil"/>
            </w:tcBorders>
            <w:shd w:val="clear" w:color="000000" w:fill="C0C0C0"/>
            <w:noWrap/>
            <w:vAlign w:val="bottom"/>
            <w:hideMark/>
          </w:tcPr>
          <w:p w:rsidR="001B165D" w:rsidRPr="001B165D" w:rsidRDefault="001B165D" w:rsidP="001B165D">
            <w:pPr>
              <w:ind w:right="329" w:firstLineChars="200" w:firstLine="440"/>
              <w:jc w:val="right"/>
              <w:rPr>
                <w:rFonts w:ascii="Calibri" w:hAnsi="Calibri" w:cs="Calibri"/>
                <w:szCs w:val="22"/>
                <w:lang w:eastAsia="en-AU"/>
              </w:rPr>
            </w:pPr>
            <w:r w:rsidRPr="001B165D">
              <w:rPr>
                <w:rFonts w:ascii="Calibri" w:hAnsi="Calibri" w:cs="Calibri"/>
                <w:szCs w:val="22"/>
                <w:lang w:eastAsia="en-AU"/>
              </w:rPr>
              <w:t>88.8%</w:t>
            </w:r>
          </w:p>
        </w:tc>
        <w:tc>
          <w:tcPr>
            <w:tcW w:w="777" w:type="pct"/>
            <w:tcBorders>
              <w:top w:val="nil"/>
              <w:left w:val="single" w:sz="4" w:space="0" w:color="auto"/>
              <w:bottom w:val="single" w:sz="4" w:space="0" w:color="auto"/>
              <w:right w:val="nil"/>
            </w:tcBorders>
            <w:shd w:val="clear" w:color="000000" w:fill="B7DEE8"/>
            <w:noWrap/>
            <w:vAlign w:val="bottom"/>
            <w:hideMark/>
          </w:tcPr>
          <w:p w:rsidR="001B165D" w:rsidRPr="001B165D" w:rsidRDefault="001B165D" w:rsidP="001B165D">
            <w:pPr>
              <w:ind w:right="329" w:firstLineChars="200" w:firstLine="440"/>
              <w:jc w:val="right"/>
              <w:rPr>
                <w:rFonts w:ascii="Calibri" w:hAnsi="Calibri" w:cs="Calibri"/>
                <w:szCs w:val="22"/>
                <w:lang w:eastAsia="en-AU"/>
              </w:rPr>
            </w:pPr>
            <w:r w:rsidRPr="001B165D">
              <w:rPr>
                <w:rFonts w:ascii="Calibri" w:hAnsi="Calibri" w:cs="Calibri"/>
                <w:szCs w:val="22"/>
                <w:lang w:eastAsia="en-AU"/>
              </w:rPr>
              <w:t>82.6%</w:t>
            </w:r>
          </w:p>
        </w:tc>
        <w:tc>
          <w:tcPr>
            <w:tcW w:w="777" w:type="pct"/>
            <w:tcBorders>
              <w:top w:val="nil"/>
              <w:left w:val="single" w:sz="4" w:space="0" w:color="auto"/>
              <w:bottom w:val="single" w:sz="4" w:space="0" w:color="auto"/>
              <w:right w:val="single" w:sz="8" w:space="0" w:color="auto"/>
            </w:tcBorders>
            <w:shd w:val="clear" w:color="000000" w:fill="B7DEE8"/>
            <w:noWrap/>
            <w:vAlign w:val="bottom"/>
            <w:hideMark/>
          </w:tcPr>
          <w:p w:rsidR="001B165D" w:rsidRPr="001B165D" w:rsidRDefault="001B165D" w:rsidP="001B165D">
            <w:pPr>
              <w:ind w:right="329" w:firstLineChars="200" w:firstLine="440"/>
              <w:jc w:val="right"/>
              <w:rPr>
                <w:rFonts w:ascii="Calibri" w:hAnsi="Calibri" w:cs="Calibri"/>
                <w:szCs w:val="22"/>
                <w:lang w:eastAsia="en-AU"/>
              </w:rPr>
            </w:pPr>
            <w:r w:rsidRPr="001B165D">
              <w:rPr>
                <w:rFonts w:ascii="Calibri" w:hAnsi="Calibri" w:cs="Calibri"/>
                <w:szCs w:val="22"/>
                <w:lang w:eastAsia="en-AU"/>
              </w:rPr>
              <w:t>-6.1%</w:t>
            </w:r>
          </w:p>
        </w:tc>
      </w:tr>
      <w:tr w:rsidR="001B165D" w:rsidRPr="001B165D" w:rsidTr="001B165D">
        <w:trPr>
          <w:trHeight w:val="349"/>
        </w:trPr>
        <w:tc>
          <w:tcPr>
            <w:tcW w:w="2669" w:type="pct"/>
            <w:tcBorders>
              <w:top w:val="nil"/>
              <w:left w:val="single" w:sz="8" w:space="0" w:color="auto"/>
              <w:bottom w:val="single" w:sz="4" w:space="0" w:color="auto"/>
              <w:right w:val="nil"/>
            </w:tcBorders>
            <w:shd w:val="clear" w:color="auto" w:fill="auto"/>
            <w:vAlign w:val="bottom"/>
            <w:hideMark/>
          </w:tcPr>
          <w:p w:rsidR="001B165D" w:rsidRPr="001B165D" w:rsidRDefault="001B165D" w:rsidP="001B165D">
            <w:pPr>
              <w:rPr>
                <w:rFonts w:ascii="Calibri" w:hAnsi="Calibri" w:cs="Calibri"/>
                <w:szCs w:val="22"/>
                <w:lang w:eastAsia="en-AU"/>
              </w:rPr>
            </w:pPr>
            <w:r w:rsidRPr="001B165D">
              <w:rPr>
                <w:rFonts w:ascii="Calibri" w:hAnsi="Calibri" w:cs="Calibri"/>
                <w:szCs w:val="22"/>
                <w:lang w:eastAsia="en-AU"/>
              </w:rPr>
              <w:t xml:space="preserve">Total no. of </w:t>
            </w:r>
            <w:proofErr w:type="spellStart"/>
            <w:r w:rsidRPr="001B165D">
              <w:rPr>
                <w:rFonts w:ascii="Calibri" w:hAnsi="Calibri" w:cs="Calibri"/>
                <w:szCs w:val="22"/>
                <w:lang w:eastAsia="en-AU"/>
              </w:rPr>
              <w:t>SACE</w:t>
            </w:r>
            <w:proofErr w:type="spellEnd"/>
            <w:r w:rsidRPr="001B165D">
              <w:rPr>
                <w:rFonts w:ascii="Calibri" w:hAnsi="Calibri" w:cs="Calibri"/>
                <w:szCs w:val="22"/>
                <w:lang w:eastAsia="en-AU"/>
              </w:rPr>
              <w:t xml:space="preserve"> completions</w:t>
            </w:r>
            <w:r w:rsidRPr="001B165D">
              <w:rPr>
                <w:rFonts w:ascii="Calibri" w:hAnsi="Calibri" w:cs="Calibri"/>
                <w:b/>
                <w:bCs/>
                <w:szCs w:val="22"/>
                <w:lang w:eastAsia="en-AU"/>
              </w:rPr>
              <w:t xml:space="preserve"> (Indigenous students) </w:t>
            </w:r>
            <w:r w:rsidRPr="001B165D">
              <w:rPr>
                <w:rFonts w:ascii="Calibri" w:hAnsi="Calibri" w:cs="Calibri"/>
                <w:szCs w:val="22"/>
                <w:vertAlign w:val="superscript"/>
                <w:lang w:eastAsia="en-AU"/>
              </w:rPr>
              <w:t>(3)</w:t>
            </w:r>
          </w:p>
        </w:tc>
        <w:tc>
          <w:tcPr>
            <w:tcW w:w="777" w:type="pct"/>
            <w:tcBorders>
              <w:top w:val="nil"/>
              <w:left w:val="single" w:sz="8" w:space="0" w:color="auto"/>
              <w:bottom w:val="single" w:sz="4" w:space="0" w:color="auto"/>
              <w:right w:val="nil"/>
            </w:tcBorders>
            <w:shd w:val="clear" w:color="auto" w:fill="auto"/>
            <w:noWrap/>
            <w:vAlign w:val="bottom"/>
            <w:hideMark/>
          </w:tcPr>
          <w:p w:rsidR="001B165D" w:rsidRPr="001B165D" w:rsidRDefault="001B165D" w:rsidP="001B165D">
            <w:pPr>
              <w:ind w:right="329" w:firstLineChars="200" w:firstLine="440"/>
              <w:jc w:val="right"/>
              <w:rPr>
                <w:rFonts w:ascii="Calibri" w:hAnsi="Calibri" w:cs="Calibri"/>
                <w:szCs w:val="22"/>
                <w:lang w:eastAsia="en-AU"/>
              </w:rPr>
            </w:pPr>
            <w:proofErr w:type="spellStart"/>
            <w:r w:rsidRPr="001B165D">
              <w:rPr>
                <w:rFonts w:ascii="Calibri" w:hAnsi="Calibri" w:cs="Calibri"/>
                <w:szCs w:val="22"/>
                <w:lang w:eastAsia="en-AU"/>
              </w:rPr>
              <w:t>na</w:t>
            </w:r>
            <w:proofErr w:type="spellEnd"/>
          </w:p>
        </w:tc>
        <w:tc>
          <w:tcPr>
            <w:tcW w:w="777" w:type="pct"/>
            <w:tcBorders>
              <w:top w:val="nil"/>
              <w:left w:val="single" w:sz="4" w:space="0" w:color="auto"/>
              <w:bottom w:val="single" w:sz="4" w:space="0" w:color="auto"/>
              <w:right w:val="nil"/>
            </w:tcBorders>
            <w:shd w:val="clear" w:color="auto" w:fill="auto"/>
            <w:noWrap/>
            <w:vAlign w:val="bottom"/>
            <w:hideMark/>
          </w:tcPr>
          <w:p w:rsidR="001B165D" w:rsidRPr="001B165D" w:rsidRDefault="001B165D" w:rsidP="001B165D">
            <w:pPr>
              <w:ind w:right="329" w:firstLineChars="200" w:firstLine="440"/>
              <w:jc w:val="right"/>
              <w:rPr>
                <w:rFonts w:ascii="Calibri" w:hAnsi="Calibri" w:cs="Calibri"/>
                <w:szCs w:val="22"/>
                <w:lang w:eastAsia="en-AU"/>
              </w:rPr>
            </w:pPr>
            <w:proofErr w:type="spellStart"/>
            <w:r w:rsidRPr="001B165D">
              <w:rPr>
                <w:rFonts w:ascii="Calibri" w:hAnsi="Calibri" w:cs="Calibri"/>
                <w:szCs w:val="22"/>
                <w:lang w:eastAsia="en-AU"/>
              </w:rPr>
              <w:t>na</w:t>
            </w:r>
            <w:proofErr w:type="spellEnd"/>
          </w:p>
        </w:tc>
        <w:tc>
          <w:tcPr>
            <w:tcW w:w="777" w:type="pct"/>
            <w:tcBorders>
              <w:top w:val="nil"/>
              <w:left w:val="single" w:sz="4" w:space="0" w:color="auto"/>
              <w:bottom w:val="single" w:sz="4" w:space="0" w:color="auto"/>
              <w:right w:val="single" w:sz="8" w:space="0" w:color="auto"/>
            </w:tcBorders>
            <w:shd w:val="clear" w:color="auto" w:fill="auto"/>
            <w:noWrap/>
            <w:vAlign w:val="bottom"/>
            <w:hideMark/>
          </w:tcPr>
          <w:p w:rsidR="001B165D" w:rsidRPr="001B165D" w:rsidRDefault="001B165D" w:rsidP="001B165D">
            <w:pPr>
              <w:ind w:right="329" w:firstLineChars="200" w:firstLine="440"/>
              <w:jc w:val="right"/>
              <w:rPr>
                <w:rFonts w:ascii="Calibri" w:hAnsi="Calibri" w:cs="Calibri"/>
                <w:szCs w:val="22"/>
                <w:lang w:eastAsia="en-AU"/>
              </w:rPr>
            </w:pPr>
            <w:proofErr w:type="spellStart"/>
            <w:r w:rsidRPr="001B165D">
              <w:rPr>
                <w:rFonts w:ascii="Calibri" w:hAnsi="Calibri" w:cs="Calibri"/>
                <w:szCs w:val="22"/>
                <w:lang w:eastAsia="en-AU"/>
              </w:rPr>
              <w:t>na</w:t>
            </w:r>
            <w:proofErr w:type="spellEnd"/>
          </w:p>
        </w:tc>
      </w:tr>
      <w:tr w:rsidR="001B165D" w:rsidRPr="001B165D" w:rsidTr="001B165D">
        <w:trPr>
          <w:trHeight w:val="349"/>
        </w:trPr>
        <w:tc>
          <w:tcPr>
            <w:tcW w:w="2669" w:type="pct"/>
            <w:tcBorders>
              <w:top w:val="nil"/>
              <w:left w:val="single" w:sz="8" w:space="0" w:color="auto"/>
              <w:bottom w:val="single" w:sz="4" w:space="0" w:color="auto"/>
              <w:right w:val="nil"/>
            </w:tcBorders>
            <w:shd w:val="clear" w:color="000000" w:fill="C0C0C0"/>
            <w:vAlign w:val="bottom"/>
            <w:hideMark/>
          </w:tcPr>
          <w:p w:rsidR="001B165D" w:rsidRPr="001B165D" w:rsidRDefault="001B165D" w:rsidP="001B165D">
            <w:pPr>
              <w:rPr>
                <w:rFonts w:ascii="Calibri" w:hAnsi="Calibri" w:cs="Calibri"/>
                <w:szCs w:val="22"/>
                <w:lang w:eastAsia="en-AU"/>
              </w:rPr>
            </w:pPr>
            <w:proofErr w:type="spellStart"/>
            <w:r w:rsidRPr="001B165D">
              <w:rPr>
                <w:rFonts w:ascii="Calibri" w:hAnsi="Calibri" w:cs="Calibri"/>
                <w:szCs w:val="22"/>
                <w:lang w:eastAsia="en-AU"/>
              </w:rPr>
              <w:t>SACE</w:t>
            </w:r>
            <w:proofErr w:type="spellEnd"/>
            <w:r w:rsidRPr="001B165D">
              <w:rPr>
                <w:rFonts w:ascii="Calibri" w:hAnsi="Calibri" w:cs="Calibri"/>
                <w:szCs w:val="22"/>
                <w:lang w:eastAsia="en-AU"/>
              </w:rPr>
              <w:t xml:space="preserve"> completion rate Indigenous students (%) </w:t>
            </w:r>
            <w:r w:rsidRPr="001B165D">
              <w:rPr>
                <w:rFonts w:ascii="Calibri" w:hAnsi="Calibri" w:cs="Calibri"/>
                <w:szCs w:val="22"/>
                <w:vertAlign w:val="superscript"/>
                <w:lang w:eastAsia="en-AU"/>
              </w:rPr>
              <w:t>(2)</w:t>
            </w:r>
          </w:p>
        </w:tc>
        <w:tc>
          <w:tcPr>
            <w:tcW w:w="777" w:type="pct"/>
            <w:tcBorders>
              <w:top w:val="nil"/>
              <w:left w:val="single" w:sz="8" w:space="0" w:color="auto"/>
              <w:bottom w:val="single" w:sz="4" w:space="0" w:color="auto"/>
              <w:right w:val="nil"/>
            </w:tcBorders>
            <w:shd w:val="clear" w:color="000000" w:fill="C0C0C0"/>
            <w:noWrap/>
            <w:vAlign w:val="bottom"/>
            <w:hideMark/>
          </w:tcPr>
          <w:p w:rsidR="001B165D" w:rsidRPr="001B165D" w:rsidRDefault="001B165D" w:rsidP="001B165D">
            <w:pPr>
              <w:ind w:right="329" w:firstLineChars="200" w:firstLine="440"/>
              <w:jc w:val="right"/>
              <w:rPr>
                <w:rFonts w:ascii="Calibri" w:hAnsi="Calibri" w:cs="Calibri"/>
                <w:szCs w:val="22"/>
                <w:lang w:eastAsia="en-AU"/>
              </w:rPr>
            </w:pPr>
            <w:proofErr w:type="spellStart"/>
            <w:r w:rsidRPr="001B165D">
              <w:rPr>
                <w:rFonts w:ascii="Calibri" w:hAnsi="Calibri" w:cs="Calibri"/>
                <w:szCs w:val="22"/>
                <w:lang w:eastAsia="en-AU"/>
              </w:rPr>
              <w:t>na</w:t>
            </w:r>
            <w:proofErr w:type="spellEnd"/>
          </w:p>
        </w:tc>
        <w:tc>
          <w:tcPr>
            <w:tcW w:w="777" w:type="pct"/>
            <w:tcBorders>
              <w:top w:val="nil"/>
              <w:left w:val="single" w:sz="4" w:space="0" w:color="auto"/>
              <w:bottom w:val="single" w:sz="4" w:space="0" w:color="auto"/>
              <w:right w:val="nil"/>
            </w:tcBorders>
            <w:shd w:val="clear" w:color="000000" w:fill="B7DEE8"/>
            <w:noWrap/>
            <w:vAlign w:val="bottom"/>
            <w:hideMark/>
          </w:tcPr>
          <w:p w:rsidR="001B165D" w:rsidRPr="001B165D" w:rsidRDefault="001B165D" w:rsidP="001B165D">
            <w:pPr>
              <w:ind w:right="329" w:firstLineChars="200" w:firstLine="440"/>
              <w:jc w:val="right"/>
              <w:rPr>
                <w:rFonts w:ascii="Calibri" w:hAnsi="Calibri" w:cs="Calibri"/>
                <w:szCs w:val="22"/>
                <w:lang w:eastAsia="en-AU"/>
              </w:rPr>
            </w:pPr>
            <w:proofErr w:type="spellStart"/>
            <w:r w:rsidRPr="001B165D">
              <w:rPr>
                <w:rFonts w:ascii="Calibri" w:hAnsi="Calibri" w:cs="Calibri"/>
                <w:szCs w:val="22"/>
                <w:lang w:eastAsia="en-AU"/>
              </w:rPr>
              <w:t>na</w:t>
            </w:r>
            <w:proofErr w:type="spellEnd"/>
          </w:p>
        </w:tc>
        <w:tc>
          <w:tcPr>
            <w:tcW w:w="777" w:type="pct"/>
            <w:tcBorders>
              <w:top w:val="nil"/>
              <w:left w:val="single" w:sz="4" w:space="0" w:color="auto"/>
              <w:bottom w:val="single" w:sz="4" w:space="0" w:color="auto"/>
              <w:right w:val="single" w:sz="8" w:space="0" w:color="auto"/>
            </w:tcBorders>
            <w:shd w:val="clear" w:color="000000" w:fill="B7DEE8"/>
            <w:noWrap/>
            <w:vAlign w:val="bottom"/>
            <w:hideMark/>
          </w:tcPr>
          <w:p w:rsidR="001B165D" w:rsidRPr="001B165D" w:rsidRDefault="001B165D" w:rsidP="001B165D">
            <w:pPr>
              <w:ind w:right="329" w:firstLineChars="200" w:firstLine="440"/>
              <w:jc w:val="right"/>
              <w:rPr>
                <w:rFonts w:ascii="Calibri" w:hAnsi="Calibri" w:cs="Calibri"/>
                <w:szCs w:val="22"/>
                <w:lang w:eastAsia="en-AU"/>
              </w:rPr>
            </w:pPr>
            <w:proofErr w:type="spellStart"/>
            <w:r w:rsidRPr="001B165D">
              <w:rPr>
                <w:rFonts w:ascii="Calibri" w:hAnsi="Calibri" w:cs="Calibri"/>
                <w:szCs w:val="22"/>
                <w:lang w:eastAsia="en-AU"/>
              </w:rPr>
              <w:t>na</w:t>
            </w:r>
            <w:proofErr w:type="spellEnd"/>
          </w:p>
        </w:tc>
      </w:tr>
      <w:tr w:rsidR="001B165D" w:rsidRPr="001B165D" w:rsidTr="001B165D">
        <w:trPr>
          <w:trHeight w:val="349"/>
        </w:trPr>
        <w:tc>
          <w:tcPr>
            <w:tcW w:w="2669" w:type="pct"/>
            <w:tcBorders>
              <w:top w:val="nil"/>
              <w:left w:val="single" w:sz="8" w:space="0" w:color="auto"/>
              <w:bottom w:val="single" w:sz="4" w:space="0" w:color="auto"/>
              <w:right w:val="nil"/>
            </w:tcBorders>
            <w:shd w:val="clear" w:color="auto" w:fill="auto"/>
            <w:vAlign w:val="bottom"/>
            <w:hideMark/>
          </w:tcPr>
          <w:p w:rsidR="001B165D" w:rsidRPr="001B165D" w:rsidRDefault="001B165D" w:rsidP="001B165D">
            <w:pPr>
              <w:rPr>
                <w:rFonts w:ascii="Calibri" w:hAnsi="Calibri" w:cs="Calibri"/>
                <w:szCs w:val="22"/>
                <w:lang w:eastAsia="en-AU"/>
              </w:rPr>
            </w:pPr>
            <w:r w:rsidRPr="001B165D">
              <w:rPr>
                <w:rFonts w:ascii="Calibri" w:hAnsi="Calibri" w:cs="Calibri"/>
                <w:szCs w:val="22"/>
                <w:lang w:eastAsia="en-AU"/>
              </w:rPr>
              <w:t xml:space="preserve">Total no. of </w:t>
            </w:r>
            <w:proofErr w:type="spellStart"/>
            <w:r w:rsidRPr="001B165D">
              <w:rPr>
                <w:rFonts w:ascii="Calibri" w:hAnsi="Calibri" w:cs="Calibri"/>
                <w:szCs w:val="22"/>
                <w:lang w:eastAsia="en-AU"/>
              </w:rPr>
              <w:t>SACE</w:t>
            </w:r>
            <w:proofErr w:type="spellEnd"/>
            <w:r w:rsidRPr="001B165D">
              <w:rPr>
                <w:rFonts w:ascii="Calibri" w:hAnsi="Calibri" w:cs="Calibri"/>
                <w:szCs w:val="22"/>
                <w:lang w:eastAsia="en-AU"/>
              </w:rPr>
              <w:t xml:space="preserve"> completions </w:t>
            </w:r>
            <w:r w:rsidRPr="001B165D">
              <w:rPr>
                <w:rFonts w:ascii="Calibri" w:hAnsi="Calibri" w:cs="Calibri"/>
                <w:b/>
                <w:bCs/>
                <w:szCs w:val="22"/>
                <w:lang w:eastAsia="en-AU"/>
              </w:rPr>
              <w:t>(</w:t>
            </w:r>
            <w:proofErr w:type="spellStart"/>
            <w:r w:rsidRPr="001B165D">
              <w:rPr>
                <w:rFonts w:ascii="Calibri" w:hAnsi="Calibri" w:cs="Calibri"/>
                <w:b/>
                <w:bCs/>
                <w:szCs w:val="22"/>
                <w:lang w:eastAsia="en-AU"/>
              </w:rPr>
              <w:t>LBOTE</w:t>
            </w:r>
            <w:proofErr w:type="spellEnd"/>
            <w:r w:rsidRPr="001B165D">
              <w:rPr>
                <w:rFonts w:ascii="Calibri" w:hAnsi="Calibri" w:cs="Calibri"/>
                <w:b/>
                <w:bCs/>
                <w:szCs w:val="22"/>
                <w:lang w:eastAsia="en-AU"/>
              </w:rPr>
              <w:t xml:space="preserve"> students)</w:t>
            </w:r>
            <w:r w:rsidRPr="001B165D">
              <w:rPr>
                <w:rFonts w:ascii="Calibri" w:hAnsi="Calibri" w:cs="Calibri"/>
                <w:b/>
                <w:bCs/>
                <w:szCs w:val="22"/>
                <w:vertAlign w:val="superscript"/>
                <w:lang w:eastAsia="en-AU"/>
              </w:rPr>
              <w:t xml:space="preserve"> </w:t>
            </w:r>
            <w:r w:rsidRPr="001B165D">
              <w:rPr>
                <w:rFonts w:ascii="Calibri" w:hAnsi="Calibri" w:cs="Calibri"/>
                <w:szCs w:val="22"/>
                <w:vertAlign w:val="superscript"/>
                <w:lang w:eastAsia="en-AU"/>
              </w:rPr>
              <w:t>(4)</w:t>
            </w:r>
          </w:p>
        </w:tc>
        <w:tc>
          <w:tcPr>
            <w:tcW w:w="777" w:type="pct"/>
            <w:tcBorders>
              <w:top w:val="nil"/>
              <w:left w:val="single" w:sz="8" w:space="0" w:color="auto"/>
              <w:bottom w:val="single" w:sz="4" w:space="0" w:color="auto"/>
              <w:right w:val="nil"/>
            </w:tcBorders>
            <w:shd w:val="clear" w:color="auto" w:fill="auto"/>
            <w:noWrap/>
            <w:vAlign w:val="bottom"/>
            <w:hideMark/>
          </w:tcPr>
          <w:p w:rsidR="001B165D" w:rsidRPr="001B165D" w:rsidRDefault="001B165D" w:rsidP="001B165D">
            <w:pPr>
              <w:ind w:right="329" w:firstLineChars="200" w:firstLine="440"/>
              <w:jc w:val="right"/>
              <w:rPr>
                <w:rFonts w:ascii="Calibri" w:hAnsi="Calibri" w:cs="Calibri"/>
                <w:szCs w:val="22"/>
                <w:lang w:eastAsia="en-AU"/>
              </w:rPr>
            </w:pPr>
            <w:r w:rsidRPr="001B165D">
              <w:rPr>
                <w:rFonts w:ascii="Calibri" w:hAnsi="Calibri" w:cs="Calibri"/>
                <w:szCs w:val="22"/>
                <w:lang w:eastAsia="en-AU"/>
              </w:rPr>
              <w:t>71</w:t>
            </w:r>
          </w:p>
        </w:tc>
        <w:tc>
          <w:tcPr>
            <w:tcW w:w="777" w:type="pct"/>
            <w:tcBorders>
              <w:top w:val="nil"/>
              <w:left w:val="single" w:sz="4" w:space="0" w:color="auto"/>
              <w:bottom w:val="single" w:sz="4" w:space="0" w:color="auto"/>
              <w:right w:val="nil"/>
            </w:tcBorders>
            <w:shd w:val="clear" w:color="auto" w:fill="auto"/>
            <w:noWrap/>
            <w:vAlign w:val="bottom"/>
            <w:hideMark/>
          </w:tcPr>
          <w:p w:rsidR="001B165D" w:rsidRPr="001B165D" w:rsidRDefault="001B165D" w:rsidP="001B165D">
            <w:pPr>
              <w:ind w:right="329" w:firstLineChars="200" w:firstLine="440"/>
              <w:jc w:val="right"/>
              <w:rPr>
                <w:rFonts w:ascii="Calibri" w:hAnsi="Calibri" w:cs="Calibri"/>
                <w:szCs w:val="22"/>
                <w:lang w:eastAsia="en-AU"/>
              </w:rPr>
            </w:pPr>
            <w:r w:rsidRPr="001B165D">
              <w:rPr>
                <w:rFonts w:ascii="Calibri" w:hAnsi="Calibri" w:cs="Calibri"/>
                <w:szCs w:val="22"/>
                <w:lang w:eastAsia="en-AU"/>
              </w:rPr>
              <w:t>53</w:t>
            </w:r>
          </w:p>
        </w:tc>
        <w:tc>
          <w:tcPr>
            <w:tcW w:w="777" w:type="pct"/>
            <w:tcBorders>
              <w:top w:val="nil"/>
              <w:left w:val="single" w:sz="4" w:space="0" w:color="auto"/>
              <w:bottom w:val="single" w:sz="4" w:space="0" w:color="auto"/>
              <w:right w:val="single" w:sz="8" w:space="0" w:color="auto"/>
            </w:tcBorders>
            <w:shd w:val="clear" w:color="auto" w:fill="auto"/>
            <w:noWrap/>
            <w:vAlign w:val="bottom"/>
            <w:hideMark/>
          </w:tcPr>
          <w:p w:rsidR="001B165D" w:rsidRPr="001B165D" w:rsidRDefault="001B165D" w:rsidP="001B165D">
            <w:pPr>
              <w:ind w:right="329" w:firstLineChars="200" w:firstLine="440"/>
              <w:jc w:val="right"/>
              <w:rPr>
                <w:rFonts w:ascii="Calibri" w:hAnsi="Calibri" w:cs="Calibri"/>
                <w:szCs w:val="22"/>
                <w:lang w:eastAsia="en-AU"/>
              </w:rPr>
            </w:pPr>
            <w:r w:rsidRPr="001B165D">
              <w:rPr>
                <w:rFonts w:ascii="Calibri" w:hAnsi="Calibri" w:cs="Calibri"/>
                <w:szCs w:val="22"/>
                <w:lang w:eastAsia="en-AU"/>
              </w:rPr>
              <w:t>-18</w:t>
            </w:r>
          </w:p>
        </w:tc>
      </w:tr>
      <w:tr w:rsidR="001B165D" w:rsidRPr="001B165D" w:rsidTr="001B165D">
        <w:trPr>
          <w:trHeight w:val="349"/>
        </w:trPr>
        <w:tc>
          <w:tcPr>
            <w:tcW w:w="2669" w:type="pct"/>
            <w:tcBorders>
              <w:top w:val="nil"/>
              <w:left w:val="single" w:sz="8" w:space="0" w:color="auto"/>
              <w:bottom w:val="single" w:sz="8" w:space="0" w:color="auto"/>
              <w:right w:val="nil"/>
            </w:tcBorders>
            <w:shd w:val="clear" w:color="000000" w:fill="C0C0C0"/>
            <w:vAlign w:val="bottom"/>
            <w:hideMark/>
          </w:tcPr>
          <w:p w:rsidR="001B165D" w:rsidRPr="001B165D" w:rsidRDefault="001B165D" w:rsidP="001B165D">
            <w:pPr>
              <w:rPr>
                <w:rFonts w:ascii="Calibri" w:hAnsi="Calibri" w:cs="Calibri"/>
                <w:szCs w:val="22"/>
                <w:lang w:eastAsia="en-AU"/>
              </w:rPr>
            </w:pPr>
            <w:proofErr w:type="spellStart"/>
            <w:r w:rsidRPr="001B165D">
              <w:rPr>
                <w:rFonts w:ascii="Calibri" w:hAnsi="Calibri" w:cs="Calibri"/>
                <w:szCs w:val="22"/>
                <w:lang w:eastAsia="en-AU"/>
              </w:rPr>
              <w:t>SACE</w:t>
            </w:r>
            <w:proofErr w:type="spellEnd"/>
            <w:r w:rsidRPr="001B165D">
              <w:rPr>
                <w:rFonts w:ascii="Calibri" w:hAnsi="Calibri" w:cs="Calibri"/>
                <w:szCs w:val="22"/>
                <w:lang w:eastAsia="en-AU"/>
              </w:rPr>
              <w:t xml:space="preserve"> completion rate </w:t>
            </w:r>
            <w:proofErr w:type="spellStart"/>
            <w:r w:rsidRPr="001B165D">
              <w:rPr>
                <w:rFonts w:ascii="Calibri" w:hAnsi="Calibri" w:cs="Calibri"/>
                <w:szCs w:val="22"/>
                <w:lang w:eastAsia="en-AU"/>
              </w:rPr>
              <w:t>LBOTE</w:t>
            </w:r>
            <w:proofErr w:type="spellEnd"/>
            <w:r w:rsidRPr="001B165D">
              <w:rPr>
                <w:rFonts w:ascii="Calibri" w:hAnsi="Calibri" w:cs="Calibri"/>
                <w:szCs w:val="22"/>
                <w:lang w:eastAsia="en-AU"/>
              </w:rPr>
              <w:t xml:space="preserve"> students (%) </w:t>
            </w:r>
            <w:r w:rsidRPr="001B165D">
              <w:rPr>
                <w:rFonts w:ascii="Calibri" w:hAnsi="Calibri" w:cs="Calibri"/>
                <w:szCs w:val="22"/>
                <w:vertAlign w:val="superscript"/>
                <w:lang w:eastAsia="en-AU"/>
              </w:rPr>
              <w:t>(2)</w:t>
            </w:r>
          </w:p>
        </w:tc>
        <w:tc>
          <w:tcPr>
            <w:tcW w:w="777" w:type="pct"/>
            <w:tcBorders>
              <w:top w:val="nil"/>
              <w:left w:val="single" w:sz="8" w:space="0" w:color="auto"/>
              <w:bottom w:val="single" w:sz="8" w:space="0" w:color="auto"/>
              <w:right w:val="nil"/>
            </w:tcBorders>
            <w:shd w:val="clear" w:color="000000" w:fill="C0C0C0"/>
            <w:noWrap/>
            <w:vAlign w:val="bottom"/>
            <w:hideMark/>
          </w:tcPr>
          <w:p w:rsidR="001B165D" w:rsidRPr="001B165D" w:rsidRDefault="001B165D" w:rsidP="001B165D">
            <w:pPr>
              <w:ind w:right="329" w:firstLineChars="200" w:firstLine="440"/>
              <w:jc w:val="right"/>
              <w:rPr>
                <w:rFonts w:ascii="Calibri" w:hAnsi="Calibri" w:cs="Calibri"/>
                <w:szCs w:val="22"/>
                <w:lang w:eastAsia="en-AU"/>
              </w:rPr>
            </w:pPr>
            <w:r w:rsidRPr="001B165D">
              <w:rPr>
                <w:rFonts w:ascii="Calibri" w:hAnsi="Calibri" w:cs="Calibri"/>
                <w:szCs w:val="22"/>
                <w:lang w:eastAsia="en-AU"/>
              </w:rPr>
              <w:t>86.6%</w:t>
            </w:r>
          </w:p>
        </w:tc>
        <w:tc>
          <w:tcPr>
            <w:tcW w:w="777" w:type="pct"/>
            <w:tcBorders>
              <w:top w:val="nil"/>
              <w:left w:val="single" w:sz="4" w:space="0" w:color="auto"/>
              <w:bottom w:val="single" w:sz="8" w:space="0" w:color="auto"/>
              <w:right w:val="nil"/>
            </w:tcBorders>
            <w:shd w:val="clear" w:color="000000" w:fill="B7DEE8"/>
            <w:noWrap/>
            <w:vAlign w:val="bottom"/>
            <w:hideMark/>
          </w:tcPr>
          <w:p w:rsidR="001B165D" w:rsidRPr="001B165D" w:rsidRDefault="001B165D" w:rsidP="001B165D">
            <w:pPr>
              <w:ind w:right="329" w:firstLineChars="200" w:firstLine="440"/>
              <w:jc w:val="right"/>
              <w:rPr>
                <w:rFonts w:ascii="Calibri" w:hAnsi="Calibri" w:cs="Calibri"/>
                <w:szCs w:val="22"/>
                <w:lang w:eastAsia="en-AU"/>
              </w:rPr>
            </w:pPr>
            <w:r w:rsidRPr="001B165D">
              <w:rPr>
                <w:rFonts w:ascii="Calibri" w:hAnsi="Calibri" w:cs="Calibri"/>
                <w:szCs w:val="22"/>
                <w:lang w:eastAsia="en-AU"/>
              </w:rPr>
              <w:t>85.5%</w:t>
            </w:r>
          </w:p>
        </w:tc>
        <w:tc>
          <w:tcPr>
            <w:tcW w:w="777" w:type="pct"/>
            <w:tcBorders>
              <w:top w:val="nil"/>
              <w:left w:val="single" w:sz="4" w:space="0" w:color="auto"/>
              <w:bottom w:val="single" w:sz="8" w:space="0" w:color="auto"/>
              <w:right w:val="single" w:sz="8" w:space="0" w:color="auto"/>
            </w:tcBorders>
            <w:shd w:val="clear" w:color="000000" w:fill="B7DEE8"/>
            <w:noWrap/>
            <w:vAlign w:val="bottom"/>
            <w:hideMark/>
          </w:tcPr>
          <w:p w:rsidR="001B165D" w:rsidRPr="001B165D" w:rsidRDefault="001B165D" w:rsidP="001B165D">
            <w:pPr>
              <w:ind w:right="329" w:firstLineChars="200" w:firstLine="440"/>
              <w:jc w:val="right"/>
              <w:rPr>
                <w:rFonts w:ascii="Calibri" w:hAnsi="Calibri" w:cs="Calibri"/>
                <w:szCs w:val="22"/>
                <w:lang w:eastAsia="en-AU"/>
              </w:rPr>
            </w:pPr>
            <w:r w:rsidRPr="001B165D">
              <w:rPr>
                <w:rFonts w:ascii="Calibri" w:hAnsi="Calibri" w:cs="Calibri"/>
                <w:szCs w:val="22"/>
                <w:lang w:eastAsia="en-AU"/>
              </w:rPr>
              <w:t>-1.1%</w:t>
            </w:r>
          </w:p>
        </w:tc>
      </w:tr>
    </w:tbl>
    <w:p w:rsidR="001B165D" w:rsidRPr="001B165D" w:rsidRDefault="001B165D" w:rsidP="001B165D">
      <w:pPr>
        <w:spacing w:before="60" w:after="60"/>
        <w:rPr>
          <w:rFonts w:ascii="Calibri" w:hAnsi="Calibri" w:cs="Arial"/>
          <w:bCs/>
          <w:color w:val="000000"/>
          <w:sz w:val="18"/>
          <w:szCs w:val="18"/>
        </w:rPr>
      </w:pPr>
      <w:r w:rsidRPr="001B165D">
        <w:rPr>
          <w:rFonts w:ascii="Calibri" w:hAnsi="Calibri" w:cs="Arial"/>
          <w:bCs/>
          <w:color w:val="000000"/>
          <w:sz w:val="18"/>
          <w:szCs w:val="18"/>
        </w:rPr>
        <w:t xml:space="preserve">* Please note: Some students have not been reported in some cohorts due to the number of students being five or fewer. The reporting of these results could identify students. </w:t>
      </w:r>
    </w:p>
    <w:p w:rsidR="001B165D" w:rsidRPr="001B165D" w:rsidRDefault="001B165D" w:rsidP="001B165D">
      <w:pPr>
        <w:spacing w:after="60"/>
        <w:rPr>
          <w:rFonts w:ascii="Calibri" w:hAnsi="Calibri"/>
          <w:szCs w:val="22"/>
        </w:rPr>
      </w:pPr>
      <w:r w:rsidRPr="001B165D">
        <w:rPr>
          <w:rFonts w:ascii="Calibri" w:hAnsi="Calibri" w:cs="Arial"/>
          <w:b/>
          <w:bCs/>
          <w:color w:val="000000"/>
          <w:szCs w:val="22"/>
        </w:rPr>
        <w:t>Footnotes section 4(1) — Table 3.1(a), Table 3.1(b) and Table 3.1(c)</w:t>
      </w:r>
    </w:p>
    <w:p w:rsidR="001B165D" w:rsidRPr="001B165D" w:rsidRDefault="001B165D" w:rsidP="001B165D">
      <w:pPr>
        <w:spacing w:after="60"/>
        <w:rPr>
          <w:rFonts w:cstheme="minorHAnsi"/>
          <w:bCs/>
          <w:color w:val="000000"/>
          <w:sz w:val="20"/>
        </w:rPr>
      </w:pPr>
      <w:r w:rsidRPr="001B165D">
        <w:rPr>
          <w:rFonts w:cstheme="minorHAnsi"/>
          <w:bCs/>
          <w:color w:val="000000"/>
          <w:sz w:val="20"/>
        </w:rPr>
        <w:t>(1) Includes all students who have been awarded a South Australia Senior Secondary Certificate of Education (</w:t>
      </w:r>
      <w:proofErr w:type="spellStart"/>
      <w:r w:rsidRPr="001B165D">
        <w:rPr>
          <w:rFonts w:cstheme="minorHAnsi"/>
          <w:bCs/>
          <w:color w:val="000000"/>
          <w:sz w:val="20"/>
        </w:rPr>
        <w:t>SACE</w:t>
      </w:r>
      <w:proofErr w:type="spellEnd"/>
      <w:r w:rsidRPr="001B165D">
        <w:rPr>
          <w:rFonts w:cstheme="minorHAnsi"/>
          <w:bCs/>
          <w:color w:val="000000"/>
          <w:sz w:val="20"/>
        </w:rPr>
        <w:t xml:space="preserve">) in a </w:t>
      </w:r>
      <w:proofErr w:type="spellStart"/>
      <w:r w:rsidRPr="001B165D">
        <w:rPr>
          <w:rFonts w:cstheme="minorHAnsi"/>
          <w:bCs/>
          <w:color w:val="000000"/>
          <w:sz w:val="20"/>
        </w:rPr>
        <w:t>CMaD</w:t>
      </w:r>
      <w:proofErr w:type="spellEnd"/>
      <w:r w:rsidRPr="001B165D">
        <w:rPr>
          <w:rFonts w:cstheme="minorHAnsi"/>
          <w:bCs/>
          <w:color w:val="000000"/>
          <w:sz w:val="20"/>
        </w:rPr>
        <w:t xml:space="preserve"> NP participating school for the reporting year. Data current as at database extract date of end-February for the reporting year. Information may be subject to change due to variations in student school information or student declarations that may affect Aboriginal or </w:t>
      </w:r>
      <w:proofErr w:type="spellStart"/>
      <w:r w:rsidRPr="001B165D">
        <w:rPr>
          <w:rFonts w:cstheme="minorHAnsi"/>
          <w:bCs/>
          <w:color w:val="000000"/>
          <w:sz w:val="20"/>
        </w:rPr>
        <w:t>LBOTE</w:t>
      </w:r>
      <w:proofErr w:type="spellEnd"/>
      <w:r w:rsidRPr="001B165D">
        <w:rPr>
          <w:rFonts w:cstheme="minorHAnsi"/>
          <w:bCs/>
          <w:color w:val="000000"/>
          <w:sz w:val="20"/>
        </w:rPr>
        <w:t xml:space="preserve"> status.</w:t>
      </w:r>
    </w:p>
    <w:p w:rsidR="001B165D" w:rsidRPr="001B165D" w:rsidRDefault="001B165D" w:rsidP="001B165D">
      <w:pPr>
        <w:spacing w:after="60"/>
        <w:rPr>
          <w:rFonts w:cstheme="minorHAnsi"/>
          <w:bCs/>
          <w:color w:val="000000"/>
          <w:sz w:val="20"/>
        </w:rPr>
      </w:pPr>
      <w:r w:rsidRPr="001B165D">
        <w:rPr>
          <w:rFonts w:cstheme="minorHAnsi"/>
          <w:bCs/>
          <w:color w:val="000000"/>
          <w:sz w:val="20"/>
        </w:rPr>
        <w:t xml:space="preserve">(2) Completion rate is calculated by dividing the total number of students who completed </w:t>
      </w:r>
      <w:proofErr w:type="spellStart"/>
      <w:r w:rsidRPr="001B165D">
        <w:rPr>
          <w:rFonts w:cstheme="minorHAnsi"/>
          <w:bCs/>
          <w:color w:val="000000"/>
          <w:sz w:val="20"/>
        </w:rPr>
        <w:t>SACE</w:t>
      </w:r>
      <w:proofErr w:type="spellEnd"/>
      <w:r w:rsidRPr="001B165D">
        <w:rPr>
          <w:rFonts w:cstheme="minorHAnsi"/>
          <w:bCs/>
          <w:color w:val="000000"/>
          <w:sz w:val="20"/>
        </w:rPr>
        <w:t xml:space="preserve"> by the total number of Potential </w:t>
      </w:r>
      <w:proofErr w:type="spellStart"/>
      <w:r w:rsidRPr="001B165D">
        <w:rPr>
          <w:rFonts w:cstheme="minorHAnsi"/>
          <w:bCs/>
          <w:color w:val="000000"/>
          <w:sz w:val="20"/>
        </w:rPr>
        <w:t>SACE</w:t>
      </w:r>
      <w:proofErr w:type="spellEnd"/>
      <w:r w:rsidRPr="001B165D">
        <w:rPr>
          <w:rFonts w:cstheme="minorHAnsi"/>
          <w:bCs/>
          <w:color w:val="000000"/>
          <w:sz w:val="20"/>
        </w:rPr>
        <w:t xml:space="preserve"> Completers, in selected </w:t>
      </w:r>
      <w:proofErr w:type="spellStart"/>
      <w:r w:rsidRPr="001B165D">
        <w:rPr>
          <w:rFonts w:cstheme="minorHAnsi"/>
          <w:bCs/>
          <w:color w:val="000000"/>
          <w:sz w:val="20"/>
        </w:rPr>
        <w:t>CMaD</w:t>
      </w:r>
      <w:proofErr w:type="spellEnd"/>
      <w:r w:rsidRPr="001B165D">
        <w:rPr>
          <w:rFonts w:cstheme="minorHAnsi"/>
          <w:bCs/>
          <w:color w:val="000000"/>
          <w:sz w:val="20"/>
        </w:rPr>
        <w:t xml:space="preserve"> NP schools. A student is considered to be a ‘Potential Completer’ if they attempted to complete the </w:t>
      </w:r>
      <w:proofErr w:type="spellStart"/>
      <w:r w:rsidRPr="001B165D">
        <w:rPr>
          <w:rFonts w:cstheme="minorHAnsi"/>
          <w:bCs/>
          <w:color w:val="000000"/>
          <w:sz w:val="20"/>
        </w:rPr>
        <w:t>SACE</w:t>
      </w:r>
      <w:proofErr w:type="spellEnd"/>
      <w:r w:rsidRPr="001B165D">
        <w:rPr>
          <w:rFonts w:cstheme="minorHAnsi"/>
          <w:bCs/>
          <w:color w:val="000000"/>
          <w:sz w:val="20"/>
        </w:rPr>
        <w:t xml:space="preserve"> requirements in the given year. In 2010 students had at least one enrolment in the given year (in either Stage 1 or Stage 2 subject); had completed at least 6 units at Stage 2; had undertaken at least 22 </w:t>
      </w:r>
      <w:proofErr w:type="spellStart"/>
      <w:r w:rsidRPr="001B165D">
        <w:rPr>
          <w:rFonts w:cstheme="minorHAnsi"/>
          <w:bCs/>
          <w:color w:val="000000"/>
          <w:sz w:val="20"/>
        </w:rPr>
        <w:t>SACE</w:t>
      </w:r>
      <w:proofErr w:type="spellEnd"/>
      <w:r w:rsidRPr="001B165D">
        <w:rPr>
          <w:rFonts w:cstheme="minorHAnsi"/>
          <w:bCs/>
          <w:color w:val="000000"/>
          <w:sz w:val="20"/>
        </w:rPr>
        <w:t xml:space="preserve"> units which may include VET, and have not completed the </w:t>
      </w:r>
      <w:proofErr w:type="spellStart"/>
      <w:r w:rsidRPr="001B165D">
        <w:rPr>
          <w:rFonts w:cstheme="minorHAnsi"/>
          <w:bCs/>
          <w:color w:val="000000"/>
          <w:sz w:val="20"/>
        </w:rPr>
        <w:t>SACE</w:t>
      </w:r>
      <w:proofErr w:type="spellEnd"/>
      <w:r w:rsidRPr="001B165D">
        <w:rPr>
          <w:rFonts w:cstheme="minorHAnsi"/>
          <w:bCs/>
          <w:color w:val="000000"/>
          <w:sz w:val="20"/>
        </w:rPr>
        <w:t xml:space="preserve"> before </w:t>
      </w:r>
      <w:r w:rsidRPr="001B165D">
        <w:rPr>
          <w:rFonts w:cstheme="minorHAnsi"/>
          <w:b/>
          <w:bCs/>
          <w:color w:val="000000"/>
          <w:sz w:val="20"/>
        </w:rPr>
        <w:t>1 April</w:t>
      </w:r>
      <w:r w:rsidRPr="001B165D">
        <w:rPr>
          <w:rFonts w:cstheme="minorHAnsi"/>
          <w:bCs/>
          <w:color w:val="000000"/>
          <w:sz w:val="20"/>
        </w:rPr>
        <w:t xml:space="preserve"> of the given year.</w:t>
      </w:r>
      <w:r w:rsidRPr="001B165D">
        <w:rPr>
          <w:rFonts w:cstheme="minorHAnsi"/>
          <w:sz w:val="20"/>
        </w:rPr>
        <w:t xml:space="preserve"> </w:t>
      </w:r>
      <w:r w:rsidRPr="001B165D">
        <w:rPr>
          <w:rFonts w:cstheme="minorHAnsi"/>
          <w:bCs/>
          <w:color w:val="000000"/>
          <w:sz w:val="20"/>
        </w:rPr>
        <w:t>From 2011, a potential completer is a student who is enrolled in or had a completed enrolment in the following; the Personal Learning Plan (</w:t>
      </w:r>
      <w:proofErr w:type="spellStart"/>
      <w:r w:rsidRPr="001B165D">
        <w:rPr>
          <w:rFonts w:cstheme="minorHAnsi"/>
          <w:bCs/>
          <w:color w:val="000000"/>
          <w:sz w:val="20"/>
        </w:rPr>
        <w:t>PLP</w:t>
      </w:r>
      <w:proofErr w:type="spellEnd"/>
      <w:r w:rsidRPr="001B165D">
        <w:rPr>
          <w:rFonts w:cstheme="minorHAnsi"/>
          <w:bCs/>
          <w:color w:val="000000"/>
          <w:sz w:val="20"/>
        </w:rPr>
        <w:t xml:space="preserve">) or </w:t>
      </w:r>
      <w:proofErr w:type="spellStart"/>
      <w:r w:rsidRPr="001B165D">
        <w:rPr>
          <w:rFonts w:cstheme="minorHAnsi"/>
          <w:bCs/>
          <w:color w:val="000000"/>
          <w:sz w:val="20"/>
        </w:rPr>
        <w:t>PLP</w:t>
      </w:r>
      <w:proofErr w:type="spellEnd"/>
      <w:r w:rsidRPr="001B165D">
        <w:rPr>
          <w:rFonts w:cstheme="minorHAnsi"/>
          <w:bCs/>
          <w:color w:val="000000"/>
          <w:sz w:val="20"/>
        </w:rPr>
        <w:t xml:space="preserve"> modified at Stage 1; at least 20 credits of an English subject at Stage 1 and/or Stage 2; at least 10 credits of a mathematics subject at Stage 1 and/or Stage 2; the Research Project or Research Project Modified at Stage 2; at least 60 credits in a Stage 2 subject; and at least 200 credits in total, 150 of which may be gained through VET recognition arrangements.</w:t>
      </w:r>
      <w:r w:rsidRPr="001B165D">
        <w:rPr>
          <w:rFonts w:cstheme="minorHAnsi"/>
          <w:bCs/>
          <w:color w:val="000000"/>
          <w:sz w:val="20"/>
        </w:rPr>
        <w:tab/>
      </w:r>
    </w:p>
    <w:p w:rsidR="001B165D" w:rsidRPr="001B165D" w:rsidRDefault="001B165D" w:rsidP="001B165D">
      <w:pPr>
        <w:spacing w:after="60"/>
        <w:rPr>
          <w:rFonts w:cstheme="minorHAnsi"/>
          <w:bCs/>
          <w:color w:val="000000"/>
          <w:sz w:val="20"/>
        </w:rPr>
      </w:pPr>
      <w:r w:rsidRPr="001B165D">
        <w:rPr>
          <w:rFonts w:cstheme="minorHAnsi"/>
          <w:bCs/>
          <w:color w:val="000000"/>
          <w:sz w:val="20"/>
        </w:rPr>
        <w:t xml:space="preserve">(3) Includes all students who identify as being Australian Aboriginal and/or Torres Strait Islander through the </w:t>
      </w:r>
      <w:proofErr w:type="spellStart"/>
      <w:r w:rsidRPr="001B165D">
        <w:rPr>
          <w:rFonts w:cstheme="minorHAnsi"/>
          <w:bCs/>
          <w:color w:val="000000"/>
          <w:sz w:val="20"/>
        </w:rPr>
        <w:t>SACE</w:t>
      </w:r>
      <w:proofErr w:type="spellEnd"/>
      <w:r w:rsidRPr="001B165D">
        <w:rPr>
          <w:rFonts w:cstheme="minorHAnsi"/>
          <w:bCs/>
          <w:color w:val="000000"/>
          <w:sz w:val="20"/>
        </w:rPr>
        <w:t xml:space="preserve"> Board of South Australia, and have been confirmed by their school/schooling sector as a student of Aboriginal and/or Torres Strait Islander origin. These figures may under represent the true level of Indigenous students due to the technical difficulties associated with data collection and reliance on self-identification.</w:t>
      </w:r>
      <w:r w:rsidRPr="001B165D">
        <w:rPr>
          <w:rFonts w:cstheme="minorHAnsi"/>
          <w:sz w:val="20"/>
        </w:rPr>
        <w:t xml:space="preserve"> </w:t>
      </w:r>
      <w:r w:rsidRPr="001B165D">
        <w:rPr>
          <w:rFonts w:cstheme="minorHAnsi"/>
          <w:bCs/>
          <w:color w:val="000000"/>
          <w:sz w:val="20"/>
        </w:rPr>
        <w:t>Total numbers are very low so caution should be used when extrapolating from percentages.</w:t>
      </w:r>
    </w:p>
    <w:p w:rsidR="001B165D" w:rsidRPr="001B165D" w:rsidRDefault="001B165D" w:rsidP="001B165D">
      <w:pPr>
        <w:spacing w:after="60"/>
        <w:rPr>
          <w:rFonts w:cstheme="minorHAnsi"/>
          <w:bCs/>
          <w:color w:val="000000"/>
          <w:sz w:val="20"/>
        </w:rPr>
      </w:pPr>
      <w:r w:rsidRPr="001B165D">
        <w:rPr>
          <w:rFonts w:cstheme="minorHAnsi"/>
          <w:bCs/>
          <w:color w:val="000000"/>
          <w:sz w:val="20"/>
        </w:rPr>
        <w:t>(4) Includes all students who identify as having a language background other than English (</w:t>
      </w:r>
      <w:proofErr w:type="spellStart"/>
      <w:r w:rsidRPr="001B165D">
        <w:rPr>
          <w:rFonts w:cstheme="minorHAnsi"/>
          <w:bCs/>
          <w:color w:val="000000"/>
          <w:sz w:val="20"/>
        </w:rPr>
        <w:t>LBOTE</w:t>
      </w:r>
      <w:proofErr w:type="spellEnd"/>
      <w:r w:rsidRPr="001B165D">
        <w:rPr>
          <w:rFonts w:cstheme="minorHAnsi"/>
          <w:bCs/>
          <w:color w:val="000000"/>
          <w:sz w:val="20"/>
        </w:rPr>
        <w:t xml:space="preserve">), where either the student, or the student’s parents or carers, speak a main language other than English at home, and who have self-confirmed to the </w:t>
      </w:r>
      <w:proofErr w:type="spellStart"/>
      <w:r w:rsidRPr="001B165D">
        <w:rPr>
          <w:rFonts w:cstheme="minorHAnsi"/>
          <w:bCs/>
          <w:color w:val="000000"/>
          <w:sz w:val="20"/>
        </w:rPr>
        <w:t>SACE</w:t>
      </w:r>
      <w:proofErr w:type="spellEnd"/>
      <w:r w:rsidRPr="001B165D">
        <w:rPr>
          <w:rFonts w:cstheme="minorHAnsi"/>
          <w:bCs/>
          <w:color w:val="000000"/>
          <w:sz w:val="20"/>
        </w:rPr>
        <w:t xml:space="preserve"> Board</w:t>
      </w:r>
      <w:r w:rsidRPr="001B165D">
        <w:rPr>
          <w:rFonts w:cstheme="minorHAnsi"/>
          <w:sz w:val="20"/>
        </w:rPr>
        <w:t xml:space="preserve"> that they speak a language other than English at home</w:t>
      </w:r>
      <w:r w:rsidRPr="001B165D">
        <w:rPr>
          <w:rFonts w:cstheme="minorHAnsi"/>
          <w:bCs/>
          <w:color w:val="000000"/>
          <w:sz w:val="20"/>
        </w:rPr>
        <w:t>. Those with a 'null' declaration were assumed to only have English as their primary language.</w:t>
      </w:r>
      <w:r w:rsidRPr="001B165D">
        <w:rPr>
          <w:rFonts w:ascii="Arial" w:hAnsi="Arial" w:cs="Arial"/>
          <w:sz w:val="16"/>
          <w:szCs w:val="16"/>
        </w:rPr>
        <w:br w:type="page"/>
      </w:r>
    </w:p>
    <w:p w:rsidR="001B165D" w:rsidRPr="001B165D" w:rsidRDefault="001B165D" w:rsidP="007A2DEB">
      <w:pPr>
        <w:pStyle w:val="Heading3"/>
      </w:pPr>
      <w:bookmarkStart w:id="17" w:name="_Toc379547562"/>
      <w:r w:rsidRPr="001B165D">
        <w:lastRenderedPageBreak/>
        <w:t xml:space="preserve">Section 4 — Part 2 — Students in the </w:t>
      </w:r>
      <w:proofErr w:type="spellStart"/>
      <w:r w:rsidRPr="001B165D">
        <w:t>CMaD</w:t>
      </w:r>
      <w:proofErr w:type="spellEnd"/>
      <w:r w:rsidRPr="001B165D">
        <w:t xml:space="preserve"> National Partnership participating in ‘individualised targeted support’ strategies and approaches</w:t>
      </w:r>
      <w:bookmarkEnd w:id="17"/>
    </w:p>
    <w:p w:rsidR="001B165D" w:rsidRPr="001B165D" w:rsidRDefault="001B165D" w:rsidP="00011B40">
      <w:r w:rsidRPr="001B165D">
        <w:t>The South Australian Department for Education and Child Development (</w:t>
      </w:r>
      <w:proofErr w:type="spellStart"/>
      <w:r w:rsidRPr="001B165D">
        <w:t>DECD</w:t>
      </w:r>
      <w:proofErr w:type="spellEnd"/>
      <w:r w:rsidRPr="001B165D">
        <w:t xml:space="preserve">) provided a comprehensive suite of individualised support programs to young people who had become disconnected from school, were at risk of leaving school early and/or who had disengaged from learning. This section provides information for 10 132 tracked individual students who participated in </w:t>
      </w:r>
      <w:proofErr w:type="spellStart"/>
      <w:r w:rsidRPr="001B165D">
        <w:t>CMaD</w:t>
      </w:r>
      <w:proofErr w:type="spellEnd"/>
      <w:r w:rsidRPr="001B165D">
        <w:t xml:space="preserve"> National Partnership ‘individual targeted support’ interventions in government schools during 2012, across two groups: </w:t>
      </w:r>
    </w:p>
    <w:p w:rsidR="001B165D" w:rsidRPr="001B165D" w:rsidRDefault="001B165D" w:rsidP="00AE6D45">
      <w:pPr>
        <w:pStyle w:val="ListParagraph"/>
        <w:numPr>
          <w:ilvl w:val="0"/>
          <w:numId w:val="19"/>
        </w:numPr>
        <w:tabs>
          <w:tab w:val="clear" w:pos="720"/>
          <w:tab w:val="num" w:pos="1418"/>
        </w:tabs>
        <w:ind w:left="1418" w:hanging="698"/>
      </w:pPr>
      <w:r w:rsidRPr="001B165D">
        <w:t xml:space="preserve">Those students who have participated in </w:t>
      </w:r>
      <w:proofErr w:type="spellStart"/>
      <w:r w:rsidRPr="001B165D">
        <w:t>CMaD</w:t>
      </w:r>
      <w:proofErr w:type="spellEnd"/>
      <w:r w:rsidRPr="001B165D">
        <w:t xml:space="preserve"> NP ‘individual targeted support’ interventions for 1-3 years (5 120 students) </w:t>
      </w:r>
    </w:p>
    <w:p w:rsidR="001B165D" w:rsidRPr="001B165D" w:rsidRDefault="001B165D" w:rsidP="00AE6D45">
      <w:pPr>
        <w:pStyle w:val="ListParagraph"/>
        <w:numPr>
          <w:ilvl w:val="0"/>
          <w:numId w:val="19"/>
        </w:numPr>
        <w:tabs>
          <w:tab w:val="clear" w:pos="720"/>
          <w:tab w:val="num" w:pos="1418"/>
        </w:tabs>
        <w:ind w:left="1418" w:hanging="698"/>
      </w:pPr>
      <w:r w:rsidRPr="001B165D">
        <w:t xml:space="preserve">Those students who have participated in </w:t>
      </w:r>
      <w:proofErr w:type="spellStart"/>
      <w:r w:rsidRPr="001B165D">
        <w:t>CMaD</w:t>
      </w:r>
      <w:proofErr w:type="spellEnd"/>
      <w:r w:rsidRPr="001B165D">
        <w:t xml:space="preserve"> NP ‘individual targeted support’ interventions for less than 1 year (5 012 students) </w:t>
      </w:r>
    </w:p>
    <w:p w:rsidR="001B165D" w:rsidRPr="001B165D" w:rsidRDefault="001B165D" w:rsidP="00632B23">
      <w:pPr>
        <w:ind w:left="-426"/>
        <w:rPr>
          <w:rFonts w:cstheme="minorHAnsi"/>
        </w:rPr>
      </w:pPr>
      <w:r w:rsidRPr="001B165D">
        <w:rPr>
          <w:rFonts w:cstheme="minorHAnsi"/>
        </w:rPr>
        <w:t xml:space="preserve">The majority of senior secondary students leave in their final two years of schooling, and therefore will not have any student results in the subsequent reporting period(s). To provide historical trend information, previously reported </w:t>
      </w:r>
      <w:proofErr w:type="spellStart"/>
      <w:r w:rsidRPr="001B165D">
        <w:rPr>
          <w:rFonts w:cstheme="minorHAnsi"/>
        </w:rPr>
        <w:t>CMaD</w:t>
      </w:r>
      <w:proofErr w:type="spellEnd"/>
      <w:r w:rsidRPr="001B165D">
        <w:rPr>
          <w:rFonts w:cstheme="minorHAnsi"/>
        </w:rPr>
        <w:t xml:space="preserve"> NP results for </w:t>
      </w:r>
      <w:proofErr w:type="spellStart"/>
      <w:r w:rsidRPr="001B165D">
        <w:rPr>
          <w:rFonts w:cstheme="minorHAnsi"/>
        </w:rPr>
        <w:t>SACE</w:t>
      </w:r>
      <w:proofErr w:type="spellEnd"/>
      <w:r w:rsidRPr="001B165D">
        <w:rPr>
          <w:rFonts w:cstheme="minorHAnsi"/>
        </w:rPr>
        <w:t xml:space="preserve"> completions in literacy and numeracy and potential destination profile has been provided. The following chart outlines how SA senior secondary students in </w:t>
      </w:r>
      <w:proofErr w:type="spellStart"/>
      <w:r w:rsidRPr="001B165D">
        <w:rPr>
          <w:rFonts w:cstheme="minorHAnsi"/>
        </w:rPr>
        <w:t>CMaD</w:t>
      </w:r>
      <w:proofErr w:type="spellEnd"/>
      <w:r w:rsidRPr="001B165D">
        <w:rPr>
          <w:rFonts w:cstheme="minorHAnsi"/>
        </w:rPr>
        <w:t xml:space="preserve"> NP targeted programs have been reported in this section:</w:t>
      </w:r>
      <w:r w:rsidR="008B27CB" w:rsidRPr="008B27CB">
        <w:rPr>
          <w:rFonts w:cs="Calibri"/>
          <w:noProof/>
          <w:lang w:eastAsia="en-AU"/>
        </w:rPr>
        <w:t xml:space="preserve"> </w:t>
      </w:r>
      <w:r w:rsidR="008B27CB" w:rsidRPr="001B165D">
        <w:rPr>
          <w:rFonts w:cs="Calibri"/>
          <w:noProof/>
          <w:lang w:eastAsia="en-AU"/>
        </w:rPr>
        <w:drawing>
          <wp:inline distT="0" distB="0" distL="0" distR="0" wp14:anchorId="18F4C273" wp14:editId="00D47FBC">
            <wp:extent cx="10069417" cy="3486675"/>
            <wp:effectExtent l="0" t="0" r="0" b="0"/>
            <wp:docPr id="26" name="Picture 26" descr="Flow chart image showing hor SA senior secondary students in CMaD NP targeted programs have been reported, figures as follows:&#10;- Total individual students reported for 2010 - 5,454&#10;- Senior students (Year 10 or above)  for 2010 - 3,817&#10;- Total individual students for 2011 - 8,353&#10; - Senior students - 5,400&#10; - Continuing senior students for 2010 - 2,682&#10;- New senior students for 2011 - 2,718&#10;- Total individual studends for 2012&#10;- Senior students for 2012&#10;- Senior students continuing for 2012 - 3,307&#10;- New senior students for 2012 - 2,63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066020" cy="3485499"/>
                    </a:xfrm>
                    <a:prstGeom prst="rect">
                      <a:avLst/>
                    </a:prstGeom>
                    <a:noFill/>
                  </pic:spPr>
                </pic:pic>
              </a:graphicData>
            </a:graphic>
          </wp:inline>
        </w:drawing>
      </w:r>
    </w:p>
    <w:p w:rsidR="0073635A" w:rsidRPr="0073635A" w:rsidRDefault="001B165D" w:rsidP="00AE6D45">
      <w:pPr>
        <w:pStyle w:val="ListParagraph"/>
        <w:numPr>
          <w:ilvl w:val="0"/>
          <w:numId w:val="20"/>
        </w:numPr>
        <w:rPr>
          <w:rFonts w:cs="Calibri"/>
          <w:sz w:val="18"/>
          <w:szCs w:val="18"/>
        </w:rPr>
      </w:pPr>
      <w:r w:rsidRPr="0073635A">
        <w:rPr>
          <w:rFonts w:cs="Calibri"/>
          <w:sz w:val="18"/>
          <w:szCs w:val="18"/>
        </w:rPr>
        <w:t xml:space="preserve">For 2012, 105 senior students who participated in a </w:t>
      </w:r>
      <w:proofErr w:type="spellStart"/>
      <w:r w:rsidRPr="0073635A">
        <w:rPr>
          <w:rFonts w:cs="Calibri"/>
          <w:sz w:val="18"/>
          <w:szCs w:val="18"/>
        </w:rPr>
        <w:t>CMaD</w:t>
      </w:r>
      <w:proofErr w:type="spellEnd"/>
      <w:r w:rsidRPr="0073635A">
        <w:rPr>
          <w:rFonts w:cs="Calibri"/>
          <w:sz w:val="18"/>
          <w:szCs w:val="18"/>
        </w:rPr>
        <w:t xml:space="preserve"> NP program during 2010, after no longer appearing as enrolled in the government sector in </w:t>
      </w:r>
      <w:proofErr w:type="gramStart"/>
      <w:r w:rsidRPr="0073635A">
        <w:rPr>
          <w:rFonts w:cs="Calibri"/>
          <w:sz w:val="18"/>
          <w:szCs w:val="18"/>
        </w:rPr>
        <w:t>2011,</w:t>
      </w:r>
      <w:proofErr w:type="gramEnd"/>
      <w:r w:rsidRPr="0073635A">
        <w:rPr>
          <w:rFonts w:cs="Calibri"/>
          <w:sz w:val="18"/>
          <w:szCs w:val="18"/>
        </w:rPr>
        <w:t xml:space="preserve"> and who subsequently returned to continue in a </w:t>
      </w:r>
      <w:proofErr w:type="spellStart"/>
      <w:r w:rsidRPr="0073635A">
        <w:rPr>
          <w:rFonts w:cs="Calibri"/>
          <w:sz w:val="18"/>
          <w:szCs w:val="18"/>
        </w:rPr>
        <w:t>CMaD</w:t>
      </w:r>
      <w:proofErr w:type="spellEnd"/>
      <w:r w:rsidRPr="0073635A">
        <w:rPr>
          <w:rFonts w:cs="Calibri"/>
          <w:sz w:val="18"/>
          <w:szCs w:val="18"/>
        </w:rPr>
        <w:t xml:space="preserve"> NP program have been included.</w:t>
      </w:r>
    </w:p>
    <w:p w:rsidR="001B165D" w:rsidRDefault="001B165D" w:rsidP="00011B40">
      <w:pPr>
        <w:rPr>
          <w:rFonts w:cs="Calibri"/>
        </w:rPr>
      </w:pPr>
      <w:r w:rsidRPr="001B165D">
        <w:rPr>
          <w:rFonts w:cs="Calibri"/>
        </w:rPr>
        <w:t xml:space="preserve">It is important to note </w:t>
      </w:r>
      <w:r w:rsidRPr="001B165D">
        <w:rPr>
          <w:lang w:eastAsia="en-AU"/>
        </w:rPr>
        <w:t xml:space="preserve">students participating in </w:t>
      </w:r>
      <w:r w:rsidRPr="001B165D">
        <w:t xml:space="preserve">‘individualised targeted support’ </w:t>
      </w:r>
      <w:r w:rsidRPr="001B165D">
        <w:rPr>
          <w:lang w:eastAsia="en-AU"/>
        </w:rPr>
        <w:t>include students who have complex life responsibilities and/or issues that impact upon their successful engagement with learning</w:t>
      </w:r>
      <w:r w:rsidRPr="001B165D">
        <w:t xml:space="preserve">, may </w:t>
      </w:r>
      <w:r w:rsidRPr="001B165D">
        <w:rPr>
          <w:lang w:eastAsia="en-AU"/>
        </w:rPr>
        <w:t>be significantly disengaged from their learning</w:t>
      </w:r>
      <w:r w:rsidRPr="001B165D">
        <w:t xml:space="preserve">, and </w:t>
      </w:r>
      <w:r w:rsidRPr="001B165D">
        <w:rPr>
          <w:lang w:eastAsia="en-AU"/>
        </w:rPr>
        <w:t xml:space="preserve">may not have been attending school, often for some years </w:t>
      </w:r>
      <w:r w:rsidRPr="001B165D">
        <w:rPr>
          <w:lang w:eastAsia="en-AU"/>
        </w:rPr>
        <w:lastRenderedPageBreak/>
        <w:t>(even though they may be of compulsory schooling age)</w:t>
      </w:r>
      <w:r w:rsidRPr="001B165D">
        <w:t xml:space="preserve">. </w:t>
      </w:r>
      <w:r w:rsidRPr="001B165D">
        <w:rPr>
          <w:lang w:eastAsia="en-AU"/>
        </w:rPr>
        <w:t xml:space="preserve">Any analysis should keep </w:t>
      </w:r>
      <w:r w:rsidRPr="001B165D">
        <w:rPr>
          <w:rFonts w:cs="Calibri"/>
        </w:rPr>
        <w:t>in mind</w:t>
      </w:r>
      <w:r w:rsidRPr="001B165D">
        <w:rPr>
          <w:lang w:eastAsia="en-AU"/>
        </w:rPr>
        <w:t xml:space="preserve"> these</w:t>
      </w:r>
      <w:r w:rsidRPr="001B165D">
        <w:rPr>
          <w:rFonts w:cs="Calibri"/>
        </w:rPr>
        <w:t xml:space="preserve"> numerous factors that may impact upon student learning outcomes</w:t>
      </w:r>
      <w:r w:rsidRPr="001B165D">
        <w:rPr>
          <w:lang w:eastAsia="en-AU"/>
        </w:rPr>
        <w:t>.</w:t>
      </w:r>
      <w:r w:rsidRPr="001B165D">
        <w:rPr>
          <w:rFonts w:cs="Calibri"/>
        </w:rPr>
        <w:t xml:space="preserve"> </w:t>
      </w:r>
    </w:p>
    <w:p w:rsidR="0073635A" w:rsidRPr="001B165D" w:rsidRDefault="0073635A" w:rsidP="00011B40">
      <w:pPr>
        <w:rPr>
          <w:rFonts w:cs="Calibri"/>
        </w:rPr>
      </w:pPr>
    </w:p>
    <w:p w:rsidR="001B165D" w:rsidRPr="001B165D" w:rsidRDefault="001B165D" w:rsidP="00011B40">
      <w:pPr>
        <w:rPr>
          <w:b/>
          <w:color w:val="1F497D" w:themeColor="text2"/>
        </w:rPr>
      </w:pPr>
      <w:r w:rsidRPr="001B165D">
        <w:rPr>
          <w:b/>
          <w:color w:val="1F497D" w:themeColor="text2"/>
        </w:rPr>
        <w:t>Overview</w:t>
      </w:r>
    </w:p>
    <w:p w:rsidR="001B165D" w:rsidRPr="001B165D" w:rsidRDefault="001B165D" w:rsidP="00011B40">
      <w:pPr>
        <w:rPr>
          <w:lang w:eastAsia="en-AU"/>
        </w:rPr>
      </w:pPr>
      <w:r w:rsidRPr="001B165D">
        <w:t xml:space="preserve">In 2012, there were 8 908 </w:t>
      </w:r>
      <w:proofErr w:type="spellStart"/>
      <w:r w:rsidRPr="001B165D">
        <w:rPr>
          <w:b/>
        </w:rPr>
        <w:t>DECD</w:t>
      </w:r>
      <w:proofErr w:type="spellEnd"/>
      <w:r w:rsidRPr="001B165D">
        <w:t xml:space="preserve"> students involved in a range of </w:t>
      </w:r>
      <w:proofErr w:type="spellStart"/>
      <w:r w:rsidRPr="001B165D">
        <w:t>CMaD</w:t>
      </w:r>
      <w:proofErr w:type="spellEnd"/>
      <w:r w:rsidRPr="001B165D">
        <w:t xml:space="preserve"> NP ‘individual targeted support’ interventions. </w:t>
      </w:r>
      <w:r w:rsidRPr="001B165D">
        <w:rPr>
          <w:rFonts w:cs="Calibri"/>
        </w:rPr>
        <w:t xml:space="preserve">A further, 1 224 students continued their schooling in the government sector, but no longer received individualised targeted support. For this reporting, these students have continued to be tracked for the year preceding their participation in a </w:t>
      </w:r>
      <w:proofErr w:type="spellStart"/>
      <w:r w:rsidRPr="001B165D">
        <w:rPr>
          <w:rFonts w:cs="Calibri"/>
        </w:rPr>
        <w:t>CMaD</w:t>
      </w:r>
      <w:proofErr w:type="spellEnd"/>
      <w:r w:rsidRPr="001B165D">
        <w:rPr>
          <w:rFonts w:cs="Calibri"/>
        </w:rPr>
        <w:t xml:space="preserve"> NP intervention, to measure the effect of the intervention on their student outcomes.</w:t>
      </w:r>
    </w:p>
    <w:p w:rsidR="001B165D" w:rsidRPr="001B165D" w:rsidRDefault="001B165D" w:rsidP="00011B40">
      <w:pPr>
        <w:rPr>
          <w:lang w:eastAsia="en-AU"/>
        </w:rPr>
      </w:pPr>
      <w:r w:rsidRPr="001B165D">
        <w:t>In 2012, there were 58.6% (5 942 students) were enrolled in senior secondary year levels (Year 10 or above), of which:</w:t>
      </w:r>
    </w:p>
    <w:p w:rsidR="001B165D" w:rsidRPr="001B165D" w:rsidRDefault="001B165D" w:rsidP="00AE6D45">
      <w:pPr>
        <w:pStyle w:val="ListParagraph"/>
        <w:numPr>
          <w:ilvl w:val="0"/>
          <w:numId w:val="19"/>
        </w:numPr>
        <w:tabs>
          <w:tab w:val="clear" w:pos="720"/>
          <w:tab w:val="num" w:pos="1418"/>
        </w:tabs>
        <w:ind w:left="1418" w:hanging="698"/>
      </w:pPr>
      <w:r w:rsidRPr="001B165D">
        <w:t>15.0% identified as Australian Aboriginal and/or Torres Strait Islander</w:t>
      </w:r>
    </w:p>
    <w:p w:rsidR="001B165D" w:rsidRPr="001B165D" w:rsidRDefault="001B165D" w:rsidP="00AE6D45">
      <w:pPr>
        <w:pStyle w:val="ListParagraph"/>
        <w:numPr>
          <w:ilvl w:val="0"/>
          <w:numId w:val="19"/>
        </w:numPr>
        <w:tabs>
          <w:tab w:val="clear" w:pos="720"/>
          <w:tab w:val="num" w:pos="1418"/>
        </w:tabs>
        <w:ind w:left="1418" w:hanging="698"/>
      </w:pPr>
      <w:r w:rsidRPr="001B165D">
        <w:t>9.6% were from a language background other than English (</w:t>
      </w:r>
      <w:proofErr w:type="spellStart"/>
      <w:r w:rsidRPr="001B165D">
        <w:t>LBOTE</w:t>
      </w:r>
      <w:proofErr w:type="spellEnd"/>
      <w:r w:rsidRPr="001B165D">
        <w:t>)</w:t>
      </w:r>
    </w:p>
    <w:p w:rsidR="001B165D" w:rsidRPr="001B165D" w:rsidRDefault="001B165D" w:rsidP="00AE6D45">
      <w:pPr>
        <w:pStyle w:val="ListParagraph"/>
        <w:numPr>
          <w:ilvl w:val="0"/>
          <w:numId w:val="19"/>
        </w:numPr>
        <w:tabs>
          <w:tab w:val="clear" w:pos="720"/>
          <w:tab w:val="num" w:pos="1418"/>
        </w:tabs>
        <w:ind w:left="1418" w:hanging="698"/>
      </w:pPr>
      <w:r w:rsidRPr="001B165D">
        <w:t>17.1% were students with a disability.</w:t>
      </w:r>
    </w:p>
    <w:p w:rsidR="001B165D" w:rsidRPr="001B165D" w:rsidRDefault="001B165D" w:rsidP="00011B40">
      <w:pPr>
        <w:rPr>
          <w:b/>
          <w:color w:val="1F497D" w:themeColor="text2"/>
        </w:rPr>
      </w:pPr>
      <w:r w:rsidRPr="001B165D">
        <w:rPr>
          <w:b/>
          <w:color w:val="1F497D" w:themeColor="text2"/>
        </w:rPr>
        <w:t>Decrease in suspensions</w:t>
      </w:r>
    </w:p>
    <w:p w:rsidR="001B165D" w:rsidRDefault="001B165D" w:rsidP="00011B40">
      <w:r w:rsidRPr="001B165D">
        <w:t xml:space="preserve">Of the 5 942 tracked senior secondary students in the </w:t>
      </w:r>
      <w:proofErr w:type="spellStart"/>
      <w:r w:rsidRPr="001B165D">
        <w:t>CMaD</w:t>
      </w:r>
      <w:proofErr w:type="spellEnd"/>
      <w:r w:rsidRPr="001B165D">
        <w:t xml:space="preserve"> National Partnership in 2012, there has been a steady overall decrease in the number of students receiving suspension(s) from school, reducing from 882 students in 2010 (14.8% of total) to 234 students (3.9% of total) in 2012. </w:t>
      </w:r>
    </w:p>
    <w:p w:rsidR="0073635A" w:rsidRPr="001B165D" w:rsidRDefault="0073635A" w:rsidP="00011B40"/>
    <w:p w:rsidR="001B165D" w:rsidRDefault="001B165D" w:rsidP="00011B40">
      <w:pPr>
        <w:rPr>
          <w:rFonts w:cstheme="minorHAnsi"/>
        </w:rPr>
      </w:pPr>
      <w:r w:rsidRPr="001B165D">
        <w:t xml:space="preserve">In particular, students who were suspended multiple times during the school year reduced by 259 students from 2010 (from 310 students to 51 students). This suggests there has been improvement in behaviour while in school, particularly compared with the years prior to participation in </w:t>
      </w:r>
      <w:proofErr w:type="spellStart"/>
      <w:r w:rsidRPr="001B165D">
        <w:t>CMaD</w:t>
      </w:r>
      <w:proofErr w:type="spellEnd"/>
      <w:r w:rsidRPr="001B165D">
        <w:t xml:space="preserve"> National Partnership ‘individualised targeted support’ programs. </w:t>
      </w:r>
      <w:r w:rsidRPr="001B165D">
        <w:rPr>
          <w:rFonts w:cstheme="minorHAnsi"/>
        </w:rPr>
        <w:t>This suggests a high level of engagement in these senior years, which is more likely to lead to successful school completion.</w:t>
      </w:r>
    </w:p>
    <w:p w:rsidR="0073635A" w:rsidRPr="001B165D" w:rsidRDefault="0073635A" w:rsidP="00011B40">
      <w:pPr>
        <w:rPr>
          <w:rFonts w:cstheme="minorHAnsi"/>
        </w:rPr>
      </w:pPr>
    </w:p>
    <w:p w:rsidR="001B165D" w:rsidRPr="001B165D" w:rsidRDefault="001B165D" w:rsidP="00011B40">
      <w:r w:rsidRPr="001B165D">
        <w:t xml:space="preserve">As Graph 2 illustrates (over page), all three cohorts of tracked </w:t>
      </w:r>
      <w:proofErr w:type="spellStart"/>
      <w:r w:rsidRPr="001B165D">
        <w:t>CMaD</w:t>
      </w:r>
      <w:proofErr w:type="spellEnd"/>
      <w:r w:rsidRPr="001B165D">
        <w:t xml:space="preserve"> senior secondary students in 2010, 2011 and 2012, had an average of 15% of students being suspended, once or multiple times, during the year prior to their involvement with a </w:t>
      </w:r>
      <w:proofErr w:type="spellStart"/>
      <w:r w:rsidRPr="001B165D">
        <w:t>CMaD</w:t>
      </w:r>
      <w:proofErr w:type="spellEnd"/>
      <w:r w:rsidRPr="001B165D">
        <w:t xml:space="preserve"> NP intervention. The trend data suggests that within the first year in starting in the </w:t>
      </w:r>
      <w:proofErr w:type="spellStart"/>
      <w:r w:rsidRPr="001B165D">
        <w:t>CMaD</w:t>
      </w:r>
      <w:proofErr w:type="spellEnd"/>
      <w:r w:rsidRPr="001B165D">
        <w:t xml:space="preserve"> NP interventions these students have an average reduction of over 50% in suspensions, which decreases again by the second year. </w:t>
      </w:r>
    </w:p>
    <w:p w:rsidR="0073635A" w:rsidRDefault="0073635A">
      <w:pPr>
        <w:rPr>
          <w:rFonts w:ascii="Calibri" w:hAnsi="Calibri" w:cs="Arial"/>
          <w:b/>
          <w:bCs/>
          <w:color w:val="000000"/>
          <w:szCs w:val="24"/>
        </w:rPr>
      </w:pPr>
      <w:r>
        <w:rPr>
          <w:rFonts w:ascii="Calibri" w:hAnsi="Calibri" w:cs="Arial"/>
          <w:b/>
          <w:bCs/>
          <w:color w:val="000000"/>
          <w:szCs w:val="24"/>
        </w:rPr>
        <w:br w:type="page"/>
      </w:r>
    </w:p>
    <w:p w:rsidR="001B165D" w:rsidRPr="001B165D" w:rsidRDefault="001B165D" w:rsidP="001B165D">
      <w:pPr>
        <w:spacing w:before="120" w:after="120"/>
        <w:ind w:right="2244"/>
        <w:rPr>
          <w:rFonts w:ascii="Calibri" w:hAnsi="Calibri" w:cs="Arial"/>
          <w:b/>
          <w:bCs/>
          <w:color w:val="000000"/>
          <w:szCs w:val="24"/>
        </w:rPr>
      </w:pPr>
      <w:r w:rsidRPr="001B165D">
        <w:rPr>
          <w:rFonts w:ascii="Calibri" w:hAnsi="Calibri" w:cs="Arial"/>
          <w:b/>
          <w:bCs/>
          <w:color w:val="000000"/>
          <w:szCs w:val="24"/>
        </w:rPr>
        <w:lastRenderedPageBreak/>
        <w:t xml:space="preserve">Graph 2: 2010, 2011 and 2012 senior secondary students (Year 10 or above) who participated in </w:t>
      </w:r>
      <w:proofErr w:type="spellStart"/>
      <w:r w:rsidRPr="001B165D">
        <w:rPr>
          <w:rFonts w:ascii="Calibri" w:hAnsi="Calibri" w:cs="Arial"/>
          <w:b/>
          <w:bCs/>
          <w:color w:val="000000"/>
          <w:szCs w:val="24"/>
        </w:rPr>
        <w:t>CMaD</w:t>
      </w:r>
      <w:proofErr w:type="spellEnd"/>
      <w:r w:rsidRPr="001B165D">
        <w:rPr>
          <w:rFonts w:ascii="Calibri" w:hAnsi="Calibri" w:cs="Arial"/>
          <w:b/>
          <w:bCs/>
          <w:color w:val="000000"/>
          <w:szCs w:val="24"/>
        </w:rPr>
        <w:t xml:space="preserve"> National Partnership ‘individual targeted support’, by percentage (%) of suspensions</w:t>
      </w:r>
    </w:p>
    <w:p w:rsidR="001B165D" w:rsidRPr="001B165D" w:rsidRDefault="001B165D" w:rsidP="001B165D">
      <w:pPr>
        <w:spacing w:before="120" w:after="120"/>
        <w:rPr>
          <w:rFonts w:ascii="Calibri" w:hAnsi="Calibri" w:cs="Arial"/>
          <w:bCs/>
          <w:color w:val="000000"/>
          <w:szCs w:val="24"/>
        </w:rPr>
      </w:pPr>
      <w:r w:rsidRPr="001B165D">
        <w:rPr>
          <w:rFonts w:ascii="Calibri" w:hAnsi="Calibri" w:cs="Arial"/>
          <w:b/>
          <w:bCs/>
          <w:noProof/>
          <w:color w:val="000000"/>
          <w:szCs w:val="24"/>
          <w:lang w:eastAsia="en-AU"/>
        </w:rPr>
        <mc:AlternateContent>
          <mc:Choice Requires="wps">
            <w:drawing>
              <wp:anchor distT="0" distB="0" distL="114300" distR="114300" simplePos="0" relativeHeight="251697152" behindDoc="0" locked="0" layoutInCell="1" allowOverlap="1" wp14:anchorId="46C0AA16" wp14:editId="6849D938">
                <wp:simplePos x="0" y="0"/>
                <wp:positionH relativeFrom="column">
                  <wp:posOffset>3914775</wp:posOffset>
                </wp:positionH>
                <wp:positionV relativeFrom="paragraph">
                  <wp:posOffset>1351915</wp:posOffset>
                </wp:positionV>
                <wp:extent cx="676275" cy="638175"/>
                <wp:effectExtent l="25400" t="25400" r="85725" b="7302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275" cy="638175"/>
                        </a:xfrm>
                        <a:prstGeom prst="straightConnector1">
                          <a:avLst/>
                        </a:prstGeom>
                        <a:noFill/>
                        <a:ln w="44450" cap="flat" cmpd="sng" algn="ctr">
                          <a:solidFill>
                            <a:srgbClr val="9BBB59"/>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308.25pt;margin-top:106.45pt;width:53.25pt;height:5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" strokecolor="#9bbb59" strokeweight="3.5pt">
                <v:stroke endarrow="open"/>
                <o:lock v:ext="edit" shapetype="f"/>
              </v:shape>
            </w:pict>
          </mc:Fallback>
        </mc:AlternateContent>
      </w:r>
      <w:r w:rsidRPr="001B165D">
        <w:rPr>
          <w:rFonts w:ascii="Calibri" w:hAnsi="Calibri" w:cs="Arial"/>
          <w:b/>
          <w:bCs/>
          <w:noProof/>
          <w:color w:val="000000"/>
          <w:szCs w:val="24"/>
          <w:lang w:eastAsia="en-AU"/>
        </w:rPr>
        <mc:AlternateContent>
          <mc:Choice Requires="wps">
            <w:drawing>
              <wp:anchor distT="0" distB="0" distL="114300" distR="114300" simplePos="0" relativeHeight="251696128" behindDoc="0" locked="0" layoutInCell="1" allowOverlap="1" wp14:anchorId="741F2144" wp14:editId="694C2B6E">
                <wp:simplePos x="0" y="0"/>
                <wp:positionH relativeFrom="column">
                  <wp:posOffset>1285875</wp:posOffset>
                </wp:positionH>
                <wp:positionV relativeFrom="paragraph">
                  <wp:posOffset>1351915</wp:posOffset>
                </wp:positionV>
                <wp:extent cx="666750" cy="638175"/>
                <wp:effectExtent l="25400" t="25400" r="95250" b="7302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 cy="638175"/>
                        </a:xfrm>
                        <a:prstGeom prst="straightConnector1">
                          <a:avLst/>
                        </a:prstGeom>
                        <a:noFill/>
                        <a:ln w="44450" cap="flat" cmpd="sng" algn="ctr">
                          <a:solidFill>
                            <a:srgbClr val="9BBB59"/>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101.25pt;margin-top:106.45pt;width:52.5pt;height:5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" strokecolor="#9bbb59" strokeweight="3.5pt">
                <v:stroke endarrow="open"/>
                <o:lock v:ext="edit" shapetype="f"/>
              </v:shape>
            </w:pict>
          </mc:Fallback>
        </mc:AlternateContent>
      </w:r>
      <w:r w:rsidRPr="001B165D">
        <w:rPr>
          <w:rFonts w:ascii="Calibri" w:hAnsi="Calibri" w:cs="Arial"/>
          <w:b/>
          <w:bCs/>
          <w:noProof/>
          <w:color w:val="000000"/>
          <w:szCs w:val="24"/>
          <w:lang w:eastAsia="en-AU"/>
        </w:rPr>
        <mc:AlternateContent>
          <mc:Choice Requires="wps">
            <w:drawing>
              <wp:anchor distT="0" distB="0" distL="114300" distR="114300" simplePos="0" relativeHeight="251695104" behindDoc="0" locked="0" layoutInCell="1" allowOverlap="1" wp14:anchorId="2A2B1339" wp14:editId="518D39A3">
                <wp:simplePos x="0" y="0"/>
                <wp:positionH relativeFrom="column">
                  <wp:posOffset>476250</wp:posOffset>
                </wp:positionH>
                <wp:positionV relativeFrom="paragraph">
                  <wp:posOffset>3047365</wp:posOffset>
                </wp:positionV>
                <wp:extent cx="809625" cy="438150"/>
                <wp:effectExtent l="0" t="0" r="28575"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9625" cy="438150"/>
                        </a:xfrm>
                        <a:prstGeom prst="rect">
                          <a:avLst/>
                        </a:prstGeom>
                        <a:solidFill>
                          <a:srgbClr val="1F497D"/>
                        </a:solidFill>
                        <a:ln w="25400" cap="flat" cmpd="sng" algn="ctr">
                          <a:solidFill>
                            <a:srgbClr val="1F497D"/>
                          </a:solidFill>
                          <a:prstDash val="solid"/>
                        </a:ln>
                        <a:effectLst/>
                      </wps:spPr>
                      <wps:txbx>
                        <w:txbxContent>
                          <w:p w:rsidR="00DA3A35" w:rsidRPr="00F10093" w:rsidRDefault="00DA3A35" w:rsidP="001B165D">
                            <w:pPr>
                              <w:jc w:val="center"/>
                              <w:rPr>
                                <w:rFonts w:cstheme="minorHAnsi"/>
                                <w:szCs w:val="22"/>
                              </w:rPr>
                            </w:pPr>
                            <w:r w:rsidRPr="00F10093">
                              <w:rPr>
                                <w:rFonts w:cstheme="minorHAnsi"/>
                                <w:szCs w:val="22"/>
                              </w:rPr>
                              <w:t>Baseline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37.5pt;margin-top:239.95pt;width:63.75pt;height:3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" fillcolor="#1f497d" strokecolor="#1f497d" strokeweight="2pt">
                <v:path arrowok="t"/>
                <v:textbox>
                  <w:txbxContent>
                    <w:p w:rsidR="00DA3A35" w:rsidRPr="00F10093" w:rsidRDefault="00DA3A35" w:rsidP="001B165D">
                      <w:pPr>
                        <w:jc w:val="center"/>
                        <w:rPr>
                          <w:rFonts w:cstheme="minorHAnsi"/>
                          <w:szCs w:val="22"/>
                        </w:rPr>
                      </w:pPr>
                      <w:r w:rsidRPr="00F10093">
                        <w:rPr>
                          <w:rFonts w:cstheme="minorHAnsi"/>
                          <w:szCs w:val="22"/>
                        </w:rPr>
                        <w:t>Baseline Year</w:t>
                      </w:r>
                    </w:p>
                  </w:txbxContent>
                </v:textbox>
              </v:rect>
            </w:pict>
          </mc:Fallback>
        </mc:AlternateContent>
      </w:r>
      <w:r w:rsidRPr="001B165D">
        <w:rPr>
          <w:rFonts w:ascii="Calibri" w:hAnsi="Calibri" w:cs="Arial"/>
          <w:b/>
          <w:bCs/>
          <w:noProof/>
          <w:color w:val="000000"/>
          <w:szCs w:val="24"/>
          <w:lang w:eastAsia="en-AU"/>
        </w:rPr>
        <mc:AlternateContent>
          <mc:Choice Requires="wps">
            <w:drawing>
              <wp:anchor distT="0" distB="0" distL="114300" distR="114300" simplePos="0" relativeHeight="251698176" behindDoc="0" locked="0" layoutInCell="1" allowOverlap="1" wp14:anchorId="31E90A71" wp14:editId="54425DED">
                <wp:simplePos x="0" y="0"/>
                <wp:positionH relativeFrom="column">
                  <wp:posOffset>6581775</wp:posOffset>
                </wp:positionH>
                <wp:positionV relativeFrom="paragraph">
                  <wp:posOffset>1409065</wp:posOffset>
                </wp:positionV>
                <wp:extent cx="390525" cy="361950"/>
                <wp:effectExtent l="25400" t="25400" r="92075" b="698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525" cy="361950"/>
                        </a:xfrm>
                        <a:prstGeom prst="straightConnector1">
                          <a:avLst/>
                        </a:prstGeom>
                        <a:noFill/>
                        <a:ln w="44450" cap="flat" cmpd="sng" algn="ctr">
                          <a:solidFill>
                            <a:srgbClr val="9BBB59"/>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518.25pt;margin-top:110.95pt;width:30.75pt;height: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" strokecolor="#9bbb59" strokeweight="3.5pt">
                <v:stroke endarrow="open"/>
                <o:lock v:ext="edit" shapetype="f"/>
              </v:shape>
            </w:pict>
          </mc:Fallback>
        </mc:AlternateContent>
      </w:r>
      <w:r w:rsidRPr="001B165D">
        <w:rPr>
          <w:rFonts w:ascii="Calibri" w:hAnsi="Calibri" w:cs="Arial"/>
          <w:b/>
          <w:bCs/>
          <w:noProof/>
          <w:color w:val="000000"/>
          <w:szCs w:val="24"/>
          <w:lang w:eastAsia="en-AU"/>
        </w:rPr>
        <mc:AlternateContent>
          <mc:Choice Requires="wps">
            <w:drawing>
              <wp:anchor distT="0" distB="0" distL="114299" distR="114299" simplePos="0" relativeHeight="251694080" behindDoc="0" locked="0" layoutInCell="1" allowOverlap="1" wp14:anchorId="111A34E0" wp14:editId="356B3ECE">
                <wp:simplePos x="0" y="0"/>
                <wp:positionH relativeFrom="column">
                  <wp:posOffset>885824</wp:posOffset>
                </wp:positionH>
                <wp:positionV relativeFrom="paragraph">
                  <wp:posOffset>2599690</wp:posOffset>
                </wp:positionV>
                <wp:extent cx="0" cy="447675"/>
                <wp:effectExtent l="177800" t="50800" r="76200" b="952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47675"/>
                        </a:xfrm>
                        <a:prstGeom prst="straightConnector1">
                          <a:avLst/>
                        </a:prstGeom>
                        <a:noFill/>
                        <a:ln w="44450" cap="flat" cmpd="sng" algn="ctr">
                          <a:solidFill>
                            <a:srgbClr val="1F497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69.75pt;margin-top:204.7pt;width:0;height:35.25pt;flip:y;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" strokecolor="#1f497d" strokeweight="3.5pt">
                <v:stroke endarrow="open"/>
                <o:lock v:ext="edit" shapetype="f"/>
              </v:shape>
            </w:pict>
          </mc:Fallback>
        </mc:AlternateContent>
      </w:r>
      <w:r w:rsidRPr="001B165D">
        <w:rPr>
          <w:noProof/>
          <w:lang w:eastAsia="en-AU"/>
        </w:rPr>
        <w:drawing>
          <wp:inline distT="0" distB="0" distL="0" distR="0" wp14:anchorId="6E553EF9" wp14:editId="575DC400">
            <wp:extent cx="7296150" cy="3190875"/>
            <wp:effectExtent l="0" t="0" r="0" b="0"/>
            <wp:docPr id="27" name="Chart 27" descr="Figures show consistent decrease in suspensions over the years of the NP" title="Graph 2: 2010, 2011 and 2012 senior secondary students (Year 10 or above) who participated in CMaD National Partnership ‘individual targeted support’, by percentage (%) of suspens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B165D" w:rsidRPr="001B165D" w:rsidRDefault="001B165D" w:rsidP="001B165D">
      <w:pPr>
        <w:spacing w:before="120" w:after="120"/>
        <w:rPr>
          <w:rFonts w:ascii="Calibri" w:hAnsi="Calibri" w:cs="Arial"/>
          <w:b/>
          <w:bCs/>
          <w:color w:val="000000"/>
          <w:szCs w:val="24"/>
        </w:rPr>
      </w:pPr>
    </w:p>
    <w:p w:rsidR="001B165D" w:rsidRPr="001B165D" w:rsidRDefault="001B165D" w:rsidP="001B165D">
      <w:pPr>
        <w:spacing w:before="120" w:after="120"/>
        <w:rPr>
          <w:rFonts w:ascii="Calibri" w:hAnsi="Calibri" w:cs="Arial"/>
          <w:b/>
          <w:bCs/>
          <w:color w:val="1F497D" w:themeColor="text2"/>
          <w:szCs w:val="24"/>
        </w:rPr>
      </w:pPr>
    </w:p>
    <w:p w:rsidR="001B165D" w:rsidRPr="001B165D" w:rsidRDefault="001B165D" w:rsidP="001B165D">
      <w:pPr>
        <w:spacing w:before="120" w:after="120"/>
        <w:rPr>
          <w:rFonts w:ascii="Calibri" w:hAnsi="Calibri" w:cs="Arial"/>
          <w:b/>
          <w:bCs/>
          <w:color w:val="1F497D" w:themeColor="text2"/>
          <w:szCs w:val="24"/>
        </w:rPr>
      </w:pPr>
      <w:r w:rsidRPr="001B165D">
        <w:rPr>
          <w:rFonts w:ascii="Calibri" w:hAnsi="Calibri" w:cs="Arial"/>
          <w:b/>
          <w:bCs/>
          <w:color w:val="1F497D" w:themeColor="text2"/>
          <w:szCs w:val="24"/>
        </w:rPr>
        <w:t>South Australian Certificate of Education (</w:t>
      </w:r>
      <w:proofErr w:type="spellStart"/>
      <w:r w:rsidRPr="001B165D">
        <w:rPr>
          <w:rFonts w:ascii="Calibri" w:hAnsi="Calibri" w:cs="Arial"/>
          <w:b/>
          <w:bCs/>
          <w:color w:val="1F497D" w:themeColor="text2"/>
          <w:szCs w:val="24"/>
        </w:rPr>
        <w:t>SACE</w:t>
      </w:r>
      <w:proofErr w:type="spellEnd"/>
      <w:r w:rsidRPr="001B165D">
        <w:rPr>
          <w:rFonts w:ascii="Calibri" w:hAnsi="Calibri" w:cs="Arial"/>
          <w:b/>
          <w:bCs/>
          <w:color w:val="1F497D" w:themeColor="text2"/>
          <w:szCs w:val="24"/>
        </w:rPr>
        <w:t>)</w:t>
      </w:r>
    </w:p>
    <w:p w:rsidR="001B165D" w:rsidRPr="001B165D" w:rsidRDefault="001B165D" w:rsidP="00011B40">
      <w:r w:rsidRPr="001B165D">
        <w:t xml:space="preserve">The </w:t>
      </w:r>
      <w:proofErr w:type="spellStart"/>
      <w:r w:rsidRPr="001B165D">
        <w:t>SACE</w:t>
      </w:r>
      <w:proofErr w:type="spellEnd"/>
      <w:r w:rsidRPr="001B165D">
        <w:t xml:space="preserve"> is undertaken in two stages; Stage 1 (mostly Year 11 students) and Stage 2 (mostly Year 12 students). Students need to obtain 200 credits to achieve the </w:t>
      </w:r>
      <w:proofErr w:type="spellStart"/>
      <w:r w:rsidRPr="001B165D">
        <w:t>SACE</w:t>
      </w:r>
      <w:proofErr w:type="spellEnd"/>
      <w:r w:rsidRPr="001B165D">
        <w:t xml:space="preserve"> through a mixture of compulsory and free-choice subjects. Students need to achieve a ‘C’ grade or better for compulsory literacy and numeracy requirements (at least 20 credits of Stage 1 English subjects and 10 credits of Stage 1 mathematics subjects) to be awarded the </w:t>
      </w:r>
      <w:proofErr w:type="spellStart"/>
      <w:r w:rsidRPr="001B165D">
        <w:t>SACE</w:t>
      </w:r>
      <w:proofErr w:type="spellEnd"/>
      <w:r w:rsidRPr="001B165D">
        <w:t xml:space="preserve">.  </w:t>
      </w:r>
    </w:p>
    <w:p w:rsidR="001B165D" w:rsidRPr="001B165D" w:rsidRDefault="001B165D" w:rsidP="00011B40"/>
    <w:p w:rsidR="001B165D" w:rsidRPr="001B165D" w:rsidRDefault="001B165D" w:rsidP="001B165D">
      <w:pPr>
        <w:spacing w:before="120" w:after="120"/>
        <w:rPr>
          <w:rFonts w:ascii="Calibri" w:hAnsi="Calibri" w:cs="Arial"/>
          <w:b/>
          <w:bCs/>
          <w:color w:val="1F497D" w:themeColor="text2"/>
          <w:szCs w:val="24"/>
        </w:rPr>
      </w:pPr>
      <w:r w:rsidRPr="001B165D">
        <w:rPr>
          <w:rFonts w:ascii="Calibri" w:hAnsi="Calibri" w:cs="Arial"/>
          <w:b/>
          <w:bCs/>
          <w:color w:val="1F497D" w:themeColor="text2"/>
          <w:szCs w:val="24"/>
        </w:rPr>
        <w:t>Successful completion of compulsory literacy and numeracy requirements</w:t>
      </w:r>
    </w:p>
    <w:p w:rsidR="001B165D" w:rsidRDefault="001B165D" w:rsidP="00011B40">
      <w:r w:rsidRPr="001B165D">
        <w:t xml:space="preserve">In 2012, 98.8% of senior secondary students (Year 10 and above) had an active </w:t>
      </w:r>
      <w:proofErr w:type="spellStart"/>
      <w:r w:rsidRPr="001B165D">
        <w:t>SACE</w:t>
      </w:r>
      <w:proofErr w:type="spellEnd"/>
      <w:r w:rsidRPr="001B165D">
        <w:t xml:space="preserve"> ID. Although Year 10 students may have an active </w:t>
      </w:r>
      <w:proofErr w:type="spellStart"/>
      <w:r w:rsidRPr="001B165D">
        <w:t>SACE</w:t>
      </w:r>
      <w:proofErr w:type="spellEnd"/>
      <w:r w:rsidRPr="001B165D">
        <w:t xml:space="preserve"> ID most will not have undertaken any literacy or numeracy </w:t>
      </w:r>
      <w:proofErr w:type="spellStart"/>
      <w:r w:rsidRPr="001B165D">
        <w:t>SACE</w:t>
      </w:r>
      <w:proofErr w:type="spellEnd"/>
      <w:r w:rsidRPr="001B165D">
        <w:t xml:space="preserve"> subjects, as the majority of Stage 1 </w:t>
      </w:r>
      <w:proofErr w:type="spellStart"/>
      <w:r w:rsidRPr="001B165D">
        <w:t>SACE</w:t>
      </w:r>
      <w:proofErr w:type="spellEnd"/>
      <w:r w:rsidRPr="001B165D">
        <w:t xml:space="preserve"> subjects are studied in Year 11.</w:t>
      </w:r>
    </w:p>
    <w:p w:rsidR="0073635A" w:rsidRPr="001B165D" w:rsidRDefault="0073635A" w:rsidP="00011B40"/>
    <w:p w:rsidR="001B165D" w:rsidRDefault="001B165D" w:rsidP="00011B40">
      <w:r w:rsidRPr="001B165D">
        <w:lastRenderedPageBreak/>
        <w:t xml:space="preserve">In 2012, there were 1 403 students in </w:t>
      </w:r>
      <w:proofErr w:type="spellStart"/>
      <w:r w:rsidRPr="001B165D">
        <w:t>CMaD</w:t>
      </w:r>
      <w:proofErr w:type="spellEnd"/>
      <w:r w:rsidRPr="001B165D">
        <w:t xml:space="preserve"> NP interventions who had undertaken 20 credits of Stage 1 English subjects, with 66.0% achieving a ‘C’ grade or better, thereby meeting the </w:t>
      </w:r>
      <w:proofErr w:type="spellStart"/>
      <w:r w:rsidRPr="001B165D">
        <w:t>SACE</w:t>
      </w:r>
      <w:proofErr w:type="spellEnd"/>
      <w:r w:rsidRPr="001B165D">
        <w:t xml:space="preserve"> literacy requirement. A further 1 637 students had undertaken at least 10 credits of Stage 1 English subjects, of which 78.2% had achieved a ‘C’ grade or better, thereby moving towards achieving their </w:t>
      </w:r>
      <w:proofErr w:type="spellStart"/>
      <w:r w:rsidRPr="001B165D">
        <w:t>SACE</w:t>
      </w:r>
      <w:proofErr w:type="spellEnd"/>
      <w:r w:rsidRPr="001B165D">
        <w:t xml:space="preserve"> literacy requirements. </w:t>
      </w:r>
    </w:p>
    <w:p w:rsidR="0073635A" w:rsidRPr="001B165D" w:rsidRDefault="0073635A" w:rsidP="00011B40"/>
    <w:p w:rsidR="001B165D" w:rsidRPr="001B165D" w:rsidRDefault="001B165D" w:rsidP="00011B40">
      <w:r w:rsidRPr="001B165D">
        <w:t xml:space="preserve">Similarly, of those </w:t>
      </w:r>
      <w:proofErr w:type="spellStart"/>
      <w:r w:rsidRPr="001B165D">
        <w:t>CMaD</w:t>
      </w:r>
      <w:proofErr w:type="spellEnd"/>
      <w:r w:rsidRPr="001B165D">
        <w:t xml:space="preserve"> NP students (3,073 students) who undertook at least 10 credits of Stage 1 mathematics subjects, 75.7% achieved a ‘C’ grade or better, thereby meeting the </w:t>
      </w:r>
      <w:proofErr w:type="spellStart"/>
      <w:r w:rsidRPr="001B165D">
        <w:t>SACE</w:t>
      </w:r>
      <w:proofErr w:type="spellEnd"/>
      <w:r w:rsidRPr="001B165D">
        <w:t xml:space="preserve"> numeracy requirement. </w:t>
      </w:r>
    </w:p>
    <w:p w:rsidR="001B165D" w:rsidRPr="001B165D" w:rsidRDefault="001B165D" w:rsidP="001B165D">
      <w:pPr>
        <w:spacing w:before="240" w:after="120"/>
        <w:rPr>
          <w:rFonts w:ascii="Calibri" w:hAnsi="Calibri" w:cs="Arial"/>
          <w:b/>
          <w:bCs/>
          <w:color w:val="1F497D" w:themeColor="text2"/>
          <w:szCs w:val="24"/>
        </w:rPr>
      </w:pPr>
      <w:r w:rsidRPr="001B165D">
        <w:rPr>
          <w:rFonts w:ascii="Calibri" w:hAnsi="Calibri" w:cs="Arial"/>
          <w:b/>
          <w:bCs/>
          <w:color w:val="1F497D" w:themeColor="text2"/>
          <w:szCs w:val="24"/>
        </w:rPr>
        <w:t xml:space="preserve">Overall increase in </w:t>
      </w:r>
      <w:proofErr w:type="spellStart"/>
      <w:r w:rsidRPr="001B165D">
        <w:rPr>
          <w:rFonts w:ascii="Calibri" w:hAnsi="Calibri" w:cs="Arial"/>
          <w:b/>
          <w:bCs/>
          <w:color w:val="1F497D" w:themeColor="text2"/>
          <w:szCs w:val="24"/>
        </w:rPr>
        <w:t>SACE</w:t>
      </w:r>
      <w:proofErr w:type="spellEnd"/>
      <w:r w:rsidRPr="001B165D">
        <w:rPr>
          <w:rFonts w:ascii="Calibri" w:hAnsi="Calibri" w:cs="Arial"/>
          <w:b/>
          <w:bCs/>
          <w:color w:val="1F497D" w:themeColor="text2"/>
          <w:szCs w:val="24"/>
        </w:rPr>
        <w:t xml:space="preserve"> completions</w:t>
      </w:r>
    </w:p>
    <w:p w:rsidR="001B165D" w:rsidRDefault="001B165D" w:rsidP="00011B40">
      <w:r w:rsidRPr="001B165D">
        <w:t xml:space="preserve">In 2012, 20.5% of Year 12/13 </w:t>
      </w:r>
      <w:proofErr w:type="spellStart"/>
      <w:r w:rsidRPr="001B165D">
        <w:t>CMaD</w:t>
      </w:r>
      <w:proofErr w:type="spellEnd"/>
      <w:r w:rsidRPr="001B165D">
        <w:t xml:space="preserve"> NP students had received a </w:t>
      </w:r>
      <w:proofErr w:type="spellStart"/>
      <w:r w:rsidRPr="001B165D">
        <w:t>SACE</w:t>
      </w:r>
      <w:proofErr w:type="spellEnd"/>
      <w:r w:rsidRPr="001B165D">
        <w:t xml:space="preserve"> certificate. The following table shows the </w:t>
      </w:r>
      <w:proofErr w:type="spellStart"/>
      <w:r w:rsidRPr="001B165D">
        <w:t>SACE</w:t>
      </w:r>
      <w:proofErr w:type="spellEnd"/>
      <w:r w:rsidRPr="001B165D">
        <w:t xml:space="preserve"> completion for the </w:t>
      </w:r>
      <w:proofErr w:type="spellStart"/>
      <w:r w:rsidRPr="001B165D">
        <w:t>CMaD</w:t>
      </w:r>
      <w:proofErr w:type="spellEnd"/>
      <w:r w:rsidRPr="001B165D">
        <w:t xml:space="preserve"> NP over the last three years, and demonstrates a slight proportional improvement from the first year of the national partnerships. </w:t>
      </w:r>
    </w:p>
    <w:p w:rsidR="0073635A" w:rsidRPr="001B165D" w:rsidRDefault="0073635A" w:rsidP="00011B40"/>
    <w:tbl>
      <w:tblPr>
        <w:tblStyle w:val="TableContemporary"/>
        <w:tblW w:w="8942" w:type="dxa"/>
        <w:tblInd w:w="2516" w:type="dxa"/>
        <w:tblLook w:val="04A0" w:firstRow="1" w:lastRow="0" w:firstColumn="1" w:lastColumn="0" w:noHBand="0" w:noVBand="1"/>
      </w:tblPr>
      <w:tblGrid>
        <w:gridCol w:w="2480"/>
        <w:gridCol w:w="2417"/>
        <w:gridCol w:w="2055"/>
        <w:gridCol w:w="1990"/>
      </w:tblGrid>
      <w:tr w:rsidR="001B165D" w:rsidRPr="001B165D" w:rsidTr="001B165D">
        <w:trPr>
          <w:cnfStyle w:val="100000000000" w:firstRow="1" w:lastRow="0" w:firstColumn="0" w:lastColumn="0" w:oddVBand="0" w:evenVBand="0" w:oddHBand="0" w:evenHBand="0" w:firstRowFirstColumn="0" w:firstRowLastColumn="0" w:lastRowFirstColumn="0" w:lastRowLastColumn="0"/>
          <w:trHeight w:val="270"/>
        </w:trPr>
        <w:tc>
          <w:tcPr>
            <w:tcW w:w="2480" w:type="dxa"/>
            <w:tcBorders>
              <w:top w:val="nil"/>
              <w:bottom w:val="single" w:sz="18" w:space="0" w:color="FFFFFF"/>
            </w:tcBorders>
            <w:shd w:val="pct60" w:color="000000" w:fill="FFFFFF"/>
            <w:noWrap/>
            <w:vAlign w:val="center"/>
            <w:hideMark/>
          </w:tcPr>
          <w:p w:rsidR="001B165D" w:rsidRPr="001B165D" w:rsidRDefault="001B165D" w:rsidP="00011B40">
            <w:pPr>
              <w:rPr>
                <w:rFonts w:cs="Calibri"/>
                <w:bCs w:val="0"/>
                <w:color w:val="FFFFFF" w:themeColor="background1"/>
                <w:szCs w:val="22"/>
                <w:lang w:eastAsia="en-AU"/>
              </w:rPr>
            </w:pPr>
            <w:proofErr w:type="spellStart"/>
            <w:r w:rsidRPr="001B165D">
              <w:rPr>
                <w:rFonts w:cs="Calibri"/>
                <w:bCs w:val="0"/>
                <w:color w:val="FFFFFF" w:themeColor="background1"/>
                <w:szCs w:val="22"/>
                <w:lang w:eastAsia="en-AU"/>
              </w:rPr>
              <w:t>CMaD</w:t>
            </w:r>
            <w:proofErr w:type="spellEnd"/>
            <w:r w:rsidRPr="001B165D">
              <w:rPr>
                <w:rFonts w:cs="Calibri"/>
                <w:bCs w:val="0"/>
                <w:color w:val="FFFFFF" w:themeColor="background1"/>
                <w:szCs w:val="22"/>
                <w:lang w:eastAsia="en-AU"/>
              </w:rPr>
              <w:t xml:space="preserve"> NP Program</w:t>
            </w:r>
          </w:p>
        </w:tc>
        <w:tc>
          <w:tcPr>
            <w:tcW w:w="2417" w:type="dxa"/>
            <w:tcBorders>
              <w:top w:val="nil"/>
              <w:bottom w:val="single" w:sz="18" w:space="0" w:color="FFFFFF"/>
            </w:tcBorders>
            <w:shd w:val="pct60" w:color="000000" w:fill="FFFFFF"/>
            <w:noWrap/>
            <w:vAlign w:val="center"/>
            <w:hideMark/>
          </w:tcPr>
          <w:p w:rsidR="001B165D" w:rsidRPr="001B165D" w:rsidRDefault="001B165D" w:rsidP="00011B40">
            <w:pPr>
              <w:rPr>
                <w:rFonts w:cs="Calibri"/>
                <w:bCs w:val="0"/>
                <w:color w:val="FFFFFF" w:themeColor="background1"/>
                <w:szCs w:val="22"/>
                <w:lang w:eastAsia="en-AU"/>
              </w:rPr>
            </w:pPr>
            <w:r w:rsidRPr="001B165D">
              <w:rPr>
                <w:rFonts w:cs="Calibri"/>
                <w:bCs w:val="0"/>
                <w:color w:val="FFFFFF" w:themeColor="background1"/>
                <w:szCs w:val="22"/>
                <w:lang w:eastAsia="en-AU"/>
              </w:rPr>
              <w:t>Total Year 12/13 students participating</w:t>
            </w:r>
          </w:p>
        </w:tc>
        <w:tc>
          <w:tcPr>
            <w:tcW w:w="2055" w:type="dxa"/>
            <w:tcBorders>
              <w:top w:val="nil"/>
              <w:bottom w:val="single" w:sz="18" w:space="0" w:color="FFFFFF"/>
            </w:tcBorders>
            <w:shd w:val="pct60" w:color="000000" w:fill="FFFFFF"/>
            <w:noWrap/>
            <w:vAlign w:val="center"/>
            <w:hideMark/>
          </w:tcPr>
          <w:p w:rsidR="001B165D" w:rsidRPr="001B165D" w:rsidRDefault="001B165D" w:rsidP="00011B40">
            <w:pPr>
              <w:rPr>
                <w:rFonts w:cs="Calibri"/>
                <w:bCs w:val="0"/>
                <w:color w:val="FFFFFF" w:themeColor="background1"/>
                <w:szCs w:val="22"/>
                <w:lang w:eastAsia="en-AU"/>
              </w:rPr>
            </w:pPr>
            <w:r w:rsidRPr="001B165D">
              <w:rPr>
                <w:rFonts w:cs="Calibri"/>
                <w:bCs w:val="0"/>
                <w:color w:val="FFFFFF" w:themeColor="background1"/>
                <w:szCs w:val="22"/>
                <w:lang w:eastAsia="en-AU"/>
              </w:rPr>
              <w:t xml:space="preserve">No. who had a </w:t>
            </w:r>
            <w:proofErr w:type="spellStart"/>
            <w:r w:rsidRPr="001B165D">
              <w:rPr>
                <w:rFonts w:cs="Calibri"/>
                <w:bCs w:val="0"/>
                <w:color w:val="FFFFFF" w:themeColor="background1"/>
                <w:szCs w:val="22"/>
                <w:lang w:eastAsia="en-AU"/>
              </w:rPr>
              <w:t>SACE</w:t>
            </w:r>
            <w:proofErr w:type="spellEnd"/>
            <w:r w:rsidRPr="001B165D">
              <w:rPr>
                <w:rFonts w:cs="Calibri"/>
                <w:bCs w:val="0"/>
                <w:color w:val="FFFFFF" w:themeColor="background1"/>
                <w:szCs w:val="22"/>
                <w:lang w:eastAsia="en-AU"/>
              </w:rPr>
              <w:t xml:space="preserve"> Completion</w:t>
            </w:r>
          </w:p>
        </w:tc>
        <w:tc>
          <w:tcPr>
            <w:tcW w:w="1990" w:type="dxa"/>
            <w:tcBorders>
              <w:top w:val="nil"/>
              <w:bottom w:val="single" w:sz="18" w:space="0" w:color="FFFFFF"/>
            </w:tcBorders>
            <w:shd w:val="pct60" w:color="000000" w:fill="FFFFFF"/>
            <w:noWrap/>
            <w:vAlign w:val="center"/>
            <w:hideMark/>
          </w:tcPr>
          <w:p w:rsidR="001B165D" w:rsidRPr="001B165D" w:rsidRDefault="001B165D" w:rsidP="00011B40">
            <w:pPr>
              <w:rPr>
                <w:rFonts w:cs="Calibri"/>
                <w:bCs w:val="0"/>
                <w:color w:val="FFFFFF" w:themeColor="background1"/>
                <w:szCs w:val="22"/>
                <w:lang w:eastAsia="en-AU"/>
              </w:rPr>
            </w:pPr>
            <w:r w:rsidRPr="001B165D">
              <w:rPr>
                <w:rFonts w:cs="Calibri"/>
                <w:bCs w:val="0"/>
                <w:color w:val="FFFFFF" w:themeColor="background1"/>
                <w:szCs w:val="22"/>
                <w:lang w:eastAsia="en-AU"/>
              </w:rPr>
              <w:t>% of total students</w:t>
            </w:r>
          </w:p>
        </w:tc>
      </w:tr>
      <w:tr w:rsidR="001B165D" w:rsidRPr="001B165D" w:rsidTr="001B165D">
        <w:trPr>
          <w:cnfStyle w:val="000000100000" w:firstRow="0" w:lastRow="0" w:firstColumn="0" w:lastColumn="0" w:oddVBand="0" w:evenVBand="0" w:oddHBand="1" w:evenHBand="0" w:firstRowFirstColumn="0" w:firstRowLastColumn="0" w:lastRowFirstColumn="0" w:lastRowLastColumn="0"/>
          <w:trHeight w:val="270"/>
        </w:trPr>
        <w:tc>
          <w:tcPr>
            <w:tcW w:w="2480" w:type="dxa"/>
            <w:tcBorders>
              <w:top w:val="single" w:sz="18" w:space="0" w:color="FFFFFF"/>
            </w:tcBorders>
            <w:noWrap/>
            <w:hideMark/>
          </w:tcPr>
          <w:p w:rsidR="001B165D" w:rsidRPr="001B165D" w:rsidRDefault="001B165D" w:rsidP="00011B40">
            <w:pPr>
              <w:rPr>
                <w:rFonts w:cs="Calibri"/>
                <w:szCs w:val="22"/>
                <w:lang w:eastAsia="en-AU"/>
              </w:rPr>
            </w:pPr>
            <w:r w:rsidRPr="001B165D">
              <w:rPr>
                <w:rFonts w:cs="Calibri"/>
                <w:szCs w:val="22"/>
                <w:lang w:eastAsia="en-AU"/>
              </w:rPr>
              <w:t xml:space="preserve">2010 </w:t>
            </w:r>
            <w:proofErr w:type="spellStart"/>
            <w:r w:rsidRPr="001B165D">
              <w:rPr>
                <w:rFonts w:cs="Calibri"/>
                <w:szCs w:val="22"/>
                <w:lang w:eastAsia="en-AU"/>
              </w:rPr>
              <w:t>CMaD</w:t>
            </w:r>
            <w:proofErr w:type="spellEnd"/>
            <w:r w:rsidRPr="001B165D">
              <w:rPr>
                <w:rFonts w:cs="Calibri"/>
                <w:szCs w:val="22"/>
                <w:lang w:eastAsia="en-AU"/>
              </w:rPr>
              <w:t xml:space="preserve"> NP</w:t>
            </w:r>
          </w:p>
        </w:tc>
        <w:tc>
          <w:tcPr>
            <w:tcW w:w="2417" w:type="dxa"/>
            <w:tcBorders>
              <w:top w:val="single" w:sz="18" w:space="0" w:color="FFFFFF"/>
            </w:tcBorders>
            <w:noWrap/>
            <w:hideMark/>
          </w:tcPr>
          <w:p w:rsidR="001B165D" w:rsidRPr="001B165D" w:rsidRDefault="001B165D" w:rsidP="00011B40">
            <w:pPr>
              <w:rPr>
                <w:rFonts w:cs="Calibri"/>
                <w:szCs w:val="22"/>
                <w:lang w:eastAsia="en-AU"/>
              </w:rPr>
            </w:pPr>
            <w:r w:rsidRPr="001B165D">
              <w:rPr>
                <w:rFonts w:cs="Calibri"/>
                <w:szCs w:val="22"/>
                <w:lang w:eastAsia="en-AU"/>
              </w:rPr>
              <w:t>1 539</w:t>
            </w:r>
          </w:p>
        </w:tc>
        <w:tc>
          <w:tcPr>
            <w:tcW w:w="2055" w:type="dxa"/>
            <w:tcBorders>
              <w:top w:val="single" w:sz="18" w:space="0" w:color="FFFFFF"/>
            </w:tcBorders>
            <w:noWrap/>
            <w:hideMark/>
          </w:tcPr>
          <w:p w:rsidR="001B165D" w:rsidRPr="001B165D" w:rsidRDefault="001B165D" w:rsidP="00011B40">
            <w:pPr>
              <w:rPr>
                <w:rFonts w:cs="Calibri"/>
                <w:szCs w:val="22"/>
                <w:lang w:eastAsia="en-AU"/>
              </w:rPr>
            </w:pPr>
            <w:r w:rsidRPr="001B165D">
              <w:rPr>
                <w:rFonts w:cs="Calibri"/>
                <w:szCs w:val="22"/>
                <w:lang w:eastAsia="en-AU"/>
              </w:rPr>
              <w:t>282</w:t>
            </w:r>
          </w:p>
        </w:tc>
        <w:tc>
          <w:tcPr>
            <w:tcW w:w="1990" w:type="dxa"/>
            <w:tcBorders>
              <w:top w:val="single" w:sz="18" w:space="0" w:color="FFFFFF"/>
            </w:tcBorders>
            <w:noWrap/>
            <w:hideMark/>
          </w:tcPr>
          <w:p w:rsidR="001B165D" w:rsidRPr="001B165D" w:rsidRDefault="001B165D" w:rsidP="00011B40">
            <w:pPr>
              <w:rPr>
                <w:rFonts w:cs="Calibri"/>
                <w:szCs w:val="22"/>
                <w:lang w:eastAsia="en-AU"/>
              </w:rPr>
            </w:pPr>
            <w:r w:rsidRPr="001B165D">
              <w:rPr>
                <w:rFonts w:cs="Calibri"/>
                <w:szCs w:val="22"/>
                <w:lang w:eastAsia="en-AU"/>
              </w:rPr>
              <w:t>18.3%</w:t>
            </w:r>
          </w:p>
        </w:tc>
      </w:tr>
      <w:tr w:rsidR="001B165D" w:rsidRPr="001B165D" w:rsidTr="001B165D">
        <w:trPr>
          <w:cnfStyle w:val="000000010000" w:firstRow="0" w:lastRow="0" w:firstColumn="0" w:lastColumn="0" w:oddVBand="0" w:evenVBand="0" w:oddHBand="0" w:evenHBand="1" w:firstRowFirstColumn="0" w:firstRowLastColumn="0" w:lastRowFirstColumn="0" w:lastRowLastColumn="0"/>
          <w:trHeight w:val="270"/>
        </w:trPr>
        <w:tc>
          <w:tcPr>
            <w:tcW w:w="2480" w:type="dxa"/>
            <w:noWrap/>
            <w:hideMark/>
          </w:tcPr>
          <w:p w:rsidR="001B165D" w:rsidRPr="001B165D" w:rsidRDefault="001B165D" w:rsidP="00011B40">
            <w:pPr>
              <w:rPr>
                <w:rFonts w:cs="Calibri"/>
                <w:szCs w:val="22"/>
                <w:lang w:eastAsia="en-AU"/>
              </w:rPr>
            </w:pPr>
            <w:r w:rsidRPr="001B165D">
              <w:rPr>
                <w:rFonts w:cs="Calibri"/>
                <w:szCs w:val="22"/>
                <w:lang w:eastAsia="en-AU"/>
              </w:rPr>
              <w:t xml:space="preserve">2011 </w:t>
            </w:r>
            <w:proofErr w:type="spellStart"/>
            <w:r w:rsidRPr="001B165D">
              <w:rPr>
                <w:rFonts w:cs="Calibri"/>
                <w:szCs w:val="22"/>
                <w:lang w:eastAsia="en-AU"/>
              </w:rPr>
              <w:t>CMaD</w:t>
            </w:r>
            <w:proofErr w:type="spellEnd"/>
            <w:r w:rsidRPr="001B165D">
              <w:rPr>
                <w:rFonts w:cs="Calibri"/>
                <w:szCs w:val="22"/>
                <w:lang w:eastAsia="en-AU"/>
              </w:rPr>
              <w:t xml:space="preserve"> NP</w:t>
            </w:r>
          </w:p>
        </w:tc>
        <w:tc>
          <w:tcPr>
            <w:tcW w:w="2417" w:type="dxa"/>
            <w:noWrap/>
            <w:hideMark/>
          </w:tcPr>
          <w:p w:rsidR="001B165D" w:rsidRPr="001B165D" w:rsidRDefault="001B165D" w:rsidP="00011B40">
            <w:pPr>
              <w:rPr>
                <w:rFonts w:cs="Calibri"/>
                <w:szCs w:val="22"/>
                <w:lang w:eastAsia="en-AU"/>
              </w:rPr>
            </w:pPr>
            <w:r w:rsidRPr="001B165D">
              <w:rPr>
                <w:rFonts w:cs="Calibri"/>
                <w:szCs w:val="22"/>
                <w:lang w:eastAsia="en-AU"/>
              </w:rPr>
              <w:t>2 074</w:t>
            </w:r>
          </w:p>
        </w:tc>
        <w:tc>
          <w:tcPr>
            <w:tcW w:w="2055" w:type="dxa"/>
            <w:noWrap/>
            <w:hideMark/>
          </w:tcPr>
          <w:p w:rsidR="001B165D" w:rsidRPr="001B165D" w:rsidRDefault="001B165D" w:rsidP="00011B40">
            <w:pPr>
              <w:rPr>
                <w:rFonts w:cs="Calibri"/>
                <w:szCs w:val="22"/>
                <w:lang w:eastAsia="en-AU"/>
              </w:rPr>
            </w:pPr>
            <w:r w:rsidRPr="001B165D">
              <w:rPr>
                <w:rFonts w:cs="Calibri"/>
                <w:szCs w:val="22"/>
                <w:lang w:eastAsia="en-AU"/>
              </w:rPr>
              <w:t>335</w:t>
            </w:r>
          </w:p>
        </w:tc>
        <w:tc>
          <w:tcPr>
            <w:tcW w:w="1990" w:type="dxa"/>
            <w:noWrap/>
            <w:hideMark/>
          </w:tcPr>
          <w:p w:rsidR="001B165D" w:rsidRPr="001B165D" w:rsidRDefault="001B165D" w:rsidP="00011B40">
            <w:pPr>
              <w:rPr>
                <w:rFonts w:cs="Calibri"/>
                <w:szCs w:val="22"/>
                <w:lang w:eastAsia="en-AU"/>
              </w:rPr>
            </w:pPr>
            <w:r w:rsidRPr="001B165D">
              <w:rPr>
                <w:rFonts w:cs="Calibri"/>
                <w:szCs w:val="22"/>
                <w:lang w:eastAsia="en-AU"/>
              </w:rPr>
              <w:t>16.2%</w:t>
            </w:r>
          </w:p>
        </w:tc>
      </w:tr>
      <w:tr w:rsidR="001B165D" w:rsidRPr="001B165D" w:rsidTr="001B165D">
        <w:trPr>
          <w:cnfStyle w:val="000000100000" w:firstRow="0" w:lastRow="0" w:firstColumn="0" w:lastColumn="0" w:oddVBand="0" w:evenVBand="0" w:oddHBand="1" w:evenHBand="0" w:firstRowFirstColumn="0" w:firstRowLastColumn="0" w:lastRowFirstColumn="0" w:lastRowLastColumn="0"/>
          <w:trHeight w:val="270"/>
        </w:trPr>
        <w:tc>
          <w:tcPr>
            <w:tcW w:w="2480" w:type="dxa"/>
            <w:noWrap/>
            <w:hideMark/>
          </w:tcPr>
          <w:p w:rsidR="001B165D" w:rsidRPr="001B165D" w:rsidRDefault="001B165D" w:rsidP="00011B40">
            <w:pPr>
              <w:rPr>
                <w:rFonts w:cs="Calibri"/>
                <w:szCs w:val="22"/>
                <w:lang w:eastAsia="en-AU"/>
              </w:rPr>
            </w:pPr>
            <w:r w:rsidRPr="001B165D">
              <w:rPr>
                <w:rFonts w:cs="Calibri"/>
                <w:szCs w:val="22"/>
                <w:lang w:eastAsia="en-AU"/>
              </w:rPr>
              <w:t xml:space="preserve">2012 </w:t>
            </w:r>
            <w:proofErr w:type="spellStart"/>
            <w:r w:rsidRPr="001B165D">
              <w:rPr>
                <w:rFonts w:cs="Calibri"/>
                <w:szCs w:val="22"/>
                <w:lang w:eastAsia="en-AU"/>
              </w:rPr>
              <w:t>CMaD</w:t>
            </w:r>
            <w:proofErr w:type="spellEnd"/>
            <w:r w:rsidRPr="001B165D">
              <w:rPr>
                <w:rFonts w:cs="Calibri"/>
                <w:szCs w:val="22"/>
                <w:lang w:eastAsia="en-AU"/>
              </w:rPr>
              <w:t xml:space="preserve"> NP</w:t>
            </w:r>
          </w:p>
        </w:tc>
        <w:tc>
          <w:tcPr>
            <w:tcW w:w="2417" w:type="dxa"/>
            <w:noWrap/>
            <w:hideMark/>
          </w:tcPr>
          <w:p w:rsidR="001B165D" w:rsidRPr="001B165D" w:rsidRDefault="001B165D" w:rsidP="00011B40">
            <w:pPr>
              <w:rPr>
                <w:rFonts w:cs="Calibri"/>
                <w:szCs w:val="22"/>
                <w:lang w:eastAsia="en-AU"/>
              </w:rPr>
            </w:pPr>
            <w:r w:rsidRPr="001B165D">
              <w:rPr>
                <w:rFonts w:cs="Calibri"/>
                <w:szCs w:val="22"/>
                <w:lang w:eastAsia="en-AU"/>
              </w:rPr>
              <w:t>2 174</w:t>
            </w:r>
          </w:p>
        </w:tc>
        <w:tc>
          <w:tcPr>
            <w:tcW w:w="2055" w:type="dxa"/>
            <w:noWrap/>
            <w:hideMark/>
          </w:tcPr>
          <w:p w:rsidR="001B165D" w:rsidRPr="001B165D" w:rsidRDefault="001B165D" w:rsidP="00011B40">
            <w:pPr>
              <w:rPr>
                <w:rFonts w:cs="Calibri"/>
                <w:szCs w:val="22"/>
                <w:lang w:eastAsia="en-AU"/>
              </w:rPr>
            </w:pPr>
            <w:r w:rsidRPr="001B165D">
              <w:rPr>
                <w:rFonts w:cs="Calibri"/>
                <w:szCs w:val="22"/>
                <w:lang w:eastAsia="en-AU"/>
              </w:rPr>
              <w:t>446</w:t>
            </w:r>
          </w:p>
        </w:tc>
        <w:tc>
          <w:tcPr>
            <w:tcW w:w="1990" w:type="dxa"/>
            <w:noWrap/>
            <w:hideMark/>
          </w:tcPr>
          <w:p w:rsidR="001B165D" w:rsidRPr="001B165D" w:rsidRDefault="001B165D" w:rsidP="00011B40">
            <w:pPr>
              <w:rPr>
                <w:rFonts w:cs="Calibri"/>
                <w:szCs w:val="22"/>
                <w:lang w:eastAsia="en-AU"/>
              </w:rPr>
            </w:pPr>
            <w:r w:rsidRPr="001B165D">
              <w:rPr>
                <w:rFonts w:cs="Calibri"/>
                <w:szCs w:val="22"/>
                <w:lang w:eastAsia="en-AU"/>
              </w:rPr>
              <w:t>20.5%</w:t>
            </w:r>
          </w:p>
        </w:tc>
      </w:tr>
    </w:tbl>
    <w:p w:rsidR="001B165D" w:rsidRPr="001B165D" w:rsidRDefault="001B165D" w:rsidP="00011B40">
      <w:pPr>
        <w:rPr>
          <w:rFonts w:eastAsia="Calibri" w:cstheme="minorHAnsi"/>
          <w:b/>
          <w:sz w:val="28"/>
          <w:szCs w:val="28"/>
        </w:rPr>
      </w:pPr>
    </w:p>
    <w:p w:rsidR="001B165D" w:rsidRPr="001B165D" w:rsidRDefault="001B165D" w:rsidP="00011B40">
      <w:pPr>
        <w:rPr>
          <w:rFonts w:eastAsia="Calibri" w:cstheme="minorHAnsi"/>
          <w:szCs w:val="28"/>
        </w:rPr>
      </w:pPr>
      <w:r w:rsidRPr="001B165D">
        <w:rPr>
          <w:rFonts w:cstheme="minorHAnsi"/>
          <w:szCs w:val="28"/>
        </w:rPr>
        <w:t>Please note: remaining students may have undertaken other learning and earning opportunities.</w:t>
      </w:r>
      <w:r w:rsidRPr="001B165D">
        <w:rPr>
          <w:rFonts w:cstheme="minorHAnsi"/>
          <w:szCs w:val="28"/>
        </w:rPr>
        <w:br w:type="page"/>
      </w:r>
    </w:p>
    <w:p w:rsidR="001B165D" w:rsidRPr="001B165D" w:rsidRDefault="001B165D" w:rsidP="001B165D">
      <w:pPr>
        <w:widowControl w:val="0"/>
        <w:spacing w:before="120" w:after="60"/>
        <w:contextualSpacing/>
        <w:rPr>
          <w:rFonts w:eastAsia="Calibri" w:cstheme="minorHAnsi"/>
          <w:b/>
          <w:sz w:val="28"/>
          <w:szCs w:val="28"/>
        </w:rPr>
      </w:pPr>
      <w:r w:rsidRPr="001B165D">
        <w:rPr>
          <w:rFonts w:eastAsia="Calibri" w:cstheme="minorHAnsi"/>
          <w:b/>
          <w:sz w:val="28"/>
          <w:szCs w:val="28"/>
        </w:rPr>
        <w:lastRenderedPageBreak/>
        <w:t xml:space="preserve">Communities Making a Difference (Low SES) National Partnership students participating in ‘individual targeted support’ strategies and approaches 2010 to 2012, by </w:t>
      </w:r>
      <w:proofErr w:type="spellStart"/>
      <w:r w:rsidRPr="001B165D">
        <w:rPr>
          <w:rFonts w:eastAsia="Calibri" w:cstheme="minorHAnsi"/>
          <w:b/>
          <w:sz w:val="28"/>
          <w:szCs w:val="28"/>
        </w:rPr>
        <w:t>SACE</w:t>
      </w:r>
      <w:proofErr w:type="spellEnd"/>
      <w:r w:rsidRPr="001B165D">
        <w:rPr>
          <w:rFonts w:eastAsia="Calibri" w:cstheme="minorHAnsi"/>
          <w:b/>
          <w:sz w:val="28"/>
          <w:szCs w:val="28"/>
        </w:rPr>
        <w:t xml:space="preserve"> literacy and numeracy subject results, ‘C’ Grade or Better:</w:t>
      </w:r>
    </w:p>
    <w:p w:rsidR="001B165D" w:rsidRPr="001B165D" w:rsidRDefault="001B165D" w:rsidP="001B165D">
      <w:pPr>
        <w:widowControl w:val="0"/>
        <w:spacing w:before="120" w:after="60"/>
        <w:contextualSpacing/>
        <w:rPr>
          <w:rFonts w:eastAsia="Calibri" w:cstheme="minorHAnsi"/>
          <w:b/>
          <w:sz w:val="28"/>
          <w:szCs w:val="28"/>
        </w:rPr>
      </w:pPr>
    </w:p>
    <w:p w:rsidR="001B165D" w:rsidRPr="001B165D" w:rsidRDefault="001B165D" w:rsidP="001B165D">
      <w:pPr>
        <w:widowControl w:val="0"/>
        <w:spacing w:before="120" w:after="60"/>
        <w:contextualSpacing/>
        <w:rPr>
          <w:rFonts w:eastAsia="Calibri" w:cstheme="minorHAnsi"/>
          <w:b/>
          <w:szCs w:val="24"/>
        </w:rPr>
      </w:pPr>
      <w:r w:rsidRPr="001B165D">
        <w:rPr>
          <w:rFonts w:eastAsia="Calibri" w:cstheme="minorHAnsi"/>
          <w:b/>
          <w:szCs w:val="24"/>
        </w:rPr>
        <w:t>Table 2.5(a</w:t>
      </w:r>
      <w:r w:rsidR="00A04520">
        <w:rPr>
          <w:rFonts w:eastAsia="Calibri" w:cstheme="minorHAnsi"/>
          <w:b/>
          <w:szCs w:val="24"/>
        </w:rPr>
        <w:t>-1</w:t>
      </w:r>
      <w:r w:rsidRPr="001B165D">
        <w:rPr>
          <w:rFonts w:eastAsia="Calibri" w:cstheme="minorHAnsi"/>
          <w:b/>
          <w:szCs w:val="24"/>
        </w:rPr>
        <w:t xml:space="preserve">) – Students participating in </w:t>
      </w:r>
      <w:proofErr w:type="spellStart"/>
      <w:r w:rsidRPr="001B165D">
        <w:rPr>
          <w:rFonts w:eastAsia="Calibri" w:cstheme="minorHAnsi"/>
          <w:b/>
          <w:szCs w:val="24"/>
        </w:rPr>
        <w:t>CMaD</w:t>
      </w:r>
      <w:proofErr w:type="spellEnd"/>
      <w:r w:rsidRPr="001B165D">
        <w:rPr>
          <w:rFonts w:eastAsia="Calibri" w:cstheme="minorHAnsi"/>
          <w:b/>
          <w:szCs w:val="24"/>
        </w:rPr>
        <w:t xml:space="preserve"> NP ‘individual targeted support’ interventions for 1-3 </w:t>
      </w:r>
      <w:proofErr w:type="gramStart"/>
      <w:r w:rsidRPr="001B165D">
        <w:rPr>
          <w:rFonts w:eastAsia="Calibri" w:cstheme="minorHAnsi"/>
          <w:b/>
          <w:szCs w:val="24"/>
        </w:rPr>
        <w:t>years</w:t>
      </w:r>
      <w:r w:rsidR="00A04520" w:rsidRPr="00A04520">
        <w:rPr>
          <w:rFonts w:ascii="Calibri" w:hAnsi="Calibri" w:cs="Calibri"/>
          <w:color w:val="000000"/>
          <w:szCs w:val="22"/>
          <w:lang w:eastAsia="en-AU"/>
        </w:rPr>
        <w:t xml:space="preserve"> </w:t>
      </w:r>
      <w:r w:rsidR="00A04520">
        <w:rPr>
          <w:rFonts w:ascii="Calibri" w:hAnsi="Calibri" w:cs="Calibri"/>
          <w:color w:val="000000"/>
          <w:szCs w:val="22"/>
          <w:lang w:eastAsia="en-AU"/>
        </w:rPr>
        <w:t xml:space="preserve"> -</w:t>
      </w:r>
      <w:proofErr w:type="gramEnd"/>
      <w:r w:rsidR="00A04520">
        <w:rPr>
          <w:rFonts w:ascii="Calibri" w:hAnsi="Calibri" w:cs="Calibri"/>
          <w:color w:val="000000"/>
          <w:szCs w:val="22"/>
          <w:lang w:eastAsia="en-AU"/>
        </w:rPr>
        <w:t xml:space="preserve"> </w:t>
      </w:r>
      <w:r w:rsidR="00A04520" w:rsidRPr="00A04520">
        <w:rPr>
          <w:rFonts w:ascii="Calibri" w:hAnsi="Calibri" w:cs="Calibri"/>
          <w:color w:val="000000"/>
          <w:szCs w:val="22"/>
          <w:lang w:eastAsia="en-AU"/>
        </w:rPr>
        <w:t xml:space="preserve">ALL Students in </w:t>
      </w:r>
      <w:proofErr w:type="spellStart"/>
      <w:r w:rsidR="00A04520" w:rsidRPr="00A04520">
        <w:rPr>
          <w:rFonts w:ascii="Calibri" w:hAnsi="Calibri" w:cs="Calibri"/>
          <w:color w:val="000000"/>
          <w:szCs w:val="22"/>
          <w:lang w:eastAsia="en-AU"/>
        </w:rPr>
        <w:t>CMaD</w:t>
      </w:r>
      <w:proofErr w:type="spellEnd"/>
      <w:r w:rsidR="00A04520" w:rsidRPr="00A04520">
        <w:rPr>
          <w:rFonts w:ascii="Calibri" w:hAnsi="Calibri" w:cs="Calibri"/>
          <w:color w:val="000000"/>
          <w:szCs w:val="22"/>
          <w:lang w:eastAsia="en-AU"/>
        </w:rPr>
        <w:t xml:space="preserve"> N</w:t>
      </w:r>
      <w:r w:rsidR="00A04520">
        <w:rPr>
          <w:rFonts w:ascii="Calibri" w:hAnsi="Calibri" w:cs="Calibri"/>
          <w:color w:val="000000"/>
          <w:szCs w:val="22"/>
          <w:lang w:eastAsia="en-AU"/>
        </w:rPr>
        <w:t xml:space="preserve">P (Low SES) by </w:t>
      </w:r>
      <w:proofErr w:type="spellStart"/>
      <w:r w:rsidR="00A04520">
        <w:rPr>
          <w:rFonts w:ascii="Calibri" w:hAnsi="Calibri" w:cs="Calibri"/>
          <w:color w:val="000000"/>
          <w:szCs w:val="22"/>
          <w:lang w:eastAsia="en-AU"/>
        </w:rPr>
        <w:t>L&amp;N</w:t>
      </w:r>
      <w:proofErr w:type="spellEnd"/>
      <w:r w:rsidR="00A04520">
        <w:rPr>
          <w:rFonts w:ascii="Calibri" w:hAnsi="Calibri" w:cs="Calibri"/>
          <w:color w:val="000000"/>
          <w:szCs w:val="22"/>
          <w:lang w:eastAsia="en-AU"/>
        </w:rPr>
        <w:t xml:space="preserve"> </w:t>
      </w:r>
      <w:proofErr w:type="spellStart"/>
      <w:r w:rsidR="00A04520">
        <w:rPr>
          <w:rFonts w:ascii="Calibri" w:hAnsi="Calibri" w:cs="Calibri"/>
          <w:color w:val="000000"/>
          <w:szCs w:val="22"/>
          <w:lang w:eastAsia="en-AU"/>
        </w:rPr>
        <w:t>SACE</w:t>
      </w:r>
      <w:proofErr w:type="spellEnd"/>
      <w:r w:rsidR="00A04520">
        <w:rPr>
          <w:rFonts w:ascii="Calibri" w:hAnsi="Calibri" w:cs="Calibri"/>
          <w:color w:val="000000"/>
          <w:szCs w:val="22"/>
          <w:lang w:eastAsia="en-AU"/>
        </w:rPr>
        <w:t xml:space="preserve"> Subject </w:t>
      </w:r>
      <w:r w:rsidR="00A04520" w:rsidRPr="0073635A">
        <w:rPr>
          <w:rFonts w:ascii="Calibri" w:hAnsi="Calibri" w:cs="Calibri"/>
          <w:color w:val="000000"/>
          <w:szCs w:val="22"/>
          <w:vertAlign w:val="superscript"/>
          <w:lang w:eastAsia="en-AU"/>
        </w:rPr>
        <w:t>(3)</w:t>
      </w:r>
    </w:p>
    <w:tbl>
      <w:tblPr>
        <w:tblW w:w="14898" w:type="dxa"/>
        <w:tblInd w:w="108" w:type="dxa"/>
        <w:tblLayout w:type="fixed"/>
        <w:tblLook w:val="04A0" w:firstRow="1" w:lastRow="0" w:firstColumn="1" w:lastColumn="0" w:noHBand="0" w:noVBand="1"/>
      </w:tblPr>
      <w:tblGrid>
        <w:gridCol w:w="1155"/>
        <w:gridCol w:w="1128"/>
        <w:gridCol w:w="1276"/>
        <w:gridCol w:w="1276"/>
        <w:gridCol w:w="1276"/>
        <w:gridCol w:w="1119"/>
        <w:gridCol w:w="1020"/>
        <w:gridCol w:w="1152"/>
        <w:gridCol w:w="1152"/>
        <w:gridCol w:w="1020"/>
        <w:gridCol w:w="1020"/>
        <w:gridCol w:w="1152"/>
        <w:gridCol w:w="1152"/>
      </w:tblGrid>
      <w:tr w:rsidR="00A04520" w:rsidRPr="00A04520" w:rsidTr="00632B23">
        <w:trPr>
          <w:trHeight w:val="2086"/>
        </w:trPr>
        <w:tc>
          <w:tcPr>
            <w:tcW w:w="1155" w:type="dxa"/>
            <w:tcBorders>
              <w:top w:val="single" w:sz="8" w:space="0" w:color="auto"/>
              <w:left w:val="single" w:sz="8" w:space="0" w:color="auto"/>
              <w:bottom w:val="nil"/>
              <w:right w:val="nil"/>
            </w:tcBorders>
            <w:shd w:val="clear" w:color="auto" w:fill="auto"/>
            <w:vAlign w:val="center"/>
            <w:hideMark/>
          </w:tcPr>
          <w:p w:rsidR="00A04520" w:rsidRPr="00A04520" w:rsidRDefault="00A04520" w:rsidP="00A04520">
            <w:pPr>
              <w:rPr>
                <w:rFonts w:ascii="Calibri" w:hAnsi="Calibri" w:cs="Calibri"/>
                <w:b/>
                <w:bCs/>
                <w:color w:val="000000"/>
                <w:szCs w:val="22"/>
                <w:lang w:eastAsia="en-AU"/>
              </w:rPr>
            </w:pPr>
            <w:r w:rsidRPr="00A04520">
              <w:rPr>
                <w:rFonts w:ascii="Calibri" w:hAnsi="Calibri" w:cs="Calibri"/>
                <w:b/>
                <w:bCs/>
                <w:color w:val="000000"/>
                <w:szCs w:val="22"/>
                <w:lang w:eastAsia="en-AU"/>
              </w:rPr>
              <w:t>School Year Level</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04520" w:rsidRPr="00A04520" w:rsidRDefault="00A04520" w:rsidP="00A04520">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2010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 </w:t>
            </w:r>
            <w:r w:rsidRPr="0073635A">
              <w:rPr>
                <w:rFonts w:ascii="Calibri" w:hAnsi="Calibri" w:cs="Calibri"/>
                <w:color w:val="000000"/>
                <w:szCs w:val="22"/>
                <w:vertAlign w:val="superscript"/>
                <w:lang w:eastAsia="en-AU"/>
              </w:rPr>
              <w:t>(1)</w:t>
            </w:r>
            <w:r w:rsidRPr="00A04520">
              <w:rPr>
                <w:rFonts w:ascii="Calibri" w:hAnsi="Calibri" w:cs="Calibri"/>
                <w:b/>
                <w:bCs/>
                <w:color w:val="000000"/>
                <w:szCs w:val="22"/>
                <w:lang w:eastAsia="en-AU"/>
              </w:rPr>
              <w:br/>
              <w:t xml:space="preserve">Literacy Subjects </w:t>
            </w:r>
            <w:r w:rsidRPr="0073635A">
              <w:rPr>
                <w:rFonts w:ascii="Calibri" w:hAnsi="Calibri" w:cs="Calibri"/>
                <w:color w:val="000000"/>
                <w:szCs w:val="22"/>
                <w:vertAlign w:val="superscript"/>
                <w:lang w:eastAsia="en-AU"/>
              </w:rPr>
              <w:t>(5)</w:t>
            </w:r>
            <w:r w:rsidRPr="00A04520">
              <w:rPr>
                <w:rFonts w:ascii="Calibri" w:hAnsi="Calibri" w:cs="Calibri"/>
                <w:b/>
                <w:bCs/>
                <w:color w:val="000000"/>
                <w:szCs w:val="22"/>
                <w:lang w:eastAsia="en-AU"/>
              </w:rPr>
              <w:br/>
              <w:t>Stage 1</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A04520" w:rsidRPr="00A04520" w:rsidRDefault="00A04520" w:rsidP="00A04520">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2010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Literacy Subjects</w:t>
            </w:r>
            <w:r w:rsidRPr="00A04520">
              <w:rPr>
                <w:rFonts w:ascii="Calibri" w:hAnsi="Calibri" w:cs="Calibri"/>
                <w:b/>
                <w:bCs/>
                <w:color w:val="000000"/>
                <w:szCs w:val="22"/>
                <w:lang w:eastAsia="en-AU"/>
              </w:rPr>
              <w:br/>
              <w:t>Stage 2</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A04520" w:rsidRPr="00A04520" w:rsidRDefault="00A04520" w:rsidP="00A04520">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2010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Numeracy Subjects</w:t>
            </w:r>
            <w:r w:rsidRPr="00A04520">
              <w:rPr>
                <w:rFonts w:ascii="Calibri" w:hAnsi="Calibri" w:cs="Calibri"/>
                <w:b/>
                <w:bCs/>
                <w:color w:val="000000"/>
                <w:szCs w:val="22"/>
                <w:lang w:eastAsia="en-AU"/>
              </w:rPr>
              <w:br/>
              <w:t>Stage 1</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A04520" w:rsidRPr="00A04520" w:rsidRDefault="00A04520" w:rsidP="00A04520">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2010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Numeracy Subjects</w:t>
            </w:r>
            <w:r w:rsidRPr="00A04520">
              <w:rPr>
                <w:rFonts w:ascii="Calibri" w:hAnsi="Calibri" w:cs="Calibri"/>
                <w:b/>
                <w:bCs/>
                <w:color w:val="000000"/>
                <w:szCs w:val="22"/>
                <w:lang w:eastAsia="en-AU"/>
              </w:rPr>
              <w:br/>
              <w:t>Stage 2</w:t>
            </w:r>
          </w:p>
        </w:tc>
        <w:tc>
          <w:tcPr>
            <w:tcW w:w="1119" w:type="dxa"/>
            <w:tcBorders>
              <w:top w:val="single" w:sz="8" w:space="0" w:color="auto"/>
              <w:left w:val="nil"/>
              <w:bottom w:val="single" w:sz="8" w:space="0" w:color="auto"/>
              <w:right w:val="single" w:sz="8" w:space="0" w:color="auto"/>
            </w:tcBorders>
            <w:shd w:val="clear" w:color="auto" w:fill="auto"/>
            <w:vAlign w:val="center"/>
            <w:hideMark/>
          </w:tcPr>
          <w:p w:rsidR="00A04520" w:rsidRPr="00A04520" w:rsidRDefault="00A04520" w:rsidP="00A04520">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2011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Literacy Subjects</w:t>
            </w:r>
            <w:r w:rsidRPr="00A04520">
              <w:rPr>
                <w:rFonts w:ascii="Calibri" w:hAnsi="Calibri" w:cs="Calibri"/>
                <w:b/>
                <w:bCs/>
                <w:color w:val="000000"/>
                <w:szCs w:val="22"/>
                <w:lang w:eastAsia="en-AU"/>
              </w:rPr>
              <w:br/>
              <w:t>Stage 1</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A04520" w:rsidRPr="00A04520" w:rsidRDefault="00A04520" w:rsidP="00A04520">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2011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Literacy Subjects</w:t>
            </w:r>
            <w:r w:rsidRPr="00A04520">
              <w:rPr>
                <w:rFonts w:ascii="Calibri" w:hAnsi="Calibri" w:cs="Calibri"/>
                <w:b/>
                <w:bCs/>
                <w:color w:val="000000"/>
                <w:szCs w:val="22"/>
                <w:lang w:eastAsia="en-AU"/>
              </w:rPr>
              <w:br/>
              <w:t>Stage 2</w:t>
            </w:r>
          </w:p>
        </w:tc>
        <w:tc>
          <w:tcPr>
            <w:tcW w:w="1152" w:type="dxa"/>
            <w:tcBorders>
              <w:top w:val="single" w:sz="8" w:space="0" w:color="auto"/>
              <w:left w:val="nil"/>
              <w:bottom w:val="single" w:sz="8" w:space="0" w:color="auto"/>
              <w:right w:val="single" w:sz="8" w:space="0" w:color="auto"/>
            </w:tcBorders>
            <w:shd w:val="clear" w:color="auto" w:fill="auto"/>
            <w:vAlign w:val="center"/>
            <w:hideMark/>
          </w:tcPr>
          <w:p w:rsidR="00A04520" w:rsidRPr="00A04520" w:rsidRDefault="00A04520" w:rsidP="00A04520">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2011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Numeracy Subjects</w:t>
            </w:r>
            <w:r w:rsidRPr="00A04520">
              <w:rPr>
                <w:rFonts w:ascii="Calibri" w:hAnsi="Calibri" w:cs="Calibri"/>
                <w:b/>
                <w:bCs/>
                <w:color w:val="000000"/>
                <w:szCs w:val="22"/>
                <w:lang w:eastAsia="en-AU"/>
              </w:rPr>
              <w:br/>
              <w:t>Stage 1</w:t>
            </w:r>
          </w:p>
        </w:tc>
        <w:tc>
          <w:tcPr>
            <w:tcW w:w="1152" w:type="dxa"/>
            <w:tcBorders>
              <w:top w:val="single" w:sz="8" w:space="0" w:color="auto"/>
              <w:left w:val="nil"/>
              <w:bottom w:val="single" w:sz="8" w:space="0" w:color="auto"/>
              <w:right w:val="single" w:sz="8" w:space="0" w:color="auto"/>
            </w:tcBorders>
            <w:shd w:val="clear" w:color="auto" w:fill="auto"/>
            <w:vAlign w:val="center"/>
            <w:hideMark/>
          </w:tcPr>
          <w:p w:rsidR="00A04520" w:rsidRPr="00A04520" w:rsidRDefault="00A04520" w:rsidP="00A04520">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2011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Numeracy Subjects</w:t>
            </w:r>
            <w:r w:rsidRPr="00A04520">
              <w:rPr>
                <w:rFonts w:ascii="Calibri" w:hAnsi="Calibri" w:cs="Calibri"/>
                <w:b/>
                <w:bCs/>
                <w:color w:val="000000"/>
                <w:szCs w:val="22"/>
                <w:lang w:eastAsia="en-AU"/>
              </w:rPr>
              <w:br/>
              <w:t>Stage 2</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A04520" w:rsidRPr="00A04520" w:rsidRDefault="00A04520" w:rsidP="00A04520">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2012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Literacy Subjects</w:t>
            </w:r>
            <w:r w:rsidRPr="00A04520">
              <w:rPr>
                <w:rFonts w:ascii="Calibri" w:hAnsi="Calibri" w:cs="Calibri"/>
                <w:b/>
                <w:bCs/>
                <w:color w:val="000000"/>
                <w:szCs w:val="22"/>
                <w:lang w:eastAsia="en-AU"/>
              </w:rPr>
              <w:br/>
              <w:t>Stage 1</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A04520" w:rsidRPr="00A04520" w:rsidRDefault="00A04520" w:rsidP="00A04520">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2012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Literacy Subjects</w:t>
            </w:r>
            <w:r w:rsidRPr="00A04520">
              <w:rPr>
                <w:rFonts w:ascii="Calibri" w:hAnsi="Calibri" w:cs="Calibri"/>
                <w:b/>
                <w:bCs/>
                <w:color w:val="000000"/>
                <w:szCs w:val="22"/>
                <w:lang w:eastAsia="en-AU"/>
              </w:rPr>
              <w:br/>
              <w:t>Stage 2</w:t>
            </w:r>
          </w:p>
        </w:tc>
        <w:tc>
          <w:tcPr>
            <w:tcW w:w="1152" w:type="dxa"/>
            <w:tcBorders>
              <w:top w:val="single" w:sz="8" w:space="0" w:color="auto"/>
              <w:left w:val="nil"/>
              <w:bottom w:val="single" w:sz="8" w:space="0" w:color="auto"/>
              <w:right w:val="single" w:sz="8" w:space="0" w:color="auto"/>
            </w:tcBorders>
            <w:shd w:val="clear" w:color="auto" w:fill="auto"/>
            <w:vAlign w:val="center"/>
            <w:hideMark/>
          </w:tcPr>
          <w:p w:rsidR="00A04520" w:rsidRPr="00A04520" w:rsidRDefault="00A04520" w:rsidP="00A04520">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2012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Numeracy Subjects</w:t>
            </w:r>
            <w:r w:rsidRPr="00A04520">
              <w:rPr>
                <w:rFonts w:ascii="Calibri" w:hAnsi="Calibri" w:cs="Calibri"/>
                <w:b/>
                <w:bCs/>
                <w:color w:val="000000"/>
                <w:szCs w:val="22"/>
                <w:lang w:eastAsia="en-AU"/>
              </w:rPr>
              <w:br/>
              <w:t>Stage 1</w:t>
            </w:r>
          </w:p>
        </w:tc>
        <w:tc>
          <w:tcPr>
            <w:tcW w:w="1152" w:type="dxa"/>
            <w:tcBorders>
              <w:top w:val="single" w:sz="8" w:space="0" w:color="auto"/>
              <w:left w:val="nil"/>
              <w:bottom w:val="single" w:sz="8" w:space="0" w:color="auto"/>
              <w:right w:val="single" w:sz="8" w:space="0" w:color="auto"/>
            </w:tcBorders>
            <w:shd w:val="clear" w:color="auto" w:fill="auto"/>
            <w:vAlign w:val="center"/>
            <w:hideMark/>
          </w:tcPr>
          <w:p w:rsidR="00A04520" w:rsidRPr="00A04520" w:rsidRDefault="00A04520" w:rsidP="00A04520">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2012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Numeracy Subjects</w:t>
            </w:r>
            <w:r w:rsidRPr="00A04520">
              <w:rPr>
                <w:rFonts w:ascii="Calibri" w:hAnsi="Calibri" w:cs="Calibri"/>
                <w:b/>
                <w:bCs/>
                <w:color w:val="000000"/>
                <w:szCs w:val="22"/>
                <w:lang w:eastAsia="en-AU"/>
              </w:rPr>
              <w:br/>
              <w:t>Stage 2</w:t>
            </w:r>
          </w:p>
        </w:tc>
      </w:tr>
      <w:tr w:rsidR="00DC02A9" w:rsidRPr="00A04520" w:rsidTr="00632B23">
        <w:trPr>
          <w:trHeight w:val="1215"/>
        </w:trPr>
        <w:tc>
          <w:tcPr>
            <w:tcW w:w="1155" w:type="dxa"/>
            <w:tcBorders>
              <w:top w:val="single" w:sz="8" w:space="0" w:color="auto"/>
              <w:left w:val="single" w:sz="8" w:space="0" w:color="auto"/>
              <w:bottom w:val="single" w:sz="8" w:space="0" w:color="auto"/>
              <w:right w:val="nil"/>
            </w:tcBorders>
            <w:shd w:val="clear" w:color="000000" w:fill="C0C0C0"/>
            <w:vAlign w:val="center"/>
            <w:hideMark/>
          </w:tcPr>
          <w:p w:rsidR="00DC02A9" w:rsidRPr="00A04520" w:rsidRDefault="00DC02A9" w:rsidP="00A04520">
            <w:pPr>
              <w:rPr>
                <w:rFonts w:ascii="Calibri" w:hAnsi="Calibri" w:cs="Calibri"/>
                <w:color w:val="000000"/>
                <w:szCs w:val="22"/>
                <w:lang w:eastAsia="en-AU"/>
              </w:rPr>
            </w:pPr>
            <w:r w:rsidRPr="00A04520">
              <w:rPr>
                <w:rFonts w:ascii="Calibri" w:hAnsi="Calibri" w:cs="Calibri"/>
                <w:color w:val="000000"/>
                <w:szCs w:val="22"/>
                <w:lang w:eastAsia="en-AU"/>
              </w:rPr>
              <w:t>No. of students who undertook subject</w:t>
            </w:r>
          </w:p>
        </w:tc>
        <w:tc>
          <w:tcPr>
            <w:tcW w:w="1128" w:type="dxa"/>
            <w:tcBorders>
              <w:top w:val="nil"/>
              <w:left w:val="single" w:sz="8" w:space="0" w:color="auto"/>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1895</w:t>
            </w:r>
          </w:p>
        </w:tc>
        <w:tc>
          <w:tcPr>
            <w:tcW w:w="1276"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323</w:t>
            </w:r>
          </w:p>
        </w:tc>
        <w:tc>
          <w:tcPr>
            <w:tcW w:w="1276"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1893</w:t>
            </w:r>
          </w:p>
        </w:tc>
        <w:tc>
          <w:tcPr>
            <w:tcW w:w="1276"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160</w:t>
            </w:r>
          </w:p>
        </w:tc>
        <w:tc>
          <w:tcPr>
            <w:tcW w:w="1119"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1117</w:t>
            </w:r>
          </w:p>
        </w:tc>
        <w:tc>
          <w:tcPr>
            <w:tcW w:w="1020"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142</w:t>
            </w:r>
          </w:p>
        </w:tc>
        <w:tc>
          <w:tcPr>
            <w:tcW w:w="1152"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1157</w:t>
            </w:r>
          </w:p>
        </w:tc>
        <w:tc>
          <w:tcPr>
            <w:tcW w:w="1152"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79</w:t>
            </w:r>
          </w:p>
        </w:tc>
        <w:tc>
          <w:tcPr>
            <w:tcW w:w="1020"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1561</w:t>
            </w:r>
          </w:p>
        </w:tc>
        <w:tc>
          <w:tcPr>
            <w:tcW w:w="1020"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179</w:t>
            </w:r>
          </w:p>
        </w:tc>
        <w:tc>
          <w:tcPr>
            <w:tcW w:w="1152"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1575</w:t>
            </w:r>
          </w:p>
        </w:tc>
        <w:tc>
          <w:tcPr>
            <w:tcW w:w="1152"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88</w:t>
            </w:r>
          </w:p>
        </w:tc>
      </w:tr>
      <w:tr w:rsidR="00DC02A9" w:rsidRPr="00A04520" w:rsidTr="00632B23">
        <w:trPr>
          <w:trHeight w:val="915"/>
        </w:trPr>
        <w:tc>
          <w:tcPr>
            <w:tcW w:w="1155" w:type="dxa"/>
            <w:tcBorders>
              <w:top w:val="nil"/>
              <w:left w:val="single" w:sz="8" w:space="0" w:color="auto"/>
              <w:bottom w:val="single" w:sz="8" w:space="0" w:color="auto"/>
              <w:right w:val="nil"/>
            </w:tcBorders>
            <w:shd w:val="clear" w:color="auto" w:fill="auto"/>
            <w:vAlign w:val="center"/>
            <w:hideMark/>
          </w:tcPr>
          <w:p w:rsidR="00DC02A9" w:rsidRPr="00A04520" w:rsidRDefault="00DC02A9" w:rsidP="00A04520">
            <w:pPr>
              <w:rPr>
                <w:rFonts w:ascii="Calibri" w:hAnsi="Calibri" w:cs="Calibri"/>
                <w:color w:val="000000"/>
                <w:szCs w:val="22"/>
                <w:lang w:eastAsia="en-AU"/>
              </w:rPr>
            </w:pPr>
            <w:r w:rsidRPr="00A04520">
              <w:rPr>
                <w:rFonts w:ascii="Calibri" w:hAnsi="Calibri" w:cs="Calibri"/>
                <w:color w:val="000000"/>
                <w:szCs w:val="22"/>
                <w:lang w:eastAsia="en-AU"/>
              </w:rPr>
              <w:t xml:space="preserve">No. of subject results </w:t>
            </w:r>
            <w:r w:rsidRPr="0073635A">
              <w:rPr>
                <w:rFonts w:ascii="Calibri" w:hAnsi="Calibri" w:cs="Calibri"/>
                <w:color w:val="000000"/>
                <w:szCs w:val="22"/>
                <w:vertAlign w:val="superscript"/>
                <w:lang w:eastAsia="en-AU"/>
              </w:rPr>
              <w:t>(4)</w:t>
            </w:r>
          </w:p>
        </w:tc>
        <w:tc>
          <w:tcPr>
            <w:tcW w:w="1128" w:type="dxa"/>
            <w:tcBorders>
              <w:top w:val="nil"/>
              <w:left w:val="single" w:sz="8" w:space="0" w:color="auto"/>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3510</w:t>
            </w:r>
          </w:p>
        </w:tc>
        <w:tc>
          <w:tcPr>
            <w:tcW w:w="1276"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341</w:t>
            </w:r>
          </w:p>
        </w:tc>
        <w:tc>
          <w:tcPr>
            <w:tcW w:w="1276"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2961</w:t>
            </w:r>
          </w:p>
        </w:tc>
        <w:tc>
          <w:tcPr>
            <w:tcW w:w="1276"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193</w:t>
            </w:r>
          </w:p>
        </w:tc>
        <w:tc>
          <w:tcPr>
            <w:tcW w:w="1119"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2062</w:t>
            </w:r>
          </w:p>
        </w:tc>
        <w:tc>
          <w:tcPr>
            <w:tcW w:w="1020"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144</w:t>
            </w:r>
          </w:p>
        </w:tc>
        <w:tc>
          <w:tcPr>
            <w:tcW w:w="1152"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1764</w:t>
            </w:r>
          </w:p>
        </w:tc>
        <w:tc>
          <w:tcPr>
            <w:tcW w:w="1152"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102</w:t>
            </w:r>
          </w:p>
        </w:tc>
        <w:tc>
          <w:tcPr>
            <w:tcW w:w="1020"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2365</w:t>
            </w:r>
          </w:p>
        </w:tc>
        <w:tc>
          <w:tcPr>
            <w:tcW w:w="1020"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185</w:t>
            </w:r>
          </w:p>
        </w:tc>
        <w:tc>
          <w:tcPr>
            <w:tcW w:w="1152"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2248</w:t>
            </w:r>
          </w:p>
        </w:tc>
        <w:tc>
          <w:tcPr>
            <w:tcW w:w="1152"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94</w:t>
            </w:r>
          </w:p>
        </w:tc>
      </w:tr>
      <w:tr w:rsidR="00DC02A9" w:rsidRPr="00A04520" w:rsidTr="00632B23">
        <w:trPr>
          <w:trHeight w:val="915"/>
        </w:trPr>
        <w:tc>
          <w:tcPr>
            <w:tcW w:w="1155" w:type="dxa"/>
            <w:tcBorders>
              <w:top w:val="nil"/>
              <w:left w:val="single" w:sz="8" w:space="0" w:color="auto"/>
              <w:bottom w:val="single" w:sz="8" w:space="0" w:color="auto"/>
              <w:right w:val="nil"/>
            </w:tcBorders>
            <w:shd w:val="clear" w:color="000000" w:fill="C0C0C0"/>
            <w:vAlign w:val="center"/>
            <w:hideMark/>
          </w:tcPr>
          <w:p w:rsidR="00DC02A9" w:rsidRPr="00A04520" w:rsidRDefault="00DC02A9" w:rsidP="00A04520">
            <w:pPr>
              <w:rPr>
                <w:rFonts w:ascii="Calibri" w:hAnsi="Calibri" w:cs="Calibri"/>
                <w:b/>
                <w:bCs/>
                <w:color w:val="000000"/>
                <w:szCs w:val="22"/>
                <w:lang w:eastAsia="en-AU"/>
              </w:rPr>
            </w:pPr>
            <w:r w:rsidRPr="00A04520">
              <w:rPr>
                <w:rFonts w:ascii="Calibri" w:hAnsi="Calibri" w:cs="Calibri"/>
                <w:b/>
                <w:bCs/>
                <w:color w:val="000000"/>
                <w:szCs w:val="22"/>
                <w:lang w:eastAsia="en-AU"/>
              </w:rPr>
              <w:t xml:space="preserve">% of results 'C' grade or better </w:t>
            </w:r>
            <w:r w:rsidRPr="0073635A">
              <w:rPr>
                <w:rFonts w:ascii="Calibri" w:hAnsi="Calibri" w:cs="Calibri"/>
                <w:color w:val="000000"/>
                <w:szCs w:val="22"/>
                <w:vertAlign w:val="superscript"/>
                <w:lang w:eastAsia="en-AU"/>
              </w:rPr>
              <w:t>(9)</w:t>
            </w:r>
          </w:p>
        </w:tc>
        <w:tc>
          <w:tcPr>
            <w:tcW w:w="1128" w:type="dxa"/>
            <w:tcBorders>
              <w:top w:val="nil"/>
              <w:left w:val="single" w:sz="8" w:space="0" w:color="auto"/>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69.6%</w:t>
            </w:r>
          </w:p>
        </w:tc>
        <w:tc>
          <w:tcPr>
            <w:tcW w:w="1276"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82.7%</w:t>
            </w:r>
          </w:p>
        </w:tc>
        <w:tc>
          <w:tcPr>
            <w:tcW w:w="1276"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59.3%</w:t>
            </w:r>
          </w:p>
        </w:tc>
        <w:tc>
          <w:tcPr>
            <w:tcW w:w="1276"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62.2%</w:t>
            </w:r>
          </w:p>
        </w:tc>
        <w:tc>
          <w:tcPr>
            <w:tcW w:w="1119"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70.0%</w:t>
            </w:r>
          </w:p>
        </w:tc>
        <w:tc>
          <w:tcPr>
            <w:tcW w:w="1020"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83.3%</w:t>
            </w:r>
          </w:p>
        </w:tc>
        <w:tc>
          <w:tcPr>
            <w:tcW w:w="1152"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57.1%</w:t>
            </w:r>
          </w:p>
        </w:tc>
        <w:tc>
          <w:tcPr>
            <w:tcW w:w="1152"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55.9%</w:t>
            </w:r>
          </w:p>
        </w:tc>
        <w:tc>
          <w:tcPr>
            <w:tcW w:w="1020"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70.8%</w:t>
            </w:r>
          </w:p>
        </w:tc>
        <w:tc>
          <w:tcPr>
            <w:tcW w:w="1020"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79.5%</w:t>
            </w:r>
          </w:p>
        </w:tc>
        <w:tc>
          <w:tcPr>
            <w:tcW w:w="1152"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58.5%</w:t>
            </w:r>
          </w:p>
        </w:tc>
        <w:tc>
          <w:tcPr>
            <w:tcW w:w="1152"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40.4%</w:t>
            </w:r>
          </w:p>
        </w:tc>
      </w:tr>
    </w:tbl>
    <w:p w:rsidR="00A04520" w:rsidRDefault="00A04520" w:rsidP="001B165D">
      <w:pPr>
        <w:spacing w:before="120" w:after="120"/>
        <w:rPr>
          <w:rFonts w:ascii="Calibri" w:hAnsi="Calibri" w:cs="Arial"/>
          <w:bCs/>
          <w:color w:val="000000"/>
          <w:szCs w:val="24"/>
        </w:rPr>
      </w:pPr>
    </w:p>
    <w:p w:rsidR="00A04520" w:rsidRDefault="00A04520">
      <w:pPr>
        <w:rPr>
          <w:rFonts w:ascii="Calibri" w:hAnsi="Calibri" w:cs="Arial"/>
          <w:bCs/>
          <w:color w:val="000000"/>
          <w:szCs w:val="24"/>
        </w:rPr>
      </w:pPr>
      <w:r>
        <w:rPr>
          <w:rFonts w:ascii="Calibri" w:hAnsi="Calibri" w:cs="Arial"/>
          <w:bCs/>
          <w:color w:val="000000"/>
          <w:szCs w:val="24"/>
        </w:rPr>
        <w:br w:type="page"/>
      </w:r>
    </w:p>
    <w:p w:rsidR="001B165D" w:rsidRPr="001B165D" w:rsidRDefault="001B165D" w:rsidP="001B165D">
      <w:pPr>
        <w:spacing w:before="120" w:after="120"/>
        <w:rPr>
          <w:rFonts w:ascii="Calibri" w:hAnsi="Calibri" w:cs="Arial"/>
          <w:bCs/>
          <w:color w:val="000000"/>
          <w:szCs w:val="24"/>
        </w:rPr>
      </w:pPr>
    </w:p>
    <w:p w:rsidR="00A04520" w:rsidRPr="001B165D" w:rsidRDefault="00A04520" w:rsidP="00A04520">
      <w:pPr>
        <w:widowControl w:val="0"/>
        <w:spacing w:before="120" w:after="60"/>
        <w:contextualSpacing/>
        <w:rPr>
          <w:rFonts w:eastAsia="Calibri" w:cstheme="minorHAnsi"/>
          <w:b/>
          <w:szCs w:val="24"/>
        </w:rPr>
      </w:pPr>
      <w:r w:rsidRPr="001B165D">
        <w:rPr>
          <w:rFonts w:eastAsia="Calibri" w:cstheme="minorHAnsi"/>
          <w:b/>
          <w:szCs w:val="24"/>
        </w:rPr>
        <w:t>Table 2.5(a</w:t>
      </w:r>
      <w:r>
        <w:rPr>
          <w:rFonts w:eastAsia="Calibri" w:cstheme="minorHAnsi"/>
          <w:b/>
          <w:szCs w:val="24"/>
        </w:rPr>
        <w:t>-2</w:t>
      </w:r>
      <w:r w:rsidRPr="001B165D">
        <w:rPr>
          <w:rFonts w:eastAsia="Calibri" w:cstheme="minorHAnsi"/>
          <w:b/>
          <w:szCs w:val="24"/>
        </w:rPr>
        <w:t xml:space="preserve">) – Students participating in </w:t>
      </w:r>
      <w:proofErr w:type="spellStart"/>
      <w:r w:rsidRPr="001B165D">
        <w:rPr>
          <w:rFonts w:eastAsia="Calibri" w:cstheme="minorHAnsi"/>
          <w:b/>
          <w:szCs w:val="24"/>
        </w:rPr>
        <w:t>CMaD</w:t>
      </w:r>
      <w:proofErr w:type="spellEnd"/>
      <w:r w:rsidRPr="001B165D">
        <w:rPr>
          <w:rFonts w:eastAsia="Calibri" w:cstheme="minorHAnsi"/>
          <w:b/>
          <w:szCs w:val="24"/>
        </w:rPr>
        <w:t xml:space="preserve"> NP ‘individual targeted support’ interventions for 1-3 years</w:t>
      </w:r>
      <w:r w:rsidRPr="00A04520">
        <w:rPr>
          <w:rFonts w:ascii="Calibri" w:hAnsi="Calibri" w:cs="Calibri"/>
          <w:color w:val="000000"/>
          <w:szCs w:val="22"/>
          <w:lang w:eastAsia="en-AU"/>
        </w:rPr>
        <w:t xml:space="preserve"> </w:t>
      </w:r>
      <w:r>
        <w:rPr>
          <w:rFonts w:ascii="Calibri" w:hAnsi="Calibri" w:cs="Calibri"/>
          <w:color w:val="000000"/>
          <w:szCs w:val="22"/>
          <w:lang w:eastAsia="en-AU"/>
        </w:rPr>
        <w:t xml:space="preserve"> - </w:t>
      </w:r>
      <w:r w:rsidRPr="00A04520">
        <w:rPr>
          <w:rFonts w:ascii="Calibri" w:hAnsi="Calibri" w:cs="Calibri"/>
          <w:b/>
          <w:color w:val="000000"/>
          <w:szCs w:val="22"/>
          <w:lang w:eastAsia="en-AU"/>
        </w:rPr>
        <w:t>Indigenous Students</w:t>
      </w:r>
      <w:r>
        <w:rPr>
          <w:rFonts w:ascii="Calibri" w:hAnsi="Calibri" w:cs="Calibri"/>
          <w:color w:val="000000"/>
          <w:szCs w:val="22"/>
          <w:lang w:eastAsia="en-AU"/>
        </w:rPr>
        <w:t xml:space="preserve"> </w:t>
      </w:r>
      <w:r w:rsidRPr="00A04520">
        <w:rPr>
          <w:rFonts w:ascii="Calibri" w:hAnsi="Calibri" w:cs="Calibri"/>
          <w:color w:val="000000"/>
          <w:szCs w:val="22"/>
          <w:lang w:eastAsia="en-AU"/>
        </w:rPr>
        <w:t xml:space="preserve">in </w:t>
      </w:r>
      <w:proofErr w:type="spellStart"/>
      <w:r w:rsidRPr="00A04520">
        <w:rPr>
          <w:rFonts w:ascii="Calibri" w:hAnsi="Calibri" w:cs="Calibri"/>
          <w:color w:val="000000"/>
          <w:szCs w:val="22"/>
          <w:lang w:eastAsia="en-AU"/>
        </w:rPr>
        <w:t>CMaD</w:t>
      </w:r>
      <w:proofErr w:type="spellEnd"/>
      <w:r w:rsidRPr="00A04520">
        <w:rPr>
          <w:rFonts w:ascii="Calibri" w:hAnsi="Calibri" w:cs="Calibri"/>
          <w:color w:val="000000"/>
          <w:szCs w:val="22"/>
          <w:lang w:eastAsia="en-AU"/>
        </w:rPr>
        <w:t xml:space="preserve"> N</w:t>
      </w:r>
      <w:r>
        <w:rPr>
          <w:rFonts w:ascii="Calibri" w:hAnsi="Calibri" w:cs="Calibri"/>
          <w:color w:val="000000"/>
          <w:szCs w:val="22"/>
          <w:lang w:eastAsia="en-AU"/>
        </w:rPr>
        <w:t xml:space="preserve">P (Low SES) by </w:t>
      </w:r>
      <w:proofErr w:type="spellStart"/>
      <w:r>
        <w:rPr>
          <w:rFonts w:ascii="Calibri" w:hAnsi="Calibri" w:cs="Calibri"/>
          <w:color w:val="000000"/>
          <w:szCs w:val="22"/>
          <w:lang w:eastAsia="en-AU"/>
        </w:rPr>
        <w:t>L&amp;N</w:t>
      </w:r>
      <w:proofErr w:type="spellEnd"/>
      <w:r>
        <w:rPr>
          <w:rFonts w:ascii="Calibri" w:hAnsi="Calibri" w:cs="Calibri"/>
          <w:color w:val="000000"/>
          <w:szCs w:val="22"/>
          <w:lang w:eastAsia="en-AU"/>
        </w:rPr>
        <w:t xml:space="preserve"> </w:t>
      </w:r>
      <w:proofErr w:type="spellStart"/>
      <w:r>
        <w:rPr>
          <w:rFonts w:ascii="Calibri" w:hAnsi="Calibri" w:cs="Calibri"/>
          <w:color w:val="000000"/>
          <w:szCs w:val="22"/>
          <w:lang w:eastAsia="en-AU"/>
        </w:rPr>
        <w:t>SACE</w:t>
      </w:r>
      <w:proofErr w:type="spellEnd"/>
      <w:r>
        <w:rPr>
          <w:rFonts w:ascii="Calibri" w:hAnsi="Calibri" w:cs="Calibri"/>
          <w:color w:val="000000"/>
          <w:szCs w:val="22"/>
          <w:lang w:eastAsia="en-AU"/>
        </w:rPr>
        <w:t xml:space="preserve"> Subject </w:t>
      </w:r>
      <w:r w:rsidR="0073635A">
        <w:rPr>
          <w:rFonts w:ascii="Calibri" w:hAnsi="Calibri" w:cs="Calibri"/>
          <w:color w:val="000000"/>
          <w:szCs w:val="22"/>
          <w:vertAlign w:val="superscript"/>
          <w:lang w:eastAsia="en-AU"/>
        </w:rPr>
        <w:t>(6</w:t>
      </w:r>
      <w:r w:rsidRPr="0073635A">
        <w:rPr>
          <w:rFonts w:ascii="Calibri" w:hAnsi="Calibri" w:cs="Calibri"/>
          <w:color w:val="000000"/>
          <w:szCs w:val="22"/>
          <w:vertAlign w:val="superscript"/>
          <w:lang w:eastAsia="en-AU"/>
        </w:rPr>
        <w:t>)</w:t>
      </w:r>
    </w:p>
    <w:p w:rsidR="001B165D" w:rsidRPr="001B165D" w:rsidRDefault="001B165D" w:rsidP="001B165D">
      <w:pPr>
        <w:spacing w:before="120" w:after="120"/>
        <w:rPr>
          <w:rFonts w:ascii="Calibri" w:hAnsi="Calibri" w:cs="Arial"/>
          <w:bCs/>
          <w:color w:val="000000"/>
          <w:szCs w:val="24"/>
        </w:rPr>
      </w:pPr>
    </w:p>
    <w:tbl>
      <w:tblPr>
        <w:tblW w:w="14898" w:type="dxa"/>
        <w:tblInd w:w="108" w:type="dxa"/>
        <w:tblLayout w:type="fixed"/>
        <w:tblLook w:val="04A0" w:firstRow="1" w:lastRow="0" w:firstColumn="1" w:lastColumn="0" w:noHBand="0" w:noVBand="1"/>
      </w:tblPr>
      <w:tblGrid>
        <w:gridCol w:w="1155"/>
        <w:gridCol w:w="1128"/>
        <w:gridCol w:w="1276"/>
        <w:gridCol w:w="1276"/>
        <w:gridCol w:w="1276"/>
        <w:gridCol w:w="1119"/>
        <w:gridCol w:w="1020"/>
        <w:gridCol w:w="1152"/>
        <w:gridCol w:w="1152"/>
        <w:gridCol w:w="1020"/>
        <w:gridCol w:w="1020"/>
        <w:gridCol w:w="1152"/>
        <w:gridCol w:w="1152"/>
      </w:tblGrid>
      <w:tr w:rsidR="00A04520" w:rsidRPr="00A04520" w:rsidTr="00632B23">
        <w:trPr>
          <w:trHeight w:val="2415"/>
        </w:trPr>
        <w:tc>
          <w:tcPr>
            <w:tcW w:w="1155" w:type="dxa"/>
            <w:tcBorders>
              <w:top w:val="single" w:sz="8" w:space="0" w:color="auto"/>
              <w:left w:val="single" w:sz="8" w:space="0" w:color="auto"/>
              <w:bottom w:val="nil"/>
              <w:right w:val="nil"/>
            </w:tcBorders>
            <w:shd w:val="clear" w:color="auto" w:fill="auto"/>
            <w:vAlign w:val="center"/>
            <w:hideMark/>
          </w:tcPr>
          <w:p w:rsidR="00A04520" w:rsidRPr="00A04520" w:rsidRDefault="00A04520" w:rsidP="00A04520">
            <w:pPr>
              <w:rPr>
                <w:rFonts w:ascii="Calibri" w:hAnsi="Calibri" w:cs="Calibri"/>
                <w:b/>
                <w:bCs/>
                <w:color w:val="000000"/>
                <w:szCs w:val="22"/>
                <w:lang w:eastAsia="en-AU"/>
              </w:rPr>
            </w:pPr>
            <w:r w:rsidRPr="00A04520">
              <w:rPr>
                <w:rFonts w:ascii="Calibri" w:hAnsi="Calibri" w:cs="Calibri"/>
                <w:b/>
                <w:bCs/>
                <w:color w:val="000000"/>
                <w:szCs w:val="22"/>
                <w:lang w:eastAsia="en-AU"/>
              </w:rPr>
              <w:t>School Year Level</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04520" w:rsidRPr="00A04520" w:rsidRDefault="0073635A" w:rsidP="00A04520">
            <w:pPr>
              <w:jc w:val="center"/>
              <w:rPr>
                <w:rFonts w:ascii="Calibri" w:hAnsi="Calibri" w:cs="Calibri"/>
                <w:b/>
                <w:bCs/>
                <w:color w:val="000000"/>
                <w:szCs w:val="22"/>
                <w:lang w:eastAsia="en-AU"/>
              </w:rPr>
            </w:pPr>
            <w:r>
              <w:rPr>
                <w:rFonts w:ascii="Calibri" w:hAnsi="Calibri" w:cs="Calibri"/>
                <w:b/>
                <w:bCs/>
                <w:color w:val="000000"/>
                <w:szCs w:val="22"/>
                <w:lang w:eastAsia="en-AU"/>
              </w:rPr>
              <w:t xml:space="preserve">2010 </w:t>
            </w:r>
            <w:r>
              <w:rPr>
                <w:rFonts w:ascii="Calibri" w:hAnsi="Calibri" w:cs="Calibri"/>
                <w:b/>
                <w:bCs/>
                <w:color w:val="000000"/>
                <w:szCs w:val="22"/>
                <w:lang w:eastAsia="en-AU"/>
              </w:rPr>
              <w:br/>
            </w:r>
            <w:proofErr w:type="spellStart"/>
            <w:r>
              <w:rPr>
                <w:rFonts w:ascii="Calibri" w:hAnsi="Calibri" w:cs="Calibri"/>
                <w:b/>
                <w:bCs/>
                <w:color w:val="000000"/>
                <w:szCs w:val="22"/>
                <w:lang w:eastAsia="en-AU"/>
              </w:rPr>
              <w:t>SACE</w:t>
            </w:r>
            <w:proofErr w:type="spellEnd"/>
            <w:r>
              <w:rPr>
                <w:rFonts w:ascii="Calibri" w:hAnsi="Calibri" w:cs="Calibri"/>
                <w:b/>
                <w:bCs/>
                <w:color w:val="000000"/>
                <w:szCs w:val="22"/>
                <w:lang w:eastAsia="en-AU"/>
              </w:rPr>
              <w:t xml:space="preserve"> results </w:t>
            </w:r>
            <w:r>
              <w:rPr>
                <w:rFonts w:ascii="Calibri" w:hAnsi="Calibri" w:cs="Calibri"/>
                <w:b/>
                <w:bCs/>
                <w:color w:val="000000"/>
                <w:szCs w:val="22"/>
                <w:lang w:eastAsia="en-AU"/>
              </w:rPr>
              <w:br/>
              <w:t xml:space="preserve">Literacy Subjects </w:t>
            </w:r>
            <w:r w:rsidR="00A04520" w:rsidRPr="00A04520">
              <w:rPr>
                <w:rFonts w:ascii="Calibri" w:hAnsi="Calibri" w:cs="Calibri"/>
                <w:b/>
                <w:bCs/>
                <w:color w:val="000000"/>
                <w:szCs w:val="22"/>
                <w:lang w:eastAsia="en-AU"/>
              </w:rPr>
              <w:br/>
              <w:t>Stage 1</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A04520" w:rsidRPr="00A04520" w:rsidRDefault="00A04520" w:rsidP="00A04520">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2010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Literacy Subjects</w:t>
            </w:r>
            <w:r w:rsidRPr="00A04520">
              <w:rPr>
                <w:rFonts w:ascii="Calibri" w:hAnsi="Calibri" w:cs="Calibri"/>
                <w:b/>
                <w:bCs/>
                <w:color w:val="000000"/>
                <w:szCs w:val="22"/>
                <w:lang w:eastAsia="en-AU"/>
              </w:rPr>
              <w:br/>
              <w:t>Stage 2</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A04520" w:rsidRPr="00A04520" w:rsidRDefault="00A04520" w:rsidP="00A04520">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2010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Numeracy Subjects</w:t>
            </w:r>
            <w:r w:rsidRPr="00A04520">
              <w:rPr>
                <w:rFonts w:ascii="Calibri" w:hAnsi="Calibri" w:cs="Calibri"/>
                <w:b/>
                <w:bCs/>
                <w:color w:val="000000"/>
                <w:szCs w:val="22"/>
                <w:lang w:eastAsia="en-AU"/>
              </w:rPr>
              <w:br/>
              <w:t>Stage 1</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A04520" w:rsidRPr="00A04520" w:rsidRDefault="00A04520" w:rsidP="00A04520">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2010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Numeracy Subjects</w:t>
            </w:r>
            <w:r w:rsidRPr="00A04520">
              <w:rPr>
                <w:rFonts w:ascii="Calibri" w:hAnsi="Calibri" w:cs="Calibri"/>
                <w:b/>
                <w:bCs/>
                <w:color w:val="000000"/>
                <w:szCs w:val="22"/>
                <w:lang w:eastAsia="en-AU"/>
              </w:rPr>
              <w:br/>
              <w:t>Stage 2</w:t>
            </w:r>
          </w:p>
        </w:tc>
        <w:tc>
          <w:tcPr>
            <w:tcW w:w="1119" w:type="dxa"/>
            <w:tcBorders>
              <w:top w:val="single" w:sz="8" w:space="0" w:color="auto"/>
              <w:left w:val="nil"/>
              <w:bottom w:val="single" w:sz="8" w:space="0" w:color="auto"/>
              <w:right w:val="single" w:sz="8" w:space="0" w:color="auto"/>
            </w:tcBorders>
            <w:shd w:val="clear" w:color="auto" w:fill="auto"/>
            <w:vAlign w:val="center"/>
            <w:hideMark/>
          </w:tcPr>
          <w:p w:rsidR="00A04520" w:rsidRPr="00A04520" w:rsidRDefault="00A04520" w:rsidP="00A04520">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2011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Literacy Subjects</w:t>
            </w:r>
            <w:r w:rsidRPr="00A04520">
              <w:rPr>
                <w:rFonts w:ascii="Calibri" w:hAnsi="Calibri" w:cs="Calibri"/>
                <w:b/>
                <w:bCs/>
                <w:color w:val="000000"/>
                <w:szCs w:val="22"/>
                <w:lang w:eastAsia="en-AU"/>
              </w:rPr>
              <w:br/>
              <w:t>Stage 1</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A04520" w:rsidRPr="00A04520" w:rsidRDefault="00A04520" w:rsidP="00A04520">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2011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Literacy Subjects</w:t>
            </w:r>
            <w:r w:rsidRPr="00A04520">
              <w:rPr>
                <w:rFonts w:ascii="Calibri" w:hAnsi="Calibri" w:cs="Calibri"/>
                <w:b/>
                <w:bCs/>
                <w:color w:val="000000"/>
                <w:szCs w:val="22"/>
                <w:lang w:eastAsia="en-AU"/>
              </w:rPr>
              <w:br/>
              <w:t>Stage 2</w:t>
            </w:r>
          </w:p>
        </w:tc>
        <w:tc>
          <w:tcPr>
            <w:tcW w:w="1152" w:type="dxa"/>
            <w:tcBorders>
              <w:top w:val="single" w:sz="8" w:space="0" w:color="auto"/>
              <w:left w:val="nil"/>
              <w:bottom w:val="single" w:sz="8" w:space="0" w:color="auto"/>
              <w:right w:val="single" w:sz="8" w:space="0" w:color="auto"/>
            </w:tcBorders>
            <w:shd w:val="clear" w:color="auto" w:fill="auto"/>
            <w:vAlign w:val="center"/>
            <w:hideMark/>
          </w:tcPr>
          <w:p w:rsidR="00A04520" w:rsidRPr="00A04520" w:rsidRDefault="00A04520" w:rsidP="00A04520">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2011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Numeracy Subjects</w:t>
            </w:r>
            <w:r w:rsidRPr="00A04520">
              <w:rPr>
                <w:rFonts w:ascii="Calibri" w:hAnsi="Calibri" w:cs="Calibri"/>
                <w:b/>
                <w:bCs/>
                <w:color w:val="000000"/>
                <w:szCs w:val="22"/>
                <w:lang w:eastAsia="en-AU"/>
              </w:rPr>
              <w:br/>
              <w:t>Stage 1</w:t>
            </w:r>
          </w:p>
        </w:tc>
        <w:tc>
          <w:tcPr>
            <w:tcW w:w="1152" w:type="dxa"/>
            <w:tcBorders>
              <w:top w:val="single" w:sz="8" w:space="0" w:color="auto"/>
              <w:left w:val="nil"/>
              <w:bottom w:val="single" w:sz="8" w:space="0" w:color="auto"/>
              <w:right w:val="single" w:sz="8" w:space="0" w:color="auto"/>
            </w:tcBorders>
            <w:shd w:val="clear" w:color="auto" w:fill="auto"/>
            <w:vAlign w:val="center"/>
            <w:hideMark/>
          </w:tcPr>
          <w:p w:rsidR="00A04520" w:rsidRPr="00A04520" w:rsidRDefault="00A04520" w:rsidP="00A04520">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2011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Numeracy Subjects</w:t>
            </w:r>
            <w:r w:rsidRPr="00A04520">
              <w:rPr>
                <w:rFonts w:ascii="Calibri" w:hAnsi="Calibri" w:cs="Calibri"/>
                <w:b/>
                <w:bCs/>
                <w:color w:val="000000"/>
                <w:szCs w:val="22"/>
                <w:lang w:eastAsia="en-AU"/>
              </w:rPr>
              <w:br/>
              <w:t>Stage 2</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A04520" w:rsidRPr="00A04520" w:rsidRDefault="00A04520" w:rsidP="00A04520">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2012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Literacy Subjects</w:t>
            </w:r>
            <w:r w:rsidRPr="00A04520">
              <w:rPr>
                <w:rFonts w:ascii="Calibri" w:hAnsi="Calibri" w:cs="Calibri"/>
                <w:b/>
                <w:bCs/>
                <w:color w:val="000000"/>
                <w:szCs w:val="22"/>
                <w:lang w:eastAsia="en-AU"/>
              </w:rPr>
              <w:br/>
              <w:t>Stage 1</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A04520" w:rsidRPr="00A04520" w:rsidRDefault="00A04520" w:rsidP="00A04520">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2012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Literacy Subjects</w:t>
            </w:r>
            <w:r w:rsidRPr="00A04520">
              <w:rPr>
                <w:rFonts w:ascii="Calibri" w:hAnsi="Calibri" w:cs="Calibri"/>
                <w:b/>
                <w:bCs/>
                <w:color w:val="000000"/>
                <w:szCs w:val="22"/>
                <w:lang w:eastAsia="en-AU"/>
              </w:rPr>
              <w:br/>
              <w:t>Stage 2</w:t>
            </w:r>
          </w:p>
        </w:tc>
        <w:tc>
          <w:tcPr>
            <w:tcW w:w="1152" w:type="dxa"/>
            <w:tcBorders>
              <w:top w:val="single" w:sz="8" w:space="0" w:color="auto"/>
              <w:left w:val="nil"/>
              <w:bottom w:val="single" w:sz="8" w:space="0" w:color="auto"/>
              <w:right w:val="single" w:sz="8" w:space="0" w:color="auto"/>
            </w:tcBorders>
            <w:shd w:val="clear" w:color="auto" w:fill="auto"/>
            <w:vAlign w:val="center"/>
            <w:hideMark/>
          </w:tcPr>
          <w:p w:rsidR="00A04520" w:rsidRPr="00A04520" w:rsidRDefault="00A04520" w:rsidP="00A04520">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2012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Numeracy Subjects</w:t>
            </w:r>
            <w:r w:rsidRPr="00A04520">
              <w:rPr>
                <w:rFonts w:ascii="Calibri" w:hAnsi="Calibri" w:cs="Calibri"/>
                <w:b/>
                <w:bCs/>
                <w:color w:val="000000"/>
                <w:szCs w:val="22"/>
                <w:lang w:eastAsia="en-AU"/>
              </w:rPr>
              <w:br/>
              <w:t>Stage 1</w:t>
            </w:r>
          </w:p>
        </w:tc>
        <w:tc>
          <w:tcPr>
            <w:tcW w:w="1152" w:type="dxa"/>
            <w:tcBorders>
              <w:top w:val="single" w:sz="8" w:space="0" w:color="auto"/>
              <w:left w:val="nil"/>
              <w:bottom w:val="single" w:sz="8" w:space="0" w:color="auto"/>
              <w:right w:val="single" w:sz="8" w:space="0" w:color="auto"/>
            </w:tcBorders>
            <w:shd w:val="clear" w:color="auto" w:fill="auto"/>
            <w:vAlign w:val="center"/>
            <w:hideMark/>
          </w:tcPr>
          <w:p w:rsidR="00A04520" w:rsidRPr="00A04520" w:rsidRDefault="00A04520" w:rsidP="00A04520">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2012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Numeracy Subjects</w:t>
            </w:r>
            <w:r w:rsidRPr="00A04520">
              <w:rPr>
                <w:rFonts w:ascii="Calibri" w:hAnsi="Calibri" w:cs="Calibri"/>
                <w:b/>
                <w:bCs/>
                <w:color w:val="000000"/>
                <w:szCs w:val="22"/>
                <w:lang w:eastAsia="en-AU"/>
              </w:rPr>
              <w:br/>
              <w:t>Stage 2</w:t>
            </w:r>
          </w:p>
        </w:tc>
      </w:tr>
      <w:tr w:rsidR="00DC02A9" w:rsidRPr="00A04520" w:rsidTr="00632B23">
        <w:trPr>
          <w:trHeight w:val="1215"/>
        </w:trPr>
        <w:tc>
          <w:tcPr>
            <w:tcW w:w="1155" w:type="dxa"/>
            <w:tcBorders>
              <w:top w:val="single" w:sz="8" w:space="0" w:color="auto"/>
              <w:left w:val="single" w:sz="8" w:space="0" w:color="auto"/>
              <w:bottom w:val="single" w:sz="8" w:space="0" w:color="auto"/>
              <w:right w:val="nil"/>
            </w:tcBorders>
            <w:shd w:val="clear" w:color="000000" w:fill="C0C0C0"/>
            <w:vAlign w:val="center"/>
            <w:hideMark/>
          </w:tcPr>
          <w:p w:rsidR="00DC02A9" w:rsidRPr="00A04520" w:rsidRDefault="00DC02A9" w:rsidP="00A04520">
            <w:pPr>
              <w:rPr>
                <w:rFonts w:ascii="Calibri" w:hAnsi="Calibri" w:cs="Calibri"/>
                <w:color w:val="000000"/>
                <w:szCs w:val="22"/>
                <w:lang w:eastAsia="en-AU"/>
              </w:rPr>
            </w:pPr>
            <w:r w:rsidRPr="00A04520">
              <w:rPr>
                <w:rFonts w:ascii="Calibri" w:hAnsi="Calibri" w:cs="Calibri"/>
                <w:color w:val="000000"/>
                <w:szCs w:val="22"/>
                <w:lang w:eastAsia="en-AU"/>
              </w:rPr>
              <w:t>No. of students who undertook subject</w:t>
            </w:r>
          </w:p>
        </w:tc>
        <w:tc>
          <w:tcPr>
            <w:tcW w:w="1128" w:type="dxa"/>
            <w:tcBorders>
              <w:top w:val="nil"/>
              <w:left w:val="single" w:sz="8" w:space="0" w:color="auto"/>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225</w:t>
            </w:r>
          </w:p>
        </w:tc>
        <w:tc>
          <w:tcPr>
            <w:tcW w:w="1276"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24</w:t>
            </w:r>
          </w:p>
        </w:tc>
        <w:tc>
          <w:tcPr>
            <w:tcW w:w="1276"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225</w:t>
            </w:r>
          </w:p>
        </w:tc>
        <w:tc>
          <w:tcPr>
            <w:tcW w:w="1276"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6</w:t>
            </w:r>
          </w:p>
        </w:tc>
        <w:tc>
          <w:tcPr>
            <w:tcW w:w="1119"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166</w:t>
            </w:r>
          </w:p>
        </w:tc>
        <w:tc>
          <w:tcPr>
            <w:tcW w:w="1020"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14</w:t>
            </w:r>
          </w:p>
        </w:tc>
        <w:tc>
          <w:tcPr>
            <w:tcW w:w="1152"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198</w:t>
            </w:r>
          </w:p>
        </w:tc>
        <w:tc>
          <w:tcPr>
            <w:tcW w:w="1152"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7</w:t>
            </w:r>
          </w:p>
        </w:tc>
        <w:tc>
          <w:tcPr>
            <w:tcW w:w="1020"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217</w:t>
            </w:r>
          </w:p>
        </w:tc>
        <w:tc>
          <w:tcPr>
            <w:tcW w:w="1020"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17</w:t>
            </w:r>
          </w:p>
        </w:tc>
        <w:tc>
          <w:tcPr>
            <w:tcW w:w="1152"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224</w:t>
            </w:r>
          </w:p>
        </w:tc>
        <w:tc>
          <w:tcPr>
            <w:tcW w:w="1152"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7</w:t>
            </w:r>
          </w:p>
        </w:tc>
      </w:tr>
      <w:tr w:rsidR="00DC02A9" w:rsidRPr="00A04520" w:rsidTr="00632B23">
        <w:trPr>
          <w:trHeight w:val="915"/>
        </w:trPr>
        <w:tc>
          <w:tcPr>
            <w:tcW w:w="1155" w:type="dxa"/>
            <w:tcBorders>
              <w:top w:val="nil"/>
              <w:left w:val="single" w:sz="8" w:space="0" w:color="auto"/>
              <w:bottom w:val="single" w:sz="8" w:space="0" w:color="auto"/>
              <w:right w:val="nil"/>
            </w:tcBorders>
            <w:shd w:val="clear" w:color="auto" w:fill="auto"/>
            <w:vAlign w:val="center"/>
            <w:hideMark/>
          </w:tcPr>
          <w:p w:rsidR="00DC02A9" w:rsidRPr="00A04520" w:rsidRDefault="0073635A" w:rsidP="0073635A">
            <w:pPr>
              <w:rPr>
                <w:rFonts w:ascii="Calibri" w:hAnsi="Calibri" w:cs="Calibri"/>
                <w:color w:val="000000"/>
                <w:szCs w:val="22"/>
                <w:lang w:eastAsia="en-AU"/>
              </w:rPr>
            </w:pPr>
            <w:r>
              <w:rPr>
                <w:rFonts w:ascii="Calibri" w:hAnsi="Calibri" w:cs="Calibri"/>
                <w:color w:val="000000"/>
                <w:szCs w:val="22"/>
                <w:lang w:eastAsia="en-AU"/>
              </w:rPr>
              <w:t xml:space="preserve">No. of subject results </w:t>
            </w:r>
          </w:p>
        </w:tc>
        <w:tc>
          <w:tcPr>
            <w:tcW w:w="1128" w:type="dxa"/>
            <w:tcBorders>
              <w:top w:val="nil"/>
              <w:left w:val="single" w:sz="8" w:space="0" w:color="auto"/>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412</w:t>
            </w:r>
          </w:p>
        </w:tc>
        <w:tc>
          <w:tcPr>
            <w:tcW w:w="1276"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25</w:t>
            </w:r>
          </w:p>
        </w:tc>
        <w:tc>
          <w:tcPr>
            <w:tcW w:w="1276"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334</w:t>
            </w:r>
          </w:p>
        </w:tc>
        <w:tc>
          <w:tcPr>
            <w:tcW w:w="1276"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6</w:t>
            </w:r>
          </w:p>
        </w:tc>
        <w:tc>
          <w:tcPr>
            <w:tcW w:w="1119"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312</w:t>
            </w:r>
          </w:p>
        </w:tc>
        <w:tc>
          <w:tcPr>
            <w:tcW w:w="1020"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14</w:t>
            </w:r>
          </w:p>
        </w:tc>
        <w:tc>
          <w:tcPr>
            <w:tcW w:w="1152"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299</w:t>
            </w:r>
          </w:p>
        </w:tc>
        <w:tc>
          <w:tcPr>
            <w:tcW w:w="1152"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8</w:t>
            </w:r>
          </w:p>
        </w:tc>
        <w:tc>
          <w:tcPr>
            <w:tcW w:w="1020"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328</w:t>
            </w:r>
          </w:p>
        </w:tc>
        <w:tc>
          <w:tcPr>
            <w:tcW w:w="1020"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17</w:t>
            </w:r>
          </w:p>
        </w:tc>
        <w:tc>
          <w:tcPr>
            <w:tcW w:w="1152"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323</w:t>
            </w:r>
          </w:p>
        </w:tc>
        <w:tc>
          <w:tcPr>
            <w:tcW w:w="1152"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7</w:t>
            </w:r>
          </w:p>
        </w:tc>
      </w:tr>
      <w:tr w:rsidR="00DC02A9" w:rsidRPr="00A04520" w:rsidTr="00632B23">
        <w:trPr>
          <w:trHeight w:val="915"/>
        </w:trPr>
        <w:tc>
          <w:tcPr>
            <w:tcW w:w="1155" w:type="dxa"/>
            <w:tcBorders>
              <w:top w:val="nil"/>
              <w:left w:val="single" w:sz="8" w:space="0" w:color="auto"/>
              <w:bottom w:val="single" w:sz="8" w:space="0" w:color="auto"/>
              <w:right w:val="nil"/>
            </w:tcBorders>
            <w:shd w:val="clear" w:color="000000" w:fill="C0C0C0"/>
            <w:vAlign w:val="center"/>
            <w:hideMark/>
          </w:tcPr>
          <w:p w:rsidR="00DC02A9" w:rsidRPr="00A04520" w:rsidRDefault="00DC02A9" w:rsidP="0073635A">
            <w:pPr>
              <w:rPr>
                <w:rFonts w:ascii="Calibri" w:hAnsi="Calibri" w:cs="Calibri"/>
                <w:b/>
                <w:bCs/>
                <w:color w:val="000000"/>
                <w:szCs w:val="22"/>
                <w:lang w:eastAsia="en-AU"/>
              </w:rPr>
            </w:pPr>
            <w:r w:rsidRPr="00A04520">
              <w:rPr>
                <w:rFonts w:ascii="Calibri" w:hAnsi="Calibri" w:cs="Calibri"/>
                <w:b/>
                <w:bCs/>
                <w:color w:val="000000"/>
                <w:szCs w:val="22"/>
                <w:lang w:eastAsia="en-AU"/>
              </w:rPr>
              <w:t>% o</w:t>
            </w:r>
            <w:r w:rsidR="0073635A">
              <w:rPr>
                <w:rFonts w:ascii="Calibri" w:hAnsi="Calibri" w:cs="Calibri"/>
                <w:b/>
                <w:bCs/>
                <w:color w:val="000000"/>
                <w:szCs w:val="22"/>
                <w:lang w:eastAsia="en-AU"/>
              </w:rPr>
              <w:t xml:space="preserve">f results 'C' grade or better </w:t>
            </w:r>
          </w:p>
        </w:tc>
        <w:tc>
          <w:tcPr>
            <w:tcW w:w="1128" w:type="dxa"/>
            <w:tcBorders>
              <w:top w:val="nil"/>
              <w:left w:val="single" w:sz="8" w:space="0" w:color="auto"/>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b/>
              </w:rPr>
            </w:pPr>
            <w:r w:rsidRPr="00DC02A9">
              <w:rPr>
                <w:rFonts w:cstheme="minorHAnsi"/>
                <w:b/>
              </w:rPr>
              <w:t>61.9%</w:t>
            </w:r>
          </w:p>
        </w:tc>
        <w:tc>
          <w:tcPr>
            <w:tcW w:w="1276"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b/>
              </w:rPr>
            </w:pPr>
            <w:r w:rsidRPr="00DC02A9">
              <w:rPr>
                <w:rFonts w:cstheme="minorHAnsi"/>
                <w:b/>
              </w:rPr>
              <w:t>60.0%</w:t>
            </w:r>
          </w:p>
        </w:tc>
        <w:tc>
          <w:tcPr>
            <w:tcW w:w="1276"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b/>
              </w:rPr>
            </w:pPr>
            <w:r w:rsidRPr="00DC02A9">
              <w:rPr>
                <w:rFonts w:cstheme="minorHAnsi"/>
                <w:b/>
              </w:rPr>
              <w:t>52.1%</w:t>
            </w:r>
          </w:p>
        </w:tc>
        <w:tc>
          <w:tcPr>
            <w:tcW w:w="1276"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b/>
              </w:rPr>
            </w:pPr>
            <w:r w:rsidRPr="00DC02A9">
              <w:rPr>
                <w:rFonts w:cstheme="minorHAnsi"/>
                <w:b/>
              </w:rPr>
              <w:t>0.0%</w:t>
            </w:r>
          </w:p>
        </w:tc>
        <w:tc>
          <w:tcPr>
            <w:tcW w:w="1119"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b/>
              </w:rPr>
            </w:pPr>
            <w:r w:rsidRPr="00DC02A9">
              <w:rPr>
                <w:rFonts w:cstheme="minorHAnsi"/>
                <w:b/>
              </w:rPr>
              <w:t>68.3%</w:t>
            </w:r>
          </w:p>
        </w:tc>
        <w:tc>
          <w:tcPr>
            <w:tcW w:w="1020"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b/>
              </w:rPr>
            </w:pPr>
            <w:r w:rsidRPr="00DC02A9">
              <w:rPr>
                <w:rFonts w:cstheme="minorHAnsi"/>
                <w:b/>
              </w:rPr>
              <w:t>78.6%</w:t>
            </w:r>
          </w:p>
        </w:tc>
        <w:tc>
          <w:tcPr>
            <w:tcW w:w="1152"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b/>
              </w:rPr>
            </w:pPr>
            <w:r w:rsidRPr="00DC02A9">
              <w:rPr>
                <w:rFonts w:cstheme="minorHAnsi"/>
                <w:b/>
              </w:rPr>
              <w:t>50.8%</w:t>
            </w:r>
          </w:p>
        </w:tc>
        <w:tc>
          <w:tcPr>
            <w:tcW w:w="1152"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b/>
              </w:rPr>
            </w:pPr>
            <w:r w:rsidRPr="00DC02A9">
              <w:rPr>
                <w:rFonts w:cstheme="minorHAnsi"/>
                <w:b/>
              </w:rPr>
              <w:t>37.5%</w:t>
            </w:r>
          </w:p>
        </w:tc>
        <w:tc>
          <w:tcPr>
            <w:tcW w:w="1020"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b/>
              </w:rPr>
            </w:pPr>
            <w:r w:rsidRPr="00DC02A9">
              <w:rPr>
                <w:rFonts w:cstheme="minorHAnsi"/>
                <w:b/>
              </w:rPr>
              <w:t>67.7%</w:t>
            </w:r>
          </w:p>
        </w:tc>
        <w:tc>
          <w:tcPr>
            <w:tcW w:w="1020"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b/>
              </w:rPr>
            </w:pPr>
            <w:r w:rsidRPr="00DC02A9">
              <w:rPr>
                <w:rFonts w:cstheme="minorHAnsi"/>
                <w:b/>
              </w:rPr>
              <w:t>94.1%</w:t>
            </w:r>
          </w:p>
        </w:tc>
        <w:tc>
          <w:tcPr>
            <w:tcW w:w="1152"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b/>
              </w:rPr>
            </w:pPr>
            <w:r w:rsidRPr="00DC02A9">
              <w:rPr>
                <w:rFonts w:cstheme="minorHAnsi"/>
                <w:b/>
              </w:rPr>
              <w:t>57.3%</w:t>
            </w:r>
          </w:p>
        </w:tc>
        <w:tc>
          <w:tcPr>
            <w:tcW w:w="1152"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b/>
              </w:rPr>
            </w:pPr>
            <w:r w:rsidRPr="00DC02A9">
              <w:rPr>
                <w:rFonts w:cstheme="minorHAnsi"/>
                <w:b/>
              </w:rPr>
              <w:t>42.9%</w:t>
            </w:r>
          </w:p>
        </w:tc>
      </w:tr>
    </w:tbl>
    <w:p w:rsidR="00DC02A9" w:rsidRDefault="00DC02A9" w:rsidP="001B165D">
      <w:pPr>
        <w:widowControl w:val="0"/>
        <w:spacing w:before="120" w:after="60"/>
        <w:contextualSpacing/>
        <w:rPr>
          <w:rFonts w:eastAsia="Calibri" w:cstheme="minorHAnsi"/>
          <w:b/>
          <w:sz w:val="40"/>
          <w:szCs w:val="40"/>
        </w:rPr>
      </w:pPr>
    </w:p>
    <w:p w:rsidR="00DC02A9" w:rsidRDefault="00DC02A9">
      <w:pPr>
        <w:rPr>
          <w:rFonts w:eastAsia="Calibri" w:cstheme="minorHAnsi"/>
          <w:b/>
          <w:sz w:val="40"/>
          <w:szCs w:val="40"/>
        </w:rPr>
      </w:pPr>
      <w:r>
        <w:rPr>
          <w:rFonts w:eastAsia="Calibri" w:cstheme="minorHAnsi"/>
          <w:b/>
          <w:sz w:val="40"/>
          <w:szCs w:val="40"/>
        </w:rPr>
        <w:br w:type="page"/>
      </w:r>
    </w:p>
    <w:p w:rsidR="00DC02A9" w:rsidRPr="001B165D" w:rsidRDefault="00DC02A9" w:rsidP="00DC02A9">
      <w:pPr>
        <w:widowControl w:val="0"/>
        <w:spacing w:before="120" w:after="60"/>
        <w:contextualSpacing/>
        <w:rPr>
          <w:rFonts w:eastAsia="Calibri" w:cstheme="minorHAnsi"/>
          <w:b/>
          <w:szCs w:val="24"/>
        </w:rPr>
      </w:pPr>
      <w:r w:rsidRPr="001B165D">
        <w:rPr>
          <w:rFonts w:eastAsia="Calibri" w:cstheme="minorHAnsi"/>
          <w:b/>
          <w:szCs w:val="24"/>
        </w:rPr>
        <w:lastRenderedPageBreak/>
        <w:t>Table 2.5(a</w:t>
      </w:r>
      <w:r>
        <w:rPr>
          <w:rFonts w:eastAsia="Calibri" w:cstheme="minorHAnsi"/>
          <w:b/>
          <w:szCs w:val="24"/>
        </w:rPr>
        <w:t>-3</w:t>
      </w:r>
      <w:r w:rsidRPr="001B165D">
        <w:rPr>
          <w:rFonts w:eastAsia="Calibri" w:cstheme="minorHAnsi"/>
          <w:b/>
          <w:szCs w:val="24"/>
        </w:rPr>
        <w:t xml:space="preserve">) – Students participating in </w:t>
      </w:r>
      <w:proofErr w:type="spellStart"/>
      <w:r w:rsidRPr="001B165D">
        <w:rPr>
          <w:rFonts w:eastAsia="Calibri" w:cstheme="minorHAnsi"/>
          <w:b/>
          <w:szCs w:val="24"/>
        </w:rPr>
        <w:t>CMaD</w:t>
      </w:r>
      <w:proofErr w:type="spellEnd"/>
      <w:r w:rsidRPr="001B165D">
        <w:rPr>
          <w:rFonts w:eastAsia="Calibri" w:cstheme="minorHAnsi"/>
          <w:b/>
          <w:szCs w:val="24"/>
        </w:rPr>
        <w:t xml:space="preserve"> NP ‘individual targeted support’ interventions for 1-3 years</w:t>
      </w:r>
      <w:r w:rsidRPr="00A04520">
        <w:rPr>
          <w:rFonts w:ascii="Calibri" w:hAnsi="Calibri" w:cs="Calibri"/>
          <w:color w:val="000000"/>
          <w:szCs w:val="22"/>
          <w:lang w:eastAsia="en-AU"/>
        </w:rPr>
        <w:t xml:space="preserve"> </w:t>
      </w:r>
      <w:r>
        <w:rPr>
          <w:rFonts w:ascii="Calibri" w:hAnsi="Calibri" w:cs="Calibri"/>
          <w:color w:val="000000"/>
          <w:szCs w:val="22"/>
          <w:lang w:eastAsia="en-AU"/>
        </w:rPr>
        <w:t xml:space="preserve"> - </w:t>
      </w:r>
      <w:proofErr w:type="spellStart"/>
      <w:r>
        <w:rPr>
          <w:rFonts w:ascii="Calibri" w:hAnsi="Calibri" w:cs="Calibri"/>
          <w:b/>
          <w:color w:val="000000"/>
          <w:szCs w:val="22"/>
          <w:lang w:eastAsia="en-AU"/>
        </w:rPr>
        <w:t>LBOTE</w:t>
      </w:r>
      <w:proofErr w:type="spellEnd"/>
      <w:r w:rsidRPr="00A04520">
        <w:rPr>
          <w:rFonts w:ascii="Calibri" w:hAnsi="Calibri" w:cs="Calibri"/>
          <w:b/>
          <w:color w:val="000000"/>
          <w:szCs w:val="22"/>
          <w:lang w:eastAsia="en-AU"/>
        </w:rPr>
        <w:t xml:space="preserve"> Students</w:t>
      </w:r>
      <w:r>
        <w:rPr>
          <w:rFonts w:ascii="Calibri" w:hAnsi="Calibri" w:cs="Calibri"/>
          <w:color w:val="000000"/>
          <w:szCs w:val="22"/>
          <w:lang w:eastAsia="en-AU"/>
        </w:rPr>
        <w:t xml:space="preserve"> </w:t>
      </w:r>
      <w:r w:rsidRPr="00A04520">
        <w:rPr>
          <w:rFonts w:ascii="Calibri" w:hAnsi="Calibri" w:cs="Calibri"/>
          <w:color w:val="000000"/>
          <w:szCs w:val="22"/>
          <w:lang w:eastAsia="en-AU"/>
        </w:rPr>
        <w:t xml:space="preserve">in </w:t>
      </w:r>
      <w:proofErr w:type="spellStart"/>
      <w:r w:rsidRPr="00A04520">
        <w:rPr>
          <w:rFonts w:ascii="Calibri" w:hAnsi="Calibri" w:cs="Calibri"/>
          <w:color w:val="000000"/>
          <w:szCs w:val="22"/>
          <w:lang w:eastAsia="en-AU"/>
        </w:rPr>
        <w:t>CMaD</w:t>
      </w:r>
      <w:proofErr w:type="spellEnd"/>
      <w:r w:rsidRPr="00A04520">
        <w:rPr>
          <w:rFonts w:ascii="Calibri" w:hAnsi="Calibri" w:cs="Calibri"/>
          <w:color w:val="000000"/>
          <w:szCs w:val="22"/>
          <w:lang w:eastAsia="en-AU"/>
        </w:rPr>
        <w:t xml:space="preserve"> N</w:t>
      </w:r>
      <w:r>
        <w:rPr>
          <w:rFonts w:ascii="Calibri" w:hAnsi="Calibri" w:cs="Calibri"/>
          <w:color w:val="000000"/>
          <w:szCs w:val="22"/>
          <w:lang w:eastAsia="en-AU"/>
        </w:rPr>
        <w:t xml:space="preserve">P (Low SES) by </w:t>
      </w:r>
      <w:proofErr w:type="spellStart"/>
      <w:r>
        <w:rPr>
          <w:rFonts w:ascii="Calibri" w:hAnsi="Calibri" w:cs="Calibri"/>
          <w:color w:val="000000"/>
          <w:szCs w:val="22"/>
          <w:lang w:eastAsia="en-AU"/>
        </w:rPr>
        <w:t>L&amp;N</w:t>
      </w:r>
      <w:proofErr w:type="spellEnd"/>
      <w:r>
        <w:rPr>
          <w:rFonts w:ascii="Calibri" w:hAnsi="Calibri" w:cs="Calibri"/>
          <w:color w:val="000000"/>
          <w:szCs w:val="22"/>
          <w:lang w:eastAsia="en-AU"/>
        </w:rPr>
        <w:t xml:space="preserve"> </w:t>
      </w:r>
      <w:proofErr w:type="spellStart"/>
      <w:r>
        <w:rPr>
          <w:rFonts w:ascii="Calibri" w:hAnsi="Calibri" w:cs="Calibri"/>
          <w:color w:val="000000"/>
          <w:szCs w:val="22"/>
          <w:lang w:eastAsia="en-AU"/>
        </w:rPr>
        <w:t>SACE</w:t>
      </w:r>
      <w:proofErr w:type="spellEnd"/>
      <w:r>
        <w:rPr>
          <w:rFonts w:ascii="Calibri" w:hAnsi="Calibri" w:cs="Calibri"/>
          <w:color w:val="000000"/>
          <w:szCs w:val="22"/>
          <w:lang w:eastAsia="en-AU"/>
        </w:rPr>
        <w:t xml:space="preserve"> Subject </w:t>
      </w:r>
      <w:r w:rsidR="0073635A">
        <w:rPr>
          <w:rFonts w:ascii="Calibri" w:hAnsi="Calibri" w:cs="Calibri"/>
          <w:color w:val="000000"/>
          <w:szCs w:val="22"/>
          <w:vertAlign w:val="superscript"/>
          <w:lang w:eastAsia="en-AU"/>
        </w:rPr>
        <w:t>(7</w:t>
      </w:r>
      <w:r w:rsidRPr="0073635A">
        <w:rPr>
          <w:rFonts w:ascii="Calibri" w:hAnsi="Calibri" w:cs="Calibri"/>
          <w:color w:val="000000"/>
          <w:szCs w:val="22"/>
          <w:vertAlign w:val="superscript"/>
          <w:lang w:eastAsia="en-AU"/>
        </w:rPr>
        <w:t>)</w:t>
      </w:r>
    </w:p>
    <w:p w:rsidR="00DC02A9" w:rsidRPr="001B165D" w:rsidRDefault="00DC02A9" w:rsidP="00DC02A9">
      <w:pPr>
        <w:spacing w:before="120" w:after="120"/>
        <w:rPr>
          <w:rFonts w:ascii="Calibri" w:hAnsi="Calibri" w:cs="Arial"/>
          <w:bCs/>
          <w:color w:val="000000"/>
          <w:szCs w:val="24"/>
        </w:rPr>
      </w:pPr>
    </w:p>
    <w:tbl>
      <w:tblPr>
        <w:tblW w:w="14898" w:type="dxa"/>
        <w:tblInd w:w="250" w:type="dxa"/>
        <w:tblLayout w:type="fixed"/>
        <w:tblLook w:val="04A0" w:firstRow="1" w:lastRow="0" w:firstColumn="1" w:lastColumn="0" w:noHBand="0" w:noVBand="1"/>
      </w:tblPr>
      <w:tblGrid>
        <w:gridCol w:w="1155"/>
        <w:gridCol w:w="1128"/>
        <w:gridCol w:w="1276"/>
        <w:gridCol w:w="1276"/>
        <w:gridCol w:w="1276"/>
        <w:gridCol w:w="1119"/>
        <w:gridCol w:w="1020"/>
        <w:gridCol w:w="1152"/>
        <w:gridCol w:w="1152"/>
        <w:gridCol w:w="1020"/>
        <w:gridCol w:w="1020"/>
        <w:gridCol w:w="1152"/>
        <w:gridCol w:w="1152"/>
      </w:tblGrid>
      <w:tr w:rsidR="00DC02A9" w:rsidRPr="00A04520" w:rsidTr="00632B23">
        <w:trPr>
          <w:trHeight w:val="2415"/>
        </w:trPr>
        <w:tc>
          <w:tcPr>
            <w:tcW w:w="1155" w:type="dxa"/>
            <w:tcBorders>
              <w:top w:val="single" w:sz="8" w:space="0" w:color="auto"/>
              <w:left w:val="single" w:sz="8" w:space="0" w:color="auto"/>
              <w:bottom w:val="nil"/>
              <w:right w:val="nil"/>
            </w:tcBorders>
            <w:shd w:val="clear" w:color="auto" w:fill="auto"/>
            <w:vAlign w:val="center"/>
            <w:hideMark/>
          </w:tcPr>
          <w:p w:rsidR="00DC02A9" w:rsidRPr="00A04520" w:rsidRDefault="00DC02A9" w:rsidP="00B30F24">
            <w:pPr>
              <w:rPr>
                <w:rFonts w:ascii="Calibri" w:hAnsi="Calibri" w:cs="Calibri"/>
                <w:b/>
                <w:bCs/>
                <w:color w:val="000000"/>
                <w:szCs w:val="22"/>
                <w:lang w:eastAsia="en-AU"/>
              </w:rPr>
            </w:pPr>
            <w:r w:rsidRPr="00A04520">
              <w:rPr>
                <w:rFonts w:ascii="Calibri" w:hAnsi="Calibri" w:cs="Calibri"/>
                <w:b/>
                <w:bCs/>
                <w:color w:val="000000"/>
                <w:szCs w:val="22"/>
                <w:lang w:eastAsia="en-AU"/>
              </w:rPr>
              <w:t>School Year Level</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02A9" w:rsidRPr="00A04520" w:rsidRDefault="0073635A" w:rsidP="00B30F24">
            <w:pPr>
              <w:jc w:val="center"/>
              <w:rPr>
                <w:rFonts w:ascii="Calibri" w:hAnsi="Calibri" w:cs="Calibri"/>
                <w:b/>
                <w:bCs/>
                <w:color w:val="000000"/>
                <w:szCs w:val="22"/>
                <w:lang w:eastAsia="en-AU"/>
              </w:rPr>
            </w:pPr>
            <w:r>
              <w:rPr>
                <w:rFonts w:ascii="Calibri" w:hAnsi="Calibri" w:cs="Calibri"/>
                <w:b/>
                <w:bCs/>
                <w:color w:val="000000"/>
                <w:szCs w:val="22"/>
                <w:lang w:eastAsia="en-AU"/>
              </w:rPr>
              <w:t xml:space="preserve">2010 </w:t>
            </w:r>
            <w:r>
              <w:rPr>
                <w:rFonts w:ascii="Calibri" w:hAnsi="Calibri" w:cs="Calibri"/>
                <w:b/>
                <w:bCs/>
                <w:color w:val="000000"/>
                <w:szCs w:val="22"/>
                <w:lang w:eastAsia="en-AU"/>
              </w:rPr>
              <w:br/>
            </w:r>
            <w:proofErr w:type="spellStart"/>
            <w:r>
              <w:rPr>
                <w:rFonts w:ascii="Calibri" w:hAnsi="Calibri" w:cs="Calibri"/>
                <w:b/>
                <w:bCs/>
                <w:color w:val="000000"/>
                <w:szCs w:val="22"/>
                <w:lang w:eastAsia="en-AU"/>
              </w:rPr>
              <w:t>SACE</w:t>
            </w:r>
            <w:proofErr w:type="spellEnd"/>
            <w:r>
              <w:rPr>
                <w:rFonts w:ascii="Calibri" w:hAnsi="Calibri" w:cs="Calibri"/>
                <w:b/>
                <w:bCs/>
                <w:color w:val="000000"/>
                <w:szCs w:val="22"/>
                <w:lang w:eastAsia="en-AU"/>
              </w:rPr>
              <w:t xml:space="preserve"> results </w:t>
            </w:r>
            <w:r>
              <w:rPr>
                <w:rFonts w:ascii="Calibri" w:hAnsi="Calibri" w:cs="Calibri"/>
                <w:b/>
                <w:bCs/>
                <w:color w:val="000000"/>
                <w:szCs w:val="22"/>
                <w:lang w:eastAsia="en-AU"/>
              </w:rPr>
              <w:br/>
              <w:t xml:space="preserve">Literacy Subjects </w:t>
            </w:r>
            <w:r w:rsidR="00DC02A9" w:rsidRPr="00A04520">
              <w:rPr>
                <w:rFonts w:ascii="Calibri" w:hAnsi="Calibri" w:cs="Calibri"/>
                <w:b/>
                <w:bCs/>
                <w:color w:val="000000"/>
                <w:szCs w:val="22"/>
                <w:lang w:eastAsia="en-AU"/>
              </w:rPr>
              <w:br/>
              <w:t>Stage 1</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DC02A9" w:rsidRPr="00A04520" w:rsidRDefault="00DC02A9" w:rsidP="00B30F24">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2010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Literacy Subjects</w:t>
            </w:r>
            <w:r w:rsidRPr="00A04520">
              <w:rPr>
                <w:rFonts w:ascii="Calibri" w:hAnsi="Calibri" w:cs="Calibri"/>
                <w:b/>
                <w:bCs/>
                <w:color w:val="000000"/>
                <w:szCs w:val="22"/>
                <w:lang w:eastAsia="en-AU"/>
              </w:rPr>
              <w:br/>
              <w:t>Stage 2</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DC02A9" w:rsidRPr="00A04520" w:rsidRDefault="00DC02A9" w:rsidP="00B30F24">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2010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Numeracy Subjects</w:t>
            </w:r>
            <w:r w:rsidRPr="00A04520">
              <w:rPr>
                <w:rFonts w:ascii="Calibri" w:hAnsi="Calibri" w:cs="Calibri"/>
                <w:b/>
                <w:bCs/>
                <w:color w:val="000000"/>
                <w:szCs w:val="22"/>
                <w:lang w:eastAsia="en-AU"/>
              </w:rPr>
              <w:br/>
              <w:t>Stage 1</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DC02A9" w:rsidRPr="00A04520" w:rsidRDefault="00DC02A9" w:rsidP="00B30F24">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2010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Numeracy Subjects</w:t>
            </w:r>
            <w:r w:rsidRPr="00A04520">
              <w:rPr>
                <w:rFonts w:ascii="Calibri" w:hAnsi="Calibri" w:cs="Calibri"/>
                <w:b/>
                <w:bCs/>
                <w:color w:val="000000"/>
                <w:szCs w:val="22"/>
                <w:lang w:eastAsia="en-AU"/>
              </w:rPr>
              <w:br/>
              <w:t>Stage 2</w:t>
            </w:r>
          </w:p>
        </w:tc>
        <w:tc>
          <w:tcPr>
            <w:tcW w:w="1119" w:type="dxa"/>
            <w:tcBorders>
              <w:top w:val="single" w:sz="8" w:space="0" w:color="auto"/>
              <w:left w:val="nil"/>
              <w:bottom w:val="single" w:sz="8" w:space="0" w:color="auto"/>
              <w:right w:val="single" w:sz="8" w:space="0" w:color="auto"/>
            </w:tcBorders>
            <w:shd w:val="clear" w:color="auto" w:fill="auto"/>
            <w:vAlign w:val="center"/>
            <w:hideMark/>
          </w:tcPr>
          <w:p w:rsidR="00DC02A9" w:rsidRPr="00A04520" w:rsidRDefault="00DC02A9" w:rsidP="00B30F24">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2011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Literacy Subjects</w:t>
            </w:r>
            <w:r w:rsidRPr="00A04520">
              <w:rPr>
                <w:rFonts w:ascii="Calibri" w:hAnsi="Calibri" w:cs="Calibri"/>
                <w:b/>
                <w:bCs/>
                <w:color w:val="000000"/>
                <w:szCs w:val="22"/>
                <w:lang w:eastAsia="en-AU"/>
              </w:rPr>
              <w:br/>
              <w:t>Stage 1</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DC02A9" w:rsidRPr="00A04520" w:rsidRDefault="00DC02A9" w:rsidP="00B30F24">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2011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Literacy Subjects</w:t>
            </w:r>
            <w:r w:rsidRPr="00A04520">
              <w:rPr>
                <w:rFonts w:ascii="Calibri" w:hAnsi="Calibri" w:cs="Calibri"/>
                <w:b/>
                <w:bCs/>
                <w:color w:val="000000"/>
                <w:szCs w:val="22"/>
                <w:lang w:eastAsia="en-AU"/>
              </w:rPr>
              <w:br/>
              <w:t>Stage 2</w:t>
            </w:r>
          </w:p>
        </w:tc>
        <w:tc>
          <w:tcPr>
            <w:tcW w:w="1152" w:type="dxa"/>
            <w:tcBorders>
              <w:top w:val="single" w:sz="8" w:space="0" w:color="auto"/>
              <w:left w:val="nil"/>
              <w:bottom w:val="single" w:sz="8" w:space="0" w:color="auto"/>
              <w:right w:val="single" w:sz="8" w:space="0" w:color="auto"/>
            </w:tcBorders>
            <w:shd w:val="clear" w:color="auto" w:fill="auto"/>
            <w:vAlign w:val="center"/>
            <w:hideMark/>
          </w:tcPr>
          <w:p w:rsidR="00DC02A9" w:rsidRPr="00A04520" w:rsidRDefault="00DC02A9" w:rsidP="00B30F24">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2011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Numeracy Subjects</w:t>
            </w:r>
            <w:r w:rsidRPr="00A04520">
              <w:rPr>
                <w:rFonts w:ascii="Calibri" w:hAnsi="Calibri" w:cs="Calibri"/>
                <w:b/>
                <w:bCs/>
                <w:color w:val="000000"/>
                <w:szCs w:val="22"/>
                <w:lang w:eastAsia="en-AU"/>
              </w:rPr>
              <w:br/>
              <w:t>Stage 1</w:t>
            </w:r>
          </w:p>
        </w:tc>
        <w:tc>
          <w:tcPr>
            <w:tcW w:w="1152" w:type="dxa"/>
            <w:tcBorders>
              <w:top w:val="single" w:sz="8" w:space="0" w:color="auto"/>
              <w:left w:val="nil"/>
              <w:bottom w:val="single" w:sz="8" w:space="0" w:color="auto"/>
              <w:right w:val="single" w:sz="8" w:space="0" w:color="auto"/>
            </w:tcBorders>
            <w:shd w:val="clear" w:color="auto" w:fill="auto"/>
            <w:vAlign w:val="center"/>
            <w:hideMark/>
          </w:tcPr>
          <w:p w:rsidR="00DC02A9" w:rsidRPr="00A04520" w:rsidRDefault="00DC02A9" w:rsidP="00B30F24">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2011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Numeracy Subjects</w:t>
            </w:r>
            <w:r w:rsidRPr="00A04520">
              <w:rPr>
                <w:rFonts w:ascii="Calibri" w:hAnsi="Calibri" w:cs="Calibri"/>
                <w:b/>
                <w:bCs/>
                <w:color w:val="000000"/>
                <w:szCs w:val="22"/>
                <w:lang w:eastAsia="en-AU"/>
              </w:rPr>
              <w:br/>
              <w:t>Stage 2</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DC02A9" w:rsidRPr="00A04520" w:rsidRDefault="00DC02A9" w:rsidP="00B30F24">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2012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Literacy Subjects</w:t>
            </w:r>
            <w:r w:rsidRPr="00A04520">
              <w:rPr>
                <w:rFonts w:ascii="Calibri" w:hAnsi="Calibri" w:cs="Calibri"/>
                <w:b/>
                <w:bCs/>
                <w:color w:val="000000"/>
                <w:szCs w:val="22"/>
                <w:lang w:eastAsia="en-AU"/>
              </w:rPr>
              <w:br/>
              <w:t>Stage 1</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DC02A9" w:rsidRPr="00A04520" w:rsidRDefault="00DC02A9" w:rsidP="00B30F24">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2012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Literacy Subjects</w:t>
            </w:r>
            <w:r w:rsidRPr="00A04520">
              <w:rPr>
                <w:rFonts w:ascii="Calibri" w:hAnsi="Calibri" w:cs="Calibri"/>
                <w:b/>
                <w:bCs/>
                <w:color w:val="000000"/>
                <w:szCs w:val="22"/>
                <w:lang w:eastAsia="en-AU"/>
              </w:rPr>
              <w:br/>
              <w:t>Stage 2</w:t>
            </w:r>
          </w:p>
        </w:tc>
        <w:tc>
          <w:tcPr>
            <w:tcW w:w="1152" w:type="dxa"/>
            <w:tcBorders>
              <w:top w:val="single" w:sz="8" w:space="0" w:color="auto"/>
              <w:left w:val="nil"/>
              <w:bottom w:val="single" w:sz="8" w:space="0" w:color="auto"/>
              <w:right w:val="single" w:sz="8" w:space="0" w:color="auto"/>
            </w:tcBorders>
            <w:shd w:val="clear" w:color="auto" w:fill="auto"/>
            <w:vAlign w:val="center"/>
            <w:hideMark/>
          </w:tcPr>
          <w:p w:rsidR="00DC02A9" w:rsidRPr="00A04520" w:rsidRDefault="00DC02A9" w:rsidP="00B30F24">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2012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Numeracy Subjects</w:t>
            </w:r>
            <w:r w:rsidRPr="00A04520">
              <w:rPr>
                <w:rFonts w:ascii="Calibri" w:hAnsi="Calibri" w:cs="Calibri"/>
                <w:b/>
                <w:bCs/>
                <w:color w:val="000000"/>
                <w:szCs w:val="22"/>
                <w:lang w:eastAsia="en-AU"/>
              </w:rPr>
              <w:br/>
              <w:t>Stage 1</w:t>
            </w:r>
          </w:p>
        </w:tc>
        <w:tc>
          <w:tcPr>
            <w:tcW w:w="1152" w:type="dxa"/>
            <w:tcBorders>
              <w:top w:val="single" w:sz="8" w:space="0" w:color="auto"/>
              <w:left w:val="nil"/>
              <w:bottom w:val="single" w:sz="8" w:space="0" w:color="auto"/>
              <w:right w:val="single" w:sz="8" w:space="0" w:color="auto"/>
            </w:tcBorders>
            <w:shd w:val="clear" w:color="auto" w:fill="auto"/>
            <w:vAlign w:val="center"/>
            <w:hideMark/>
          </w:tcPr>
          <w:p w:rsidR="00DC02A9" w:rsidRPr="00A04520" w:rsidRDefault="00DC02A9" w:rsidP="00B30F24">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2012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Numeracy Subjects</w:t>
            </w:r>
            <w:r w:rsidRPr="00A04520">
              <w:rPr>
                <w:rFonts w:ascii="Calibri" w:hAnsi="Calibri" w:cs="Calibri"/>
                <w:b/>
                <w:bCs/>
                <w:color w:val="000000"/>
                <w:szCs w:val="22"/>
                <w:lang w:eastAsia="en-AU"/>
              </w:rPr>
              <w:br/>
              <w:t>Stage 2</w:t>
            </w:r>
          </w:p>
        </w:tc>
      </w:tr>
      <w:tr w:rsidR="00DC02A9" w:rsidRPr="00A04520" w:rsidTr="00632B23">
        <w:trPr>
          <w:trHeight w:val="1215"/>
        </w:trPr>
        <w:tc>
          <w:tcPr>
            <w:tcW w:w="1155" w:type="dxa"/>
            <w:tcBorders>
              <w:top w:val="single" w:sz="8" w:space="0" w:color="auto"/>
              <w:left w:val="single" w:sz="8" w:space="0" w:color="auto"/>
              <w:bottom w:val="single" w:sz="8" w:space="0" w:color="auto"/>
              <w:right w:val="nil"/>
            </w:tcBorders>
            <w:shd w:val="clear" w:color="000000" w:fill="C0C0C0"/>
            <w:vAlign w:val="center"/>
            <w:hideMark/>
          </w:tcPr>
          <w:p w:rsidR="00DC02A9" w:rsidRPr="00A04520" w:rsidRDefault="00DC02A9" w:rsidP="00B30F24">
            <w:pPr>
              <w:rPr>
                <w:rFonts w:ascii="Calibri" w:hAnsi="Calibri" w:cs="Calibri"/>
                <w:color w:val="000000"/>
                <w:szCs w:val="22"/>
                <w:lang w:eastAsia="en-AU"/>
              </w:rPr>
            </w:pPr>
            <w:r w:rsidRPr="00A04520">
              <w:rPr>
                <w:rFonts w:ascii="Calibri" w:hAnsi="Calibri" w:cs="Calibri"/>
                <w:color w:val="000000"/>
                <w:szCs w:val="22"/>
                <w:lang w:eastAsia="en-AU"/>
              </w:rPr>
              <w:t>No. of students who undertook subject</w:t>
            </w:r>
          </w:p>
        </w:tc>
        <w:tc>
          <w:tcPr>
            <w:tcW w:w="1128" w:type="dxa"/>
            <w:tcBorders>
              <w:top w:val="nil"/>
              <w:left w:val="single" w:sz="8" w:space="0" w:color="auto"/>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169</w:t>
            </w:r>
          </w:p>
        </w:tc>
        <w:tc>
          <w:tcPr>
            <w:tcW w:w="1276"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68</w:t>
            </w:r>
          </w:p>
        </w:tc>
        <w:tc>
          <w:tcPr>
            <w:tcW w:w="1276"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166</w:t>
            </w:r>
          </w:p>
        </w:tc>
        <w:tc>
          <w:tcPr>
            <w:tcW w:w="1276"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30</w:t>
            </w:r>
          </w:p>
        </w:tc>
        <w:tc>
          <w:tcPr>
            <w:tcW w:w="1119"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84</w:t>
            </w:r>
          </w:p>
        </w:tc>
        <w:tc>
          <w:tcPr>
            <w:tcW w:w="1020"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32</w:t>
            </w:r>
          </w:p>
        </w:tc>
        <w:tc>
          <w:tcPr>
            <w:tcW w:w="1152"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101</w:t>
            </w:r>
          </w:p>
        </w:tc>
        <w:tc>
          <w:tcPr>
            <w:tcW w:w="1152"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20</w:t>
            </w:r>
          </w:p>
        </w:tc>
        <w:tc>
          <w:tcPr>
            <w:tcW w:w="1020"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126</w:t>
            </w:r>
          </w:p>
        </w:tc>
        <w:tc>
          <w:tcPr>
            <w:tcW w:w="1020"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21</w:t>
            </w:r>
          </w:p>
        </w:tc>
        <w:tc>
          <w:tcPr>
            <w:tcW w:w="1152"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132</w:t>
            </w:r>
          </w:p>
        </w:tc>
        <w:tc>
          <w:tcPr>
            <w:tcW w:w="1152"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10</w:t>
            </w:r>
          </w:p>
        </w:tc>
      </w:tr>
      <w:tr w:rsidR="00DC02A9" w:rsidRPr="00A04520" w:rsidTr="00632B23">
        <w:trPr>
          <w:trHeight w:val="915"/>
        </w:trPr>
        <w:tc>
          <w:tcPr>
            <w:tcW w:w="1155" w:type="dxa"/>
            <w:tcBorders>
              <w:top w:val="nil"/>
              <w:left w:val="single" w:sz="8" w:space="0" w:color="auto"/>
              <w:bottom w:val="single" w:sz="8" w:space="0" w:color="auto"/>
              <w:right w:val="nil"/>
            </w:tcBorders>
            <w:shd w:val="clear" w:color="auto" w:fill="auto"/>
            <w:vAlign w:val="center"/>
            <w:hideMark/>
          </w:tcPr>
          <w:p w:rsidR="00DC02A9" w:rsidRPr="00A04520" w:rsidRDefault="0073635A" w:rsidP="00B30F24">
            <w:pPr>
              <w:rPr>
                <w:rFonts w:ascii="Calibri" w:hAnsi="Calibri" w:cs="Calibri"/>
                <w:color w:val="000000"/>
                <w:szCs w:val="22"/>
                <w:lang w:eastAsia="en-AU"/>
              </w:rPr>
            </w:pPr>
            <w:r>
              <w:rPr>
                <w:rFonts w:ascii="Calibri" w:hAnsi="Calibri" w:cs="Calibri"/>
                <w:color w:val="000000"/>
                <w:szCs w:val="22"/>
                <w:lang w:eastAsia="en-AU"/>
              </w:rPr>
              <w:t xml:space="preserve">No. of subject results </w:t>
            </w:r>
          </w:p>
        </w:tc>
        <w:tc>
          <w:tcPr>
            <w:tcW w:w="1128" w:type="dxa"/>
            <w:tcBorders>
              <w:top w:val="nil"/>
              <w:left w:val="single" w:sz="8" w:space="0" w:color="auto"/>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341</w:t>
            </w:r>
          </w:p>
        </w:tc>
        <w:tc>
          <w:tcPr>
            <w:tcW w:w="1276"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72</w:t>
            </w:r>
          </w:p>
        </w:tc>
        <w:tc>
          <w:tcPr>
            <w:tcW w:w="1276"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304</w:t>
            </w:r>
          </w:p>
        </w:tc>
        <w:tc>
          <w:tcPr>
            <w:tcW w:w="1276"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40</w:t>
            </w:r>
          </w:p>
        </w:tc>
        <w:tc>
          <w:tcPr>
            <w:tcW w:w="1119"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172</w:t>
            </w:r>
          </w:p>
        </w:tc>
        <w:tc>
          <w:tcPr>
            <w:tcW w:w="1020"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32</w:t>
            </w:r>
          </w:p>
        </w:tc>
        <w:tc>
          <w:tcPr>
            <w:tcW w:w="1152"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182</w:t>
            </w:r>
          </w:p>
        </w:tc>
        <w:tc>
          <w:tcPr>
            <w:tcW w:w="1152"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28</w:t>
            </w:r>
          </w:p>
        </w:tc>
        <w:tc>
          <w:tcPr>
            <w:tcW w:w="1020"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206</w:t>
            </w:r>
          </w:p>
        </w:tc>
        <w:tc>
          <w:tcPr>
            <w:tcW w:w="1020"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22</w:t>
            </w:r>
          </w:p>
        </w:tc>
        <w:tc>
          <w:tcPr>
            <w:tcW w:w="1152"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215</w:t>
            </w:r>
          </w:p>
        </w:tc>
        <w:tc>
          <w:tcPr>
            <w:tcW w:w="1152"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13</w:t>
            </w:r>
          </w:p>
        </w:tc>
      </w:tr>
      <w:tr w:rsidR="00DC02A9" w:rsidRPr="00A04520" w:rsidTr="00632B23">
        <w:trPr>
          <w:trHeight w:val="915"/>
        </w:trPr>
        <w:tc>
          <w:tcPr>
            <w:tcW w:w="1155" w:type="dxa"/>
            <w:tcBorders>
              <w:top w:val="nil"/>
              <w:left w:val="single" w:sz="8" w:space="0" w:color="auto"/>
              <w:bottom w:val="single" w:sz="8" w:space="0" w:color="auto"/>
              <w:right w:val="nil"/>
            </w:tcBorders>
            <w:shd w:val="clear" w:color="000000" w:fill="C0C0C0"/>
            <w:vAlign w:val="center"/>
            <w:hideMark/>
          </w:tcPr>
          <w:p w:rsidR="00DC02A9" w:rsidRPr="00A04520" w:rsidRDefault="00DC02A9" w:rsidP="00B30F24">
            <w:pPr>
              <w:rPr>
                <w:rFonts w:ascii="Calibri" w:hAnsi="Calibri" w:cs="Calibri"/>
                <w:b/>
                <w:bCs/>
                <w:color w:val="000000"/>
                <w:szCs w:val="22"/>
                <w:lang w:eastAsia="en-AU"/>
              </w:rPr>
            </w:pPr>
            <w:r w:rsidRPr="00A04520">
              <w:rPr>
                <w:rFonts w:ascii="Calibri" w:hAnsi="Calibri" w:cs="Calibri"/>
                <w:b/>
                <w:bCs/>
                <w:color w:val="000000"/>
                <w:szCs w:val="22"/>
                <w:lang w:eastAsia="en-AU"/>
              </w:rPr>
              <w:t>% of results 'C' grad</w:t>
            </w:r>
            <w:r w:rsidR="0073635A">
              <w:rPr>
                <w:rFonts w:ascii="Calibri" w:hAnsi="Calibri" w:cs="Calibri"/>
                <w:b/>
                <w:bCs/>
                <w:color w:val="000000"/>
                <w:szCs w:val="22"/>
                <w:lang w:eastAsia="en-AU"/>
              </w:rPr>
              <w:t xml:space="preserve">e or better </w:t>
            </w:r>
          </w:p>
        </w:tc>
        <w:tc>
          <w:tcPr>
            <w:tcW w:w="1128" w:type="dxa"/>
            <w:tcBorders>
              <w:top w:val="nil"/>
              <w:left w:val="single" w:sz="8" w:space="0" w:color="auto"/>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b/>
              </w:rPr>
            </w:pPr>
            <w:r w:rsidRPr="00DC02A9">
              <w:rPr>
                <w:rFonts w:cstheme="minorHAnsi"/>
                <w:b/>
              </w:rPr>
              <w:t>76.0%</w:t>
            </w:r>
          </w:p>
        </w:tc>
        <w:tc>
          <w:tcPr>
            <w:tcW w:w="1276"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b/>
              </w:rPr>
            </w:pPr>
            <w:r w:rsidRPr="00DC02A9">
              <w:rPr>
                <w:rFonts w:cstheme="minorHAnsi"/>
                <w:b/>
              </w:rPr>
              <w:t>83.3%</w:t>
            </w:r>
          </w:p>
        </w:tc>
        <w:tc>
          <w:tcPr>
            <w:tcW w:w="1276"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b/>
              </w:rPr>
            </w:pPr>
            <w:r w:rsidRPr="00DC02A9">
              <w:rPr>
                <w:rFonts w:cstheme="minorHAnsi"/>
                <w:b/>
              </w:rPr>
              <w:t>64.8%</w:t>
            </w:r>
          </w:p>
        </w:tc>
        <w:tc>
          <w:tcPr>
            <w:tcW w:w="1276"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b/>
              </w:rPr>
            </w:pPr>
            <w:r w:rsidRPr="00DC02A9">
              <w:rPr>
                <w:rFonts w:cstheme="minorHAnsi"/>
                <w:b/>
              </w:rPr>
              <w:t>42.5%</w:t>
            </w:r>
          </w:p>
        </w:tc>
        <w:tc>
          <w:tcPr>
            <w:tcW w:w="1119"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b/>
              </w:rPr>
            </w:pPr>
            <w:r w:rsidRPr="00DC02A9">
              <w:rPr>
                <w:rFonts w:cstheme="minorHAnsi"/>
                <w:b/>
              </w:rPr>
              <w:t>76.7%</w:t>
            </w:r>
          </w:p>
        </w:tc>
        <w:tc>
          <w:tcPr>
            <w:tcW w:w="1020"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b/>
              </w:rPr>
            </w:pPr>
            <w:r w:rsidRPr="00DC02A9">
              <w:rPr>
                <w:rFonts w:cstheme="minorHAnsi"/>
                <w:b/>
              </w:rPr>
              <w:t>90.6%</w:t>
            </w:r>
          </w:p>
        </w:tc>
        <w:tc>
          <w:tcPr>
            <w:tcW w:w="1152"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b/>
              </w:rPr>
            </w:pPr>
            <w:r w:rsidRPr="00DC02A9">
              <w:rPr>
                <w:rFonts w:cstheme="minorHAnsi"/>
                <w:b/>
              </w:rPr>
              <w:t>58.8%</w:t>
            </w:r>
          </w:p>
        </w:tc>
        <w:tc>
          <w:tcPr>
            <w:tcW w:w="1152"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b/>
              </w:rPr>
            </w:pPr>
            <w:r w:rsidRPr="00DC02A9">
              <w:rPr>
                <w:rFonts w:cstheme="minorHAnsi"/>
                <w:b/>
              </w:rPr>
              <w:t>57.1%</w:t>
            </w:r>
          </w:p>
        </w:tc>
        <w:tc>
          <w:tcPr>
            <w:tcW w:w="1020"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b/>
              </w:rPr>
            </w:pPr>
            <w:r w:rsidRPr="00DC02A9">
              <w:rPr>
                <w:rFonts w:cstheme="minorHAnsi"/>
                <w:b/>
              </w:rPr>
              <w:t>71.4%</w:t>
            </w:r>
          </w:p>
        </w:tc>
        <w:tc>
          <w:tcPr>
            <w:tcW w:w="1020"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b/>
              </w:rPr>
            </w:pPr>
            <w:r w:rsidRPr="00DC02A9">
              <w:rPr>
                <w:rFonts w:cstheme="minorHAnsi"/>
                <w:b/>
              </w:rPr>
              <w:t>77.3%</w:t>
            </w:r>
          </w:p>
        </w:tc>
        <w:tc>
          <w:tcPr>
            <w:tcW w:w="1152"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b/>
              </w:rPr>
            </w:pPr>
            <w:r w:rsidRPr="00DC02A9">
              <w:rPr>
                <w:rFonts w:cstheme="minorHAnsi"/>
                <w:b/>
              </w:rPr>
              <w:t>59.5%</w:t>
            </w:r>
          </w:p>
        </w:tc>
        <w:tc>
          <w:tcPr>
            <w:tcW w:w="1152"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b/>
              </w:rPr>
            </w:pPr>
            <w:r w:rsidRPr="00DC02A9">
              <w:rPr>
                <w:rFonts w:cstheme="minorHAnsi"/>
                <w:b/>
              </w:rPr>
              <w:t>38.5%</w:t>
            </w:r>
          </w:p>
        </w:tc>
      </w:tr>
    </w:tbl>
    <w:p w:rsidR="00DC02A9" w:rsidRDefault="00DC02A9" w:rsidP="001B165D">
      <w:pPr>
        <w:widowControl w:val="0"/>
        <w:spacing w:before="120" w:after="60"/>
        <w:contextualSpacing/>
        <w:rPr>
          <w:rFonts w:eastAsia="Calibri" w:cstheme="minorHAnsi"/>
          <w:b/>
          <w:sz w:val="40"/>
          <w:szCs w:val="40"/>
        </w:rPr>
      </w:pPr>
    </w:p>
    <w:p w:rsidR="00DC02A9" w:rsidRDefault="00DC02A9">
      <w:pPr>
        <w:rPr>
          <w:rFonts w:eastAsia="Calibri" w:cstheme="minorHAnsi"/>
          <w:b/>
          <w:sz w:val="40"/>
          <w:szCs w:val="40"/>
        </w:rPr>
      </w:pPr>
      <w:r>
        <w:rPr>
          <w:rFonts w:eastAsia="Calibri" w:cstheme="minorHAnsi"/>
          <w:b/>
          <w:sz w:val="40"/>
          <w:szCs w:val="40"/>
        </w:rPr>
        <w:br w:type="page"/>
      </w:r>
    </w:p>
    <w:p w:rsidR="00DC02A9" w:rsidRPr="001B165D" w:rsidRDefault="00DC02A9" w:rsidP="00DC02A9">
      <w:pPr>
        <w:widowControl w:val="0"/>
        <w:spacing w:before="120" w:after="60"/>
        <w:contextualSpacing/>
        <w:rPr>
          <w:rFonts w:eastAsia="Calibri" w:cstheme="minorHAnsi"/>
          <w:b/>
          <w:szCs w:val="24"/>
        </w:rPr>
      </w:pPr>
      <w:r w:rsidRPr="001B165D">
        <w:rPr>
          <w:rFonts w:eastAsia="Calibri" w:cstheme="minorHAnsi"/>
          <w:b/>
          <w:szCs w:val="24"/>
        </w:rPr>
        <w:lastRenderedPageBreak/>
        <w:t>Table 2.5(a</w:t>
      </w:r>
      <w:r>
        <w:rPr>
          <w:rFonts w:eastAsia="Calibri" w:cstheme="minorHAnsi"/>
          <w:b/>
          <w:szCs w:val="24"/>
        </w:rPr>
        <w:t>-4</w:t>
      </w:r>
      <w:r w:rsidRPr="001B165D">
        <w:rPr>
          <w:rFonts w:eastAsia="Calibri" w:cstheme="minorHAnsi"/>
          <w:b/>
          <w:szCs w:val="24"/>
        </w:rPr>
        <w:t xml:space="preserve">) – Students participating in </w:t>
      </w:r>
      <w:proofErr w:type="spellStart"/>
      <w:r w:rsidRPr="001B165D">
        <w:rPr>
          <w:rFonts w:eastAsia="Calibri" w:cstheme="minorHAnsi"/>
          <w:b/>
          <w:szCs w:val="24"/>
        </w:rPr>
        <w:t>CMaD</w:t>
      </w:r>
      <w:proofErr w:type="spellEnd"/>
      <w:r w:rsidRPr="001B165D">
        <w:rPr>
          <w:rFonts w:eastAsia="Calibri" w:cstheme="minorHAnsi"/>
          <w:b/>
          <w:szCs w:val="24"/>
        </w:rPr>
        <w:t xml:space="preserve"> NP ‘individual targeted support’ interventions for 1-3 years</w:t>
      </w:r>
      <w:r w:rsidRPr="00A04520">
        <w:rPr>
          <w:rFonts w:ascii="Calibri" w:hAnsi="Calibri" w:cs="Calibri"/>
          <w:color w:val="000000"/>
          <w:szCs w:val="22"/>
          <w:lang w:eastAsia="en-AU"/>
        </w:rPr>
        <w:t xml:space="preserve"> </w:t>
      </w:r>
      <w:r>
        <w:rPr>
          <w:rFonts w:ascii="Calibri" w:hAnsi="Calibri" w:cs="Calibri"/>
          <w:color w:val="000000"/>
          <w:szCs w:val="22"/>
          <w:lang w:eastAsia="en-AU"/>
        </w:rPr>
        <w:t xml:space="preserve"> - </w:t>
      </w:r>
      <w:r w:rsidRPr="00A04520">
        <w:rPr>
          <w:rFonts w:ascii="Calibri" w:hAnsi="Calibri" w:cs="Calibri"/>
          <w:b/>
          <w:color w:val="000000"/>
          <w:szCs w:val="22"/>
          <w:lang w:eastAsia="en-AU"/>
        </w:rPr>
        <w:t>Students</w:t>
      </w:r>
      <w:r>
        <w:rPr>
          <w:rFonts w:ascii="Calibri" w:hAnsi="Calibri" w:cs="Calibri"/>
          <w:b/>
          <w:color w:val="000000"/>
          <w:szCs w:val="22"/>
          <w:lang w:eastAsia="en-AU"/>
        </w:rPr>
        <w:t xml:space="preserve"> with a Disability</w:t>
      </w:r>
      <w:r>
        <w:rPr>
          <w:rFonts w:ascii="Calibri" w:hAnsi="Calibri" w:cs="Calibri"/>
          <w:color w:val="000000"/>
          <w:szCs w:val="22"/>
          <w:lang w:eastAsia="en-AU"/>
        </w:rPr>
        <w:t xml:space="preserve"> </w:t>
      </w:r>
      <w:r w:rsidRPr="00A04520">
        <w:rPr>
          <w:rFonts w:ascii="Calibri" w:hAnsi="Calibri" w:cs="Calibri"/>
          <w:color w:val="000000"/>
          <w:szCs w:val="22"/>
          <w:lang w:eastAsia="en-AU"/>
        </w:rPr>
        <w:t xml:space="preserve">in </w:t>
      </w:r>
      <w:proofErr w:type="spellStart"/>
      <w:r w:rsidRPr="00A04520">
        <w:rPr>
          <w:rFonts w:ascii="Calibri" w:hAnsi="Calibri" w:cs="Calibri"/>
          <w:color w:val="000000"/>
          <w:szCs w:val="22"/>
          <w:lang w:eastAsia="en-AU"/>
        </w:rPr>
        <w:t>CMaD</w:t>
      </w:r>
      <w:proofErr w:type="spellEnd"/>
      <w:r w:rsidRPr="00A04520">
        <w:rPr>
          <w:rFonts w:ascii="Calibri" w:hAnsi="Calibri" w:cs="Calibri"/>
          <w:color w:val="000000"/>
          <w:szCs w:val="22"/>
          <w:lang w:eastAsia="en-AU"/>
        </w:rPr>
        <w:t xml:space="preserve"> N</w:t>
      </w:r>
      <w:r>
        <w:rPr>
          <w:rFonts w:ascii="Calibri" w:hAnsi="Calibri" w:cs="Calibri"/>
          <w:color w:val="000000"/>
          <w:szCs w:val="22"/>
          <w:lang w:eastAsia="en-AU"/>
        </w:rPr>
        <w:t xml:space="preserve">P (Low SES) by </w:t>
      </w:r>
      <w:proofErr w:type="spellStart"/>
      <w:r>
        <w:rPr>
          <w:rFonts w:ascii="Calibri" w:hAnsi="Calibri" w:cs="Calibri"/>
          <w:color w:val="000000"/>
          <w:szCs w:val="22"/>
          <w:lang w:eastAsia="en-AU"/>
        </w:rPr>
        <w:t>L&amp;N</w:t>
      </w:r>
      <w:proofErr w:type="spellEnd"/>
      <w:r>
        <w:rPr>
          <w:rFonts w:ascii="Calibri" w:hAnsi="Calibri" w:cs="Calibri"/>
          <w:color w:val="000000"/>
          <w:szCs w:val="22"/>
          <w:lang w:eastAsia="en-AU"/>
        </w:rPr>
        <w:t xml:space="preserve"> </w:t>
      </w:r>
      <w:proofErr w:type="spellStart"/>
      <w:r>
        <w:rPr>
          <w:rFonts w:ascii="Calibri" w:hAnsi="Calibri" w:cs="Calibri"/>
          <w:color w:val="000000"/>
          <w:szCs w:val="22"/>
          <w:lang w:eastAsia="en-AU"/>
        </w:rPr>
        <w:t>SACE</w:t>
      </w:r>
      <w:proofErr w:type="spellEnd"/>
      <w:r>
        <w:rPr>
          <w:rFonts w:ascii="Calibri" w:hAnsi="Calibri" w:cs="Calibri"/>
          <w:color w:val="000000"/>
          <w:szCs w:val="22"/>
          <w:lang w:eastAsia="en-AU"/>
        </w:rPr>
        <w:t xml:space="preserve"> Subject </w:t>
      </w:r>
      <w:r w:rsidR="0073635A">
        <w:rPr>
          <w:rFonts w:ascii="Calibri" w:hAnsi="Calibri" w:cs="Calibri"/>
          <w:color w:val="000000"/>
          <w:szCs w:val="22"/>
          <w:vertAlign w:val="superscript"/>
          <w:lang w:eastAsia="en-AU"/>
        </w:rPr>
        <w:t>(8</w:t>
      </w:r>
      <w:r w:rsidRPr="0073635A">
        <w:rPr>
          <w:rFonts w:ascii="Calibri" w:hAnsi="Calibri" w:cs="Calibri"/>
          <w:color w:val="000000"/>
          <w:szCs w:val="22"/>
          <w:vertAlign w:val="superscript"/>
          <w:lang w:eastAsia="en-AU"/>
        </w:rPr>
        <w:t>)</w:t>
      </w:r>
    </w:p>
    <w:p w:rsidR="00DC02A9" w:rsidRPr="001B165D" w:rsidRDefault="00DC02A9" w:rsidP="00DC02A9">
      <w:pPr>
        <w:spacing w:before="120" w:after="120"/>
        <w:rPr>
          <w:rFonts w:ascii="Calibri" w:hAnsi="Calibri" w:cs="Arial"/>
          <w:bCs/>
          <w:color w:val="000000"/>
          <w:szCs w:val="24"/>
        </w:rPr>
      </w:pPr>
    </w:p>
    <w:tbl>
      <w:tblPr>
        <w:tblW w:w="14898" w:type="dxa"/>
        <w:tblInd w:w="108" w:type="dxa"/>
        <w:tblLayout w:type="fixed"/>
        <w:tblLook w:val="04A0" w:firstRow="1" w:lastRow="0" w:firstColumn="1" w:lastColumn="0" w:noHBand="0" w:noVBand="1"/>
      </w:tblPr>
      <w:tblGrid>
        <w:gridCol w:w="1155"/>
        <w:gridCol w:w="1128"/>
        <w:gridCol w:w="1276"/>
        <w:gridCol w:w="1276"/>
        <w:gridCol w:w="1276"/>
        <w:gridCol w:w="1119"/>
        <w:gridCol w:w="1020"/>
        <w:gridCol w:w="1152"/>
        <w:gridCol w:w="1152"/>
        <w:gridCol w:w="1020"/>
        <w:gridCol w:w="1020"/>
        <w:gridCol w:w="1152"/>
        <w:gridCol w:w="1152"/>
      </w:tblGrid>
      <w:tr w:rsidR="00DC02A9" w:rsidRPr="00A04520" w:rsidTr="00632B23">
        <w:trPr>
          <w:trHeight w:val="2415"/>
        </w:trPr>
        <w:tc>
          <w:tcPr>
            <w:tcW w:w="1155" w:type="dxa"/>
            <w:tcBorders>
              <w:top w:val="single" w:sz="8" w:space="0" w:color="auto"/>
              <w:left w:val="single" w:sz="8" w:space="0" w:color="auto"/>
              <w:bottom w:val="nil"/>
              <w:right w:val="nil"/>
            </w:tcBorders>
            <w:shd w:val="clear" w:color="auto" w:fill="auto"/>
            <w:vAlign w:val="center"/>
            <w:hideMark/>
          </w:tcPr>
          <w:p w:rsidR="00DC02A9" w:rsidRPr="00A04520" w:rsidRDefault="00DC02A9" w:rsidP="00B30F24">
            <w:pPr>
              <w:rPr>
                <w:rFonts w:ascii="Calibri" w:hAnsi="Calibri" w:cs="Calibri"/>
                <w:b/>
                <w:bCs/>
                <w:color w:val="000000"/>
                <w:szCs w:val="22"/>
                <w:lang w:eastAsia="en-AU"/>
              </w:rPr>
            </w:pPr>
            <w:bookmarkStart w:id="18" w:name="_GoBack"/>
            <w:r w:rsidRPr="00A04520">
              <w:rPr>
                <w:rFonts w:ascii="Calibri" w:hAnsi="Calibri" w:cs="Calibri"/>
                <w:b/>
                <w:bCs/>
                <w:color w:val="000000"/>
                <w:szCs w:val="22"/>
                <w:lang w:eastAsia="en-AU"/>
              </w:rPr>
              <w:t>School Year Level</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02A9" w:rsidRPr="00A04520" w:rsidRDefault="00DC02A9" w:rsidP="00B30F24">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2010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w:t>
            </w:r>
            <w:r w:rsidR="0073635A">
              <w:rPr>
                <w:rFonts w:ascii="Calibri" w:hAnsi="Calibri" w:cs="Calibri"/>
                <w:b/>
                <w:bCs/>
                <w:color w:val="000000"/>
                <w:szCs w:val="22"/>
                <w:lang w:eastAsia="en-AU"/>
              </w:rPr>
              <w:t xml:space="preserve">esults </w:t>
            </w:r>
            <w:r w:rsidR="0073635A">
              <w:rPr>
                <w:rFonts w:ascii="Calibri" w:hAnsi="Calibri" w:cs="Calibri"/>
                <w:b/>
                <w:bCs/>
                <w:color w:val="000000"/>
                <w:szCs w:val="22"/>
                <w:lang w:eastAsia="en-AU"/>
              </w:rPr>
              <w:br/>
              <w:t xml:space="preserve">Literacy Subjects </w:t>
            </w:r>
            <w:r w:rsidRPr="00A04520">
              <w:rPr>
                <w:rFonts w:ascii="Calibri" w:hAnsi="Calibri" w:cs="Calibri"/>
                <w:b/>
                <w:bCs/>
                <w:color w:val="000000"/>
                <w:szCs w:val="22"/>
                <w:lang w:eastAsia="en-AU"/>
              </w:rPr>
              <w:br/>
              <w:t>Stage 1</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DC02A9" w:rsidRPr="00A04520" w:rsidRDefault="00DC02A9" w:rsidP="00B30F24">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2010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Literacy Subjects</w:t>
            </w:r>
            <w:r w:rsidRPr="00A04520">
              <w:rPr>
                <w:rFonts w:ascii="Calibri" w:hAnsi="Calibri" w:cs="Calibri"/>
                <w:b/>
                <w:bCs/>
                <w:color w:val="000000"/>
                <w:szCs w:val="22"/>
                <w:lang w:eastAsia="en-AU"/>
              </w:rPr>
              <w:br/>
              <w:t>Stage 2</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DC02A9" w:rsidRPr="00A04520" w:rsidRDefault="00DC02A9" w:rsidP="00B30F24">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2010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Numeracy Subjects</w:t>
            </w:r>
            <w:r w:rsidRPr="00A04520">
              <w:rPr>
                <w:rFonts w:ascii="Calibri" w:hAnsi="Calibri" w:cs="Calibri"/>
                <w:b/>
                <w:bCs/>
                <w:color w:val="000000"/>
                <w:szCs w:val="22"/>
                <w:lang w:eastAsia="en-AU"/>
              </w:rPr>
              <w:br/>
              <w:t>Stage 1</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DC02A9" w:rsidRPr="00A04520" w:rsidRDefault="00DC02A9" w:rsidP="00B30F24">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2010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Numeracy Subjects</w:t>
            </w:r>
            <w:r w:rsidRPr="00A04520">
              <w:rPr>
                <w:rFonts w:ascii="Calibri" w:hAnsi="Calibri" w:cs="Calibri"/>
                <w:b/>
                <w:bCs/>
                <w:color w:val="000000"/>
                <w:szCs w:val="22"/>
                <w:lang w:eastAsia="en-AU"/>
              </w:rPr>
              <w:br/>
              <w:t>Stage 2</w:t>
            </w:r>
          </w:p>
        </w:tc>
        <w:tc>
          <w:tcPr>
            <w:tcW w:w="1119" w:type="dxa"/>
            <w:tcBorders>
              <w:top w:val="single" w:sz="8" w:space="0" w:color="auto"/>
              <w:left w:val="nil"/>
              <w:bottom w:val="single" w:sz="8" w:space="0" w:color="auto"/>
              <w:right w:val="single" w:sz="8" w:space="0" w:color="auto"/>
            </w:tcBorders>
            <w:shd w:val="clear" w:color="auto" w:fill="auto"/>
            <w:vAlign w:val="center"/>
            <w:hideMark/>
          </w:tcPr>
          <w:p w:rsidR="00DC02A9" w:rsidRPr="00A04520" w:rsidRDefault="00DC02A9" w:rsidP="00B30F24">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2011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Literacy Subjects</w:t>
            </w:r>
            <w:r w:rsidRPr="00A04520">
              <w:rPr>
                <w:rFonts w:ascii="Calibri" w:hAnsi="Calibri" w:cs="Calibri"/>
                <w:b/>
                <w:bCs/>
                <w:color w:val="000000"/>
                <w:szCs w:val="22"/>
                <w:lang w:eastAsia="en-AU"/>
              </w:rPr>
              <w:br/>
              <w:t>Stage 1</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DC02A9" w:rsidRPr="00A04520" w:rsidRDefault="00DC02A9" w:rsidP="00B30F24">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2011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Literacy Subjects</w:t>
            </w:r>
            <w:r w:rsidRPr="00A04520">
              <w:rPr>
                <w:rFonts w:ascii="Calibri" w:hAnsi="Calibri" w:cs="Calibri"/>
                <w:b/>
                <w:bCs/>
                <w:color w:val="000000"/>
                <w:szCs w:val="22"/>
                <w:lang w:eastAsia="en-AU"/>
              </w:rPr>
              <w:br/>
              <w:t>Stage 2</w:t>
            </w:r>
          </w:p>
        </w:tc>
        <w:tc>
          <w:tcPr>
            <w:tcW w:w="1152" w:type="dxa"/>
            <w:tcBorders>
              <w:top w:val="single" w:sz="8" w:space="0" w:color="auto"/>
              <w:left w:val="nil"/>
              <w:bottom w:val="single" w:sz="8" w:space="0" w:color="auto"/>
              <w:right w:val="single" w:sz="8" w:space="0" w:color="auto"/>
            </w:tcBorders>
            <w:shd w:val="clear" w:color="auto" w:fill="auto"/>
            <w:vAlign w:val="center"/>
            <w:hideMark/>
          </w:tcPr>
          <w:p w:rsidR="00DC02A9" w:rsidRPr="00A04520" w:rsidRDefault="00DC02A9" w:rsidP="00B30F24">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2011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Numeracy Subjects</w:t>
            </w:r>
            <w:r w:rsidRPr="00A04520">
              <w:rPr>
                <w:rFonts w:ascii="Calibri" w:hAnsi="Calibri" w:cs="Calibri"/>
                <w:b/>
                <w:bCs/>
                <w:color w:val="000000"/>
                <w:szCs w:val="22"/>
                <w:lang w:eastAsia="en-AU"/>
              </w:rPr>
              <w:br/>
              <w:t>Stage 1</w:t>
            </w:r>
          </w:p>
        </w:tc>
        <w:tc>
          <w:tcPr>
            <w:tcW w:w="1152" w:type="dxa"/>
            <w:tcBorders>
              <w:top w:val="single" w:sz="8" w:space="0" w:color="auto"/>
              <w:left w:val="nil"/>
              <w:bottom w:val="single" w:sz="8" w:space="0" w:color="auto"/>
              <w:right w:val="single" w:sz="8" w:space="0" w:color="auto"/>
            </w:tcBorders>
            <w:shd w:val="clear" w:color="auto" w:fill="auto"/>
            <w:vAlign w:val="center"/>
            <w:hideMark/>
          </w:tcPr>
          <w:p w:rsidR="00DC02A9" w:rsidRPr="00A04520" w:rsidRDefault="00DC02A9" w:rsidP="00B30F24">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2011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Numeracy Subjects</w:t>
            </w:r>
            <w:r w:rsidRPr="00A04520">
              <w:rPr>
                <w:rFonts w:ascii="Calibri" w:hAnsi="Calibri" w:cs="Calibri"/>
                <w:b/>
                <w:bCs/>
                <w:color w:val="000000"/>
                <w:szCs w:val="22"/>
                <w:lang w:eastAsia="en-AU"/>
              </w:rPr>
              <w:br/>
              <w:t>Stage 2</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DC02A9" w:rsidRPr="00A04520" w:rsidRDefault="00DC02A9" w:rsidP="00B30F24">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2012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Literacy Subjects</w:t>
            </w:r>
            <w:r w:rsidRPr="00A04520">
              <w:rPr>
                <w:rFonts w:ascii="Calibri" w:hAnsi="Calibri" w:cs="Calibri"/>
                <w:b/>
                <w:bCs/>
                <w:color w:val="000000"/>
                <w:szCs w:val="22"/>
                <w:lang w:eastAsia="en-AU"/>
              </w:rPr>
              <w:br/>
              <w:t>Stage 1</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DC02A9" w:rsidRPr="00A04520" w:rsidRDefault="00DC02A9" w:rsidP="00B30F24">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2012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Literacy Subjects</w:t>
            </w:r>
            <w:r w:rsidRPr="00A04520">
              <w:rPr>
                <w:rFonts w:ascii="Calibri" w:hAnsi="Calibri" w:cs="Calibri"/>
                <w:b/>
                <w:bCs/>
                <w:color w:val="000000"/>
                <w:szCs w:val="22"/>
                <w:lang w:eastAsia="en-AU"/>
              </w:rPr>
              <w:br/>
              <w:t>Stage 2</w:t>
            </w:r>
          </w:p>
        </w:tc>
        <w:tc>
          <w:tcPr>
            <w:tcW w:w="1152" w:type="dxa"/>
            <w:tcBorders>
              <w:top w:val="single" w:sz="8" w:space="0" w:color="auto"/>
              <w:left w:val="nil"/>
              <w:bottom w:val="single" w:sz="8" w:space="0" w:color="auto"/>
              <w:right w:val="single" w:sz="8" w:space="0" w:color="auto"/>
            </w:tcBorders>
            <w:shd w:val="clear" w:color="auto" w:fill="auto"/>
            <w:vAlign w:val="center"/>
            <w:hideMark/>
          </w:tcPr>
          <w:p w:rsidR="00DC02A9" w:rsidRPr="00A04520" w:rsidRDefault="00DC02A9" w:rsidP="00B30F24">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2012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Numeracy Subjects</w:t>
            </w:r>
            <w:r w:rsidRPr="00A04520">
              <w:rPr>
                <w:rFonts w:ascii="Calibri" w:hAnsi="Calibri" w:cs="Calibri"/>
                <w:b/>
                <w:bCs/>
                <w:color w:val="000000"/>
                <w:szCs w:val="22"/>
                <w:lang w:eastAsia="en-AU"/>
              </w:rPr>
              <w:br/>
              <w:t>Stage 1</w:t>
            </w:r>
          </w:p>
        </w:tc>
        <w:tc>
          <w:tcPr>
            <w:tcW w:w="1152" w:type="dxa"/>
            <w:tcBorders>
              <w:top w:val="single" w:sz="8" w:space="0" w:color="auto"/>
              <w:left w:val="nil"/>
              <w:bottom w:val="single" w:sz="8" w:space="0" w:color="auto"/>
              <w:right w:val="single" w:sz="8" w:space="0" w:color="auto"/>
            </w:tcBorders>
            <w:shd w:val="clear" w:color="auto" w:fill="auto"/>
            <w:vAlign w:val="center"/>
            <w:hideMark/>
          </w:tcPr>
          <w:p w:rsidR="00DC02A9" w:rsidRPr="00A04520" w:rsidRDefault="00DC02A9" w:rsidP="00B30F24">
            <w:pPr>
              <w:jc w:val="center"/>
              <w:rPr>
                <w:rFonts w:ascii="Calibri" w:hAnsi="Calibri" w:cs="Calibri"/>
                <w:b/>
                <w:bCs/>
                <w:color w:val="000000"/>
                <w:szCs w:val="22"/>
                <w:lang w:eastAsia="en-AU"/>
              </w:rPr>
            </w:pPr>
            <w:r w:rsidRPr="00A04520">
              <w:rPr>
                <w:rFonts w:ascii="Calibri" w:hAnsi="Calibri" w:cs="Calibri"/>
                <w:b/>
                <w:bCs/>
                <w:color w:val="000000"/>
                <w:szCs w:val="22"/>
                <w:lang w:eastAsia="en-AU"/>
              </w:rPr>
              <w:t xml:space="preserve">2012 </w:t>
            </w:r>
            <w:r w:rsidRPr="00A04520">
              <w:rPr>
                <w:rFonts w:ascii="Calibri" w:hAnsi="Calibri" w:cs="Calibri"/>
                <w:b/>
                <w:bCs/>
                <w:color w:val="000000"/>
                <w:szCs w:val="22"/>
                <w:lang w:eastAsia="en-AU"/>
              </w:rPr>
              <w:br/>
            </w:r>
            <w:proofErr w:type="spellStart"/>
            <w:r w:rsidRPr="00A04520">
              <w:rPr>
                <w:rFonts w:ascii="Calibri" w:hAnsi="Calibri" w:cs="Calibri"/>
                <w:b/>
                <w:bCs/>
                <w:color w:val="000000"/>
                <w:szCs w:val="22"/>
                <w:lang w:eastAsia="en-AU"/>
              </w:rPr>
              <w:t>SACE</w:t>
            </w:r>
            <w:proofErr w:type="spellEnd"/>
            <w:r w:rsidRPr="00A04520">
              <w:rPr>
                <w:rFonts w:ascii="Calibri" w:hAnsi="Calibri" w:cs="Calibri"/>
                <w:b/>
                <w:bCs/>
                <w:color w:val="000000"/>
                <w:szCs w:val="22"/>
                <w:lang w:eastAsia="en-AU"/>
              </w:rPr>
              <w:t xml:space="preserve"> results</w:t>
            </w:r>
            <w:r w:rsidRPr="00A04520">
              <w:rPr>
                <w:rFonts w:ascii="Calibri" w:hAnsi="Calibri" w:cs="Calibri"/>
                <w:b/>
                <w:bCs/>
                <w:color w:val="000000"/>
                <w:szCs w:val="22"/>
                <w:lang w:eastAsia="en-AU"/>
              </w:rPr>
              <w:br/>
              <w:t>Numeracy Subjects</w:t>
            </w:r>
            <w:r w:rsidRPr="00A04520">
              <w:rPr>
                <w:rFonts w:ascii="Calibri" w:hAnsi="Calibri" w:cs="Calibri"/>
                <w:b/>
                <w:bCs/>
                <w:color w:val="000000"/>
                <w:szCs w:val="22"/>
                <w:lang w:eastAsia="en-AU"/>
              </w:rPr>
              <w:br/>
              <w:t>Stage 2</w:t>
            </w:r>
          </w:p>
        </w:tc>
      </w:tr>
      <w:tr w:rsidR="00DC02A9" w:rsidRPr="00A04520" w:rsidTr="00632B23">
        <w:trPr>
          <w:trHeight w:val="1215"/>
        </w:trPr>
        <w:tc>
          <w:tcPr>
            <w:tcW w:w="1155" w:type="dxa"/>
            <w:tcBorders>
              <w:top w:val="single" w:sz="8" w:space="0" w:color="auto"/>
              <w:left w:val="single" w:sz="8" w:space="0" w:color="auto"/>
              <w:bottom w:val="single" w:sz="8" w:space="0" w:color="auto"/>
              <w:right w:val="nil"/>
            </w:tcBorders>
            <w:shd w:val="clear" w:color="000000" w:fill="C0C0C0"/>
            <w:vAlign w:val="center"/>
            <w:hideMark/>
          </w:tcPr>
          <w:p w:rsidR="00DC02A9" w:rsidRPr="00A04520" w:rsidRDefault="00DC02A9" w:rsidP="00B30F24">
            <w:pPr>
              <w:rPr>
                <w:rFonts w:ascii="Calibri" w:hAnsi="Calibri" w:cs="Calibri"/>
                <w:color w:val="000000"/>
                <w:szCs w:val="22"/>
                <w:lang w:eastAsia="en-AU"/>
              </w:rPr>
            </w:pPr>
            <w:r w:rsidRPr="00A04520">
              <w:rPr>
                <w:rFonts w:ascii="Calibri" w:hAnsi="Calibri" w:cs="Calibri"/>
                <w:color w:val="000000"/>
                <w:szCs w:val="22"/>
                <w:lang w:eastAsia="en-AU"/>
              </w:rPr>
              <w:t>No. of students who undertook subject</w:t>
            </w:r>
          </w:p>
        </w:tc>
        <w:tc>
          <w:tcPr>
            <w:tcW w:w="1128" w:type="dxa"/>
            <w:tcBorders>
              <w:top w:val="nil"/>
              <w:left w:val="single" w:sz="8" w:space="0" w:color="auto"/>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258</w:t>
            </w:r>
          </w:p>
        </w:tc>
        <w:tc>
          <w:tcPr>
            <w:tcW w:w="1276"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7</w:t>
            </w:r>
          </w:p>
        </w:tc>
        <w:tc>
          <w:tcPr>
            <w:tcW w:w="1276"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244</w:t>
            </w:r>
          </w:p>
        </w:tc>
        <w:tc>
          <w:tcPr>
            <w:tcW w:w="1276"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proofErr w:type="spellStart"/>
            <w:r w:rsidRPr="00DC02A9">
              <w:rPr>
                <w:rFonts w:cstheme="minorHAnsi"/>
              </w:rPr>
              <w:t>na</w:t>
            </w:r>
            <w:proofErr w:type="spellEnd"/>
          </w:p>
        </w:tc>
        <w:tc>
          <w:tcPr>
            <w:tcW w:w="1119"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164</w:t>
            </w:r>
          </w:p>
        </w:tc>
        <w:tc>
          <w:tcPr>
            <w:tcW w:w="1020"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8</w:t>
            </w:r>
          </w:p>
        </w:tc>
        <w:tc>
          <w:tcPr>
            <w:tcW w:w="1152"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177</w:t>
            </w:r>
          </w:p>
        </w:tc>
        <w:tc>
          <w:tcPr>
            <w:tcW w:w="1152"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proofErr w:type="spellStart"/>
            <w:r w:rsidRPr="00DC02A9">
              <w:rPr>
                <w:rFonts w:cstheme="minorHAnsi"/>
              </w:rPr>
              <w:t>na</w:t>
            </w:r>
            <w:proofErr w:type="spellEnd"/>
          </w:p>
        </w:tc>
        <w:tc>
          <w:tcPr>
            <w:tcW w:w="1020"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254</w:t>
            </w:r>
          </w:p>
        </w:tc>
        <w:tc>
          <w:tcPr>
            <w:tcW w:w="1020"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15</w:t>
            </w:r>
          </w:p>
        </w:tc>
        <w:tc>
          <w:tcPr>
            <w:tcW w:w="1152"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256</w:t>
            </w:r>
          </w:p>
        </w:tc>
        <w:tc>
          <w:tcPr>
            <w:tcW w:w="1152"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8</w:t>
            </w:r>
          </w:p>
        </w:tc>
      </w:tr>
      <w:tr w:rsidR="00DC02A9" w:rsidRPr="00A04520" w:rsidTr="00632B23">
        <w:trPr>
          <w:trHeight w:val="915"/>
        </w:trPr>
        <w:tc>
          <w:tcPr>
            <w:tcW w:w="1155" w:type="dxa"/>
            <w:tcBorders>
              <w:top w:val="nil"/>
              <w:left w:val="single" w:sz="8" w:space="0" w:color="auto"/>
              <w:bottom w:val="single" w:sz="8" w:space="0" w:color="auto"/>
              <w:right w:val="nil"/>
            </w:tcBorders>
            <w:shd w:val="clear" w:color="auto" w:fill="auto"/>
            <w:vAlign w:val="center"/>
            <w:hideMark/>
          </w:tcPr>
          <w:p w:rsidR="00DC02A9" w:rsidRPr="00A04520" w:rsidRDefault="0073635A" w:rsidP="00B30F24">
            <w:pPr>
              <w:rPr>
                <w:rFonts w:ascii="Calibri" w:hAnsi="Calibri" w:cs="Calibri"/>
                <w:color w:val="000000"/>
                <w:szCs w:val="22"/>
                <w:lang w:eastAsia="en-AU"/>
              </w:rPr>
            </w:pPr>
            <w:r>
              <w:rPr>
                <w:rFonts w:ascii="Calibri" w:hAnsi="Calibri" w:cs="Calibri"/>
                <w:color w:val="000000"/>
                <w:szCs w:val="22"/>
                <w:lang w:eastAsia="en-AU"/>
              </w:rPr>
              <w:t xml:space="preserve">No. of subject results </w:t>
            </w:r>
          </w:p>
        </w:tc>
        <w:tc>
          <w:tcPr>
            <w:tcW w:w="1128" w:type="dxa"/>
            <w:tcBorders>
              <w:top w:val="nil"/>
              <w:left w:val="single" w:sz="8" w:space="0" w:color="auto"/>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463</w:t>
            </w:r>
          </w:p>
        </w:tc>
        <w:tc>
          <w:tcPr>
            <w:tcW w:w="1276"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7</w:t>
            </w:r>
          </w:p>
        </w:tc>
        <w:tc>
          <w:tcPr>
            <w:tcW w:w="1276"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342</w:t>
            </w:r>
          </w:p>
        </w:tc>
        <w:tc>
          <w:tcPr>
            <w:tcW w:w="1276"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proofErr w:type="spellStart"/>
            <w:r w:rsidRPr="00DC02A9">
              <w:rPr>
                <w:rFonts w:cstheme="minorHAnsi"/>
              </w:rPr>
              <w:t>na</w:t>
            </w:r>
            <w:proofErr w:type="spellEnd"/>
          </w:p>
        </w:tc>
        <w:tc>
          <w:tcPr>
            <w:tcW w:w="1119"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295</w:t>
            </w:r>
          </w:p>
        </w:tc>
        <w:tc>
          <w:tcPr>
            <w:tcW w:w="1020"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8</w:t>
            </w:r>
          </w:p>
        </w:tc>
        <w:tc>
          <w:tcPr>
            <w:tcW w:w="1152"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252</w:t>
            </w:r>
          </w:p>
        </w:tc>
        <w:tc>
          <w:tcPr>
            <w:tcW w:w="1152"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proofErr w:type="spellStart"/>
            <w:r w:rsidRPr="00DC02A9">
              <w:rPr>
                <w:rFonts w:cstheme="minorHAnsi"/>
              </w:rPr>
              <w:t>na</w:t>
            </w:r>
            <w:proofErr w:type="spellEnd"/>
          </w:p>
        </w:tc>
        <w:tc>
          <w:tcPr>
            <w:tcW w:w="1020"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388</w:t>
            </w:r>
          </w:p>
        </w:tc>
        <w:tc>
          <w:tcPr>
            <w:tcW w:w="1020"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15</w:t>
            </w:r>
          </w:p>
        </w:tc>
        <w:tc>
          <w:tcPr>
            <w:tcW w:w="1152"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347</w:t>
            </w:r>
          </w:p>
        </w:tc>
        <w:tc>
          <w:tcPr>
            <w:tcW w:w="1152" w:type="dxa"/>
            <w:tcBorders>
              <w:top w:val="nil"/>
              <w:left w:val="nil"/>
              <w:bottom w:val="single" w:sz="8" w:space="0" w:color="auto"/>
              <w:right w:val="single" w:sz="8" w:space="0" w:color="auto"/>
            </w:tcBorders>
            <w:shd w:val="clear" w:color="auto" w:fill="auto"/>
            <w:noWrap/>
            <w:vAlign w:val="center"/>
          </w:tcPr>
          <w:p w:rsidR="00DC02A9" w:rsidRPr="00DC02A9" w:rsidRDefault="00DC02A9" w:rsidP="00DC02A9">
            <w:pPr>
              <w:jc w:val="center"/>
              <w:rPr>
                <w:rFonts w:cstheme="minorHAnsi"/>
              </w:rPr>
            </w:pPr>
            <w:r w:rsidRPr="00DC02A9">
              <w:rPr>
                <w:rFonts w:cstheme="minorHAnsi"/>
              </w:rPr>
              <w:t>8</w:t>
            </w:r>
          </w:p>
        </w:tc>
      </w:tr>
      <w:tr w:rsidR="00DC02A9" w:rsidRPr="00A04520" w:rsidTr="00632B23">
        <w:trPr>
          <w:trHeight w:val="915"/>
        </w:trPr>
        <w:tc>
          <w:tcPr>
            <w:tcW w:w="1155" w:type="dxa"/>
            <w:tcBorders>
              <w:top w:val="nil"/>
              <w:left w:val="single" w:sz="8" w:space="0" w:color="auto"/>
              <w:bottom w:val="single" w:sz="8" w:space="0" w:color="auto"/>
              <w:right w:val="nil"/>
            </w:tcBorders>
            <w:shd w:val="clear" w:color="000000" w:fill="C0C0C0"/>
            <w:vAlign w:val="center"/>
            <w:hideMark/>
          </w:tcPr>
          <w:p w:rsidR="00DC02A9" w:rsidRPr="00A04520" w:rsidRDefault="00DC02A9" w:rsidP="00B30F24">
            <w:pPr>
              <w:rPr>
                <w:rFonts w:ascii="Calibri" w:hAnsi="Calibri" w:cs="Calibri"/>
                <w:b/>
                <w:bCs/>
                <w:color w:val="000000"/>
                <w:szCs w:val="22"/>
                <w:lang w:eastAsia="en-AU"/>
              </w:rPr>
            </w:pPr>
            <w:r w:rsidRPr="00A04520">
              <w:rPr>
                <w:rFonts w:ascii="Calibri" w:hAnsi="Calibri" w:cs="Calibri"/>
                <w:b/>
                <w:bCs/>
                <w:color w:val="000000"/>
                <w:szCs w:val="22"/>
                <w:lang w:eastAsia="en-AU"/>
              </w:rPr>
              <w:t xml:space="preserve">% of results 'C' grade or better </w:t>
            </w:r>
          </w:p>
        </w:tc>
        <w:tc>
          <w:tcPr>
            <w:tcW w:w="1128" w:type="dxa"/>
            <w:tcBorders>
              <w:top w:val="nil"/>
              <w:left w:val="single" w:sz="8" w:space="0" w:color="auto"/>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60.9%</w:t>
            </w:r>
          </w:p>
        </w:tc>
        <w:tc>
          <w:tcPr>
            <w:tcW w:w="1276"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100.0%</w:t>
            </w:r>
          </w:p>
        </w:tc>
        <w:tc>
          <w:tcPr>
            <w:tcW w:w="1276"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52.0%</w:t>
            </w:r>
          </w:p>
        </w:tc>
        <w:tc>
          <w:tcPr>
            <w:tcW w:w="1276"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proofErr w:type="spellStart"/>
            <w:r w:rsidRPr="00DC02A9">
              <w:rPr>
                <w:rFonts w:cstheme="minorHAnsi"/>
              </w:rPr>
              <w:t>na</w:t>
            </w:r>
            <w:proofErr w:type="spellEnd"/>
          </w:p>
        </w:tc>
        <w:tc>
          <w:tcPr>
            <w:tcW w:w="1119"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62.7%</w:t>
            </w:r>
          </w:p>
        </w:tc>
        <w:tc>
          <w:tcPr>
            <w:tcW w:w="1020"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87.5%</w:t>
            </w:r>
          </w:p>
        </w:tc>
        <w:tc>
          <w:tcPr>
            <w:tcW w:w="1152"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52.4%</w:t>
            </w:r>
          </w:p>
        </w:tc>
        <w:tc>
          <w:tcPr>
            <w:tcW w:w="1152"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proofErr w:type="spellStart"/>
            <w:r w:rsidRPr="00DC02A9">
              <w:rPr>
                <w:rFonts w:cstheme="minorHAnsi"/>
              </w:rPr>
              <w:t>na</w:t>
            </w:r>
            <w:proofErr w:type="spellEnd"/>
          </w:p>
        </w:tc>
        <w:tc>
          <w:tcPr>
            <w:tcW w:w="1020"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71.1%</w:t>
            </w:r>
          </w:p>
        </w:tc>
        <w:tc>
          <w:tcPr>
            <w:tcW w:w="1020"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93.3%</w:t>
            </w:r>
          </w:p>
        </w:tc>
        <w:tc>
          <w:tcPr>
            <w:tcW w:w="1152" w:type="dxa"/>
            <w:tcBorders>
              <w:top w:val="nil"/>
              <w:left w:val="nil"/>
              <w:bottom w:val="single" w:sz="8" w:space="0" w:color="auto"/>
              <w:right w:val="single" w:sz="8" w:space="0" w:color="auto"/>
            </w:tcBorders>
            <w:shd w:val="clear" w:color="000000" w:fill="C0C0C0"/>
            <w:noWrap/>
            <w:vAlign w:val="center"/>
          </w:tcPr>
          <w:p w:rsidR="00DC02A9" w:rsidRPr="00DC02A9" w:rsidRDefault="00DC02A9" w:rsidP="00DC02A9">
            <w:pPr>
              <w:jc w:val="center"/>
              <w:rPr>
                <w:rFonts w:cstheme="minorHAnsi"/>
              </w:rPr>
            </w:pPr>
            <w:r w:rsidRPr="00DC02A9">
              <w:rPr>
                <w:rFonts w:cstheme="minorHAnsi"/>
              </w:rPr>
              <w:t>59.9%</w:t>
            </w:r>
          </w:p>
        </w:tc>
        <w:tc>
          <w:tcPr>
            <w:tcW w:w="1152" w:type="dxa"/>
            <w:tcBorders>
              <w:top w:val="nil"/>
              <w:left w:val="nil"/>
              <w:bottom w:val="single" w:sz="8" w:space="0" w:color="auto"/>
              <w:right w:val="single" w:sz="8" w:space="0" w:color="auto"/>
            </w:tcBorders>
            <w:shd w:val="clear" w:color="000000" w:fill="E6B8B7"/>
            <w:noWrap/>
            <w:vAlign w:val="center"/>
          </w:tcPr>
          <w:p w:rsidR="00DC02A9" w:rsidRPr="00DC02A9" w:rsidRDefault="00DC02A9" w:rsidP="00DC02A9">
            <w:pPr>
              <w:jc w:val="center"/>
              <w:rPr>
                <w:rFonts w:cstheme="minorHAnsi"/>
              </w:rPr>
            </w:pPr>
            <w:r w:rsidRPr="00DC02A9">
              <w:rPr>
                <w:rFonts w:cstheme="minorHAnsi"/>
              </w:rPr>
              <w:t>25.0%</w:t>
            </w:r>
          </w:p>
        </w:tc>
      </w:tr>
      <w:bookmarkEnd w:id="18"/>
    </w:tbl>
    <w:p w:rsidR="00DC02A9" w:rsidRDefault="00DC02A9" w:rsidP="00DC02A9">
      <w:pPr>
        <w:widowControl w:val="0"/>
        <w:spacing w:before="120" w:after="60"/>
        <w:contextualSpacing/>
        <w:rPr>
          <w:rFonts w:eastAsia="Calibri" w:cstheme="minorHAnsi"/>
          <w:b/>
          <w:sz w:val="40"/>
          <w:szCs w:val="40"/>
        </w:rPr>
      </w:pPr>
    </w:p>
    <w:p w:rsidR="00DC02A9" w:rsidRDefault="00DC02A9">
      <w:pPr>
        <w:rPr>
          <w:rFonts w:eastAsia="Calibri" w:cstheme="minorHAnsi"/>
          <w:b/>
          <w:sz w:val="40"/>
          <w:szCs w:val="40"/>
        </w:rPr>
      </w:pPr>
      <w:r>
        <w:rPr>
          <w:rFonts w:eastAsia="Calibri" w:cstheme="minorHAnsi"/>
          <w:b/>
          <w:sz w:val="40"/>
          <w:szCs w:val="40"/>
        </w:rPr>
        <w:br w:type="page"/>
      </w:r>
    </w:p>
    <w:p w:rsidR="001B165D" w:rsidRPr="007B3A85" w:rsidRDefault="001B165D" w:rsidP="001B165D">
      <w:pPr>
        <w:widowControl w:val="0"/>
        <w:spacing w:before="120" w:after="60"/>
        <w:contextualSpacing/>
        <w:rPr>
          <w:rFonts w:eastAsia="Calibri" w:cstheme="minorHAnsi"/>
          <w:b/>
          <w:sz w:val="40"/>
          <w:szCs w:val="40"/>
        </w:rPr>
      </w:pPr>
    </w:p>
    <w:p w:rsidR="001B165D" w:rsidRDefault="001B165D" w:rsidP="001B165D">
      <w:pPr>
        <w:widowControl w:val="0"/>
        <w:spacing w:before="120" w:after="60"/>
        <w:contextualSpacing/>
        <w:rPr>
          <w:rFonts w:eastAsia="Calibri" w:cstheme="minorHAnsi"/>
          <w:b/>
          <w:szCs w:val="24"/>
        </w:rPr>
      </w:pPr>
      <w:r w:rsidRPr="001B165D">
        <w:rPr>
          <w:rFonts w:eastAsia="Calibri" w:cstheme="minorHAnsi"/>
          <w:b/>
          <w:szCs w:val="24"/>
        </w:rPr>
        <w:t>Table 2.5(b</w:t>
      </w:r>
      <w:r w:rsidR="004C2900">
        <w:rPr>
          <w:rFonts w:eastAsia="Calibri" w:cstheme="minorHAnsi"/>
          <w:b/>
          <w:szCs w:val="24"/>
        </w:rPr>
        <w:t>-1</w:t>
      </w:r>
      <w:r w:rsidRPr="001B165D">
        <w:rPr>
          <w:rFonts w:eastAsia="Calibri" w:cstheme="minorHAnsi"/>
          <w:b/>
          <w:szCs w:val="24"/>
        </w:rPr>
        <w:t xml:space="preserve">) – Students participating in </w:t>
      </w:r>
      <w:proofErr w:type="spellStart"/>
      <w:r w:rsidRPr="001B165D">
        <w:rPr>
          <w:rFonts w:eastAsia="Calibri" w:cstheme="minorHAnsi"/>
          <w:b/>
          <w:szCs w:val="24"/>
        </w:rPr>
        <w:t>CMaD</w:t>
      </w:r>
      <w:proofErr w:type="spellEnd"/>
      <w:r w:rsidRPr="001B165D">
        <w:rPr>
          <w:rFonts w:eastAsia="Calibri" w:cstheme="minorHAnsi"/>
          <w:b/>
          <w:szCs w:val="24"/>
        </w:rPr>
        <w:t xml:space="preserve"> NP ‘individual targeted support’ interventions for less than one year</w:t>
      </w:r>
      <w:r w:rsidR="004C2900">
        <w:rPr>
          <w:rFonts w:eastAsia="Calibri" w:cstheme="minorHAnsi"/>
          <w:b/>
          <w:szCs w:val="24"/>
        </w:rPr>
        <w:t xml:space="preserve"> - </w:t>
      </w:r>
      <w:r w:rsidR="004C2900" w:rsidRPr="004C2900">
        <w:rPr>
          <w:rFonts w:eastAsia="Calibri" w:cstheme="minorHAnsi"/>
          <w:b/>
          <w:szCs w:val="24"/>
        </w:rPr>
        <w:t xml:space="preserve">ALL Students in </w:t>
      </w:r>
      <w:proofErr w:type="spellStart"/>
      <w:r w:rsidR="004C2900" w:rsidRPr="004C2900">
        <w:rPr>
          <w:rFonts w:eastAsia="Calibri" w:cstheme="minorHAnsi"/>
          <w:b/>
          <w:szCs w:val="24"/>
        </w:rPr>
        <w:t>CMaD</w:t>
      </w:r>
      <w:proofErr w:type="spellEnd"/>
      <w:r w:rsidR="004C2900" w:rsidRPr="004C2900">
        <w:rPr>
          <w:rFonts w:eastAsia="Calibri" w:cstheme="minorHAnsi"/>
          <w:b/>
          <w:szCs w:val="24"/>
        </w:rPr>
        <w:t xml:space="preserve"> NP (</w:t>
      </w:r>
      <w:r w:rsidR="0073635A">
        <w:rPr>
          <w:rFonts w:eastAsia="Calibri" w:cstheme="minorHAnsi"/>
          <w:b/>
          <w:szCs w:val="24"/>
        </w:rPr>
        <w:t xml:space="preserve">Low SES) by </w:t>
      </w:r>
      <w:proofErr w:type="spellStart"/>
      <w:r w:rsidR="0073635A">
        <w:rPr>
          <w:rFonts w:eastAsia="Calibri" w:cstheme="minorHAnsi"/>
          <w:b/>
          <w:szCs w:val="24"/>
        </w:rPr>
        <w:t>L&amp;N</w:t>
      </w:r>
      <w:proofErr w:type="spellEnd"/>
      <w:r w:rsidR="0073635A">
        <w:rPr>
          <w:rFonts w:eastAsia="Calibri" w:cstheme="minorHAnsi"/>
          <w:b/>
          <w:szCs w:val="24"/>
        </w:rPr>
        <w:t xml:space="preserve"> </w:t>
      </w:r>
      <w:proofErr w:type="spellStart"/>
      <w:r w:rsidR="0073635A">
        <w:rPr>
          <w:rFonts w:eastAsia="Calibri" w:cstheme="minorHAnsi"/>
          <w:b/>
          <w:szCs w:val="24"/>
        </w:rPr>
        <w:t>SACE</w:t>
      </w:r>
      <w:proofErr w:type="spellEnd"/>
      <w:r w:rsidR="0073635A">
        <w:rPr>
          <w:rFonts w:eastAsia="Calibri" w:cstheme="minorHAnsi"/>
          <w:b/>
          <w:szCs w:val="24"/>
        </w:rPr>
        <w:t xml:space="preserve"> Subject</w:t>
      </w:r>
    </w:p>
    <w:tbl>
      <w:tblPr>
        <w:tblW w:w="11260" w:type="dxa"/>
        <w:tblInd w:w="93" w:type="dxa"/>
        <w:tblLook w:val="04A0" w:firstRow="1" w:lastRow="0" w:firstColumn="1" w:lastColumn="0" w:noHBand="0" w:noVBand="1"/>
      </w:tblPr>
      <w:tblGrid>
        <w:gridCol w:w="1340"/>
        <w:gridCol w:w="1240"/>
        <w:gridCol w:w="1240"/>
        <w:gridCol w:w="1240"/>
        <w:gridCol w:w="1240"/>
        <w:gridCol w:w="1240"/>
        <w:gridCol w:w="1240"/>
        <w:gridCol w:w="1240"/>
        <w:gridCol w:w="1240"/>
      </w:tblGrid>
      <w:tr w:rsidR="004C2900" w:rsidRPr="004C2900" w:rsidTr="004C2900">
        <w:trPr>
          <w:trHeight w:val="1515"/>
        </w:trPr>
        <w:tc>
          <w:tcPr>
            <w:tcW w:w="1340" w:type="dxa"/>
            <w:tcBorders>
              <w:top w:val="single" w:sz="8" w:space="0" w:color="auto"/>
              <w:left w:val="single" w:sz="8" w:space="0" w:color="auto"/>
              <w:bottom w:val="nil"/>
              <w:right w:val="nil"/>
            </w:tcBorders>
            <w:shd w:val="clear" w:color="auto" w:fill="auto"/>
            <w:vAlign w:val="center"/>
            <w:hideMark/>
          </w:tcPr>
          <w:p w:rsidR="004C2900" w:rsidRPr="004C2900" w:rsidRDefault="004C2900" w:rsidP="004C2900">
            <w:pPr>
              <w:rPr>
                <w:rFonts w:ascii="Calibri" w:hAnsi="Calibri" w:cs="Calibri"/>
                <w:b/>
                <w:bCs/>
                <w:color w:val="000000"/>
                <w:szCs w:val="22"/>
                <w:lang w:eastAsia="en-AU"/>
              </w:rPr>
            </w:pPr>
            <w:r w:rsidRPr="004C2900">
              <w:rPr>
                <w:rFonts w:ascii="Calibri" w:hAnsi="Calibri" w:cs="Calibri"/>
                <w:b/>
                <w:bCs/>
                <w:color w:val="000000"/>
                <w:szCs w:val="22"/>
                <w:lang w:eastAsia="en-AU"/>
              </w:rPr>
              <w:t>School Year Level</w:t>
            </w:r>
          </w:p>
        </w:tc>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C2900" w:rsidRPr="004C2900" w:rsidRDefault="004C2900" w:rsidP="004C2900">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2011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Literacy Subjects</w:t>
            </w:r>
            <w:r w:rsidRPr="004C2900">
              <w:rPr>
                <w:rFonts w:ascii="Calibri" w:hAnsi="Calibri" w:cs="Calibri"/>
                <w:b/>
                <w:bCs/>
                <w:color w:val="000000"/>
                <w:szCs w:val="22"/>
                <w:lang w:eastAsia="en-AU"/>
              </w:rPr>
              <w:br/>
              <w:t>Stage 1</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4C2900">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2011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Literacy Subjects</w:t>
            </w:r>
            <w:r w:rsidRPr="004C2900">
              <w:rPr>
                <w:rFonts w:ascii="Calibri" w:hAnsi="Calibri" w:cs="Calibri"/>
                <w:b/>
                <w:bCs/>
                <w:color w:val="000000"/>
                <w:szCs w:val="22"/>
                <w:lang w:eastAsia="en-AU"/>
              </w:rPr>
              <w:br/>
              <w:t>Stage 2</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4C2900">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2011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Numeracy Subjects</w:t>
            </w:r>
            <w:r w:rsidRPr="004C2900">
              <w:rPr>
                <w:rFonts w:ascii="Calibri" w:hAnsi="Calibri" w:cs="Calibri"/>
                <w:b/>
                <w:bCs/>
                <w:color w:val="000000"/>
                <w:szCs w:val="22"/>
                <w:lang w:eastAsia="en-AU"/>
              </w:rPr>
              <w:br/>
              <w:t>Stage 1</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4C2900">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2011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Numeracy Subjects</w:t>
            </w:r>
            <w:r w:rsidRPr="004C2900">
              <w:rPr>
                <w:rFonts w:ascii="Calibri" w:hAnsi="Calibri" w:cs="Calibri"/>
                <w:b/>
                <w:bCs/>
                <w:color w:val="000000"/>
                <w:szCs w:val="22"/>
                <w:lang w:eastAsia="en-AU"/>
              </w:rPr>
              <w:br/>
              <w:t>Stage 2</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4C2900">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2012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Literacy Subjects</w:t>
            </w:r>
            <w:r w:rsidRPr="004C2900">
              <w:rPr>
                <w:rFonts w:ascii="Calibri" w:hAnsi="Calibri" w:cs="Calibri"/>
                <w:b/>
                <w:bCs/>
                <w:color w:val="000000"/>
                <w:szCs w:val="22"/>
                <w:lang w:eastAsia="en-AU"/>
              </w:rPr>
              <w:br/>
              <w:t>Stage 1</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4C2900">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2012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Literacy Subjects</w:t>
            </w:r>
            <w:r w:rsidRPr="004C2900">
              <w:rPr>
                <w:rFonts w:ascii="Calibri" w:hAnsi="Calibri" w:cs="Calibri"/>
                <w:b/>
                <w:bCs/>
                <w:color w:val="000000"/>
                <w:szCs w:val="22"/>
                <w:lang w:eastAsia="en-AU"/>
              </w:rPr>
              <w:br/>
              <w:t>Stage 2</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4C2900">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2012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Numeracy Subjects</w:t>
            </w:r>
            <w:r w:rsidRPr="004C2900">
              <w:rPr>
                <w:rFonts w:ascii="Calibri" w:hAnsi="Calibri" w:cs="Calibri"/>
                <w:b/>
                <w:bCs/>
                <w:color w:val="000000"/>
                <w:szCs w:val="22"/>
                <w:lang w:eastAsia="en-AU"/>
              </w:rPr>
              <w:br/>
              <w:t>Stage 1</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4C2900">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2012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Numeracy Subjects</w:t>
            </w:r>
            <w:r w:rsidRPr="004C2900">
              <w:rPr>
                <w:rFonts w:ascii="Calibri" w:hAnsi="Calibri" w:cs="Calibri"/>
                <w:b/>
                <w:bCs/>
                <w:color w:val="000000"/>
                <w:szCs w:val="22"/>
                <w:lang w:eastAsia="en-AU"/>
              </w:rPr>
              <w:br/>
              <w:t>Stage 2</w:t>
            </w:r>
          </w:p>
        </w:tc>
      </w:tr>
      <w:tr w:rsidR="004C2900" w:rsidRPr="004C2900" w:rsidTr="004C2900">
        <w:trPr>
          <w:trHeight w:val="1515"/>
        </w:trPr>
        <w:tc>
          <w:tcPr>
            <w:tcW w:w="1340" w:type="dxa"/>
            <w:tcBorders>
              <w:top w:val="single" w:sz="8" w:space="0" w:color="auto"/>
              <w:left w:val="single" w:sz="8" w:space="0" w:color="auto"/>
              <w:bottom w:val="single" w:sz="8" w:space="0" w:color="auto"/>
              <w:right w:val="nil"/>
            </w:tcBorders>
            <w:shd w:val="clear" w:color="000000" w:fill="C0C0C0"/>
            <w:vAlign w:val="center"/>
            <w:hideMark/>
          </w:tcPr>
          <w:p w:rsidR="004C2900" w:rsidRPr="004C2900" w:rsidRDefault="004C2900" w:rsidP="004C2900">
            <w:pPr>
              <w:rPr>
                <w:rFonts w:ascii="Calibri" w:hAnsi="Calibri" w:cs="Calibri"/>
                <w:color w:val="000000"/>
                <w:szCs w:val="22"/>
                <w:lang w:eastAsia="en-AU"/>
              </w:rPr>
            </w:pPr>
            <w:r w:rsidRPr="004C2900">
              <w:rPr>
                <w:rFonts w:ascii="Calibri" w:hAnsi="Calibri" w:cs="Calibri"/>
                <w:color w:val="000000"/>
                <w:szCs w:val="22"/>
                <w:lang w:eastAsia="en-AU"/>
              </w:rPr>
              <w:t>No. of students who undertook subject</w:t>
            </w:r>
          </w:p>
        </w:tc>
        <w:tc>
          <w:tcPr>
            <w:tcW w:w="1240" w:type="dxa"/>
            <w:tcBorders>
              <w:top w:val="nil"/>
              <w:left w:val="single" w:sz="8" w:space="0" w:color="auto"/>
              <w:bottom w:val="single" w:sz="8" w:space="0" w:color="auto"/>
              <w:right w:val="single" w:sz="8" w:space="0" w:color="auto"/>
            </w:tcBorders>
            <w:shd w:val="clear" w:color="000000" w:fill="C0C0C0"/>
            <w:noWrap/>
            <w:vAlign w:val="center"/>
            <w:hideMark/>
          </w:tcPr>
          <w:p w:rsidR="004C2900" w:rsidRPr="004C2900" w:rsidRDefault="004C2900" w:rsidP="004C2900">
            <w:pPr>
              <w:ind w:firstLineChars="200" w:firstLine="440"/>
              <w:jc w:val="right"/>
              <w:rPr>
                <w:rFonts w:ascii="Calibri" w:hAnsi="Calibri" w:cs="Calibri"/>
                <w:color w:val="000000"/>
                <w:szCs w:val="22"/>
                <w:lang w:eastAsia="en-AU"/>
              </w:rPr>
            </w:pPr>
            <w:r w:rsidRPr="004C2900">
              <w:rPr>
                <w:rFonts w:ascii="Calibri" w:hAnsi="Calibri" w:cs="Calibri"/>
                <w:color w:val="000000"/>
                <w:szCs w:val="22"/>
                <w:lang w:eastAsia="en-AU"/>
              </w:rPr>
              <w:t>1427</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Pr="004C2900" w:rsidRDefault="004C2900" w:rsidP="004C2900">
            <w:pPr>
              <w:ind w:firstLineChars="200" w:firstLine="440"/>
              <w:jc w:val="right"/>
              <w:rPr>
                <w:rFonts w:ascii="Calibri" w:hAnsi="Calibri" w:cs="Calibri"/>
                <w:color w:val="000000"/>
                <w:szCs w:val="22"/>
                <w:lang w:eastAsia="en-AU"/>
              </w:rPr>
            </w:pPr>
            <w:r w:rsidRPr="004C2900">
              <w:rPr>
                <w:rFonts w:ascii="Calibri" w:hAnsi="Calibri" w:cs="Calibri"/>
                <w:color w:val="000000"/>
                <w:szCs w:val="22"/>
                <w:lang w:eastAsia="en-AU"/>
              </w:rPr>
              <w:t>215</w:t>
            </w:r>
          </w:p>
        </w:tc>
        <w:tc>
          <w:tcPr>
            <w:tcW w:w="1240" w:type="dxa"/>
            <w:tcBorders>
              <w:top w:val="nil"/>
              <w:left w:val="nil"/>
              <w:bottom w:val="single" w:sz="8" w:space="0" w:color="auto"/>
              <w:right w:val="single" w:sz="8" w:space="0" w:color="auto"/>
            </w:tcBorders>
            <w:shd w:val="clear" w:color="000000" w:fill="C0C0C0"/>
            <w:noWrap/>
            <w:vAlign w:val="center"/>
            <w:hideMark/>
          </w:tcPr>
          <w:p w:rsidR="004C2900" w:rsidRPr="004C2900" w:rsidRDefault="004C2900" w:rsidP="004C2900">
            <w:pPr>
              <w:ind w:firstLineChars="200" w:firstLine="440"/>
              <w:jc w:val="right"/>
              <w:rPr>
                <w:rFonts w:ascii="Calibri" w:hAnsi="Calibri" w:cs="Calibri"/>
                <w:color w:val="000000"/>
                <w:szCs w:val="22"/>
                <w:lang w:eastAsia="en-AU"/>
              </w:rPr>
            </w:pPr>
            <w:r w:rsidRPr="004C2900">
              <w:rPr>
                <w:rFonts w:ascii="Calibri" w:hAnsi="Calibri" w:cs="Calibri"/>
                <w:color w:val="000000"/>
                <w:szCs w:val="22"/>
                <w:lang w:eastAsia="en-AU"/>
              </w:rPr>
              <w:t>1473</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Pr="004C2900" w:rsidRDefault="004C2900" w:rsidP="004C2900">
            <w:pPr>
              <w:ind w:firstLineChars="200" w:firstLine="440"/>
              <w:jc w:val="right"/>
              <w:rPr>
                <w:rFonts w:ascii="Calibri" w:hAnsi="Calibri" w:cs="Calibri"/>
                <w:color w:val="000000"/>
                <w:szCs w:val="22"/>
                <w:lang w:eastAsia="en-AU"/>
              </w:rPr>
            </w:pPr>
            <w:r w:rsidRPr="004C2900">
              <w:rPr>
                <w:rFonts w:ascii="Calibri" w:hAnsi="Calibri" w:cs="Calibri"/>
                <w:color w:val="000000"/>
                <w:szCs w:val="22"/>
                <w:lang w:eastAsia="en-AU"/>
              </w:rPr>
              <w:t>122</w:t>
            </w:r>
          </w:p>
        </w:tc>
        <w:tc>
          <w:tcPr>
            <w:tcW w:w="1240" w:type="dxa"/>
            <w:tcBorders>
              <w:top w:val="nil"/>
              <w:left w:val="nil"/>
              <w:bottom w:val="single" w:sz="8" w:space="0" w:color="auto"/>
              <w:right w:val="single" w:sz="8" w:space="0" w:color="auto"/>
            </w:tcBorders>
            <w:shd w:val="clear" w:color="000000" w:fill="C0C0C0"/>
            <w:noWrap/>
            <w:vAlign w:val="center"/>
            <w:hideMark/>
          </w:tcPr>
          <w:p w:rsidR="004C2900" w:rsidRPr="004C2900" w:rsidRDefault="004C2900" w:rsidP="004C2900">
            <w:pPr>
              <w:ind w:firstLineChars="200" w:firstLine="440"/>
              <w:jc w:val="right"/>
              <w:rPr>
                <w:rFonts w:ascii="Calibri" w:hAnsi="Calibri" w:cs="Calibri"/>
                <w:color w:val="000000"/>
                <w:szCs w:val="22"/>
                <w:lang w:eastAsia="en-AU"/>
              </w:rPr>
            </w:pPr>
            <w:r w:rsidRPr="004C2900">
              <w:rPr>
                <w:rFonts w:ascii="Calibri" w:hAnsi="Calibri" w:cs="Calibri"/>
                <w:color w:val="000000"/>
                <w:szCs w:val="22"/>
                <w:lang w:eastAsia="en-AU"/>
              </w:rPr>
              <w:t>1479</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Pr="004C2900" w:rsidRDefault="004C2900" w:rsidP="004C2900">
            <w:pPr>
              <w:ind w:firstLineChars="200" w:firstLine="440"/>
              <w:jc w:val="right"/>
              <w:rPr>
                <w:rFonts w:ascii="Calibri" w:hAnsi="Calibri" w:cs="Calibri"/>
                <w:color w:val="000000"/>
                <w:szCs w:val="22"/>
                <w:lang w:eastAsia="en-AU"/>
              </w:rPr>
            </w:pPr>
            <w:r w:rsidRPr="004C2900">
              <w:rPr>
                <w:rFonts w:ascii="Calibri" w:hAnsi="Calibri" w:cs="Calibri"/>
                <w:color w:val="000000"/>
                <w:szCs w:val="22"/>
                <w:lang w:eastAsia="en-AU"/>
              </w:rPr>
              <w:t>233</w:t>
            </w:r>
          </w:p>
        </w:tc>
        <w:tc>
          <w:tcPr>
            <w:tcW w:w="1240" w:type="dxa"/>
            <w:tcBorders>
              <w:top w:val="nil"/>
              <w:left w:val="nil"/>
              <w:bottom w:val="single" w:sz="8" w:space="0" w:color="auto"/>
              <w:right w:val="single" w:sz="8" w:space="0" w:color="auto"/>
            </w:tcBorders>
            <w:shd w:val="clear" w:color="000000" w:fill="C0C0C0"/>
            <w:noWrap/>
            <w:vAlign w:val="center"/>
            <w:hideMark/>
          </w:tcPr>
          <w:p w:rsidR="004C2900" w:rsidRPr="004C2900" w:rsidRDefault="004C2900" w:rsidP="004C2900">
            <w:pPr>
              <w:ind w:firstLineChars="200" w:firstLine="440"/>
              <w:jc w:val="right"/>
              <w:rPr>
                <w:rFonts w:ascii="Calibri" w:hAnsi="Calibri" w:cs="Calibri"/>
                <w:color w:val="000000"/>
                <w:szCs w:val="22"/>
                <w:lang w:eastAsia="en-AU"/>
              </w:rPr>
            </w:pPr>
            <w:r w:rsidRPr="004C2900">
              <w:rPr>
                <w:rFonts w:ascii="Calibri" w:hAnsi="Calibri" w:cs="Calibri"/>
                <w:color w:val="000000"/>
                <w:szCs w:val="22"/>
                <w:lang w:eastAsia="en-AU"/>
              </w:rPr>
              <w:t>1498</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Pr="004C2900" w:rsidRDefault="004C2900" w:rsidP="004C2900">
            <w:pPr>
              <w:ind w:firstLineChars="200" w:firstLine="440"/>
              <w:jc w:val="right"/>
              <w:rPr>
                <w:rFonts w:ascii="Calibri" w:hAnsi="Calibri" w:cs="Calibri"/>
                <w:color w:val="000000"/>
                <w:szCs w:val="22"/>
                <w:lang w:eastAsia="en-AU"/>
              </w:rPr>
            </w:pPr>
            <w:r w:rsidRPr="004C2900">
              <w:rPr>
                <w:rFonts w:ascii="Calibri" w:hAnsi="Calibri" w:cs="Calibri"/>
                <w:color w:val="000000"/>
                <w:szCs w:val="22"/>
                <w:lang w:eastAsia="en-AU"/>
              </w:rPr>
              <w:t>135</w:t>
            </w:r>
          </w:p>
        </w:tc>
      </w:tr>
      <w:tr w:rsidR="004C2900" w:rsidRPr="004C2900" w:rsidTr="004C2900">
        <w:trPr>
          <w:trHeight w:val="915"/>
        </w:trPr>
        <w:tc>
          <w:tcPr>
            <w:tcW w:w="1340" w:type="dxa"/>
            <w:tcBorders>
              <w:top w:val="nil"/>
              <w:left w:val="single" w:sz="8" w:space="0" w:color="auto"/>
              <w:bottom w:val="single" w:sz="8" w:space="0" w:color="auto"/>
              <w:right w:val="nil"/>
            </w:tcBorders>
            <w:shd w:val="clear" w:color="auto" w:fill="auto"/>
            <w:vAlign w:val="center"/>
            <w:hideMark/>
          </w:tcPr>
          <w:p w:rsidR="004C2900" w:rsidRPr="004C2900" w:rsidRDefault="0073635A" w:rsidP="004C2900">
            <w:pPr>
              <w:rPr>
                <w:rFonts w:ascii="Calibri" w:hAnsi="Calibri" w:cs="Calibri"/>
                <w:color w:val="000000"/>
                <w:szCs w:val="22"/>
                <w:lang w:eastAsia="en-AU"/>
              </w:rPr>
            </w:pPr>
            <w:r>
              <w:rPr>
                <w:rFonts w:ascii="Calibri" w:hAnsi="Calibri" w:cs="Calibri"/>
                <w:color w:val="000000"/>
                <w:szCs w:val="22"/>
                <w:lang w:eastAsia="en-AU"/>
              </w:rPr>
              <w:t xml:space="preserve">No. of subject results </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4C2900" w:rsidRPr="004C2900" w:rsidRDefault="004C2900" w:rsidP="004C2900">
            <w:pPr>
              <w:ind w:firstLineChars="200" w:firstLine="440"/>
              <w:jc w:val="right"/>
              <w:rPr>
                <w:rFonts w:ascii="Calibri" w:hAnsi="Calibri" w:cs="Calibri"/>
                <w:color w:val="000000"/>
                <w:szCs w:val="22"/>
                <w:lang w:eastAsia="en-AU"/>
              </w:rPr>
            </w:pPr>
            <w:r w:rsidRPr="004C2900">
              <w:rPr>
                <w:rFonts w:ascii="Calibri" w:hAnsi="Calibri" w:cs="Calibri"/>
                <w:color w:val="000000"/>
                <w:szCs w:val="22"/>
                <w:lang w:eastAsia="en-AU"/>
              </w:rPr>
              <w:t>2686</w:t>
            </w:r>
          </w:p>
        </w:tc>
        <w:tc>
          <w:tcPr>
            <w:tcW w:w="1240" w:type="dxa"/>
            <w:tcBorders>
              <w:top w:val="nil"/>
              <w:left w:val="nil"/>
              <w:bottom w:val="single" w:sz="8" w:space="0" w:color="auto"/>
              <w:right w:val="single" w:sz="8" w:space="0" w:color="auto"/>
            </w:tcBorders>
            <w:shd w:val="clear" w:color="auto" w:fill="auto"/>
            <w:noWrap/>
            <w:vAlign w:val="center"/>
            <w:hideMark/>
          </w:tcPr>
          <w:p w:rsidR="004C2900" w:rsidRPr="004C2900" w:rsidRDefault="004C2900" w:rsidP="004C2900">
            <w:pPr>
              <w:ind w:firstLineChars="200" w:firstLine="440"/>
              <w:jc w:val="right"/>
              <w:rPr>
                <w:rFonts w:ascii="Calibri" w:hAnsi="Calibri" w:cs="Calibri"/>
                <w:color w:val="000000"/>
                <w:szCs w:val="22"/>
                <w:lang w:eastAsia="en-AU"/>
              </w:rPr>
            </w:pPr>
            <w:r w:rsidRPr="004C2900">
              <w:rPr>
                <w:rFonts w:ascii="Calibri" w:hAnsi="Calibri" w:cs="Calibri"/>
                <w:color w:val="000000"/>
                <w:szCs w:val="22"/>
                <w:lang w:eastAsia="en-AU"/>
              </w:rPr>
              <w:t>221</w:t>
            </w:r>
          </w:p>
        </w:tc>
        <w:tc>
          <w:tcPr>
            <w:tcW w:w="1240" w:type="dxa"/>
            <w:tcBorders>
              <w:top w:val="nil"/>
              <w:left w:val="nil"/>
              <w:bottom w:val="single" w:sz="8" w:space="0" w:color="auto"/>
              <w:right w:val="single" w:sz="8" w:space="0" w:color="auto"/>
            </w:tcBorders>
            <w:shd w:val="clear" w:color="auto" w:fill="auto"/>
            <w:noWrap/>
            <w:vAlign w:val="center"/>
            <w:hideMark/>
          </w:tcPr>
          <w:p w:rsidR="004C2900" w:rsidRPr="004C2900" w:rsidRDefault="004C2900" w:rsidP="004C2900">
            <w:pPr>
              <w:ind w:firstLineChars="200" w:firstLine="440"/>
              <w:jc w:val="right"/>
              <w:rPr>
                <w:rFonts w:ascii="Calibri" w:hAnsi="Calibri" w:cs="Calibri"/>
                <w:color w:val="000000"/>
                <w:szCs w:val="22"/>
                <w:lang w:eastAsia="en-AU"/>
              </w:rPr>
            </w:pPr>
            <w:r w:rsidRPr="004C2900">
              <w:rPr>
                <w:rFonts w:ascii="Calibri" w:hAnsi="Calibri" w:cs="Calibri"/>
                <w:color w:val="000000"/>
                <w:szCs w:val="22"/>
                <w:lang w:eastAsia="en-AU"/>
              </w:rPr>
              <w:t>2414</w:t>
            </w:r>
          </w:p>
        </w:tc>
        <w:tc>
          <w:tcPr>
            <w:tcW w:w="1240" w:type="dxa"/>
            <w:tcBorders>
              <w:top w:val="nil"/>
              <w:left w:val="nil"/>
              <w:bottom w:val="single" w:sz="8" w:space="0" w:color="auto"/>
              <w:right w:val="single" w:sz="8" w:space="0" w:color="auto"/>
            </w:tcBorders>
            <w:shd w:val="clear" w:color="auto" w:fill="auto"/>
            <w:noWrap/>
            <w:vAlign w:val="center"/>
            <w:hideMark/>
          </w:tcPr>
          <w:p w:rsidR="004C2900" w:rsidRPr="004C2900" w:rsidRDefault="004C2900" w:rsidP="004C2900">
            <w:pPr>
              <w:ind w:firstLineChars="200" w:firstLine="440"/>
              <w:jc w:val="right"/>
              <w:rPr>
                <w:rFonts w:ascii="Calibri" w:hAnsi="Calibri" w:cs="Calibri"/>
                <w:color w:val="000000"/>
                <w:szCs w:val="22"/>
                <w:lang w:eastAsia="en-AU"/>
              </w:rPr>
            </w:pPr>
            <w:r w:rsidRPr="004C2900">
              <w:rPr>
                <w:rFonts w:ascii="Calibri" w:hAnsi="Calibri" w:cs="Calibri"/>
                <w:color w:val="000000"/>
                <w:szCs w:val="22"/>
                <w:lang w:eastAsia="en-AU"/>
              </w:rPr>
              <w:t>126</w:t>
            </w:r>
          </w:p>
        </w:tc>
        <w:tc>
          <w:tcPr>
            <w:tcW w:w="1240" w:type="dxa"/>
            <w:tcBorders>
              <w:top w:val="nil"/>
              <w:left w:val="nil"/>
              <w:bottom w:val="single" w:sz="8" w:space="0" w:color="auto"/>
              <w:right w:val="single" w:sz="8" w:space="0" w:color="auto"/>
            </w:tcBorders>
            <w:shd w:val="clear" w:color="auto" w:fill="auto"/>
            <w:noWrap/>
            <w:vAlign w:val="center"/>
            <w:hideMark/>
          </w:tcPr>
          <w:p w:rsidR="004C2900" w:rsidRPr="004C2900" w:rsidRDefault="004C2900" w:rsidP="004C2900">
            <w:pPr>
              <w:ind w:firstLineChars="200" w:firstLine="440"/>
              <w:jc w:val="right"/>
              <w:rPr>
                <w:rFonts w:ascii="Calibri" w:hAnsi="Calibri" w:cs="Calibri"/>
                <w:color w:val="000000"/>
                <w:szCs w:val="22"/>
                <w:lang w:eastAsia="en-AU"/>
              </w:rPr>
            </w:pPr>
            <w:r w:rsidRPr="004C2900">
              <w:rPr>
                <w:rFonts w:ascii="Calibri" w:hAnsi="Calibri" w:cs="Calibri"/>
                <w:color w:val="000000"/>
                <w:szCs w:val="22"/>
                <w:lang w:eastAsia="en-AU"/>
              </w:rPr>
              <w:t>2228</w:t>
            </w:r>
          </w:p>
        </w:tc>
        <w:tc>
          <w:tcPr>
            <w:tcW w:w="1240" w:type="dxa"/>
            <w:tcBorders>
              <w:top w:val="nil"/>
              <w:left w:val="nil"/>
              <w:bottom w:val="single" w:sz="8" w:space="0" w:color="auto"/>
              <w:right w:val="single" w:sz="8" w:space="0" w:color="auto"/>
            </w:tcBorders>
            <w:shd w:val="clear" w:color="auto" w:fill="auto"/>
            <w:noWrap/>
            <w:vAlign w:val="center"/>
            <w:hideMark/>
          </w:tcPr>
          <w:p w:rsidR="004C2900" w:rsidRPr="004C2900" w:rsidRDefault="004C2900" w:rsidP="004C2900">
            <w:pPr>
              <w:ind w:firstLineChars="200" w:firstLine="440"/>
              <w:jc w:val="right"/>
              <w:rPr>
                <w:rFonts w:ascii="Calibri" w:hAnsi="Calibri" w:cs="Calibri"/>
                <w:color w:val="000000"/>
                <w:szCs w:val="22"/>
                <w:lang w:eastAsia="en-AU"/>
              </w:rPr>
            </w:pPr>
            <w:r w:rsidRPr="004C2900">
              <w:rPr>
                <w:rFonts w:ascii="Calibri" w:hAnsi="Calibri" w:cs="Calibri"/>
                <w:color w:val="000000"/>
                <w:szCs w:val="22"/>
                <w:lang w:eastAsia="en-AU"/>
              </w:rPr>
              <w:t>239</w:t>
            </w:r>
          </w:p>
        </w:tc>
        <w:tc>
          <w:tcPr>
            <w:tcW w:w="1240" w:type="dxa"/>
            <w:tcBorders>
              <w:top w:val="nil"/>
              <w:left w:val="nil"/>
              <w:bottom w:val="single" w:sz="8" w:space="0" w:color="auto"/>
              <w:right w:val="single" w:sz="8" w:space="0" w:color="auto"/>
            </w:tcBorders>
            <w:shd w:val="clear" w:color="auto" w:fill="auto"/>
            <w:noWrap/>
            <w:vAlign w:val="center"/>
            <w:hideMark/>
          </w:tcPr>
          <w:p w:rsidR="004C2900" w:rsidRPr="004C2900" w:rsidRDefault="004C2900" w:rsidP="004C2900">
            <w:pPr>
              <w:ind w:firstLineChars="200" w:firstLine="440"/>
              <w:jc w:val="right"/>
              <w:rPr>
                <w:rFonts w:ascii="Calibri" w:hAnsi="Calibri" w:cs="Calibri"/>
                <w:color w:val="000000"/>
                <w:szCs w:val="22"/>
                <w:lang w:eastAsia="en-AU"/>
              </w:rPr>
            </w:pPr>
            <w:r w:rsidRPr="004C2900">
              <w:rPr>
                <w:rFonts w:ascii="Calibri" w:hAnsi="Calibri" w:cs="Calibri"/>
                <w:color w:val="000000"/>
                <w:szCs w:val="22"/>
                <w:lang w:eastAsia="en-AU"/>
              </w:rPr>
              <w:t>2261</w:t>
            </w:r>
          </w:p>
        </w:tc>
        <w:tc>
          <w:tcPr>
            <w:tcW w:w="1240" w:type="dxa"/>
            <w:tcBorders>
              <w:top w:val="nil"/>
              <w:left w:val="nil"/>
              <w:bottom w:val="single" w:sz="8" w:space="0" w:color="auto"/>
              <w:right w:val="single" w:sz="8" w:space="0" w:color="auto"/>
            </w:tcBorders>
            <w:shd w:val="clear" w:color="auto" w:fill="auto"/>
            <w:noWrap/>
            <w:vAlign w:val="center"/>
            <w:hideMark/>
          </w:tcPr>
          <w:p w:rsidR="004C2900" w:rsidRPr="004C2900" w:rsidRDefault="004C2900" w:rsidP="004C2900">
            <w:pPr>
              <w:ind w:firstLineChars="200" w:firstLine="440"/>
              <w:jc w:val="right"/>
              <w:rPr>
                <w:rFonts w:ascii="Calibri" w:hAnsi="Calibri" w:cs="Calibri"/>
                <w:color w:val="000000"/>
                <w:szCs w:val="22"/>
                <w:lang w:eastAsia="en-AU"/>
              </w:rPr>
            </w:pPr>
            <w:r w:rsidRPr="004C2900">
              <w:rPr>
                <w:rFonts w:ascii="Calibri" w:hAnsi="Calibri" w:cs="Calibri"/>
                <w:color w:val="000000"/>
                <w:szCs w:val="22"/>
                <w:lang w:eastAsia="en-AU"/>
              </w:rPr>
              <w:t>151</w:t>
            </w:r>
          </w:p>
        </w:tc>
      </w:tr>
      <w:tr w:rsidR="004C2900" w:rsidRPr="004C2900" w:rsidTr="004C2900">
        <w:trPr>
          <w:trHeight w:val="915"/>
        </w:trPr>
        <w:tc>
          <w:tcPr>
            <w:tcW w:w="1340" w:type="dxa"/>
            <w:tcBorders>
              <w:top w:val="nil"/>
              <w:left w:val="single" w:sz="8" w:space="0" w:color="auto"/>
              <w:bottom w:val="single" w:sz="8" w:space="0" w:color="auto"/>
              <w:right w:val="nil"/>
            </w:tcBorders>
            <w:shd w:val="clear" w:color="000000" w:fill="C0C0C0"/>
            <w:vAlign w:val="center"/>
            <w:hideMark/>
          </w:tcPr>
          <w:p w:rsidR="004C2900" w:rsidRPr="004C2900" w:rsidRDefault="004C2900" w:rsidP="004C2900">
            <w:pPr>
              <w:rPr>
                <w:rFonts w:ascii="Calibri" w:hAnsi="Calibri" w:cs="Calibri"/>
                <w:b/>
                <w:bCs/>
                <w:color w:val="000000"/>
                <w:szCs w:val="22"/>
                <w:lang w:eastAsia="en-AU"/>
              </w:rPr>
            </w:pPr>
            <w:r w:rsidRPr="004C2900">
              <w:rPr>
                <w:rFonts w:ascii="Calibri" w:hAnsi="Calibri" w:cs="Calibri"/>
                <w:b/>
                <w:bCs/>
                <w:color w:val="000000"/>
                <w:szCs w:val="22"/>
                <w:lang w:eastAsia="en-AU"/>
              </w:rPr>
              <w:t>% of</w:t>
            </w:r>
            <w:r w:rsidR="0073635A">
              <w:rPr>
                <w:rFonts w:ascii="Calibri" w:hAnsi="Calibri" w:cs="Calibri"/>
                <w:b/>
                <w:bCs/>
                <w:color w:val="000000"/>
                <w:szCs w:val="22"/>
                <w:lang w:eastAsia="en-AU"/>
              </w:rPr>
              <w:t xml:space="preserve"> results 'C' grade or better </w:t>
            </w:r>
          </w:p>
        </w:tc>
        <w:tc>
          <w:tcPr>
            <w:tcW w:w="1240" w:type="dxa"/>
            <w:tcBorders>
              <w:top w:val="nil"/>
              <w:left w:val="single" w:sz="8" w:space="0" w:color="auto"/>
              <w:bottom w:val="single" w:sz="8" w:space="0" w:color="auto"/>
              <w:right w:val="single" w:sz="8" w:space="0" w:color="auto"/>
            </w:tcBorders>
            <w:shd w:val="clear" w:color="000000" w:fill="C0C0C0"/>
            <w:noWrap/>
            <w:vAlign w:val="center"/>
            <w:hideMark/>
          </w:tcPr>
          <w:p w:rsidR="004C2900" w:rsidRPr="004C2900" w:rsidRDefault="004C2900" w:rsidP="004C2900">
            <w:pPr>
              <w:ind w:firstLineChars="200" w:firstLine="442"/>
              <w:jc w:val="right"/>
              <w:rPr>
                <w:rFonts w:ascii="Calibri" w:hAnsi="Calibri" w:cs="Calibri"/>
                <w:b/>
                <w:bCs/>
                <w:color w:val="000000"/>
                <w:szCs w:val="22"/>
                <w:lang w:eastAsia="en-AU"/>
              </w:rPr>
            </w:pPr>
            <w:r w:rsidRPr="004C2900">
              <w:rPr>
                <w:rFonts w:ascii="Calibri" w:hAnsi="Calibri" w:cs="Calibri"/>
                <w:b/>
                <w:bCs/>
                <w:color w:val="000000"/>
                <w:szCs w:val="22"/>
                <w:lang w:eastAsia="en-AU"/>
              </w:rPr>
              <w:t>74.8%</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Pr="004C2900" w:rsidRDefault="004C2900" w:rsidP="004C2900">
            <w:pPr>
              <w:ind w:firstLineChars="200" w:firstLine="442"/>
              <w:jc w:val="right"/>
              <w:rPr>
                <w:rFonts w:ascii="Calibri" w:hAnsi="Calibri" w:cs="Calibri"/>
                <w:b/>
                <w:bCs/>
                <w:color w:val="000000"/>
                <w:szCs w:val="22"/>
                <w:lang w:eastAsia="en-AU"/>
              </w:rPr>
            </w:pPr>
            <w:r w:rsidRPr="004C2900">
              <w:rPr>
                <w:rFonts w:ascii="Calibri" w:hAnsi="Calibri" w:cs="Calibri"/>
                <w:b/>
                <w:bCs/>
                <w:color w:val="000000"/>
                <w:szCs w:val="22"/>
                <w:lang w:eastAsia="en-AU"/>
              </w:rPr>
              <w:t>80.5%</w:t>
            </w:r>
          </w:p>
        </w:tc>
        <w:tc>
          <w:tcPr>
            <w:tcW w:w="1240" w:type="dxa"/>
            <w:tcBorders>
              <w:top w:val="nil"/>
              <w:left w:val="nil"/>
              <w:bottom w:val="single" w:sz="8" w:space="0" w:color="auto"/>
              <w:right w:val="single" w:sz="8" w:space="0" w:color="auto"/>
            </w:tcBorders>
            <w:shd w:val="clear" w:color="000000" w:fill="C0C0C0"/>
            <w:noWrap/>
            <w:vAlign w:val="center"/>
            <w:hideMark/>
          </w:tcPr>
          <w:p w:rsidR="004C2900" w:rsidRPr="004C2900" w:rsidRDefault="004C2900" w:rsidP="004C2900">
            <w:pPr>
              <w:ind w:firstLineChars="200" w:firstLine="442"/>
              <w:jc w:val="right"/>
              <w:rPr>
                <w:rFonts w:ascii="Calibri" w:hAnsi="Calibri" w:cs="Calibri"/>
                <w:b/>
                <w:bCs/>
                <w:color w:val="000000"/>
                <w:szCs w:val="22"/>
                <w:lang w:eastAsia="en-AU"/>
              </w:rPr>
            </w:pPr>
            <w:r w:rsidRPr="004C2900">
              <w:rPr>
                <w:rFonts w:ascii="Calibri" w:hAnsi="Calibri" w:cs="Calibri"/>
                <w:b/>
                <w:bCs/>
                <w:color w:val="000000"/>
                <w:szCs w:val="22"/>
                <w:lang w:eastAsia="en-AU"/>
              </w:rPr>
              <w:t>61.4%</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Pr="004C2900" w:rsidRDefault="004C2900" w:rsidP="004C2900">
            <w:pPr>
              <w:ind w:firstLineChars="200" w:firstLine="442"/>
              <w:jc w:val="right"/>
              <w:rPr>
                <w:rFonts w:ascii="Calibri" w:hAnsi="Calibri" w:cs="Calibri"/>
                <w:b/>
                <w:bCs/>
                <w:color w:val="000000"/>
                <w:szCs w:val="22"/>
                <w:lang w:eastAsia="en-AU"/>
              </w:rPr>
            </w:pPr>
            <w:r w:rsidRPr="004C2900">
              <w:rPr>
                <w:rFonts w:ascii="Calibri" w:hAnsi="Calibri" w:cs="Calibri"/>
                <w:b/>
                <w:bCs/>
                <w:color w:val="000000"/>
                <w:szCs w:val="22"/>
                <w:lang w:eastAsia="en-AU"/>
              </w:rPr>
              <w:t>55.6%</w:t>
            </w:r>
          </w:p>
        </w:tc>
        <w:tc>
          <w:tcPr>
            <w:tcW w:w="1240" w:type="dxa"/>
            <w:tcBorders>
              <w:top w:val="nil"/>
              <w:left w:val="nil"/>
              <w:bottom w:val="single" w:sz="8" w:space="0" w:color="auto"/>
              <w:right w:val="single" w:sz="8" w:space="0" w:color="auto"/>
            </w:tcBorders>
            <w:shd w:val="clear" w:color="000000" w:fill="C0C0C0"/>
            <w:noWrap/>
            <w:vAlign w:val="center"/>
            <w:hideMark/>
          </w:tcPr>
          <w:p w:rsidR="004C2900" w:rsidRPr="004C2900" w:rsidRDefault="004C2900" w:rsidP="004C2900">
            <w:pPr>
              <w:ind w:firstLineChars="200" w:firstLine="442"/>
              <w:jc w:val="right"/>
              <w:rPr>
                <w:rFonts w:ascii="Calibri" w:hAnsi="Calibri" w:cs="Calibri"/>
                <w:b/>
                <w:bCs/>
                <w:color w:val="000000"/>
                <w:szCs w:val="22"/>
                <w:lang w:eastAsia="en-AU"/>
              </w:rPr>
            </w:pPr>
            <w:r w:rsidRPr="004C2900">
              <w:rPr>
                <w:rFonts w:ascii="Calibri" w:hAnsi="Calibri" w:cs="Calibri"/>
                <w:b/>
                <w:bCs/>
                <w:color w:val="000000"/>
                <w:szCs w:val="22"/>
                <w:lang w:eastAsia="en-AU"/>
              </w:rPr>
              <w:t>78.5%</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Pr="004C2900" w:rsidRDefault="004C2900" w:rsidP="004C2900">
            <w:pPr>
              <w:ind w:firstLineChars="200" w:firstLine="442"/>
              <w:jc w:val="right"/>
              <w:rPr>
                <w:rFonts w:ascii="Calibri" w:hAnsi="Calibri" w:cs="Calibri"/>
                <w:b/>
                <w:bCs/>
                <w:color w:val="000000"/>
                <w:szCs w:val="22"/>
                <w:lang w:eastAsia="en-AU"/>
              </w:rPr>
            </w:pPr>
            <w:r w:rsidRPr="004C2900">
              <w:rPr>
                <w:rFonts w:ascii="Calibri" w:hAnsi="Calibri" w:cs="Calibri"/>
                <w:b/>
                <w:bCs/>
                <w:color w:val="000000"/>
                <w:szCs w:val="22"/>
                <w:lang w:eastAsia="en-AU"/>
              </w:rPr>
              <w:t>85.4%</w:t>
            </w:r>
          </w:p>
        </w:tc>
        <w:tc>
          <w:tcPr>
            <w:tcW w:w="1240" w:type="dxa"/>
            <w:tcBorders>
              <w:top w:val="nil"/>
              <w:left w:val="nil"/>
              <w:bottom w:val="single" w:sz="8" w:space="0" w:color="auto"/>
              <w:right w:val="single" w:sz="8" w:space="0" w:color="auto"/>
            </w:tcBorders>
            <w:shd w:val="clear" w:color="000000" w:fill="C0C0C0"/>
            <w:noWrap/>
            <w:vAlign w:val="center"/>
            <w:hideMark/>
          </w:tcPr>
          <w:p w:rsidR="004C2900" w:rsidRPr="004C2900" w:rsidRDefault="004C2900" w:rsidP="004C2900">
            <w:pPr>
              <w:ind w:firstLineChars="200" w:firstLine="442"/>
              <w:jc w:val="right"/>
              <w:rPr>
                <w:rFonts w:ascii="Calibri" w:hAnsi="Calibri" w:cs="Calibri"/>
                <w:b/>
                <w:bCs/>
                <w:color w:val="000000"/>
                <w:szCs w:val="22"/>
                <w:lang w:eastAsia="en-AU"/>
              </w:rPr>
            </w:pPr>
            <w:r w:rsidRPr="004C2900">
              <w:rPr>
                <w:rFonts w:ascii="Calibri" w:hAnsi="Calibri" w:cs="Calibri"/>
                <w:b/>
                <w:bCs/>
                <w:color w:val="000000"/>
                <w:szCs w:val="22"/>
                <w:lang w:eastAsia="en-AU"/>
              </w:rPr>
              <w:t>62.3%</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Pr="004C2900" w:rsidRDefault="004C2900" w:rsidP="004C2900">
            <w:pPr>
              <w:ind w:firstLineChars="200" w:firstLine="442"/>
              <w:jc w:val="right"/>
              <w:rPr>
                <w:rFonts w:ascii="Calibri" w:hAnsi="Calibri" w:cs="Calibri"/>
                <w:b/>
                <w:bCs/>
                <w:color w:val="000000"/>
                <w:szCs w:val="22"/>
                <w:lang w:eastAsia="en-AU"/>
              </w:rPr>
            </w:pPr>
            <w:r w:rsidRPr="004C2900">
              <w:rPr>
                <w:rFonts w:ascii="Calibri" w:hAnsi="Calibri" w:cs="Calibri"/>
                <w:b/>
                <w:bCs/>
                <w:color w:val="000000"/>
                <w:szCs w:val="22"/>
                <w:lang w:eastAsia="en-AU"/>
              </w:rPr>
              <w:t>58.9%</w:t>
            </w:r>
          </w:p>
        </w:tc>
      </w:tr>
    </w:tbl>
    <w:p w:rsidR="004C2900" w:rsidRDefault="004C2900" w:rsidP="004C2900">
      <w:pPr>
        <w:widowControl w:val="0"/>
        <w:spacing w:before="120" w:after="60"/>
        <w:contextualSpacing/>
        <w:rPr>
          <w:rFonts w:eastAsia="Calibri" w:cstheme="minorHAnsi"/>
          <w:b/>
          <w:szCs w:val="24"/>
        </w:rPr>
      </w:pPr>
    </w:p>
    <w:p w:rsidR="004C2900" w:rsidRDefault="004C2900">
      <w:pPr>
        <w:rPr>
          <w:rFonts w:eastAsia="Calibri" w:cstheme="minorHAnsi"/>
          <w:b/>
          <w:szCs w:val="24"/>
        </w:rPr>
      </w:pPr>
      <w:r>
        <w:rPr>
          <w:rFonts w:eastAsia="Calibri" w:cstheme="minorHAnsi"/>
          <w:b/>
          <w:szCs w:val="24"/>
        </w:rPr>
        <w:br w:type="page"/>
      </w:r>
    </w:p>
    <w:p w:rsidR="004C2900" w:rsidRDefault="004C2900" w:rsidP="004C2900">
      <w:pPr>
        <w:widowControl w:val="0"/>
        <w:spacing w:before="120" w:after="60"/>
        <w:contextualSpacing/>
        <w:rPr>
          <w:rFonts w:eastAsia="Calibri" w:cstheme="minorHAnsi"/>
          <w:b/>
          <w:szCs w:val="24"/>
        </w:rPr>
      </w:pPr>
      <w:r w:rsidRPr="001B165D">
        <w:rPr>
          <w:rFonts w:eastAsia="Calibri" w:cstheme="minorHAnsi"/>
          <w:b/>
          <w:szCs w:val="24"/>
        </w:rPr>
        <w:lastRenderedPageBreak/>
        <w:t>Table 2.5(b</w:t>
      </w:r>
      <w:r>
        <w:rPr>
          <w:rFonts w:eastAsia="Calibri" w:cstheme="minorHAnsi"/>
          <w:b/>
          <w:szCs w:val="24"/>
        </w:rPr>
        <w:t>-2</w:t>
      </w:r>
      <w:r w:rsidRPr="001B165D">
        <w:rPr>
          <w:rFonts w:eastAsia="Calibri" w:cstheme="minorHAnsi"/>
          <w:b/>
          <w:szCs w:val="24"/>
        </w:rPr>
        <w:t xml:space="preserve">) – Students participating in </w:t>
      </w:r>
      <w:proofErr w:type="spellStart"/>
      <w:r w:rsidRPr="001B165D">
        <w:rPr>
          <w:rFonts w:eastAsia="Calibri" w:cstheme="minorHAnsi"/>
          <w:b/>
          <w:szCs w:val="24"/>
        </w:rPr>
        <w:t>CMaD</w:t>
      </w:r>
      <w:proofErr w:type="spellEnd"/>
      <w:r w:rsidRPr="001B165D">
        <w:rPr>
          <w:rFonts w:eastAsia="Calibri" w:cstheme="minorHAnsi"/>
          <w:b/>
          <w:szCs w:val="24"/>
        </w:rPr>
        <w:t xml:space="preserve"> NP ‘individual targeted support’ interventions for less than one year</w:t>
      </w:r>
      <w:r>
        <w:rPr>
          <w:rFonts w:eastAsia="Calibri" w:cstheme="minorHAnsi"/>
          <w:b/>
          <w:szCs w:val="24"/>
        </w:rPr>
        <w:t xml:space="preserve"> – Indigenous </w:t>
      </w:r>
      <w:r w:rsidRPr="004C2900">
        <w:rPr>
          <w:rFonts w:eastAsia="Calibri" w:cstheme="minorHAnsi"/>
          <w:b/>
          <w:szCs w:val="24"/>
        </w:rPr>
        <w:t xml:space="preserve">Students in </w:t>
      </w:r>
      <w:proofErr w:type="spellStart"/>
      <w:r w:rsidRPr="004C2900">
        <w:rPr>
          <w:rFonts w:eastAsia="Calibri" w:cstheme="minorHAnsi"/>
          <w:b/>
          <w:szCs w:val="24"/>
        </w:rPr>
        <w:t>CMaD</w:t>
      </w:r>
      <w:proofErr w:type="spellEnd"/>
      <w:r w:rsidRPr="004C2900">
        <w:rPr>
          <w:rFonts w:eastAsia="Calibri" w:cstheme="minorHAnsi"/>
          <w:b/>
          <w:szCs w:val="24"/>
        </w:rPr>
        <w:t xml:space="preserve"> NP (</w:t>
      </w:r>
      <w:r>
        <w:rPr>
          <w:rFonts w:eastAsia="Calibri" w:cstheme="minorHAnsi"/>
          <w:b/>
          <w:szCs w:val="24"/>
        </w:rPr>
        <w:t xml:space="preserve">Low SES) by </w:t>
      </w:r>
      <w:proofErr w:type="spellStart"/>
      <w:r>
        <w:rPr>
          <w:rFonts w:eastAsia="Calibri" w:cstheme="minorHAnsi"/>
          <w:b/>
          <w:szCs w:val="24"/>
        </w:rPr>
        <w:t>L&amp;N</w:t>
      </w:r>
      <w:proofErr w:type="spellEnd"/>
      <w:r>
        <w:rPr>
          <w:rFonts w:eastAsia="Calibri" w:cstheme="minorHAnsi"/>
          <w:b/>
          <w:szCs w:val="24"/>
        </w:rPr>
        <w:t xml:space="preserve"> </w:t>
      </w:r>
      <w:proofErr w:type="spellStart"/>
      <w:r>
        <w:rPr>
          <w:rFonts w:eastAsia="Calibri" w:cstheme="minorHAnsi"/>
          <w:b/>
          <w:szCs w:val="24"/>
        </w:rPr>
        <w:t>SACE</w:t>
      </w:r>
      <w:proofErr w:type="spellEnd"/>
      <w:r>
        <w:rPr>
          <w:rFonts w:eastAsia="Calibri" w:cstheme="minorHAnsi"/>
          <w:b/>
          <w:szCs w:val="24"/>
        </w:rPr>
        <w:t xml:space="preserve"> Subject </w:t>
      </w:r>
    </w:p>
    <w:tbl>
      <w:tblPr>
        <w:tblW w:w="11260" w:type="dxa"/>
        <w:tblInd w:w="93" w:type="dxa"/>
        <w:tblLook w:val="04A0" w:firstRow="1" w:lastRow="0" w:firstColumn="1" w:lastColumn="0" w:noHBand="0" w:noVBand="1"/>
      </w:tblPr>
      <w:tblGrid>
        <w:gridCol w:w="1340"/>
        <w:gridCol w:w="1240"/>
        <w:gridCol w:w="1240"/>
        <w:gridCol w:w="1240"/>
        <w:gridCol w:w="1240"/>
        <w:gridCol w:w="1240"/>
        <w:gridCol w:w="1240"/>
        <w:gridCol w:w="1240"/>
        <w:gridCol w:w="1240"/>
      </w:tblGrid>
      <w:tr w:rsidR="004C2900" w:rsidRPr="004C2900" w:rsidTr="00B30F24">
        <w:trPr>
          <w:trHeight w:val="1515"/>
        </w:trPr>
        <w:tc>
          <w:tcPr>
            <w:tcW w:w="1340" w:type="dxa"/>
            <w:tcBorders>
              <w:top w:val="single" w:sz="8" w:space="0" w:color="auto"/>
              <w:left w:val="single" w:sz="8" w:space="0" w:color="auto"/>
              <w:bottom w:val="nil"/>
              <w:right w:val="nil"/>
            </w:tcBorders>
            <w:shd w:val="clear" w:color="auto" w:fill="auto"/>
            <w:vAlign w:val="center"/>
            <w:hideMark/>
          </w:tcPr>
          <w:p w:rsidR="004C2900" w:rsidRPr="004C2900" w:rsidRDefault="004C2900" w:rsidP="00B30F24">
            <w:pPr>
              <w:rPr>
                <w:rFonts w:ascii="Calibri" w:hAnsi="Calibri" w:cs="Calibri"/>
                <w:b/>
                <w:bCs/>
                <w:color w:val="000000"/>
                <w:szCs w:val="22"/>
                <w:lang w:eastAsia="en-AU"/>
              </w:rPr>
            </w:pPr>
            <w:r w:rsidRPr="004C2900">
              <w:rPr>
                <w:rFonts w:ascii="Calibri" w:hAnsi="Calibri" w:cs="Calibri"/>
                <w:b/>
                <w:bCs/>
                <w:color w:val="000000"/>
                <w:szCs w:val="22"/>
                <w:lang w:eastAsia="en-AU"/>
              </w:rPr>
              <w:t>School Year Level</w:t>
            </w:r>
          </w:p>
        </w:tc>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C2900" w:rsidRPr="004C2900" w:rsidRDefault="004C2900" w:rsidP="00B30F24">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2011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Literacy Subjects</w:t>
            </w:r>
            <w:r w:rsidRPr="004C2900">
              <w:rPr>
                <w:rFonts w:ascii="Calibri" w:hAnsi="Calibri" w:cs="Calibri"/>
                <w:b/>
                <w:bCs/>
                <w:color w:val="000000"/>
                <w:szCs w:val="22"/>
                <w:lang w:eastAsia="en-AU"/>
              </w:rPr>
              <w:br/>
              <w:t>Stage 1</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B30F24">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2011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Literacy Subjects</w:t>
            </w:r>
            <w:r w:rsidRPr="004C2900">
              <w:rPr>
                <w:rFonts w:ascii="Calibri" w:hAnsi="Calibri" w:cs="Calibri"/>
                <w:b/>
                <w:bCs/>
                <w:color w:val="000000"/>
                <w:szCs w:val="22"/>
                <w:lang w:eastAsia="en-AU"/>
              </w:rPr>
              <w:br/>
              <w:t>Stage 2</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B30F24">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2011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Numeracy Subjects</w:t>
            </w:r>
            <w:r w:rsidRPr="004C2900">
              <w:rPr>
                <w:rFonts w:ascii="Calibri" w:hAnsi="Calibri" w:cs="Calibri"/>
                <w:b/>
                <w:bCs/>
                <w:color w:val="000000"/>
                <w:szCs w:val="22"/>
                <w:lang w:eastAsia="en-AU"/>
              </w:rPr>
              <w:br/>
              <w:t>Stage 1</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B30F24">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2011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Numeracy Subjects</w:t>
            </w:r>
            <w:r w:rsidRPr="004C2900">
              <w:rPr>
                <w:rFonts w:ascii="Calibri" w:hAnsi="Calibri" w:cs="Calibri"/>
                <w:b/>
                <w:bCs/>
                <w:color w:val="000000"/>
                <w:szCs w:val="22"/>
                <w:lang w:eastAsia="en-AU"/>
              </w:rPr>
              <w:br/>
              <w:t>Stage 2</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B30F24">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2012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Literacy Subjects</w:t>
            </w:r>
            <w:r w:rsidRPr="004C2900">
              <w:rPr>
                <w:rFonts w:ascii="Calibri" w:hAnsi="Calibri" w:cs="Calibri"/>
                <w:b/>
                <w:bCs/>
                <w:color w:val="000000"/>
                <w:szCs w:val="22"/>
                <w:lang w:eastAsia="en-AU"/>
              </w:rPr>
              <w:br/>
              <w:t>Stage 1</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B30F24">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2012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Literacy Subjects</w:t>
            </w:r>
            <w:r w:rsidRPr="004C2900">
              <w:rPr>
                <w:rFonts w:ascii="Calibri" w:hAnsi="Calibri" w:cs="Calibri"/>
                <w:b/>
                <w:bCs/>
                <w:color w:val="000000"/>
                <w:szCs w:val="22"/>
                <w:lang w:eastAsia="en-AU"/>
              </w:rPr>
              <w:br/>
              <w:t>Stage 2</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B30F24">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2012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Numeracy Subjects</w:t>
            </w:r>
            <w:r w:rsidRPr="004C2900">
              <w:rPr>
                <w:rFonts w:ascii="Calibri" w:hAnsi="Calibri" w:cs="Calibri"/>
                <w:b/>
                <w:bCs/>
                <w:color w:val="000000"/>
                <w:szCs w:val="22"/>
                <w:lang w:eastAsia="en-AU"/>
              </w:rPr>
              <w:br/>
              <w:t>Stage 1</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B30F24">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2012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Numeracy Subjects</w:t>
            </w:r>
            <w:r w:rsidRPr="004C2900">
              <w:rPr>
                <w:rFonts w:ascii="Calibri" w:hAnsi="Calibri" w:cs="Calibri"/>
                <w:b/>
                <w:bCs/>
                <w:color w:val="000000"/>
                <w:szCs w:val="22"/>
                <w:lang w:eastAsia="en-AU"/>
              </w:rPr>
              <w:br/>
              <w:t>Stage 2</w:t>
            </w:r>
          </w:p>
        </w:tc>
      </w:tr>
      <w:tr w:rsidR="004C2900" w:rsidRPr="004C2900" w:rsidTr="00B30F24">
        <w:trPr>
          <w:trHeight w:val="1515"/>
        </w:trPr>
        <w:tc>
          <w:tcPr>
            <w:tcW w:w="1340" w:type="dxa"/>
            <w:tcBorders>
              <w:top w:val="single" w:sz="8" w:space="0" w:color="auto"/>
              <w:left w:val="single" w:sz="8" w:space="0" w:color="auto"/>
              <w:bottom w:val="single" w:sz="8" w:space="0" w:color="auto"/>
              <w:right w:val="nil"/>
            </w:tcBorders>
            <w:shd w:val="clear" w:color="000000" w:fill="C0C0C0"/>
            <w:vAlign w:val="center"/>
            <w:hideMark/>
          </w:tcPr>
          <w:p w:rsidR="004C2900" w:rsidRPr="004C2900" w:rsidRDefault="004C2900" w:rsidP="00B30F24">
            <w:pPr>
              <w:rPr>
                <w:rFonts w:ascii="Calibri" w:hAnsi="Calibri" w:cs="Calibri"/>
                <w:color w:val="000000"/>
                <w:szCs w:val="22"/>
                <w:lang w:eastAsia="en-AU"/>
              </w:rPr>
            </w:pPr>
            <w:r w:rsidRPr="004C2900">
              <w:rPr>
                <w:rFonts w:ascii="Calibri" w:hAnsi="Calibri" w:cs="Calibri"/>
                <w:color w:val="000000"/>
                <w:szCs w:val="22"/>
                <w:lang w:eastAsia="en-AU"/>
              </w:rPr>
              <w:t>No. of students who undertook subject</w:t>
            </w:r>
          </w:p>
        </w:tc>
        <w:tc>
          <w:tcPr>
            <w:tcW w:w="1240" w:type="dxa"/>
            <w:tcBorders>
              <w:top w:val="nil"/>
              <w:left w:val="single" w:sz="8" w:space="0" w:color="auto"/>
              <w:bottom w:val="single" w:sz="8" w:space="0" w:color="auto"/>
              <w:right w:val="single" w:sz="8" w:space="0" w:color="auto"/>
            </w:tcBorders>
            <w:shd w:val="clear" w:color="000000" w:fill="C0C0C0"/>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145</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12</w:t>
            </w:r>
          </w:p>
        </w:tc>
        <w:tc>
          <w:tcPr>
            <w:tcW w:w="1240" w:type="dxa"/>
            <w:tcBorders>
              <w:top w:val="nil"/>
              <w:left w:val="nil"/>
              <w:bottom w:val="single" w:sz="8" w:space="0" w:color="auto"/>
              <w:right w:val="single" w:sz="8" w:space="0" w:color="auto"/>
            </w:tcBorders>
            <w:shd w:val="clear" w:color="000000" w:fill="C0C0C0"/>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151</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Default="004C2900">
            <w:pPr>
              <w:ind w:firstLineChars="200" w:firstLine="440"/>
              <w:jc w:val="right"/>
              <w:rPr>
                <w:rFonts w:ascii="Calibri" w:hAnsi="Calibri" w:cs="Calibri"/>
                <w:color w:val="000000"/>
                <w:szCs w:val="22"/>
              </w:rPr>
            </w:pPr>
            <w:proofErr w:type="spellStart"/>
            <w:r>
              <w:rPr>
                <w:rFonts w:ascii="Calibri" w:hAnsi="Calibri" w:cs="Calibri"/>
                <w:color w:val="000000"/>
                <w:szCs w:val="22"/>
              </w:rPr>
              <w:t>na</w:t>
            </w:r>
            <w:proofErr w:type="spellEnd"/>
          </w:p>
        </w:tc>
        <w:tc>
          <w:tcPr>
            <w:tcW w:w="1240" w:type="dxa"/>
            <w:tcBorders>
              <w:top w:val="nil"/>
              <w:left w:val="nil"/>
              <w:bottom w:val="single" w:sz="8" w:space="0" w:color="auto"/>
              <w:right w:val="single" w:sz="8" w:space="0" w:color="auto"/>
            </w:tcBorders>
            <w:shd w:val="clear" w:color="000000" w:fill="C0C0C0"/>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88</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7</w:t>
            </w:r>
          </w:p>
        </w:tc>
        <w:tc>
          <w:tcPr>
            <w:tcW w:w="1240" w:type="dxa"/>
            <w:tcBorders>
              <w:top w:val="nil"/>
              <w:left w:val="nil"/>
              <w:bottom w:val="single" w:sz="8" w:space="0" w:color="auto"/>
              <w:right w:val="single" w:sz="8" w:space="0" w:color="auto"/>
            </w:tcBorders>
            <w:shd w:val="clear" w:color="000000" w:fill="C0C0C0"/>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90</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Default="004C2900">
            <w:pPr>
              <w:ind w:firstLineChars="200" w:firstLine="440"/>
              <w:jc w:val="right"/>
              <w:rPr>
                <w:rFonts w:ascii="Calibri" w:hAnsi="Calibri" w:cs="Calibri"/>
                <w:color w:val="000000"/>
                <w:szCs w:val="22"/>
              </w:rPr>
            </w:pPr>
            <w:proofErr w:type="spellStart"/>
            <w:r>
              <w:rPr>
                <w:rFonts w:ascii="Calibri" w:hAnsi="Calibri" w:cs="Calibri"/>
                <w:color w:val="000000"/>
                <w:szCs w:val="22"/>
              </w:rPr>
              <w:t>na</w:t>
            </w:r>
            <w:proofErr w:type="spellEnd"/>
          </w:p>
        </w:tc>
      </w:tr>
      <w:tr w:rsidR="004C2900" w:rsidRPr="004C2900" w:rsidTr="00B30F24">
        <w:trPr>
          <w:trHeight w:val="915"/>
        </w:trPr>
        <w:tc>
          <w:tcPr>
            <w:tcW w:w="1340" w:type="dxa"/>
            <w:tcBorders>
              <w:top w:val="nil"/>
              <w:left w:val="single" w:sz="8" w:space="0" w:color="auto"/>
              <w:bottom w:val="single" w:sz="8" w:space="0" w:color="auto"/>
              <w:right w:val="nil"/>
            </w:tcBorders>
            <w:shd w:val="clear" w:color="auto" w:fill="auto"/>
            <w:vAlign w:val="center"/>
            <w:hideMark/>
          </w:tcPr>
          <w:p w:rsidR="004C2900" w:rsidRPr="004C2900" w:rsidRDefault="0073635A" w:rsidP="00B30F24">
            <w:pPr>
              <w:rPr>
                <w:rFonts w:ascii="Calibri" w:hAnsi="Calibri" w:cs="Calibri"/>
                <w:color w:val="000000"/>
                <w:szCs w:val="22"/>
                <w:lang w:eastAsia="en-AU"/>
              </w:rPr>
            </w:pPr>
            <w:r>
              <w:rPr>
                <w:rFonts w:ascii="Calibri" w:hAnsi="Calibri" w:cs="Calibri"/>
                <w:color w:val="000000"/>
                <w:szCs w:val="22"/>
                <w:lang w:eastAsia="en-AU"/>
              </w:rPr>
              <w:t xml:space="preserve">No. of subject results </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281</w:t>
            </w:r>
          </w:p>
        </w:tc>
        <w:tc>
          <w:tcPr>
            <w:tcW w:w="1240" w:type="dxa"/>
            <w:tcBorders>
              <w:top w:val="nil"/>
              <w:left w:val="nil"/>
              <w:bottom w:val="single" w:sz="8" w:space="0" w:color="auto"/>
              <w:right w:val="single" w:sz="8" w:space="0" w:color="auto"/>
            </w:tcBorders>
            <w:shd w:val="clear" w:color="auto" w:fill="auto"/>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13</w:t>
            </w:r>
          </w:p>
        </w:tc>
        <w:tc>
          <w:tcPr>
            <w:tcW w:w="1240" w:type="dxa"/>
            <w:tcBorders>
              <w:top w:val="nil"/>
              <w:left w:val="nil"/>
              <w:bottom w:val="single" w:sz="8" w:space="0" w:color="auto"/>
              <w:right w:val="single" w:sz="8" w:space="0" w:color="auto"/>
            </w:tcBorders>
            <w:shd w:val="clear" w:color="auto" w:fill="auto"/>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245</w:t>
            </w:r>
          </w:p>
        </w:tc>
        <w:tc>
          <w:tcPr>
            <w:tcW w:w="1240" w:type="dxa"/>
            <w:tcBorders>
              <w:top w:val="nil"/>
              <w:left w:val="nil"/>
              <w:bottom w:val="single" w:sz="8" w:space="0" w:color="auto"/>
              <w:right w:val="single" w:sz="8" w:space="0" w:color="auto"/>
            </w:tcBorders>
            <w:shd w:val="clear" w:color="auto" w:fill="auto"/>
            <w:noWrap/>
            <w:vAlign w:val="center"/>
            <w:hideMark/>
          </w:tcPr>
          <w:p w:rsidR="004C2900" w:rsidRDefault="004C2900">
            <w:pPr>
              <w:ind w:firstLineChars="200" w:firstLine="440"/>
              <w:jc w:val="right"/>
              <w:rPr>
                <w:rFonts w:ascii="Calibri" w:hAnsi="Calibri" w:cs="Calibri"/>
                <w:color w:val="000000"/>
                <w:szCs w:val="22"/>
              </w:rPr>
            </w:pPr>
            <w:proofErr w:type="spellStart"/>
            <w:r>
              <w:rPr>
                <w:rFonts w:ascii="Calibri" w:hAnsi="Calibri" w:cs="Calibri"/>
                <w:color w:val="000000"/>
                <w:szCs w:val="22"/>
              </w:rPr>
              <w:t>na</w:t>
            </w:r>
            <w:proofErr w:type="spellEnd"/>
          </w:p>
        </w:tc>
        <w:tc>
          <w:tcPr>
            <w:tcW w:w="1240" w:type="dxa"/>
            <w:tcBorders>
              <w:top w:val="nil"/>
              <w:left w:val="nil"/>
              <w:bottom w:val="single" w:sz="8" w:space="0" w:color="auto"/>
              <w:right w:val="single" w:sz="8" w:space="0" w:color="auto"/>
            </w:tcBorders>
            <w:shd w:val="clear" w:color="auto" w:fill="auto"/>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142</w:t>
            </w:r>
          </w:p>
        </w:tc>
        <w:tc>
          <w:tcPr>
            <w:tcW w:w="1240" w:type="dxa"/>
            <w:tcBorders>
              <w:top w:val="nil"/>
              <w:left w:val="nil"/>
              <w:bottom w:val="single" w:sz="8" w:space="0" w:color="auto"/>
              <w:right w:val="single" w:sz="8" w:space="0" w:color="auto"/>
            </w:tcBorders>
            <w:shd w:val="clear" w:color="auto" w:fill="auto"/>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7</w:t>
            </w:r>
          </w:p>
        </w:tc>
        <w:tc>
          <w:tcPr>
            <w:tcW w:w="1240" w:type="dxa"/>
            <w:tcBorders>
              <w:top w:val="nil"/>
              <w:left w:val="nil"/>
              <w:bottom w:val="single" w:sz="8" w:space="0" w:color="auto"/>
              <w:right w:val="single" w:sz="8" w:space="0" w:color="auto"/>
            </w:tcBorders>
            <w:shd w:val="clear" w:color="auto" w:fill="auto"/>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127</w:t>
            </w:r>
          </w:p>
        </w:tc>
        <w:tc>
          <w:tcPr>
            <w:tcW w:w="1240" w:type="dxa"/>
            <w:tcBorders>
              <w:top w:val="nil"/>
              <w:left w:val="nil"/>
              <w:bottom w:val="single" w:sz="8" w:space="0" w:color="auto"/>
              <w:right w:val="single" w:sz="8" w:space="0" w:color="auto"/>
            </w:tcBorders>
            <w:shd w:val="clear" w:color="auto" w:fill="auto"/>
            <w:noWrap/>
            <w:vAlign w:val="center"/>
            <w:hideMark/>
          </w:tcPr>
          <w:p w:rsidR="004C2900" w:rsidRDefault="004C2900">
            <w:pPr>
              <w:ind w:firstLineChars="200" w:firstLine="440"/>
              <w:jc w:val="right"/>
              <w:rPr>
                <w:rFonts w:ascii="Calibri" w:hAnsi="Calibri" w:cs="Calibri"/>
                <w:color w:val="000000"/>
                <w:szCs w:val="22"/>
              </w:rPr>
            </w:pPr>
            <w:proofErr w:type="spellStart"/>
            <w:r>
              <w:rPr>
                <w:rFonts w:ascii="Calibri" w:hAnsi="Calibri" w:cs="Calibri"/>
                <w:color w:val="000000"/>
                <w:szCs w:val="22"/>
              </w:rPr>
              <w:t>na</w:t>
            </w:r>
            <w:proofErr w:type="spellEnd"/>
          </w:p>
        </w:tc>
      </w:tr>
      <w:tr w:rsidR="004C2900" w:rsidRPr="004C2900" w:rsidTr="00B30F24">
        <w:trPr>
          <w:trHeight w:val="915"/>
        </w:trPr>
        <w:tc>
          <w:tcPr>
            <w:tcW w:w="1340" w:type="dxa"/>
            <w:tcBorders>
              <w:top w:val="nil"/>
              <w:left w:val="single" w:sz="8" w:space="0" w:color="auto"/>
              <w:bottom w:val="single" w:sz="8" w:space="0" w:color="auto"/>
              <w:right w:val="nil"/>
            </w:tcBorders>
            <w:shd w:val="clear" w:color="000000" w:fill="C0C0C0"/>
            <w:vAlign w:val="center"/>
            <w:hideMark/>
          </w:tcPr>
          <w:p w:rsidR="004C2900" w:rsidRPr="004C2900" w:rsidRDefault="004C2900" w:rsidP="00B30F24">
            <w:pPr>
              <w:rPr>
                <w:rFonts w:ascii="Calibri" w:hAnsi="Calibri" w:cs="Calibri"/>
                <w:b/>
                <w:bCs/>
                <w:color w:val="000000"/>
                <w:szCs w:val="22"/>
                <w:lang w:eastAsia="en-AU"/>
              </w:rPr>
            </w:pPr>
            <w:r w:rsidRPr="004C2900">
              <w:rPr>
                <w:rFonts w:ascii="Calibri" w:hAnsi="Calibri" w:cs="Calibri"/>
                <w:b/>
                <w:bCs/>
                <w:color w:val="000000"/>
                <w:szCs w:val="22"/>
                <w:lang w:eastAsia="en-AU"/>
              </w:rPr>
              <w:t>% of</w:t>
            </w:r>
            <w:r w:rsidR="0073635A">
              <w:rPr>
                <w:rFonts w:ascii="Calibri" w:hAnsi="Calibri" w:cs="Calibri"/>
                <w:b/>
                <w:bCs/>
                <w:color w:val="000000"/>
                <w:szCs w:val="22"/>
                <w:lang w:eastAsia="en-AU"/>
              </w:rPr>
              <w:t xml:space="preserve"> results 'C' grade or better </w:t>
            </w:r>
          </w:p>
        </w:tc>
        <w:tc>
          <w:tcPr>
            <w:tcW w:w="1240" w:type="dxa"/>
            <w:tcBorders>
              <w:top w:val="nil"/>
              <w:left w:val="single" w:sz="8" w:space="0" w:color="auto"/>
              <w:bottom w:val="single" w:sz="8" w:space="0" w:color="auto"/>
              <w:right w:val="single" w:sz="8" w:space="0" w:color="auto"/>
            </w:tcBorders>
            <w:shd w:val="clear" w:color="000000" w:fill="C0C0C0"/>
            <w:noWrap/>
            <w:vAlign w:val="center"/>
            <w:hideMark/>
          </w:tcPr>
          <w:p w:rsidR="004C2900" w:rsidRDefault="004C2900">
            <w:pPr>
              <w:ind w:firstLineChars="200" w:firstLine="442"/>
              <w:jc w:val="right"/>
              <w:rPr>
                <w:rFonts w:ascii="Calibri" w:hAnsi="Calibri" w:cs="Calibri"/>
                <w:b/>
                <w:bCs/>
                <w:color w:val="000000"/>
                <w:szCs w:val="22"/>
              </w:rPr>
            </w:pPr>
            <w:r>
              <w:rPr>
                <w:rFonts w:ascii="Calibri" w:hAnsi="Calibri" w:cs="Calibri"/>
                <w:b/>
                <w:bCs/>
                <w:color w:val="000000"/>
                <w:szCs w:val="22"/>
              </w:rPr>
              <w:t>66.9%</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Default="004C2900">
            <w:pPr>
              <w:ind w:firstLineChars="200" w:firstLine="442"/>
              <w:jc w:val="right"/>
              <w:rPr>
                <w:rFonts w:ascii="Calibri" w:hAnsi="Calibri" w:cs="Calibri"/>
                <w:b/>
                <w:bCs/>
                <w:color w:val="000000"/>
                <w:szCs w:val="22"/>
              </w:rPr>
            </w:pPr>
            <w:r>
              <w:rPr>
                <w:rFonts w:ascii="Calibri" w:hAnsi="Calibri" w:cs="Calibri"/>
                <w:b/>
                <w:bCs/>
                <w:color w:val="000000"/>
                <w:szCs w:val="22"/>
              </w:rPr>
              <w:t>84.6%</w:t>
            </w:r>
          </w:p>
        </w:tc>
        <w:tc>
          <w:tcPr>
            <w:tcW w:w="1240" w:type="dxa"/>
            <w:tcBorders>
              <w:top w:val="nil"/>
              <w:left w:val="nil"/>
              <w:bottom w:val="single" w:sz="8" w:space="0" w:color="auto"/>
              <w:right w:val="single" w:sz="8" w:space="0" w:color="auto"/>
            </w:tcBorders>
            <w:shd w:val="clear" w:color="000000" w:fill="C0C0C0"/>
            <w:noWrap/>
            <w:vAlign w:val="center"/>
            <w:hideMark/>
          </w:tcPr>
          <w:p w:rsidR="004C2900" w:rsidRDefault="004C2900">
            <w:pPr>
              <w:ind w:firstLineChars="200" w:firstLine="442"/>
              <w:jc w:val="right"/>
              <w:rPr>
                <w:rFonts w:ascii="Calibri" w:hAnsi="Calibri" w:cs="Calibri"/>
                <w:b/>
                <w:bCs/>
                <w:color w:val="000000"/>
                <w:szCs w:val="22"/>
              </w:rPr>
            </w:pPr>
            <w:r>
              <w:rPr>
                <w:rFonts w:ascii="Calibri" w:hAnsi="Calibri" w:cs="Calibri"/>
                <w:b/>
                <w:bCs/>
                <w:color w:val="000000"/>
                <w:szCs w:val="22"/>
              </w:rPr>
              <w:t>54.7%</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Default="004C2900">
            <w:pPr>
              <w:ind w:firstLineChars="200" w:firstLine="442"/>
              <w:jc w:val="right"/>
              <w:rPr>
                <w:rFonts w:ascii="Calibri" w:hAnsi="Calibri" w:cs="Calibri"/>
                <w:b/>
                <w:bCs/>
                <w:color w:val="000000"/>
                <w:szCs w:val="22"/>
              </w:rPr>
            </w:pPr>
            <w:proofErr w:type="spellStart"/>
            <w:r>
              <w:rPr>
                <w:rFonts w:ascii="Calibri" w:hAnsi="Calibri" w:cs="Calibri"/>
                <w:b/>
                <w:bCs/>
                <w:color w:val="000000"/>
                <w:szCs w:val="22"/>
              </w:rPr>
              <w:t>na</w:t>
            </w:r>
            <w:proofErr w:type="spellEnd"/>
          </w:p>
        </w:tc>
        <w:tc>
          <w:tcPr>
            <w:tcW w:w="1240" w:type="dxa"/>
            <w:tcBorders>
              <w:top w:val="nil"/>
              <w:left w:val="nil"/>
              <w:bottom w:val="single" w:sz="8" w:space="0" w:color="auto"/>
              <w:right w:val="single" w:sz="8" w:space="0" w:color="auto"/>
            </w:tcBorders>
            <w:shd w:val="clear" w:color="000000" w:fill="C0C0C0"/>
            <w:noWrap/>
            <w:vAlign w:val="center"/>
            <w:hideMark/>
          </w:tcPr>
          <w:p w:rsidR="004C2900" w:rsidRDefault="004C2900">
            <w:pPr>
              <w:ind w:firstLineChars="200" w:firstLine="442"/>
              <w:jc w:val="right"/>
              <w:rPr>
                <w:rFonts w:ascii="Calibri" w:hAnsi="Calibri" w:cs="Calibri"/>
                <w:b/>
                <w:bCs/>
                <w:color w:val="000000"/>
                <w:szCs w:val="22"/>
              </w:rPr>
            </w:pPr>
            <w:r>
              <w:rPr>
                <w:rFonts w:ascii="Calibri" w:hAnsi="Calibri" w:cs="Calibri"/>
                <w:b/>
                <w:bCs/>
                <w:color w:val="000000"/>
                <w:szCs w:val="22"/>
              </w:rPr>
              <w:t>66.9%</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Default="004C2900">
            <w:pPr>
              <w:ind w:firstLineChars="200" w:firstLine="442"/>
              <w:jc w:val="right"/>
              <w:rPr>
                <w:rFonts w:ascii="Calibri" w:hAnsi="Calibri" w:cs="Calibri"/>
                <w:b/>
                <w:bCs/>
                <w:color w:val="000000"/>
                <w:szCs w:val="22"/>
              </w:rPr>
            </w:pPr>
            <w:r>
              <w:rPr>
                <w:rFonts w:ascii="Calibri" w:hAnsi="Calibri" w:cs="Calibri"/>
                <w:b/>
                <w:bCs/>
                <w:color w:val="000000"/>
                <w:szCs w:val="22"/>
              </w:rPr>
              <w:t>85.7%</w:t>
            </w:r>
          </w:p>
        </w:tc>
        <w:tc>
          <w:tcPr>
            <w:tcW w:w="1240" w:type="dxa"/>
            <w:tcBorders>
              <w:top w:val="nil"/>
              <w:left w:val="nil"/>
              <w:bottom w:val="single" w:sz="8" w:space="0" w:color="auto"/>
              <w:right w:val="single" w:sz="8" w:space="0" w:color="auto"/>
            </w:tcBorders>
            <w:shd w:val="clear" w:color="000000" w:fill="C0C0C0"/>
            <w:noWrap/>
            <w:vAlign w:val="center"/>
            <w:hideMark/>
          </w:tcPr>
          <w:p w:rsidR="004C2900" w:rsidRDefault="004C2900">
            <w:pPr>
              <w:ind w:firstLineChars="200" w:firstLine="442"/>
              <w:jc w:val="right"/>
              <w:rPr>
                <w:rFonts w:ascii="Calibri" w:hAnsi="Calibri" w:cs="Calibri"/>
                <w:b/>
                <w:bCs/>
                <w:color w:val="000000"/>
                <w:szCs w:val="22"/>
              </w:rPr>
            </w:pPr>
            <w:r>
              <w:rPr>
                <w:rFonts w:ascii="Calibri" w:hAnsi="Calibri" w:cs="Calibri"/>
                <w:b/>
                <w:bCs/>
                <w:color w:val="000000"/>
                <w:szCs w:val="22"/>
              </w:rPr>
              <w:t>55.1%</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Default="004C2900">
            <w:pPr>
              <w:ind w:firstLineChars="200" w:firstLine="442"/>
              <w:jc w:val="right"/>
              <w:rPr>
                <w:rFonts w:ascii="Calibri" w:hAnsi="Calibri" w:cs="Calibri"/>
                <w:b/>
                <w:bCs/>
                <w:color w:val="000000"/>
                <w:szCs w:val="22"/>
              </w:rPr>
            </w:pPr>
            <w:proofErr w:type="spellStart"/>
            <w:r>
              <w:rPr>
                <w:rFonts w:ascii="Calibri" w:hAnsi="Calibri" w:cs="Calibri"/>
                <w:b/>
                <w:bCs/>
                <w:color w:val="000000"/>
                <w:szCs w:val="22"/>
              </w:rPr>
              <w:t>na</w:t>
            </w:r>
            <w:proofErr w:type="spellEnd"/>
          </w:p>
        </w:tc>
      </w:tr>
    </w:tbl>
    <w:p w:rsidR="004C2900" w:rsidRPr="001B165D" w:rsidRDefault="004C2900" w:rsidP="004C2900">
      <w:pPr>
        <w:widowControl w:val="0"/>
        <w:spacing w:before="120" w:after="60"/>
        <w:contextualSpacing/>
        <w:rPr>
          <w:rFonts w:eastAsia="Calibri" w:cstheme="minorHAnsi"/>
          <w:b/>
          <w:szCs w:val="24"/>
        </w:rPr>
      </w:pPr>
    </w:p>
    <w:p w:rsidR="004C2900" w:rsidRDefault="004C2900">
      <w:pPr>
        <w:rPr>
          <w:rFonts w:eastAsia="Calibri" w:cstheme="minorHAnsi"/>
          <w:b/>
          <w:szCs w:val="24"/>
        </w:rPr>
      </w:pPr>
      <w:r>
        <w:rPr>
          <w:rFonts w:eastAsia="Calibri" w:cstheme="minorHAnsi"/>
          <w:b/>
          <w:szCs w:val="24"/>
        </w:rPr>
        <w:br w:type="page"/>
      </w:r>
    </w:p>
    <w:p w:rsidR="004C2900" w:rsidRPr="001B165D" w:rsidRDefault="004C2900" w:rsidP="001B165D">
      <w:pPr>
        <w:widowControl w:val="0"/>
        <w:spacing w:before="120" w:after="60"/>
        <w:contextualSpacing/>
        <w:rPr>
          <w:rFonts w:eastAsia="Calibri" w:cstheme="minorHAnsi"/>
          <w:b/>
          <w:szCs w:val="24"/>
        </w:rPr>
      </w:pPr>
    </w:p>
    <w:p w:rsidR="004C2900" w:rsidRDefault="004C2900" w:rsidP="004C2900">
      <w:pPr>
        <w:widowControl w:val="0"/>
        <w:spacing w:before="120" w:after="60"/>
        <w:contextualSpacing/>
        <w:rPr>
          <w:rFonts w:eastAsia="Calibri" w:cstheme="minorHAnsi"/>
          <w:b/>
          <w:szCs w:val="24"/>
        </w:rPr>
      </w:pPr>
      <w:r w:rsidRPr="001B165D">
        <w:rPr>
          <w:rFonts w:eastAsia="Calibri" w:cstheme="minorHAnsi"/>
          <w:b/>
          <w:szCs w:val="24"/>
        </w:rPr>
        <w:t>Table 2.5(b</w:t>
      </w:r>
      <w:r>
        <w:rPr>
          <w:rFonts w:eastAsia="Calibri" w:cstheme="minorHAnsi"/>
          <w:b/>
          <w:szCs w:val="24"/>
        </w:rPr>
        <w:t>-3</w:t>
      </w:r>
      <w:r w:rsidRPr="001B165D">
        <w:rPr>
          <w:rFonts w:eastAsia="Calibri" w:cstheme="minorHAnsi"/>
          <w:b/>
          <w:szCs w:val="24"/>
        </w:rPr>
        <w:t xml:space="preserve">) – Students participating in </w:t>
      </w:r>
      <w:proofErr w:type="spellStart"/>
      <w:r w:rsidRPr="001B165D">
        <w:rPr>
          <w:rFonts w:eastAsia="Calibri" w:cstheme="minorHAnsi"/>
          <w:b/>
          <w:szCs w:val="24"/>
        </w:rPr>
        <w:t>CMaD</w:t>
      </w:r>
      <w:proofErr w:type="spellEnd"/>
      <w:r w:rsidRPr="001B165D">
        <w:rPr>
          <w:rFonts w:eastAsia="Calibri" w:cstheme="minorHAnsi"/>
          <w:b/>
          <w:szCs w:val="24"/>
        </w:rPr>
        <w:t xml:space="preserve"> NP ‘individual targeted support’ interventions for less than one year</w:t>
      </w:r>
      <w:r>
        <w:rPr>
          <w:rFonts w:eastAsia="Calibri" w:cstheme="minorHAnsi"/>
          <w:b/>
          <w:szCs w:val="24"/>
        </w:rPr>
        <w:t xml:space="preserve"> – </w:t>
      </w:r>
      <w:proofErr w:type="spellStart"/>
      <w:r>
        <w:rPr>
          <w:rFonts w:eastAsia="Calibri" w:cstheme="minorHAnsi"/>
          <w:b/>
          <w:szCs w:val="24"/>
        </w:rPr>
        <w:t>LBOTE</w:t>
      </w:r>
      <w:proofErr w:type="spellEnd"/>
      <w:r>
        <w:rPr>
          <w:rFonts w:eastAsia="Calibri" w:cstheme="minorHAnsi"/>
          <w:b/>
          <w:szCs w:val="24"/>
        </w:rPr>
        <w:t xml:space="preserve"> </w:t>
      </w:r>
      <w:r w:rsidRPr="004C2900">
        <w:rPr>
          <w:rFonts w:eastAsia="Calibri" w:cstheme="minorHAnsi"/>
          <w:b/>
          <w:szCs w:val="24"/>
        </w:rPr>
        <w:t xml:space="preserve">Students in </w:t>
      </w:r>
      <w:proofErr w:type="spellStart"/>
      <w:r w:rsidRPr="004C2900">
        <w:rPr>
          <w:rFonts w:eastAsia="Calibri" w:cstheme="minorHAnsi"/>
          <w:b/>
          <w:szCs w:val="24"/>
        </w:rPr>
        <w:t>CMaD</w:t>
      </w:r>
      <w:proofErr w:type="spellEnd"/>
      <w:r w:rsidRPr="004C2900">
        <w:rPr>
          <w:rFonts w:eastAsia="Calibri" w:cstheme="minorHAnsi"/>
          <w:b/>
          <w:szCs w:val="24"/>
        </w:rPr>
        <w:t xml:space="preserve"> NP (</w:t>
      </w:r>
      <w:r>
        <w:rPr>
          <w:rFonts w:eastAsia="Calibri" w:cstheme="minorHAnsi"/>
          <w:b/>
          <w:szCs w:val="24"/>
        </w:rPr>
        <w:t xml:space="preserve">Low SES) by </w:t>
      </w:r>
      <w:proofErr w:type="spellStart"/>
      <w:r>
        <w:rPr>
          <w:rFonts w:eastAsia="Calibri" w:cstheme="minorHAnsi"/>
          <w:b/>
          <w:szCs w:val="24"/>
        </w:rPr>
        <w:t>L&amp;N</w:t>
      </w:r>
      <w:proofErr w:type="spellEnd"/>
      <w:r>
        <w:rPr>
          <w:rFonts w:eastAsia="Calibri" w:cstheme="minorHAnsi"/>
          <w:b/>
          <w:szCs w:val="24"/>
        </w:rPr>
        <w:t xml:space="preserve"> </w:t>
      </w:r>
      <w:proofErr w:type="spellStart"/>
      <w:r>
        <w:rPr>
          <w:rFonts w:eastAsia="Calibri" w:cstheme="minorHAnsi"/>
          <w:b/>
          <w:szCs w:val="24"/>
        </w:rPr>
        <w:t>SACE</w:t>
      </w:r>
      <w:proofErr w:type="spellEnd"/>
      <w:r>
        <w:rPr>
          <w:rFonts w:eastAsia="Calibri" w:cstheme="minorHAnsi"/>
          <w:b/>
          <w:szCs w:val="24"/>
        </w:rPr>
        <w:t xml:space="preserve"> Subject </w:t>
      </w:r>
    </w:p>
    <w:tbl>
      <w:tblPr>
        <w:tblW w:w="11260" w:type="dxa"/>
        <w:tblInd w:w="93" w:type="dxa"/>
        <w:tblLook w:val="04A0" w:firstRow="1" w:lastRow="0" w:firstColumn="1" w:lastColumn="0" w:noHBand="0" w:noVBand="1"/>
      </w:tblPr>
      <w:tblGrid>
        <w:gridCol w:w="1340"/>
        <w:gridCol w:w="1240"/>
        <w:gridCol w:w="1240"/>
        <w:gridCol w:w="1240"/>
        <w:gridCol w:w="1240"/>
        <w:gridCol w:w="1240"/>
        <w:gridCol w:w="1240"/>
        <w:gridCol w:w="1240"/>
        <w:gridCol w:w="1240"/>
      </w:tblGrid>
      <w:tr w:rsidR="004C2900" w:rsidRPr="004C2900" w:rsidTr="00B30F24">
        <w:trPr>
          <w:trHeight w:val="1515"/>
        </w:trPr>
        <w:tc>
          <w:tcPr>
            <w:tcW w:w="1340" w:type="dxa"/>
            <w:tcBorders>
              <w:top w:val="single" w:sz="8" w:space="0" w:color="auto"/>
              <w:left w:val="single" w:sz="8" w:space="0" w:color="auto"/>
              <w:bottom w:val="nil"/>
              <w:right w:val="nil"/>
            </w:tcBorders>
            <w:shd w:val="clear" w:color="auto" w:fill="auto"/>
            <w:vAlign w:val="center"/>
            <w:hideMark/>
          </w:tcPr>
          <w:p w:rsidR="004C2900" w:rsidRPr="004C2900" w:rsidRDefault="004C2900" w:rsidP="00B30F24">
            <w:pPr>
              <w:rPr>
                <w:rFonts w:ascii="Calibri" w:hAnsi="Calibri" w:cs="Calibri"/>
                <w:b/>
                <w:bCs/>
                <w:color w:val="000000"/>
                <w:szCs w:val="22"/>
                <w:lang w:eastAsia="en-AU"/>
              </w:rPr>
            </w:pPr>
            <w:r w:rsidRPr="004C2900">
              <w:rPr>
                <w:rFonts w:ascii="Calibri" w:hAnsi="Calibri" w:cs="Calibri"/>
                <w:b/>
                <w:bCs/>
                <w:color w:val="000000"/>
                <w:szCs w:val="22"/>
                <w:lang w:eastAsia="en-AU"/>
              </w:rPr>
              <w:t>School Year Level</w:t>
            </w:r>
          </w:p>
        </w:tc>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C2900" w:rsidRPr="004C2900" w:rsidRDefault="004C2900" w:rsidP="00B30F24">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2011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Literacy Subjects</w:t>
            </w:r>
            <w:r w:rsidRPr="004C2900">
              <w:rPr>
                <w:rFonts w:ascii="Calibri" w:hAnsi="Calibri" w:cs="Calibri"/>
                <w:b/>
                <w:bCs/>
                <w:color w:val="000000"/>
                <w:szCs w:val="22"/>
                <w:lang w:eastAsia="en-AU"/>
              </w:rPr>
              <w:br/>
              <w:t>Stage 1</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B30F24">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2011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Literacy Subjects</w:t>
            </w:r>
            <w:r w:rsidRPr="004C2900">
              <w:rPr>
                <w:rFonts w:ascii="Calibri" w:hAnsi="Calibri" w:cs="Calibri"/>
                <w:b/>
                <w:bCs/>
                <w:color w:val="000000"/>
                <w:szCs w:val="22"/>
                <w:lang w:eastAsia="en-AU"/>
              </w:rPr>
              <w:br/>
              <w:t>Stage 2</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B30F24">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2011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Numeracy Subjects</w:t>
            </w:r>
            <w:r w:rsidRPr="004C2900">
              <w:rPr>
                <w:rFonts w:ascii="Calibri" w:hAnsi="Calibri" w:cs="Calibri"/>
                <w:b/>
                <w:bCs/>
                <w:color w:val="000000"/>
                <w:szCs w:val="22"/>
                <w:lang w:eastAsia="en-AU"/>
              </w:rPr>
              <w:br/>
              <w:t>Stage 1</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B30F24">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2011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Numeracy Subjects</w:t>
            </w:r>
            <w:r w:rsidRPr="004C2900">
              <w:rPr>
                <w:rFonts w:ascii="Calibri" w:hAnsi="Calibri" w:cs="Calibri"/>
                <w:b/>
                <w:bCs/>
                <w:color w:val="000000"/>
                <w:szCs w:val="22"/>
                <w:lang w:eastAsia="en-AU"/>
              </w:rPr>
              <w:br/>
              <w:t>Stage 2</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B30F24">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2012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Literacy Subjects</w:t>
            </w:r>
            <w:r w:rsidRPr="004C2900">
              <w:rPr>
                <w:rFonts w:ascii="Calibri" w:hAnsi="Calibri" w:cs="Calibri"/>
                <w:b/>
                <w:bCs/>
                <w:color w:val="000000"/>
                <w:szCs w:val="22"/>
                <w:lang w:eastAsia="en-AU"/>
              </w:rPr>
              <w:br/>
              <w:t>Stage 1</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B30F24">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2012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Literacy Subjects</w:t>
            </w:r>
            <w:r w:rsidRPr="004C2900">
              <w:rPr>
                <w:rFonts w:ascii="Calibri" w:hAnsi="Calibri" w:cs="Calibri"/>
                <w:b/>
                <w:bCs/>
                <w:color w:val="000000"/>
                <w:szCs w:val="22"/>
                <w:lang w:eastAsia="en-AU"/>
              </w:rPr>
              <w:br/>
              <w:t>Stage 2</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B30F24">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2012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Numeracy Subjects</w:t>
            </w:r>
            <w:r w:rsidRPr="004C2900">
              <w:rPr>
                <w:rFonts w:ascii="Calibri" w:hAnsi="Calibri" w:cs="Calibri"/>
                <w:b/>
                <w:bCs/>
                <w:color w:val="000000"/>
                <w:szCs w:val="22"/>
                <w:lang w:eastAsia="en-AU"/>
              </w:rPr>
              <w:br/>
              <w:t>Stage 1</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B30F24">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2012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Numeracy Subjects</w:t>
            </w:r>
            <w:r w:rsidRPr="004C2900">
              <w:rPr>
                <w:rFonts w:ascii="Calibri" w:hAnsi="Calibri" w:cs="Calibri"/>
                <w:b/>
                <w:bCs/>
                <w:color w:val="000000"/>
                <w:szCs w:val="22"/>
                <w:lang w:eastAsia="en-AU"/>
              </w:rPr>
              <w:br/>
              <w:t>Stage 2</w:t>
            </w:r>
          </w:p>
        </w:tc>
      </w:tr>
      <w:tr w:rsidR="004C2900" w:rsidRPr="004C2900" w:rsidTr="00B30F24">
        <w:trPr>
          <w:trHeight w:val="1515"/>
        </w:trPr>
        <w:tc>
          <w:tcPr>
            <w:tcW w:w="1340" w:type="dxa"/>
            <w:tcBorders>
              <w:top w:val="single" w:sz="8" w:space="0" w:color="auto"/>
              <w:left w:val="single" w:sz="8" w:space="0" w:color="auto"/>
              <w:bottom w:val="single" w:sz="8" w:space="0" w:color="auto"/>
              <w:right w:val="nil"/>
            </w:tcBorders>
            <w:shd w:val="clear" w:color="000000" w:fill="C0C0C0"/>
            <w:vAlign w:val="center"/>
            <w:hideMark/>
          </w:tcPr>
          <w:p w:rsidR="004C2900" w:rsidRPr="004C2900" w:rsidRDefault="004C2900" w:rsidP="00B30F24">
            <w:pPr>
              <w:rPr>
                <w:rFonts w:ascii="Calibri" w:hAnsi="Calibri" w:cs="Calibri"/>
                <w:color w:val="000000"/>
                <w:szCs w:val="22"/>
                <w:lang w:eastAsia="en-AU"/>
              </w:rPr>
            </w:pPr>
            <w:r w:rsidRPr="004C2900">
              <w:rPr>
                <w:rFonts w:ascii="Calibri" w:hAnsi="Calibri" w:cs="Calibri"/>
                <w:color w:val="000000"/>
                <w:szCs w:val="22"/>
                <w:lang w:eastAsia="en-AU"/>
              </w:rPr>
              <w:t>No. of students who undertook subject</w:t>
            </w:r>
          </w:p>
        </w:tc>
        <w:tc>
          <w:tcPr>
            <w:tcW w:w="1240" w:type="dxa"/>
            <w:tcBorders>
              <w:top w:val="nil"/>
              <w:left w:val="single" w:sz="8" w:space="0" w:color="auto"/>
              <w:bottom w:val="single" w:sz="8" w:space="0" w:color="auto"/>
              <w:right w:val="single" w:sz="8" w:space="0" w:color="auto"/>
            </w:tcBorders>
            <w:shd w:val="clear" w:color="000000" w:fill="C0C0C0"/>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134</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33</w:t>
            </w:r>
          </w:p>
        </w:tc>
        <w:tc>
          <w:tcPr>
            <w:tcW w:w="1240" w:type="dxa"/>
            <w:tcBorders>
              <w:top w:val="nil"/>
              <w:left w:val="nil"/>
              <w:bottom w:val="single" w:sz="8" w:space="0" w:color="auto"/>
              <w:right w:val="single" w:sz="8" w:space="0" w:color="auto"/>
            </w:tcBorders>
            <w:shd w:val="clear" w:color="000000" w:fill="C0C0C0"/>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137</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24</w:t>
            </w:r>
          </w:p>
        </w:tc>
        <w:tc>
          <w:tcPr>
            <w:tcW w:w="1240" w:type="dxa"/>
            <w:tcBorders>
              <w:top w:val="nil"/>
              <w:left w:val="nil"/>
              <w:bottom w:val="single" w:sz="8" w:space="0" w:color="auto"/>
              <w:right w:val="single" w:sz="8" w:space="0" w:color="auto"/>
            </w:tcBorders>
            <w:shd w:val="clear" w:color="000000" w:fill="C0C0C0"/>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185</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55</w:t>
            </w:r>
          </w:p>
        </w:tc>
        <w:tc>
          <w:tcPr>
            <w:tcW w:w="1240" w:type="dxa"/>
            <w:tcBorders>
              <w:top w:val="nil"/>
              <w:left w:val="nil"/>
              <w:bottom w:val="single" w:sz="8" w:space="0" w:color="auto"/>
              <w:right w:val="single" w:sz="8" w:space="0" w:color="auto"/>
            </w:tcBorders>
            <w:shd w:val="clear" w:color="000000" w:fill="C0C0C0"/>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187</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30</w:t>
            </w:r>
          </w:p>
        </w:tc>
      </w:tr>
      <w:tr w:rsidR="004C2900" w:rsidRPr="004C2900" w:rsidTr="00B30F24">
        <w:trPr>
          <w:trHeight w:val="915"/>
        </w:trPr>
        <w:tc>
          <w:tcPr>
            <w:tcW w:w="1340" w:type="dxa"/>
            <w:tcBorders>
              <w:top w:val="nil"/>
              <w:left w:val="single" w:sz="8" w:space="0" w:color="auto"/>
              <w:bottom w:val="single" w:sz="8" w:space="0" w:color="auto"/>
              <w:right w:val="nil"/>
            </w:tcBorders>
            <w:shd w:val="clear" w:color="auto" w:fill="auto"/>
            <w:vAlign w:val="center"/>
            <w:hideMark/>
          </w:tcPr>
          <w:p w:rsidR="004C2900" w:rsidRPr="004C2900" w:rsidRDefault="0073635A" w:rsidP="00B30F24">
            <w:pPr>
              <w:rPr>
                <w:rFonts w:ascii="Calibri" w:hAnsi="Calibri" w:cs="Calibri"/>
                <w:color w:val="000000"/>
                <w:szCs w:val="22"/>
                <w:lang w:eastAsia="en-AU"/>
              </w:rPr>
            </w:pPr>
            <w:r>
              <w:rPr>
                <w:rFonts w:ascii="Calibri" w:hAnsi="Calibri" w:cs="Calibri"/>
                <w:color w:val="000000"/>
                <w:szCs w:val="22"/>
                <w:lang w:eastAsia="en-AU"/>
              </w:rPr>
              <w:t xml:space="preserve">No. of subject results </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263</w:t>
            </w:r>
          </w:p>
        </w:tc>
        <w:tc>
          <w:tcPr>
            <w:tcW w:w="1240" w:type="dxa"/>
            <w:tcBorders>
              <w:top w:val="nil"/>
              <w:left w:val="nil"/>
              <w:bottom w:val="single" w:sz="8" w:space="0" w:color="auto"/>
              <w:right w:val="single" w:sz="8" w:space="0" w:color="auto"/>
            </w:tcBorders>
            <w:shd w:val="clear" w:color="auto" w:fill="auto"/>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35</w:t>
            </w:r>
          </w:p>
        </w:tc>
        <w:tc>
          <w:tcPr>
            <w:tcW w:w="1240" w:type="dxa"/>
            <w:tcBorders>
              <w:top w:val="nil"/>
              <w:left w:val="nil"/>
              <w:bottom w:val="single" w:sz="8" w:space="0" w:color="auto"/>
              <w:right w:val="single" w:sz="8" w:space="0" w:color="auto"/>
            </w:tcBorders>
            <w:shd w:val="clear" w:color="auto" w:fill="auto"/>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252</w:t>
            </w:r>
          </w:p>
        </w:tc>
        <w:tc>
          <w:tcPr>
            <w:tcW w:w="1240" w:type="dxa"/>
            <w:tcBorders>
              <w:top w:val="nil"/>
              <w:left w:val="nil"/>
              <w:bottom w:val="single" w:sz="8" w:space="0" w:color="auto"/>
              <w:right w:val="single" w:sz="8" w:space="0" w:color="auto"/>
            </w:tcBorders>
            <w:shd w:val="clear" w:color="auto" w:fill="auto"/>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26</w:t>
            </w:r>
          </w:p>
        </w:tc>
        <w:tc>
          <w:tcPr>
            <w:tcW w:w="1240" w:type="dxa"/>
            <w:tcBorders>
              <w:top w:val="nil"/>
              <w:left w:val="nil"/>
              <w:bottom w:val="single" w:sz="8" w:space="0" w:color="auto"/>
              <w:right w:val="single" w:sz="8" w:space="0" w:color="auto"/>
            </w:tcBorders>
            <w:shd w:val="clear" w:color="auto" w:fill="auto"/>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300</w:t>
            </w:r>
          </w:p>
        </w:tc>
        <w:tc>
          <w:tcPr>
            <w:tcW w:w="1240" w:type="dxa"/>
            <w:tcBorders>
              <w:top w:val="nil"/>
              <w:left w:val="nil"/>
              <w:bottom w:val="single" w:sz="8" w:space="0" w:color="auto"/>
              <w:right w:val="single" w:sz="8" w:space="0" w:color="auto"/>
            </w:tcBorders>
            <w:shd w:val="clear" w:color="auto" w:fill="auto"/>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56</w:t>
            </w:r>
          </w:p>
        </w:tc>
        <w:tc>
          <w:tcPr>
            <w:tcW w:w="1240" w:type="dxa"/>
            <w:tcBorders>
              <w:top w:val="nil"/>
              <w:left w:val="nil"/>
              <w:bottom w:val="single" w:sz="8" w:space="0" w:color="auto"/>
              <w:right w:val="single" w:sz="8" w:space="0" w:color="auto"/>
            </w:tcBorders>
            <w:shd w:val="clear" w:color="auto" w:fill="auto"/>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299</w:t>
            </w:r>
          </w:p>
        </w:tc>
        <w:tc>
          <w:tcPr>
            <w:tcW w:w="1240" w:type="dxa"/>
            <w:tcBorders>
              <w:top w:val="nil"/>
              <w:left w:val="nil"/>
              <w:bottom w:val="single" w:sz="8" w:space="0" w:color="auto"/>
              <w:right w:val="single" w:sz="8" w:space="0" w:color="auto"/>
            </w:tcBorders>
            <w:shd w:val="clear" w:color="auto" w:fill="auto"/>
            <w:noWrap/>
            <w:vAlign w:val="center"/>
            <w:hideMark/>
          </w:tcPr>
          <w:p w:rsidR="004C2900" w:rsidRDefault="004C2900">
            <w:pPr>
              <w:ind w:firstLineChars="200" w:firstLine="440"/>
              <w:jc w:val="right"/>
              <w:rPr>
                <w:rFonts w:ascii="Calibri" w:hAnsi="Calibri" w:cs="Calibri"/>
                <w:color w:val="000000"/>
                <w:szCs w:val="22"/>
              </w:rPr>
            </w:pPr>
            <w:r>
              <w:rPr>
                <w:rFonts w:ascii="Calibri" w:hAnsi="Calibri" w:cs="Calibri"/>
                <w:color w:val="000000"/>
                <w:szCs w:val="22"/>
              </w:rPr>
              <w:t>34</w:t>
            </w:r>
          </w:p>
        </w:tc>
      </w:tr>
      <w:tr w:rsidR="004C2900" w:rsidRPr="004C2900" w:rsidTr="00B30F24">
        <w:trPr>
          <w:trHeight w:val="915"/>
        </w:trPr>
        <w:tc>
          <w:tcPr>
            <w:tcW w:w="1340" w:type="dxa"/>
            <w:tcBorders>
              <w:top w:val="nil"/>
              <w:left w:val="single" w:sz="8" w:space="0" w:color="auto"/>
              <w:bottom w:val="single" w:sz="8" w:space="0" w:color="auto"/>
              <w:right w:val="nil"/>
            </w:tcBorders>
            <w:shd w:val="clear" w:color="000000" w:fill="C0C0C0"/>
            <w:vAlign w:val="center"/>
            <w:hideMark/>
          </w:tcPr>
          <w:p w:rsidR="004C2900" w:rsidRPr="004C2900" w:rsidRDefault="004C2900" w:rsidP="00B30F24">
            <w:pPr>
              <w:rPr>
                <w:rFonts w:ascii="Calibri" w:hAnsi="Calibri" w:cs="Calibri"/>
                <w:b/>
                <w:bCs/>
                <w:color w:val="000000"/>
                <w:szCs w:val="22"/>
                <w:lang w:eastAsia="en-AU"/>
              </w:rPr>
            </w:pPr>
            <w:r w:rsidRPr="004C2900">
              <w:rPr>
                <w:rFonts w:ascii="Calibri" w:hAnsi="Calibri" w:cs="Calibri"/>
                <w:b/>
                <w:bCs/>
                <w:color w:val="000000"/>
                <w:szCs w:val="22"/>
                <w:lang w:eastAsia="en-AU"/>
              </w:rPr>
              <w:t>% of</w:t>
            </w:r>
            <w:r w:rsidR="0073635A">
              <w:rPr>
                <w:rFonts w:ascii="Calibri" w:hAnsi="Calibri" w:cs="Calibri"/>
                <w:b/>
                <w:bCs/>
                <w:color w:val="000000"/>
                <w:szCs w:val="22"/>
                <w:lang w:eastAsia="en-AU"/>
              </w:rPr>
              <w:t xml:space="preserve"> results 'C' grade or better </w:t>
            </w:r>
          </w:p>
        </w:tc>
        <w:tc>
          <w:tcPr>
            <w:tcW w:w="1240" w:type="dxa"/>
            <w:tcBorders>
              <w:top w:val="nil"/>
              <w:left w:val="single" w:sz="8" w:space="0" w:color="auto"/>
              <w:bottom w:val="single" w:sz="8" w:space="0" w:color="auto"/>
              <w:right w:val="single" w:sz="8" w:space="0" w:color="auto"/>
            </w:tcBorders>
            <w:shd w:val="clear" w:color="000000" w:fill="C0C0C0"/>
            <w:noWrap/>
            <w:vAlign w:val="center"/>
            <w:hideMark/>
          </w:tcPr>
          <w:p w:rsidR="004C2900" w:rsidRDefault="004C2900">
            <w:pPr>
              <w:ind w:firstLineChars="200" w:firstLine="442"/>
              <w:jc w:val="right"/>
              <w:rPr>
                <w:rFonts w:ascii="Calibri" w:hAnsi="Calibri" w:cs="Calibri"/>
                <w:b/>
                <w:bCs/>
                <w:color w:val="000000"/>
                <w:szCs w:val="22"/>
              </w:rPr>
            </w:pPr>
            <w:r>
              <w:rPr>
                <w:rFonts w:ascii="Calibri" w:hAnsi="Calibri" w:cs="Calibri"/>
                <w:b/>
                <w:bCs/>
                <w:color w:val="000000"/>
                <w:szCs w:val="22"/>
              </w:rPr>
              <w:t>77.2%</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Default="004C2900">
            <w:pPr>
              <w:ind w:firstLineChars="200" w:firstLine="442"/>
              <w:jc w:val="right"/>
              <w:rPr>
                <w:rFonts w:ascii="Calibri" w:hAnsi="Calibri" w:cs="Calibri"/>
                <w:b/>
                <w:bCs/>
                <w:color w:val="000000"/>
                <w:szCs w:val="22"/>
              </w:rPr>
            </w:pPr>
            <w:r>
              <w:rPr>
                <w:rFonts w:ascii="Calibri" w:hAnsi="Calibri" w:cs="Calibri"/>
                <w:b/>
                <w:bCs/>
                <w:color w:val="000000"/>
                <w:szCs w:val="22"/>
              </w:rPr>
              <w:t>80.0%</w:t>
            </w:r>
          </w:p>
        </w:tc>
        <w:tc>
          <w:tcPr>
            <w:tcW w:w="1240" w:type="dxa"/>
            <w:tcBorders>
              <w:top w:val="nil"/>
              <w:left w:val="nil"/>
              <w:bottom w:val="single" w:sz="8" w:space="0" w:color="auto"/>
              <w:right w:val="single" w:sz="8" w:space="0" w:color="auto"/>
            </w:tcBorders>
            <w:shd w:val="clear" w:color="000000" w:fill="C0C0C0"/>
            <w:noWrap/>
            <w:vAlign w:val="center"/>
            <w:hideMark/>
          </w:tcPr>
          <w:p w:rsidR="004C2900" w:rsidRDefault="004C2900">
            <w:pPr>
              <w:ind w:firstLineChars="200" w:firstLine="442"/>
              <w:jc w:val="right"/>
              <w:rPr>
                <w:rFonts w:ascii="Calibri" w:hAnsi="Calibri" w:cs="Calibri"/>
                <w:b/>
                <w:bCs/>
                <w:color w:val="000000"/>
                <w:szCs w:val="22"/>
              </w:rPr>
            </w:pPr>
            <w:r>
              <w:rPr>
                <w:rFonts w:ascii="Calibri" w:hAnsi="Calibri" w:cs="Calibri"/>
                <w:b/>
                <w:bCs/>
                <w:color w:val="000000"/>
                <w:szCs w:val="22"/>
              </w:rPr>
              <w:t>65.1%</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Default="004C2900">
            <w:pPr>
              <w:ind w:firstLineChars="200" w:firstLine="442"/>
              <w:jc w:val="right"/>
              <w:rPr>
                <w:rFonts w:ascii="Calibri" w:hAnsi="Calibri" w:cs="Calibri"/>
                <w:b/>
                <w:bCs/>
                <w:color w:val="000000"/>
                <w:szCs w:val="22"/>
              </w:rPr>
            </w:pPr>
            <w:r>
              <w:rPr>
                <w:rFonts w:ascii="Calibri" w:hAnsi="Calibri" w:cs="Calibri"/>
                <w:b/>
                <w:bCs/>
                <w:color w:val="000000"/>
                <w:szCs w:val="22"/>
              </w:rPr>
              <w:t>50.0%</w:t>
            </w:r>
          </w:p>
        </w:tc>
        <w:tc>
          <w:tcPr>
            <w:tcW w:w="1240" w:type="dxa"/>
            <w:tcBorders>
              <w:top w:val="nil"/>
              <w:left w:val="nil"/>
              <w:bottom w:val="single" w:sz="8" w:space="0" w:color="auto"/>
              <w:right w:val="single" w:sz="8" w:space="0" w:color="auto"/>
            </w:tcBorders>
            <w:shd w:val="clear" w:color="000000" w:fill="C0C0C0"/>
            <w:noWrap/>
            <w:vAlign w:val="center"/>
            <w:hideMark/>
          </w:tcPr>
          <w:p w:rsidR="004C2900" w:rsidRDefault="004C2900">
            <w:pPr>
              <w:ind w:firstLineChars="200" w:firstLine="442"/>
              <w:jc w:val="right"/>
              <w:rPr>
                <w:rFonts w:ascii="Calibri" w:hAnsi="Calibri" w:cs="Calibri"/>
                <w:b/>
                <w:bCs/>
                <w:color w:val="000000"/>
                <w:szCs w:val="22"/>
              </w:rPr>
            </w:pPr>
            <w:r>
              <w:rPr>
                <w:rFonts w:ascii="Calibri" w:hAnsi="Calibri" w:cs="Calibri"/>
                <w:b/>
                <w:bCs/>
                <w:color w:val="000000"/>
                <w:szCs w:val="22"/>
              </w:rPr>
              <w:t>80.7%</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Default="004C2900">
            <w:pPr>
              <w:ind w:firstLineChars="200" w:firstLine="442"/>
              <w:jc w:val="right"/>
              <w:rPr>
                <w:rFonts w:ascii="Calibri" w:hAnsi="Calibri" w:cs="Calibri"/>
                <w:b/>
                <w:bCs/>
                <w:color w:val="000000"/>
                <w:szCs w:val="22"/>
              </w:rPr>
            </w:pPr>
            <w:r>
              <w:rPr>
                <w:rFonts w:ascii="Calibri" w:hAnsi="Calibri" w:cs="Calibri"/>
                <w:b/>
                <w:bCs/>
                <w:color w:val="000000"/>
                <w:szCs w:val="22"/>
              </w:rPr>
              <w:t>85.7%</w:t>
            </w:r>
          </w:p>
        </w:tc>
        <w:tc>
          <w:tcPr>
            <w:tcW w:w="1240" w:type="dxa"/>
            <w:tcBorders>
              <w:top w:val="nil"/>
              <w:left w:val="nil"/>
              <w:bottom w:val="single" w:sz="8" w:space="0" w:color="auto"/>
              <w:right w:val="single" w:sz="8" w:space="0" w:color="auto"/>
            </w:tcBorders>
            <w:shd w:val="clear" w:color="000000" w:fill="C0C0C0"/>
            <w:noWrap/>
            <w:vAlign w:val="center"/>
            <w:hideMark/>
          </w:tcPr>
          <w:p w:rsidR="004C2900" w:rsidRDefault="004C2900">
            <w:pPr>
              <w:ind w:firstLineChars="200" w:firstLine="442"/>
              <w:jc w:val="right"/>
              <w:rPr>
                <w:rFonts w:ascii="Calibri" w:hAnsi="Calibri" w:cs="Calibri"/>
                <w:b/>
                <w:bCs/>
                <w:color w:val="000000"/>
                <w:szCs w:val="22"/>
              </w:rPr>
            </w:pPr>
            <w:r>
              <w:rPr>
                <w:rFonts w:ascii="Calibri" w:hAnsi="Calibri" w:cs="Calibri"/>
                <w:b/>
                <w:bCs/>
                <w:color w:val="000000"/>
                <w:szCs w:val="22"/>
              </w:rPr>
              <w:t>66.6%</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Default="004C2900">
            <w:pPr>
              <w:ind w:firstLineChars="200" w:firstLine="442"/>
              <w:jc w:val="right"/>
              <w:rPr>
                <w:rFonts w:ascii="Calibri" w:hAnsi="Calibri" w:cs="Calibri"/>
                <w:b/>
                <w:bCs/>
                <w:color w:val="000000"/>
                <w:szCs w:val="22"/>
              </w:rPr>
            </w:pPr>
            <w:r>
              <w:rPr>
                <w:rFonts w:ascii="Calibri" w:hAnsi="Calibri" w:cs="Calibri"/>
                <w:b/>
                <w:bCs/>
                <w:color w:val="000000"/>
                <w:szCs w:val="22"/>
              </w:rPr>
              <w:t>67.6%</w:t>
            </w:r>
          </w:p>
        </w:tc>
      </w:tr>
    </w:tbl>
    <w:p w:rsidR="004C2900" w:rsidRPr="001B165D" w:rsidRDefault="004C2900" w:rsidP="004C2900">
      <w:pPr>
        <w:widowControl w:val="0"/>
        <w:spacing w:before="120" w:after="60"/>
        <w:contextualSpacing/>
        <w:rPr>
          <w:rFonts w:eastAsia="Calibri" w:cstheme="minorHAnsi"/>
          <w:b/>
          <w:szCs w:val="24"/>
        </w:rPr>
      </w:pPr>
    </w:p>
    <w:p w:rsidR="004C2900" w:rsidRDefault="004C2900">
      <w:pPr>
        <w:rPr>
          <w:rFonts w:eastAsia="Calibri" w:cstheme="minorHAnsi"/>
          <w:b/>
          <w:szCs w:val="24"/>
        </w:rPr>
      </w:pPr>
      <w:r>
        <w:rPr>
          <w:rFonts w:eastAsia="Calibri" w:cstheme="minorHAnsi"/>
          <w:b/>
          <w:szCs w:val="24"/>
        </w:rPr>
        <w:br w:type="page"/>
      </w:r>
    </w:p>
    <w:p w:rsidR="004C2900" w:rsidRDefault="004C2900" w:rsidP="004C2900">
      <w:pPr>
        <w:widowControl w:val="0"/>
        <w:spacing w:before="120" w:after="60"/>
        <w:contextualSpacing/>
        <w:rPr>
          <w:rFonts w:eastAsia="Calibri" w:cstheme="minorHAnsi"/>
          <w:b/>
          <w:szCs w:val="24"/>
        </w:rPr>
      </w:pPr>
      <w:r w:rsidRPr="001B165D">
        <w:rPr>
          <w:rFonts w:eastAsia="Calibri" w:cstheme="minorHAnsi"/>
          <w:b/>
          <w:szCs w:val="24"/>
        </w:rPr>
        <w:lastRenderedPageBreak/>
        <w:t>Table 2.5(b</w:t>
      </w:r>
      <w:r>
        <w:rPr>
          <w:rFonts w:eastAsia="Calibri" w:cstheme="minorHAnsi"/>
          <w:b/>
          <w:szCs w:val="24"/>
        </w:rPr>
        <w:t>-4</w:t>
      </w:r>
      <w:r w:rsidRPr="001B165D">
        <w:rPr>
          <w:rFonts w:eastAsia="Calibri" w:cstheme="minorHAnsi"/>
          <w:b/>
          <w:szCs w:val="24"/>
        </w:rPr>
        <w:t xml:space="preserve">) – Students participating in </w:t>
      </w:r>
      <w:proofErr w:type="spellStart"/>
      <w:r w:rsidRPr="001B165D">
        <w:rPr>
          <w:rFonts w:eastAsia="Calibri" w:cstheme="minorHAnsi"/>
          <w:b/>
          <w:szCs w:val="24"/>
        </w:rPr>
        <w:t>CMaD</w:t>
      </w:r>
      <w:proofErr w:type="spellEnd"/>
      <w:r w:rsidRPr="001B165D">
        <w:rPr>
          <w:rFonts w:eastAsia="Calibri" w:cstheme="minorHAnsi"/>
          <w:b/>
          <w:szCs w:val="24"/>
        </w:rPr>
        <w:t xml:space="preserve"> NP ‘individual targeted support’ interventions for less than one year</w:t>
      </w:r>
      <w:r>
        <w:rPr>
          <w:rFonts w:eastAsia="Calibri" w:cstheme="minorHAnsi"/>
          <w:b/>
          <w:szCs w:val="24"/>
        </w:rPr>
        <w:t xml:space="preserve"> –</w:t>
      </w:r>
      <w:r w:rsidRPr="004C2900">
        <w:rPr>
          <w:rFonts w:eastAsia="Calibri" w:cstheme="minorHAnsi"/>
          <w:b/>
          <w:szCs w:val="24"/>
        </w:rPr>
        <w:t>Students</w:t>
      </w:r>
      <w:r>
        <w:rPr>
          <w:rFonts w:eastAsia="Calibri" w:cstheme="minorHAnsi"/>
          <w:b/>
          <w:szCs w:val="24"/>
        </w:rPr>
        <w:t xml:space="preserve"> with a Disability</w:t>
      </w:r>
      <w:r w:rsidRPr="004C2900">
        <w:rPr>
          <w:rFonts w:eastAsia="Calibri" w:cstheme="minorHAnsi"/>
          <w:b/>
          <w:szCs w:val="24"/>
        </w:rPr>
        <w:t xml:space="preserve"> in </w:t>
      </w:r>
      <w:proofErr w:type="spellStart"/>
      <w:r w:rsidRPr="004C2900">
        <w:rPr>
          <w:rFonts w:eastAsia="Calibri" w:cstheme="minorHAnsi"/>
          <w:b/>
          <w:szCs w:val="24"/>
        </w:rPr>
        <w:t>CMaD</w:t>
      </w:r>
      <w:proofErr w:type="spellEnd"/>
      <w:r w:rsidRPr="004C2900">
        <w:rPr>
          <w:rFonts w:eastAsia="Calibri" w:cstheme="minorHAnsi"/>
          <w:b/>
          <w:szCs w:val="24"/>
        </w:rPr>
        <w:t xml:space="preserve"> NP (</w:t>
      </w:r>
      <w:r>
        <w:rPr>
          <w:rFonts w:eastAsia="Calibri" w:cstheme="minorHAnsi"/>
          <w:b/>
          <w:szCs w:val="24"/>
        </w:rPr>
        <w:t xml:space="preserve">Low SES) by </w:t>
      </w:r>
      <w:proofErr w:type="spellStart"/>
      <w:r>
        <w:rPr>
          <w:rFonts w:eastAsia="Calibri" w:cstheme="minorHAnsi"/>
          <w:b/>
          <w:szCs w:val="24"/>
        </w:rPr>
        <w:t>L&amp;N</w:t>
      </w:r>
      <w:proofErr w:type="spellEnd"/>
      <w:r>
        <w:rPr>
          <w:rFonts w:eastAsia="Calibri" w:cstheme="minorHAnsi"/>
          <w:b/>
          <w:szCs w:val="24"/>
        </w:rPr>
        <w:t xml:space="preserve"> </w:t>
      </w:r>
      <w:proofErr w:type="spellStart"/>
      <w:r>
        <w:rPr>
          <w:rFonts w:eastAsia="Calibri" w:cstheme="minorHAnsi"/>
          <w:b/>
          <w:szCs w:val="24"/>
        </w:rPr>
        <w:t>SACE</w:t>
      </w:r>
      <w:proofErr w:type="spellEnd"/>
      <w:r>
        <w:rPr>
          <w:rFonts w:eastAsia="Calibri" w:cstheme="minorHAnsi"/>
          <w:b/>
          <w:szCs w:val="24"/>
        </w:rPr>
        <w:t xml:space="preserve"> Subject </w:t>
      </w:r>
    </w:p>
    <w:tbl>
      <w:tblPr>
        <w:tblW w:w="11260" w:type="dxa"/>
        <w:tblInd w:w="93" w:type="dxa"/>
        <w:tblLook w:val="04A0" w:firstRow="1" w:lastRow="0" w:firstColumn="1" w:lastColumn="0" w:noHBand="0" w:noVBand="1"/>
      </w:tblPr>
      <w:tblGrid>
        <w:gridCol w:w="1340"/>
        <w:gridCol w:w="1240"/>
        <w:gridCol w:w="1240"/>
        <w:gridCol w:w="1240"/>
        <w:gridCol w:w="1240"/>
        <w:gridCol w:w="1240"/>
        <w:gridCol w:w="1240"/>
        <w:gridCol w:w="1240"/>
        <w:gridCol w:w="1240"/>
      </w:tblGrid>
      <w:tr w:rsidR="004C2900" w:rsidRPr="004C2900" w:rsidTr="00B30F24">
        <w:trPr>
          <w:trHeight w:val="1515"/>
        </w:trPr>
        <w:tc>
          <w:tcPr>
            <w:tcW w:w="1340" w:type="dxa"/>
            <w:tcBorders>
              <w:top w:val="single" w:sz="8" w:space="0" w:color="auto"/>
              <w:left w:val="single" w:sz="8" w:space="0" w:color="auto"/>
              <w:bottom w:val="nil"/>
              <w:right w:val="nil"/>
            </w:tcBorders>
            <w:shd w:val="clear" w:color="auto" w:fill="auto"/>
            <w:vAlign w:val="center"/>
            <w:hideMark/>
          </w:tcPr>
          <w:p w:rsidR="004C2900" w:rsidRPr="004C2900" w:rsidRDefault="004C2900" w:rsidP="00B30F24">
            <w:pPr>
              <w:rPr>
                <w:rFonts w:ascii="Calibri" w:hAnsi="Calibri" w:cs="Calibri"/>
                <w:b/>
                <w:bCs/>
                <w:color w:val="000000"/>
                <w:szCs w:val="22"/>
                <w:lang w:eastAsia="en-AU"/>
              </w:rPr>
            </w:pPr>
            <w:r w:rsidRPr="004C2900">
              <w:rPr>
                <w:rFonts w:ascii="Calibri" w:hAnsi="Calibri" w:cs="Calibri"/>
                <w:b/>
                <w:bCs/>
                <w:color w:val="000000"/>
                <w:szCs w:val="22"/>
                <w:lang w:eastAsia="en-AU"/>
              </w:rPr>
              <w:t>School Year Level</w:t>
            </w:r>
          </w:p>
        </w:tc>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C2900" w:rsidRPr="004C2900" w:rsidRDefault="004C2900" w:rsidP="00B30F24">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2011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Literacy Subjects</w:t>
            </w:r>
            <w:r w:rsidRPr="004C2900">
              <w:rPr>
                <w:rFonts w:ascii="Calibri" w:hAnsi="Calibri" w:cs="Calibri"/>
                <w:b/>
                <w:bCs/>
                <w:color w:val="000000"/>
                <w:szCs w:val="22"/>
                <w:lang w:eastAsia="en-AU"/>
              </w:rPr>
              <w:br/>
              <w:t>Stage 1</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B30F24">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2011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Literacy Subjects</w:t>
            </w:r>
            <w:r w:rsidRPr="004C2900">
              <w:rPr>
                <w:rFonts w:ascii="Calibri" w:hAnsi="Calibri" w:cs="Calibri"/>
                <w:b/>
                <w:bCs/>
                <w:color w:val="000000"/>
                <w:szCs w:val="22"/>
                <w:lang w:eastAsia="en-AU"/>
              </w:rPr>
              <w:br/>
              <w:t>Stage 2</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B30F24">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2011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Numeracy Subjects</w:t>
            </w:r>
            <w:r w:rsidRPr="004C2900">
              <w:rPr>
                <w:rFonts w:ascii="Calibri" w:hAnsi="Calibri" w:cs="Calibri"/>
                <w:b/>
                <w:bCs/>
                <w:color w:val="000000"/>
                <w:szCs w:val="22"/>
                <w:lang w:eastAsia="en-AU"/>
              </w:rPr>
              <w:br/>
              <w:t>Stage 1</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B30F24">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2011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Numeracy Subjects</w:t>
            </w:r>
            <w:r w:rsidRPr="004C2900">
              <w:rPr>
                <w:rFonts w:ascii="Calibri" w:hAnsi="Calibri" w:cs="Calibri"/>
                <w:b/>
                <w:bCs/>
                <w:color w:val="000000"/>
                <w:szCs w:val="22"/>
                <w:lang w:eastAsia="en-AU"/>
              </w:rPr>
              <w:br/>
              <w:t>Stage 2</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B30F24">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2012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Literacy Subjects</w:t>
            </w:r>
            <w:r w:rsidRPr="004C2900">
              <w:rPr>
                <w:rFonts w:ascii="Calibri" w:hAnsi="Calibri" w:cs="Calibri"/>
                <w:b/>
                <w:bCs/>
                <w:color w:val="000000"/>
                <w:szCs w:val="22"/>
                <w:lang w:eastAsia="en-AU"/>
              </w:rPr>
              <w:br/>
              <w:t>Stage 1</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B30F24">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2012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Literacy Subjects</w:t>
            </w:r>
            <w:r w:rsidRPr="004C2900">
              <w:rPr>
                <w:rFonts w:ascii="Calibri" w:hAnsi="Calibri" w:cs="Calibri"/>
                <w:b/>
                <w:bCs/>
                <w:color w:val="000000"/>
                <w:szCs w:val="22"/>
                <w:lang w:eastAsia="en-AU"/>
              </w:rPr>
              <w:br/>
              <w:t>Stage 2</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B30F24">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2012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Numeracy Subjects</w:t>
            </w:r>
            <w:r w:rsidRPr="004C2900">
              <w:rPr>
                <w:rFonts w:ascii="Calibri" w:hAnsi="Calibri" w:cs="Calibri"/>
                <w:b/>
                <w:bCs/>
                <w:color w:val="000000"/>
                <w:szCs w:val="22"/>
                <w:lang w:eastAsia="en-AU"/>
              </w:rPr>
              <w:br/>
              <w:t>Stage 1</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C2900" w:rsidRPr="004C2900" w:rsidRDefault="004C2900" w:rsidP="00B30F24">
            <w:pPr>
              <w:jc w:val="center"/>
              <w:rPr>
                <w:rFonts w:ascii="Calibri" w:hAnsi="Calibri" w:cs="Calibri"/>
                <w:b/>
                <w:bCs/>
                <w:color w:val="000000"/>
                <w:szCs w:val="22"/>
                <w:lang w:eastAsia="en-AU"/>
              </w:rPr>
            </w:pPr>
            <w:r w:rsidRPr="004C2900">
              <w:rPr>
                <w:rFonts w:ascii="Calibri" w:hAnsi="Calibri" w:cs="Calibri"/>
                <w:b/>
                <w:bCs/>
                <w:color w:val="000000"/>
                <w:szCs w:val="22"/>
                <w:lang w:eastAsia="en-AU"/>
              </w:rPr>
              <w:t xml:space="preserve">2012 </w:t>
            </w:r>
            <w:r w:rsidRPr="004C2900">
              <w:rPr>
                <w:rFonts w:ascii="Calibri" w:hAnsi="Calibri" w:cs="Calibri"/>
                <w:b/>
                <w:bCs/>
                <w:color w:val="000000"/>
                <w:szCs w:val="22"/>
                <w:lang w:eastAsia="en-AU"/>
              </w:rPr>
              <w:br/>
            </w:r>
            <w:proofErr w:type="spellStart"/>
            <w:r w:rsidRPr="004C2900">
              <w:rPr>
                <w:rFonts w:ascii="Calibri" w:hAnsi="Calibri" w:cs="Calibri"/>
                <w:b/>
                <w:bCs/>
                <w:color w:val="000000"/>
                <w:szCs w:val="22"/>
                <w:lang w:eastAsia="en-AU"/>
              </w:rPr>
              <w:t>SACE</w:t>
            </w:r>
            <w:proofErr w:type="spellEnd"/>
            <w:r w:rsidRPr="004C2900">
              <w:rPr>
                <w:rFonts w:ascii="Calibri" w:hAnsi="Calibri" w:cs="Calibri"/>
                <w:b/>
                <w:bCs/>
                <w:color w:val="000000"/>
                <w:szCs w:val="22"/>
                <w:lang w:eastAsia="en-AU"/>
              </w:rPr>
              <w:t xml:space="preserve"> results</w:t>
            </w:r>
            <w:r w:rsidRPr="004C2900">
              <w:rPr>
                <w:rFonts w:ascii="Calibri" w:hAnsi="Calibri" w:cs="Calibri"/>
                <w:b/>
                <w:bCs/>
                <w:color w:val="000000"/>
                <w:szCs w:val="22"/>
                <w:lang w:eastAsia="en-AU"/>
              </w:rPr>
              <w:br/>
              <w:t>Numeracy Subjects</w:t>
            </w:r>
            <w:r w:rsidRPr="004C2900">
              <w:rPr>
                <w:rFonts w:ascii="Calibri" w:hAnsi="Calibri" w:cs="Calibri"/>
                <w:b/>
                <w:bCs/>
                <w:color w:val="000000"/>
                <w:szCs w:val="22"/>
                <w:lang w:eastAsia="en-AU"/>
              </w:rPr>
              <w:br/>
              <w:t>Stage 2</w:t>
            </w:r>
          </w:p>
        </w:tc>
      </w:tr>
      <w:tr w:rsidR="004C2900" w:rsidRPr="004C2900" w:rsidTr="004C2900">
        <w:trPr>
          <w:trHeight w:val="1515"/>
        </w:trPr>
        <w:tc>
          <w:tcPr>
            <w:tcW w:w="1340" w:type="dxa"/>
            <w:tcBorders>
              <w:top w:val="single" w:sz="8" w:space="0" w:color="auto"/>
              <w:left w:val="single" w:sz="8" w:space="0" w:color="auto"/>
              <w:bottom w:val="single" w:sz="8" w:space="0" w:color="auto"/>
              <w:right w:val="nil"/>
            </w:tcBorders>
            <w:shd w:val="clear" w:color="000000" w:fill="C0C0C0"/>
            <w:vAlign w:val="center"/>
            <w:hideMark/>
          </w:tcPr>
          <w:p w:rsidR="004C2900" w:rsidRPr="004C2900" w:rsidRDefault="004C2900" w:rsidP="00B30F24">
            <w:pPr>
              <w:rPr>
                <w:rFonts w:ascii="Calibri" w:hAnsi="Calibri" w:cs="Calibri"/>
                <w:color w:val="000000"/>
                <w:szCs w:val="22"/>
                <w:lang w:eastAsia="en-AU"/>
              </w:rPr>
            </w:pPr>
            <w:r w:rsidRPr="004C2900">
              <w:rPr>
                <w:rFonts w:ascii="Calibri" w:hAnsi="Calibri" w:cs="Calibri"/>
                <w:color w:val="000000"/>
                <w:szCs w:val="22"/>
                <w:lang w:eastAsia="en-AU"/>
              </w:rPr>
              <w:t>No. of students who undertook subject</w:t>
            </w:r>
          </w:p>
        </w:tc>
        <w:tc>
          <w:tcPr>
            <w:tcW w:w="1240" w:type="dxa"/>
            <w:tcBorders>
              <w:top w:val="nil"/>
              <w:left w:val="single" w:sz="8" w:space="0" w:color="auto"/>
              <w:bottom w:val="single" w:sz="8" w:space="0" w:color="auto"/>
              <w:right w:val="single" w:sz="8" w:space="0" w:color="auto"/>
            </w:tcBorders>
            <w:shd w:val="clear" w:color="000000" w:fill="C0C0C0"/>
            <w:noWrap/>
            <w:vAlign w:val="center"/>
            <w:hideMark/>
          </w:tcPr>
          <w:p w:rsidR="004C2900" w:rsidRPr="004C2900" w:rsidRDefault="004C2900" w:rsidP="004C2900">
            <w:pPr>
              <w:jc w:val="center"/>
              <w:rPr>
                <w:rFonts w:cstheme="minorHAnsi"/>
              </w:rPr>
            </w:pPr>
            <w:r w:rsidRPr="004C2900">
              <w:rPr>
                <w:rFonts w:cstheme="minorHAnsi"/>
              </w:rPr>
              <w:t>173</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Pr="004C2900" w:rsidRDefault="004C2900" w:rsidP="004C2900">
            <w:pPr>
              <w:jc w:val="center"/>
              <w:rPr>
                <w:rFonts w:cstheme="minorHAnsi"/>
              </w:rPr>
            </w:pPr>
            <w:r w:rsidRPr="004C2900">
              <w:rPr>
                <w:rFonts w:cstheme="minorHAnsi"/>
              </w:rPr>
              <w:t>13</w:t>
            </w:r>
          </w:p>
        </w:tc>
        <w:tc>
          <w:tcPr>
            <w:tcW w:w="1240" w:type="dxa"/>
            <w:tcBorders>
              <w:top w:val="nil"/>
              <w:left w:val="nil"/>
              <w:bottom w:val="single" w:sz="8" w:space="0" w:color="auto"/>
              <w:right w:val="single" w:sz="8" w:space="0" w:color="auto"/>
            </w:tcBorders>
            <w:shd w:val="clear" w:color="000000" w:fill="C0C0C0"/>
            <w:noWrap/>
            <w:vAlign w:val="center"/>
            <w:hideMark/>
          </w:tcPr>
          <w:p w:rsidR="004C2900" w:rsidRPr="004C2900" w:rsidRDefault="004C2900" w:rsidP="004C2900">
            <w:pPr>
              <w:jc w:val="center"/>
              <w:rPr>
                <w:rFonts w:cstheme="minorHAnsi"/>
              </w:rPr>
            </w:pPr>
            <w:r w:rsidRPr="004C2900">
              <w:rPr>
                <w:rFonts w:cstheme="minorHAnsi"/>
              </w:rPr>
              <w:t>168</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Pr="004C2900" w:rsidRDefault="004C2900" w:rsidP="004C2900">
            <w:pPr>
              <w:jc w:val="center"/>
              <w:rPr>
                <w:rFonts w:cstheme="minorHAnsi"/>
              </w:rPr>
            </w:pPr>
            <w:proofErr w:type="spellStart"/>
            <w:r w:rsidRPr="004C2900">
              <w:rPr>
                <w:rFonts w:cstheme="minorHAnsi"/>
              </w:rPr>
              <w:t>na</w:t>
            </w:r>
            <w:proofErr w:type="spellEnd"/>
          </w:p>
        </w:tc>
        <w:tc>
          <w:tcPr>
            <w:tcW w:w="1240" w:type="dxa"/>
            <w:tcBorders>
              <w:top w:val="nil"/>
              <w:left w:val="nil"/>
              <w:bottom w:val="single" w:sz="8" w:space="0" w:color="auto"/>
              <w:right w:val="single" w:sz="8" w:space="0" w:color="auto"/>
            </w:tcBorders>
            <w:shd w:val="clear" w:color="000000" w:fill="C0C0C0"/>
            <w:noWrap/>
            <w:vAlign w:val="center"/>
            <w:hideMark/>
          </w:tcPr>
          <w:p w:rsidR="004C2900" w:rsidRPr="004C2900" w:rsidRDefault="004C2900" w:rsidP="004C2900">
            <w:pPr>
              <w:jc w:val="center"/>
              <w:rPr>
                <w:rFonts w:cstheme="minorHAnsi"/>
              </w:rPr>
            </w:pPr>
            <w:r w:rsidRPr="004C2900">
              <w:rPr>
                <w:rFonts w:cstheme="minorHAnsi"/>
              </w:rPr>
              <w:t>204</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Pr="004C2900" w:rsidRDefault="004C2900" w:rsidP="004C2900">
            <w:pPr>
              <w:jc w:val="center"/>
              <w:rPr>
                <w:rFonts w:cstheme="minorHAnsi"/>
              </w:rPr>
            </w:pPr>
            <w:r w:rsidRPr="004C2900">
              <w:rPr>
                <w:rFonts w:cstheme="minorHAnsi"/>
              </w:rPr>
              <w:t>16</w:t>
            </w:r>
          </w:p>
        </w:tc>
        <w:tc>
          <w:tcPr>
            <w:tcW w:w="1240" w:type="dxa"/>
            <w:tcBorders>
              <w:top w:val="nil"/>
              <w:left w:val="nil"/>
              <w:bottom w:val="single" w:sz="8" w:space="0" w:color="auto"/>
              <w:right w:val="single" w:sz="8" w:space="0" w:color="auto"/>
            </w:tcBorders>
            <w:shd w:val="clear" w:color="000000" w:fill="C0C0C0"/>
            <w:noWrap/>
            <w:vAlign w:val="center"/>
            <w:hideMark/>
          </w:tcPr>
          <w:p w:rsidR="004C2900" w:rsidRPr="004C2900" w:rsidRDefault="004C2900" w:rsidP="004C2900">
            <w:pPr>
              <w:jc w:val="center"/>
              <w:rPr>
                <w:rFonts w:cstheme="minorHAnsi"/>
              </w:rPr>
            </w:pPr>
            <w:r w:rsidRPr="004C2900">
              <w:rPr>
                <w:rFonts w:cstheme="minorHAnsi"/>
              </w:rPr>
              <w:t>196</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Pr="004C2900" w:rsidRDefault="004C2900" w:rsidP="004C2900">
            <w:pPr>
              <w:jc w:val="center"/>
              <w:rPr>
                <w:rFonts w:cstheme="minorHAnsi"/>
              </w:rPr>
            </w:pPr>
            <w:r w:rsidRPr="004C2900">
              <w:rPr>
                <w:rFonts w:cstheme="minorHAnsi"/>
              </w:rPr>
              <w:t>6</w:t>
            </w:r>
          </w:p>
        </w:tc>
      </w:tr>
      <w:tr w:rsidR="004C2900" w:rsidRPr="004C2900" w:rsidTr="004C2900">
        <w:trPr>
          <w:trHeight w:val="915"/>
        </w:trPr>
        <w:tc>
          <w:tcPr>
            <w:tcW w:w="1340" w:type="dxa"/>
            <w:tcBorders>
              <w:top w:val="nil"/>
              <w:left w:val="single" w:sz="8" w:space="0" w:color="auto"/>
              <w:bottom w:val="single" w:sz="8" w:space="0" w:color="auto"/>
              <w:right w:val="nil"/>
            </w:tcBorders>
            <w:shd w:val="clear" w:color="auto" w:fill="auto"/>
            <w:vAlign w:val="center"/>
            <w:hideMark/>
          </w:tcPr>
          <w:p w:rsidR="004C2900" w:rsidRPr="004C2900" w:rsidRDefault="0073635A" w:rsidP="00B30F24">
            <w:pPr>
              <w:rPr>
                <w:rFonts w:ascii="Calibri" w:hAnsi="Calibri" w:cs="Calibri"/>
                <w:color w:val="000000"/>
                <w:szCs w:val="22"/>
                <w:lang w:eastAsia="en-AU"/>
              </w:rPr>
            </w:pPr>
            <w:r>
              <w:rPr>
                <w:rFonts w:ascii="Calibri" w:hAnsi="Calibri" w:cs="Calibri"/>
                <w:color w:val="000000"/>
                <w:szCs w:val="22"/>
                <w:lang w:eastAsia="en-AU"/>
              </w:rPr>
              <w:t xml:space="preserve">No. of subject results </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4C2900" w:rsidRPr="004C2900" w:rsidRDefault="004C2900" w:rsidP="004C2900">
            <w:pPr>
              <w:jc w:val="center"/>
              <w:rPr>
                <w:rFonts w:cstheme="minorHAnsi"/>
              </w:rPr>
            </w:pPr>
            <w:r w:rsidRPr="004C2900">
              <w:rPr>
                <w:rFonts w:cstheme="minorHAnsi"/>
              </w:rPr>
              <w:t>332</w:t>
            </w:r>
          </w:p>
        </w:tc>
        <w:tc>
          <w:tcPr>
            <w:tcW w:w="1240" w:type="dxa"/>
            <w:tcBorders>
              <w:top w:val="nil"/>
              <w:left w:val="nil"/>
              <w:bottom w:val="single" w:sz="8" w:space="0" w:color="auto"/>
              <w:right w:val="single" w:sz="8" w:space="0" w:color="auto"/>
            </w:tcBorders>
            <w:shd w:val="clear" w:color="auto" w:fill="auto"/>
            <w:noWrap/>
            <w:vAlign w:val="center"/>
            <w:hideMark/>
          </w:tcPr>
          <w:p w:rsidR="004C2900" w:rsidRPr="004C2900" w:rsidRDefault="004C2900" w:rsidP="004C2900">
            <w:pPr>
              <w:jc w:val="center"/>
              <w:rPr>
                <w:rFonts w:cstheme="minorHAnsi"/>
              </w:rPr>
            </w:pPr>
            <w:r w:rsidRPr="004C2900">
              <w:rPr>
                <w:rFonts w:cstheme="minorHAnsi"/>
              </w:rPr>
              <w:t>13</w:t>
            </w:r>
          </w:p>
        </w:tc>
        <w:tc>
          <w:tcPr>
            <w:tcW w:w="1240" w:type="dxa"/>
            <w:tcBorders>
              <w:top w:val="nil"/>
              <w:left w:val="nil"/>
              <w:bottom w:val="single" w:sz="8" w:space="0" w:color="auto"/>
              <w:right w:val="single" w:sz="8" w:space="0" w:color="auto"/>
            </w:tcBorders>
            <w:shd w:val="clear" w:color="auto" w:fill="auto"/>
            <w:noWrap/>
            <w:vAlign w:val="center"/>
            <w:hideMark/>
          </w:tcPr>
          <w:p w:rsidR="004C2900" w:rsidRPr="004C2900" w:rsidRDefault="004C2900" w:rsidP="004C2900">
            <w:pPr>
              <w:jc w:val="center"/>
              <w:rPr>
                <w:rFonts w:cstheme="minorHAnsi"/>
              </w:rPr>
            </w:pPr>
            <w:r w:rsidRPr="004C2900">
              <w:rPr>
                <w:rFonts w:cstheme="minorHAnsi"/>
              </w:rPr>
              <w:t>268</w:t>
            </w:r>
          </w:p>
        </w:tc>
        <w:tc>
          <w:tcPr>
            <w:tcW w:w="1240" w:type="dxa"/>
            <w:tcBorders>
              <w:top w:val="nil"/>
              <w:left w:val="nil"/>
              <w:bottom w:val="single" w:sz="8" w:space="0" w:color="auto"/>
              <w:right w:val="single" w:sz="8" w:space="0" w:color="auto"/>
            </w:tcBorders>
            <w:shd w:val="clear" w:color="auto" w:fill="auto"/>
            <w:noWrap/>
            <w:vAlign w:val="center"/>
            <w:hideMark/>
          </w:tcPr>
          <w:p w:rsidR="004C2900" w:rsidRPr="004C2900" w:rsidRDefault="004C2900" w:rsidP="004C2900">
            <w:pPr>
              <w:jc w:val="center"/>
              <w:rPr>
                <w:rFonts w:cstheme="minorHAnsi"/>
              </w:rPr>
            </w:pPr>
            <w:proofErr w:type="spellStart"/>
            <w:r w:rsidRPr="004C2900">
              <w:rPr>
                <w:rFonts w:cstheme="minorHAnsi"/>
              </w:rPr>
              <w:t>na</w:t>
            </w:r>
            <w:proofErr w:type="spellEnd"/>
          </w:p>
        </w:tc>
        <w:tc>
          <w:tcPr>
            <w:tcW w:w="1240" w:type="dxa"/>
            <w:tcBorders>
              <w:top w:val="nil"/>
              <w:left w:val="nil"/>
              <w:bottom w:val="single" w:sz="8" w:space="0" w:color="auto"/>
              <w:right w:val="single" w:sz="8" w:space="0" w:color="auto"/>
            </w:tcBorders>
            <w:shd w:val="clear" w:color="auto" w:fill="auto"/>
            <w:noWrap/>
            <w:vAlign w:val="center"/>
            <w:hideMark/>
          </w:tcPr>
          <w:p w:rsidR="004C2900" w:rsidRPr="004C2900" w:rsidRDefault="004C2900" w:rsidP="004C2900">
            <w:pPr>
              <w:jc w:val="center"/>
              <w:rPr>
                <w:rFonts w:cstheme="minorHAnsi"/>
              </w:rPr>
            </w:pPr>
            <w:r w:rsidRPr="004C2900">
              <w:rPr>
                <w:rFonts w:cstheme="minorHAnsi"/>
              </w:rPr>
              <w:t>296</w:t>
            </w:r>
          </w:p>
        </w:tc>
        <w:tc>
          <w:tcPr>
            <w:tcW w:w="1240" w:type="dxa"/>
            <w:tcBorders>
              <w:top w:val="nil"/>
              <w:left w:val="nil"/>
              <w:bottom w:val="single" w:sz="8" w:space="0" w:color="auto"/>
              <w:right w:val="single" w:sz="8" w:space="0" w:color="auto"/>
            </w:tcBorders>
            <w:shd w:val="clear" w:color="auto" w:fill="auto"/>
            <w:noWrap/>
            <w:vAlign w:val="center"/>
            <w:hideMark/>
          </w:tcPr>
          <w:p w:rsidR="004C2900" w:rsidRPr="004C2900" w:rsidRDefault="004C2900" w:rsidP="004C2900">
            <w:pPr>
              <w:jc w:val="center"/>
              <w:rPr>
                <w:rFonts w:cstheme="minorHAnsi"/>
              </w:rPr>
            </w:pPr>
            <w:r w:rsidRPr="004C2900">
              <w:rPr>
                <w:rFonts w:cstheme="minorHAnsi"/>
              </w:rPr>
              <w:t>16</w:t>
            </w:r>
          </w:p>
        </w:tc>
        <w:tc>
          <w:tcPr>
            <w:tcW w:w="1240" w:type="dxa"/>
            <w:tcBorders>
              <w:top w:val="nil"/>
              <w:left w:val="nil"/>
              <w:bottom w:val="single" w:sz="8" w:space="0" w:color="auto"/>
              <w:right w:val="single" w:sz="8" w:space="0" w:color="auto"/>
            </w:tcBorders>
            <w:shd w:val="clear" w:color="auto" w:fill="auto"/>
            <w:noWrap/>
            <w:vAlign w:val="center"/>
            <w:hideMark/>
          </w:tcPr>
          <w:p w:rsidR="004C2900" w:rsidRPr="004C2900" w:rsidRDefault="004C2900" w:rsidP="004C2900">
            <w:pPr>
              <w:jc w:val="center"/>
              <w:rPr>
                <w:rFonts w:cstheme="minorHAnsi"/>
              </w:rPr>
            </w:pPr>
            <w:r w:rsidRPr="004C2900">
              <w:rPr>
                <w:rFonts w:cstheme="minorHAnsi"/>
              </w:rPr>
              <w:t>301</w:t>
            </w:r>
          </w:p>
        </w:tc>
        <w:tc>
          <w:tcPr>
            <w:tcW w:w="1240" w:type="dxa"/>
            <w:tcBorders>
              <w:top w:val="nil"/>
              <w:left w:val="nil"/>
              <w:bottom w:val="single" w:sz="8" w:space="0" w:color="auto"/>
              <w:right w:val="single" w:sz="8" w:space="0" w:color="auto"/>
            </w:tcBorders>
            <w:shd w:val="clear" w:color="auto" w:fill="auto"/>
            <w:noWrap/>
            <w:vAlign w:val="center"/>
            <w:hideMark/>
          </w:tcPr>
          <w:p w:rsidR="004C2900" w:rsidRPr="004C2900" w:rsidRDefault="004C2900" w:rsidP="004C2900">
            <w:pPr>
              <w:jc w:val="center"/>
              <w:rPr>
                <w:rFonts w:cstheme="minorHAnsi"/>
              </w:rPr>
            </w:pPr>
            <w:r w:rsidRPr="004C2900">
              <w:rPr>
                <w:rFonts w:cstheme="minorHAnsi"/>
              </w:rPr>
              <w:t>7</w:t>
            </w:r>
          </w:p>
        </w:tc>
      </w:tr>
      <w:tr w:rsidR="004C2900" w:rsidRPr="004C2900" w:rsidTr="004C2900">
        <w:trPr>
          <w:trHeight w:val="915"/>
        </w:trPr>
        <w:tc>
          <w:tcPr>
            <w:tcW w:w="1340" w:type="dxa"/>
            <w:tcBorders>
              <w:top w:val="nil"/>
              <w:left w:val="single" w:sz="8" w:space="0" w:color="auto"/>
              <w:bottom w:val="single" w:sz="8" w:space="0" w:color="auto"/>
              <w:right w:val="nil"/>
            </w:tcBorders>
            <w:shd w:val="clear" w:color="000000" w:fill="C0C0C0"/>
            <w:vAlign w:val="center"/>
            <w:hideMark/>
          </w:tcPr>
          <w:p w:rsidR="004C2900" w:rsidRPr="004C2900" w:rsidRDefault="004C2900" w:rsidP="00B30F24">
            <w:pPr>
              <w:rPr>
                <w:rFonts w:ascii="Calibri" w:hAnsi="Calibri" w:cs="Calibri"/>
                <w:b/>
                <w:bCs/>
                <w:color w:val="000000"/>
                <w:szCs w:val="22"/>
                <w:lang w:eastAsia="en-AU"/>
              </w:rPr>
            </w:pPr>
            <w:r w:rsidRPr="004C2900">
              <w:rPr>
                <w:rFonts w:ascii="Calibri" w:hAnsi="Calibri" w:cs="Calibri"/>
                <w:b/>
                <w:bCs/>
                <w:color w:val="000000"/>
                <w:szCs w:val="22"/>
                <w:lang w:eastAsia="en-AU"/>
              </w:rPr>
              <w:t>% of</w:t>
            </w:r>
            <w:r w:rsidR="0073635A">
              <w:rPr>
                <w:rFonts w:ascii="Calibri" w:hAnsi="Calibri" w:cs="Calibri"/>
                <w:b/>
                <w:bCs/>
                <w:color w:val="000000"/>
                <w:szCs w:val="22"/>
                <w:lang w:eastAsia="en-AU"/>
              </w:rPr>
              <w:t xml:space="preserve"> results 'C' grade or better </w:t>
            </w:r>
          </w:p>
        </w:tc>
        <w:tc>
          <w:tcPr>
            <w:tcW w:w="1240" w:type="dxa"/>
            <w:tcBorders>
              <w:top w:val="nil"/>
              <w:left w:val="single" w:sz="8" w:space="0" w:color="auto"/>
              <w:bottom w:val="single" w:sz="8" w:space="0" w:color="auto"/>
              <w:right w:val="single" w:sz="8" w:space="0" w:color="auto"/>
            </w:tcBorders>
            <w:shd w:val="clear" w:color="000000" w:fill="C0C0C0"/>
            <w:noWrap/>
            <w:vAlign w:val="center"/>
            <w:hideMark/>
          </w:tcPr>
          <w:p w:rsidR="004C2900" w:rsidRPr="004C2900" w:rsidRDefault="004C2900" w:rsidP="004C2900">
            <w:pPr>
              <w:jc w:val="center"/>
              <w:rPr>
                <w:rFonts w:cstheme="minorHAnsi"/>
                <w:b/>
              </w:rPr>
            </w:pPr>
            <w:r w:rsidRPr="004C2900">
              <w:rPr>
                <w:rFonts w:cstheme="minorHAnsi"/>
                <w:b/>
              </w:rPr>
              <w:t>74.4%</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Pr="004C2900" w:rsidRDefault="004C2900" w:rsidP="004C2900">
            <w:pPr>
              <w:jc w:val="center"/>
              <w:rPr>
                <w:rFonts w:cstheme="minorHAnsi"/>
                <w:b/>
              </w:rPr>
            </w:pPr>
            <w:r w:rsidRPr="004C2900">
              <w:rPr>
                <w:rFonts w:cstheme="minorHAnsi"/>
                <w:b/>
              </w:rPr>
              <w:t>84.6%</w:t>
            </w:r>
          </w:p>
        </w:tc>
        <w:tc>
          <w:tcPr>
            <w:tcW w:w="1240" w:type="dxa"/>
            <w:tcBorders>
              <w:top w:val="nil"/>
              <w:left w:val="nil"/>
              <w:bottom w:val="single" w:sz="8" w:space="0" w:color="auto"/>
              <w:right w:val="single" w:sz="8" w:space="0" w:color="auto"/>
            </w:tcBorders>
            <w:shd w:val="clear" w:color="000000" w:fill="C0C0C0"/>
            <w:noWrap/>
            <w:vAlign w:val="center"/>
            <w:hideMark/>
          </w:tcPr>
          <w:p w:rsidR="004C2900" w:rsidRPr="004C2900" w:rsidRDefault="004C2900" w:rsidP="004C2900">
            <w:pPr>
              <w:jc w:val="center"/>
              <w:rPr>
                <w:rFonts w:cstheme="minorHAnsi"/>
                <w:b/>
              </w:rPr>
            </w:pPr>
            <w:r w:rsidRPr="004C2900">
              <w:rPr>
                <w:rFonts w:cstheme="minorHAnsi"/>
                <w:b/>
              </w:rPr>
              <w:t>65.7%</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Pr="004C2900" w:rsidRDefault="004C2900" w:rsidP="004C2900">
            <w:pPr>
              <w:jc w:val="center"/>
              <w:rPr>
                <w:rFonts w:cstheme="minorHAnsi"/>
                <w:b/>
              </w:rPr>
            </w:pPr>
            <w:proofErr w:type="spellStart"/>
            <w:r w:rsidRPr="004C2900">
              <w:rPr>
                <w:rFonts w:cstheme="minorHAnsi"/>
                <w:b/>
              </w:rPr>
              <w:t>na</w:t>
            </w:r>
            <w:proofErr w:type="spellEnd"/>
          </w:p>
        </w:tc>
        <w:tc>
          <w:tcPr>
            <w:tcW w:w="1240" w:type="dxa"/>
            <w:tcBorders>
              <w:top w:val="nil"/>
              <w:left w:val="nil"/>
              <w:bottom w:val="single" w:sz="8" w:space="0" w:color="auto"/>
              <w:right w:val="single" w:sz="8" w:space="0" w:color="auto"/>
            </w:tcBorders>
            <w:shd w:val="clear" w:color="000000" w:fill="C0C0C0"/>
            <w:noWrap/>
            <w:vAlign w:val="center"/>
            <w:hideMark/>
          </w:tcPr>
          <w:p w:rsidR="004C2900" w:rsidRPr="004C2900" w:rsidRDefault="004C2900" w:rsidP="004C2900">
            <w:pPr>
              <w:jc w:val="center"/>
              <w:rPr>
                <w:rFonts w:cstheme="minorHAnsi"/>
                <w:b/>
              </w:rPr>
            </w:pPr>
            <w:r w:rsidRPr="004C2900">
              <w:rPr>
                <w:rFonts w:cstheme="minorHAnsi"/>
                <w:b/>
              </w:rPr>
              <w:t>77.7%</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Pr="004C2900" w:rsidRDefault="004C2900" w:rsidP="004C2900">
            <w:pPr>
              <w:jc w:val="center"/>
              <w:rPr>
                <w:rFonts w:cstheme="minorHAnsi"/>
                <w:b/>
              </w:rPr>
            </w:pPr>
            <w:r w:rsidRPr="004C2900">
              <w:rPr>
                <w:rFonts w:cstheme="minorHAnsi"/>
                <w:b/>
              </w:rPr>
              <w:t>100.0%</w:t>
            </w:r>
          </w:p>
        </w:tc>
        <w:tc>
          <w:tcPr>
            <w:tcW w:w="1240" w:type="dxa"/>
            <w:tcBorders>
              <w:top w:val="nil"/>
              <w:left w:val="nil"/>
              <w:bottom w:val="single" w:sz="8" w:space="0" w:color="auto"/>
              <w:right w:val="single" w:sz="8" w:space="0" w:color="auto"/>
            </w:tcBorders>
            <w:shd w:val="clear" w:color="000000" w:fill="C0C0C0"/>
            <w:noWrap/>
            <w:vAlign w:val="center"/>
            <w:hideMark/>
          </w:tcPr>
          <w:p w:rsidR="004C2900" w:rsidRPr="004C2900" w:rsidRDefault="004C2900" w:rsidP="004C2900">
            <w:pPr>
              <w:jc w:val="center"/>
              <w:rPr>
                <w:rFonts w:cstheme="minorHAnsi"/>
                <w:b/>
              </w:rPr>
            </w:pPr>
            <w:r w:rsidRPr="004C2900">
              <w:rPr>
                <w:rFonts w:cstheme="minorHAnsi"/>
                <w:b/>
              </w:rPr>
              <w:t>60.5%</w:t>
            </w:r>
          </w:p>
        </w:tc>
        <w:tc>
          <w:tcPr>
            <w:tcW w:w="1240" w:type="dxa"/>
            <w:tcBorders>
              <w:top w:val="nil"/>
              <w:left w:val="nil"/>
              <w:bottom w:val="single" w:sz="8" w:space="0" w:color="auto"/>
              <w:right w:val="single" w:sz="8" w:space="0" w:color="auto"/>
            </w:tcBorders>
            <w:shd w:val="clear" w:color="000000" w:fill="DAEEF3"/>
            <w:noWrap/>
            <w:vAlign w:val="center"/>
            <w:hideMark/>
          </w:tcPr>
          <w:p w:rsidR="004C2900" w:rsidRPr="004C2900" w:rsidRDefault="004C2900" w:rsidP="004C2900">
            <w:pPr>
              <w:jc w:val="center"/>
              <w:rPr>
                <w:rFonts w:cstheme="minorHAnsi"/>
                <w:b/>
              </w:rPr>
            </w:pPr>
            <w:r w:rsidRPr="004C2900">
              <w:rPr>
                <w:rFonts w:cstheme="minorHAnsi"/>
                <w:b/>
              </w:rPr>
              <w:t>57.1%</w:t>
            </w:r>
          </w:p>
        </w:tc>
      </w:tr>
    </w:tbl>
    <w:p w:rsidR="001B165D" w:rsidRPr="001B165D" w:rsidRDefault="001B165D" w:rsidP="00E13AE5">
      <w:pPr>
        <w:rPr>
          <w:rFonts w:ascii="Calibri" w:hAnsi="Calibri"/>
          <w:sz w:val="18"/>
        </w:rPr>
      </w:pPr>
      <w:r w:rsidRPr="001B165D">
        <w:rPr>
          <w:rFonts w:ascii="Calibri" w:hAnsi="Calibri"/>
          <w:sz w:val="18"/>
        </w:rPr>
        <w:t xml:space="preserve">* Please note: Some students have not been reported in some cohorts due to the number of students being </w:t>
      </w:r>
      <w:r w:rsidRPr="001B165D">
        <w:rPr>
          <w:rFonts w:ascii="Calibri" w:hAnsi="Calibri"/>
          <w:sz w:val="18"/>
          <w:u w:val="single"/>
        </w:rPr>
        <w:t>fewer than five</w:t>
      </w:r>
      <w:r w:rsidRPr="001B165D">
        <w:rPr>
          <w:rFonts w:ascii="Calibri" w:hAnsi="Calibri"/>
          <w:sz w:val="18"/>
        </w:rPr>
        <w:t>. The reporting of these results could identify students.</w:t>
      </w:r>
    </w:p>
    <w:p w:rsidR="001B165D" w:rsidRPr="001B165D" w:rsidRDefault="001B165D" w:rsidP="001B165D">
      <w:pPr>
        <w:tabs>
          <w:tab w:val="left" w:pos="0"/>
        </w:tabs>
        <w:ind w:right="2362"/>
        <w:rPr>
          <w:rFonts w:cs="Arial"/>
          <w:b/>
          <w:bCs/>
          <w:color w:val="000000"/>
          <w:sz w:val="20"/>
        </w:rPr>
      </w:pPr>
    </w:p>
    <w:p w:rsidR="0073635A" w:rsidRDefault="0073635A">
      <w:pPr>
        <w:rPr>
          <w:rFonts w:cs="Arial"/>
          <w:b/>
          <w:bCs/>
          <w:color w:val="000000"/>
          <w:sz w:val="20"/>
        </w:rPr>
      </w:pPr>
      <w:r>
        <w:rPr>
          <w:rFonts w:cs="Arial"/>
          <w:b/>
          <w:bCs/>
          <w:color w:val="000000"/>
          <w:sz w:val="20"/>
        </w:rPr>
        <w:br w:type="page"/>
      </w:r>
    </w:p>
    <w:p w:rsidR="001B165D" w:rsidRPr="001B165D" w:rsidRDefault="001B165D" w:rsidP="001B165D">
      <w:pPr>
        <w:tabs>
          <w:tab w:val="left" w:pos="0"/>
        </w:tabs>
        <w:rPr>
          <w:rFonts w:ascii="Calibri" w:hAnsi="Calibri" w:cs="Arial"/>
          <w:b/>
          <w:bCs/>
          <w:color w:val="000000"/>
          <w:szCs w:val="22"/>
        </w:rPr>
      </w:pPr>
      <w:r w:rsidRPr="001B165D">
        <w:rPr>
          <w:rFonts w:ascii="Calibri" w:hAnsi="Calibri" w:cs="Arial"/>
          <w:b/>
          <w:bCs/>
          <w:color w:val="000000"/>
          <w:szCs w:val="22"/>
        </w:rPr>
        <w:lastRenderedPageBreak/>
        <w:t>Footnotes section 4(2) — Table 2.5(a) and Table 2.5(b)</w:t>
      </w:r>
    </w:p>
    <w:p w:rsidR="001B165D" w:rsidRPr="001B165D" w:rsidRDefault="001B165D" w:rsidP="001B165D">
      <w:pPr>
        <w:spacing w:before="120"/>
        <w:rPr>
          <w:rFonts w:ascii="Calibri" w:hAnsi="Calibri" w:cs="Calibri"/>
          <w:sz w:val="20"/>
        </w:rPr>
      </w:pPr>
      <w:r w:rsidRPr="001B165D">
        <w:rPr>
          <w:rFonts w:ascii="Calibri" w:hAnsi="Calibri" w:cs="Arial"/>
          <w:sz w:val="20"/>
        </w:rPr>
        <w:t xml:space="preserve">(1) Includes students who participated </w:t>
      </w:r>
      <w:r w:rsidRPr="001B165D">
        <w:rPr>
          <w:rFonts w:ascii="Calibri" w:hAnsi="Calibri" w:cs="Arial"/>
          <w:bCs/>
          <w:color w:val="000000"/>
          <w:sz w:val="20"/>
        </w:rPr>
        <w:t xml:space="preserve">in 2010 </w:t>
      </w:r>
      <w:proofErr w:type="spellStart"/>
      <w:r w:rsidRPr="001B165D">
        <w:rPr>
          <w:rFonts w:ascii="Calibri" w:hAnsi="Calibri" w:cs="Arial"/>
          <w:bCs/>
          <w:color w:val="000000"/>
          <w:sz w:val="20"/>
        </w:rPr>
        <w:t>CMaD</w:t>
      </w:r>
      <w:proofErr w:type="spellEnd"/>
      <w:r w:rsidRPr="001B165D">
        <w:rPr>
          <w:rFonts w:ascii="Calibri" w:hAnsi="Calibri" w:cs="Arial"/>
          <w:bCs/>
          <w:color w:val="000000"/>
          <w:sz w:val="20"/>
        </w:rPr>
        <w:t xml:space="preserve"> National Partnership programs reported at the end of 2010</w:t>
      </w:r>
      <w:r w:rsidRPr="001B165D">
        <w:rPr>
          <w:rFonts w:ascii="Calibri" w:hAnsi="Calibri" w:cs="Arial"/>
          <w:sz w:val="20"/>
        </w:rPr>
        <w:t xml:space="preserve">. </w:t>
      </w:r>
      <w:r w:rsidRPr="001B165D">
        <w:rPr>
          <w:rFonts w:ascii="Calibri" w:hAnsi="Calibri" w:cs="Calibri"/>
          <w:bCs/>
          <w:sz w:val="20"/>
        </w:rPr>
        <w:t>Including students left the Government sector at the end of 2010</w:t>
      </w:r>
      <w:r w:rsidRPr="001B165D">
        <w:rPr>
          <w:rFonts w:ascii="Calibri" w:hAnsi="Calibri" w:cs="Arial"/>
          <w:bCs/>
          <w:color w:val="000000"/>
          <w:sz w:val="20"/>
        </w:rPr>
        <w:t xml:space="preserve"> </w:t>
      </w:r>
      <w:r w:rsidRPr="001B165D">
        <w:rPr>
          <w:rFonts w:ascii="Calibri" w:hAnsi="Calibri" w:cs="Calibri"/>
          <w:bCs/>
          <w:sz w:val="20"/>
        </w:rPr>
        <w:t xml:space="preserve">and are </w:t>
      </w:r>
      <w:r w:rsidRPr="001B165D">
        <w:rPr>
          <w:rFonts w:ascii="Calibri" w:hAnsi="Calibri" w:cs="Arial"/>
          <w:bCs/>
          <w:color w:val="000000"/>
          <w:sz w:val="20"/>
        </w:rPr>
        <w:t xml:space="preserve">no longer included in the next reporting period, </w:t>
      </w:r>
      <w:r w:rsidRPr="001B165D">
        <w:rPr>
          <w:rFonts w:ascii="Calibri" w:hAnsi="Calibri"/>
          <w:sz w:val="20"/>
        </w:rPr>
        <w:t>students</w:t>
      </w:r>
      <w:r w:rsidRPr="001B165D">
        <w:rPr>
          <w:rFonts w:ascii="Calibri" w:hAnsi="Calibri" w:cs="Calibri"/>
          <w:bCs/>
          <w:sz w:val="20"/>
        </w:rPr>
        <w:t xml:space="preserve"> who continued to be enrolled at a school in the Government sector in 2011 and/or who remained in </w:t>
      </w:r>
      <w:proofErr w:type="spellStart"/>
      <w:r w:rsidRPr="001B165D">
        <w:rPr>
          <w:rFonts w:ascii="Calibri" w:hAnsi="Calibri" w:cs="Calibri"/>
          <w:bCs/>
          <w:sz w:val="20"/>
        </w:rPr>
        <w:t>CMaD</w:t>
      </w:r>
      <w:proofErr w:type="spellEnd"/>
      <w:r w:rsidRPr="001B165D">
        <w:rPr>
          <w:rFonts w:ascii="Calibri" w:hAnsi="Calibri" w:cs="Calibri"/>
          <w:bCs/>
          <w:sz w:val="20"/>
        </w:rPr>
        <w:t xml:space="preserve"> National Partnership </w:t>
      </w:r>
      <w:r w:rsidRPr="001B165D">
        <w:rPr>
          <w:rFonts w:ascii="Calibri" w:hAnsi="Calibri" w:cs="Arial"/>
          <w:bCs/>
          <w:color w:val="000000"/>
          <w:sz w:val="20"/>
        </w:rPr>
        <w:t>‘Individual Targeted Support’</w:t>
      </w:r>
      <w:r w:rsidRPr="001B165D">
        <w:rPr>
          <w:rFonts w:ascii="Calibri" w:hAnsi="Calibri" w:cs="Calibri"/>
          <w:bCs/>
          <w:sz w:val="20"/>
        </w:rPr>
        <w:t xml:space="preserve"> for 2011. </w:t>
      </w:r>
    </w:p>
    <w:p w:rsidR="001B165D" w:rsidRPr="001B165D" w:rsidRDefault="001B165D" w:rsidP="001B165D">
      <w:pPr>
        <w:spacing w:before="120"/>
        <w:rPr>
          <w:rFonts w:ascii="Calibri" w:hAnsi="Calibri" w:cs="Calibri"/>
          <w:sz w:val="20"/>
        </w:rPr>
      </w:pPr>
      <w:r w:rsidRPr="001B165D">
        <w:rPr>
          <w:rFonts w:ascii="Calibri" w:hAnsi="Calibri" w:cs="Arial"/>
          <w:sz w:val="20"/>
        </w:rPr>
        <w:t xml:space="preserve">(2) </w:t>
      </w:r>
      <w:r w:rsidRPr="001B165D">
        <w:rPr>
          <w:rFonts w:ascii="Calibri" w:hAnsi="Calibri" w:cs="Arial"/>
          <w:bCs/>
          <w:color w:val="000000"/>
          <w:sz w:val="20"/>
        </w:rPr>
        <w:t xml:space="preserve">Includes all </w:t>
      </w:r>
      <w:r w:rsidRPr="001B165D">
        <w:rPr>
          <w:rFonts w:ascii="Calibri" w:hAnsi="Calibri"/>
          <w:sz w:val="20"/>
        </w:rPr>
        <w:t>students</w:t>
      </w:r>
      <w:r w:rsidRPr="001B165D">
        <w:rPr>
          <w:rFonts w:ascii="Calibri" w:hAnsi="Calibri" w:cs="Calibri"/>
          <w:bCs/>
          <w:sz w:val="20"/>
        </w:rPr>
        <w:t xml:space="preserve"> who continued to be enrolled at a school in the Government sector in the reporting and/or who remained in </w:t>
      </w:r>
      <w:proofErr w:type="spellStart"/>
      <w:r w:rsidRPr="001B165D">
        <w:rPr>
          <w:rFonts w:ascii="Calibri" w:hAnsi="Calibri" w:cs="Calibri"/>
          <w:bCs/>
          <w:sz w:val="20"/>
        </w:rPr>
        <w:t>CMaD</w:t>
      </w:r>
      <w:proofErr w:type="spellEnd"/>
      <w:r w:rsidRPr="001B165D">
        <w:rPr>
          <w:rFonts w:ascii="Calibri" w:hAnsi="Calibri" w:cs="Calibri"/>
          <w:bCs/>
          <w:sz w:val="20"/>
        </w:rPr>
        <w:t xml:space="preserve"> National Partnership </w:t>
      </w:r>
      <w:r w:rsidRPr="001B165D">
        <w:rPr>
          <w:rFonts w:ascii="Calibri" w:hAnsi="Calibri" w:cs="Arial"/>
          <w:bCs/>
          <w:color w:val="000000"/>
          <w:sz w:val="20"/>
        </w:rPr>
        <w:t>‘Individual Targeted Support’</w:t>
      </w:r>
      <w:r w:rsidRPr="001B165D">
        <w:rPr>
          <w:rFonts w:ascii="Calibri" w:hAnsi="Calibri" w:cs="Calibri"/>
          <w:bCs/>
          <w:sz w:val="20"/>
        </w:rPr>
        <w:t xml:space="preserve"> for the reporting year. </w:t>
      </w:r>
    </w:p>
    <w:p w:rsidR="001B165D" w:rsidRPr="001B165D" w:rsidRDefault="001B165D" w:rsidP="001B165D">
      <w:pPr>
        <w:spacing w:before="120"/>
        <w:rPr>
          <w:rFonts w:ascii="Calibri" w:hAnsi="Calibri" w:cs="Calibri"/>
          <w:sz w:val="20"/>
        </w:rPr>
      </w:pPr>
      <w:r w:rsidRPr="001B165D">
        <w:rPr>
          <w:rFonts w:ascii="Calibri" w:hAnsi="Calibri" w:cs="Arial"/>
          <w:sz w:val="20"/>
        </w:rPr>
        <w:t xml:space="preserve">(3) Includes </w:t>
      </w:r>
      <w:r w:rsidRPr="001B165D">
        <w:rPr>
          <w:rFonts w:ascii="Calibri" w:hAnsi="Calibri" w:cs="Arial"/>
          <w:sz w:val="20"/>
          <w:u w:val="single"/>
        </w:rPr>
        <w:t>all</w:t>
      </w:r>
      <w:r w:rsidRPr="001B165D">
        <w:rPr>
          <w:rFonts w:ascii="Calibri" w:hAnsi="Calibri" w:cs="Arial"/>
          <w:sz w:val="20"/>
        </w:rPr>
        <w:t xml:space="preserve"> students participating in 'Individual Targeted Support' </w:t>
      </w:r>
      <w:proofErr w:type="spellStart"/>
      <w:r w:rsidRPr="001B165D">
        <w:rPr>
          <w:rFonts w:ascii="Calibri" w:hAnsi="Calibri" w:cs="Arial"/>
          <w:sz w:val="20"/>
        </w:rPr>
        <w:t>CMaD</w:t>
      </w:r>
      <w:proofErr w:type="spellEnd"/>
      <w:r w:rsidRPr="001B165D">
        <w:rPr>
          <w:rFonts w:ascii="Calibri" w:hAnsi="Calibri" w:cs="Arial"/>
          <w:sz w:val="20"/>
        </w:rPr>
        <w:t xml:space="preserve"> </w:t>
      </w:r>
      <w:r w:rsidRPr="001B165D">
        <w:rPr>
          <w:rFonts w:ascii="Calibri" w:hAnsi="Calibri" w:cs="Arial"/>
          <w:bCs/>
          <w:color w:val="000000"/>
          <w:sz w:val="20"/>
        </w:rPr>
        <w:t>National Partnership</w:t>
      </w:r>
      <w:r w:rsidRPr="001B165D">
        <w:rPr>
          <w:rFonts w:ascii="Calibri" w:hAnsi="Calibri" w:cs="Arial"/>
          <w:sz w:val="20"/>
        </w:rPr>
        <w:t>, who were enrolled and participated in a South Australia Certificate of Education (</w:t>
      </w:r>
      <w:proofErr w:type="spellStart"/>
      <w:r w:rsidRPr="001B165D">
        <w:rPr>
          <w:rFonts w:ascii="Calibri" w:hAnsi="Calibri" w:cs="Arial"/>
          <w:sz w:val="20"/>
        </w:rPr>
        <w:t>SACE</w:t>
      </w:r>
      <w:proofErr w:type="spellEnd"/>
      <w:r w:rsidRPr="001B165D">
        <w:rPr>
          <w:rFonts w:ascii="Calibri" w:hAnsi="Calibri" w:cs="Arial"/>
          <w:sz w:val="20"/>
        </w:rPr>
        <w:t xml:space="preserve">) literacy and/or numeracy subject (regardless of year level). Includes all students who received a </w:t>
      </w:r>
      <w:proofErr w:type="spellStart"/>
      <w:r w:rsidRPr="001B165D">
        <w:rPr>
          <w:rFonts w:ascii="Calibri" w:hAnsi="Calibri" w:cs="Arial"/>
          <w:sz w:val="20"/>
        </w:rPr>
        <w:t>SACE</w:t>
      </w:r>
      <w:proofErr w:type="spellEnd"/>
      <w:r w:rsidRPr="001B165D">
        <w:rPr>
          <w:rFonts w:ascii="Calibri" w:hAnsi="Calibri" w:cs="Arial"/>
          <w:sz w:val="20"/>
        </w:rPr>
        <w:t xml:space="preserve"> result for a literacy and/or numeracy subject, including those who received a 'N' for requirements not met or ‘</w:t>
      </w:r>
      <w:proofErr w:type="spellStart"/>
      <w:r w:rsidRPr="001B165D">
        <w:rPr>
          <w:rFonts w:ascii="Calibri" w:hAnsi="Calibri" w:cs="Arial"/>
          <w:sz w:val="20"/>
        </w:rPr>
        <w:t>RNM</w:t>
      </w:r>
      <w:proofErr w:type="spellEnd"/>
      <w:r w:rsidRPr="001B165D">
        <w:rPr>
          <w:rFonts w:ascii="Calibri" w:hAnsi="Calibri" w:cs="Arial"/>
          <w:sz w:val="20"/>
        </w:rPr>
        <w:t>’ Requirements not met (prior to 2010) result.</w:t>
      </w:r>
      <w:r w:rsidRPr="001B165D">
        <w:rPr>
          <w:rFonts w:ascii="Calibri" w:hAnsi="Calibri" w:cs="Arial"/>
          <w:sz w:val="18"/>
          <w:szCs w:val="18"/>
        </w:rPr>
        <w:t xml:space="preserve"> </w:t>
      </w:r>
      <w:r w:rsidRPr="001B165D">
        <w:rPr>
          <w:rFonts w:ascii="Calibri" w:hAnsi="Calibri" w:cs="Arial"/>
          <w:sz w:val="20"/>
        </w:rPr>
        <w:t xml:space="preserve"> </w:t>
      </w:r>
      <w:r w:rsidRPr="001B165D">
        <w:rPr>
          <w:rFonts w:ascii="Calibri" w:hAnsi="Calibri"/>
          <w:sz w:val="20"/>
        </w:rPr>
        <w:t xml:space="preserve">Students who were assessed as Indigenous, </w:t>
      </w:r>
      <w:proofErr w:type="spellStart"/>
      <w:r w:rsidRPr="001B165D">
        <w:rPr>
          <w:rFonts w:ascii="Calibri" w:hAnsi="Calibri"/>
          <w:sz w:val="20"/>
        </w:rPr>
        <w:t>LBOTE</w:t>
      </w:r>
      <w:proofErr w:type="spellEnd"/>
      <w:r w:rsidRPr="001B165D">
        <w:rPr>
          <w:rFonts w:ascii="Calibri" w:hAnsi="Calibri"/>
          <w:sz w:val="20"/>
        </w:rPr>
        <w:t xml:space="preserve"> and/or with a disability may be included in multiple cohorts. </w:t>
      </w:r>
    </w:p>
    <w:p w:rsidR="001B165D" w:rsidRPr="001B165D" w:rsidRDefault="001B165D" w:rsidP="001B165D">
      <w:pPr>
        <w:tabs>
          <w:tab w:val="left" w:pos="0"/>
        </w:tabs>
        <w:spacing w:before="120"/>
        <w:rPr>
          <w:rFonts w:ascii="Calibri" w:hAnsi="Calibri" w:cs="Arial"/>
          <w:sz w:val="20"/>
        </w:rPr>
      </w:pPr>
      <w:r w:rsidRPr="001B165D">
        <w:rPr>
          <w:rFonts w:ascii="Calibri" w:hAnsi="Calibri" w:cs="Arial"/>
          <w:sz w:val="20"/>
        </w:rPr>
        <w:t xml:space="preserve">(4) Includes all enrolled Stage 1 and Stage 2 </w:t>
      </w:r>
      <w:proofErr w:type="spellStart"/>
      <w:r w:rsidRPr="001B165D">
        <w:rPr>
          <w:rFonts w:ascii="Calibri" w:hAnsi="Calibri" w:cs="Arial"/>
          <w:sz w:val="20"/>
        </w:rPr>
        <w:t>SACE</w:t>
      </w:r>
      <w:proofErr w:type="spellEnd"/>
      <w:r w:rsidRPr="001B165D">
        <w:rPr>
          <w:rFonts w:ascii="Calibri" w:hAnsi="Calibri" w:cs="Arial"/>
          <w:sz w:val="20"/>
        </w:rPr>
        <w:t xml:space="preserve"> literacy or numeracy subjects (10 or 20 credits), and is a combination of 'new' </w:t>
      </w:r>
      <w:proofErr w:type="spellStart"/>
      <w:r w:rsidRPr="001B165D">
        <w:rPr>
          <w:rFonts w:ascii="Calibri" w:hAnsi="Calibri" w:cs="Arial"/>
          <w:sz w:val="20"/>
        </w:rPr>
        <w:t>SACE</w:t>
      </w:r>
      <w:proofErr w:type="spellEnd"/>
      <w:r w:rsidRPr="001B165D">
        <w:rPr>
          <w:rFonts w:ascii="Calibri" w:hAnsi="Calibri" w:cs="Arial"/>
          <w:sz w:val="20"/>
        </w:rPr>
        <w:t xml:space="preserve"> and old </w:t>
      </w:r>
      <w:proofErr w:type="spellStart"/>
      <w:r w:rsidRPr="001B165D">
        <w:rPr>
          <w:rFonts w:ascii="Calibri" w:hAnsi="Calibri" w:cs="Arial"/>
          <w:sz w:val="20"/>
        </w:rPr>
        <w:t>SACE</w:t>
      </w:r>
      <w:proofErr w:type="spellEnd"/>
      <w:r w:rsidRPr="001B165D">
        <w:rPr>
          <w:rFonts w:ascii="Calibri" w:hAnsi="Calibri" w:cs="Arial"/>
          <w:sz w:val="20"/>
        </w:rPr>
        <w:t xml:space="preserve"> subjects. Therefore different grades levels are applied to subjects, that is, 'SA' Satisfactory Achievement, 'RA' Recorded Achievement, '</w:t>
      </w:r>
      <w:proofErr w:type="spellStart"/>
      <w:r w:rsidRPr="001B165D">
        <w:rPr>
          <w:rFonts w:ascii="Calibri" w:hAnsi="Calibri" w:cs="Arial"/>
          <w:sz w:val="20"/>
        </w:rPr>
        <w:t>RNM</w:t>
      </w:r>
      <w:proofErr w:type="spellEnd"/>
      <w:r w:rsidRPr="001B165D">
        <w:rPr>
          <w:rFonts w:ascii="Calibri" w:hAnsi="Calibri" w:cs="Arial"/>
          <w:sz w:val="20"/>
        </w:rPr>
        <w:t>' Requirements not met prior to 2010, and grades 'A+ to E-' and 'N' (requirements not met) from 2010. Individual subjects may be counted multiple times as the same student may undertake the subject more than once, or over more than one Semester (that is, half-year subjects (10 credits) or whole year subjects (20 credits)). Students can complete a subject but not receive a 'C' grade or better assessment.</w:t>
      </w:r>
    </w:p>
    <w:p w:rsidR="001B165D" w:rsidRPr="001B165D" w:rsidRDefault="001B165D" w:rsidP="001B165D">
      <w:pPr>
        <w:tabs>
          <w:tab w:val="left" w:pos="0"/>
        </w:tabs>
        <w:spacing w:before="120"/>
        <w:rPr>
          <w:rFonts w:ascii="Calibri" w:hAnsi="Calibri" w:cs="Arial"/>
          <w:sz w:val="20"/>
        </w:rPr>
      </w:pPr>
      <w:r w:rsidRPr="001B165D">
        <w:rPr>
          <w:rFonts w:ascii="Calibri" w:hAnsi="Calibri" w:cs="Arial"/>
          <w:sz w:val="20"/>
        </w:rPr>
        <w:t xml:space="preserve">(5) Literacy or numeracy subjects include all English (Stage 1 and Stage 2 </w:t>
      </w:r>
      <w:proofErr w:type="spellStart"/>
      <w:r w:rsidRPr="001B165D">
        <w:rPr>
          <w:rFonts w:ascii="Calibri" w:hAnsi="Calibri" w:cs="Arial"/>
          <w:sz w:val="20"/>
        </w:rPr>
        <w:t>SACE</w:t>
      </w:r>
      <w:proofErr w:type="spellEnd"/>
      <w:r w:rsidRPr="001B165D">
        <w:rPr>
          <w:rFonts w:ascii="Calibri" w:hAnsi="Calibri" w:cs="Arial"/>
          <w:sz w:val="20"/>
        </w:rPr>
        <w:t xml:space="preserve"> subjects) and all mathematics (Stage 1 and Stage 2 </w:t>
      </w:r>
      <w:proofErr w:type="spellStart"/>
      <w:r w:rsidRPr="001B165D">
        <w:rPr>
          <w:rFonts w:ascii="Calibri" w:hAnsi="Calibri" w:cs="Arial"/>
          <w:sz w:val="20"/>
        </w:rPr>
        <w:t>SACE</w:t>
      </w:r>
      <w:proofErr w:type="spellEnd"/>
      <w:r w:rsidRPr="001B165D">
        <w:rPr>
          <w:rFonts w:ascii="Calibri" w:hAnsi="Calibri" w:cs="Arial"/>
          <w:sz w:val="20"/>
        </w:rPr>
        <w:t xml:space="preserve"> subjects). Half-year subjects (10 credits) and whole-year subjects (20 credits) are individually counted.</w:t>
      </w:r>
    </w:p>
    <w:p w:rsidR="001B165D" w:rsidRPr="001B165D" w:rsidRDefault="001B165D" w:rsidP="001B165D">
      <w:pPr>
        <w:tabs>
          <w:tab w:val="left" w:pos="0"/>
        </w:tabs>
        <w:spacing w:before="120"/>
        <w:rPr>
          <w:rFonts w:ascii="Calibri" w:hAnsi="Calibri" w:cs="Arial"/>
          <w:sz w:val="20"/>
        </w:rPr>
      </w:pPr>
      <w:r w:rsidRPr="001B165D">
        <w:rPr>
          <w:rFonts w:ascii="Calibri" w:hAnsi="Calibri" w:cs="Arial"/>
          <w:sz w:val="20"/>
        </w:rPr>
        <w:t xml:space="preserve">(6) </w:t>
      </w:r>
      <w:r w:rsidRPr="001B165D">
        <w:rPr>
          <w:rFonts w:ascii="Calibri" w:hAnsi="Calibri" w:cs="Calibri"/>
          <w:sz w:val="20"/>
        </w:rPr>
        <w:t>Includes all students who identify as being Australian Aboriginal and/or Torres Strait Islander students in the reporting year. These figures may under represent the true number of Indigenous students due to the technical difficulties associated with data collection and reliance on self-identification.</w:t>
      </w:r>
    </w:p>
    <w:p w:rsidR="001B165D" w:rsidRPr="001B165D" w:rsidRDefault="001B165D" w:rsidP="001B165D">
      <w:pPr>
        <w:tabs>
          <w:tab w:val="left" w:pos="0"/>
        </w:tabs>
        <w:spacing w:before="120"/>
        <w:rPr>
          <w:rFonts w:ascii="Calibri" w:hAnsi="Calibri" w:cs="Arial"/>
          <w:sz w:val="20"/>
        </w:rPr>
      </w:pPr>
      <w:r w:rsidRPr="001B165D">
        <w:rPr>
          <w:rFonts w:ascii="Calibri" w:hAnsi="Calibri" w:cs="Arial"/>
          <w:sz w:val="20"/>
        </w:rPr>
        <w:t xml:space="preserve">(7) </w:t>
      </w:r>
      <w:r w:rsidRPr="001B165D">
        <w:rPr>
          <w:rFonts w:ascii="Calibri" w:hAnsi="Calibri" w:cs="Calibri"/>
          <w:sz w:val="20"/>
        </w:rPr>
        <w:t>Includes all students who identify as having a Language Background Other Than English (</w:t>
      </w:r>
      <w:proofErr w:type="spellStart"/>
      <w:r w:rsidRPr="001B165D">
        <w:rPr>
          <w:rFonts w:ascii="Calibri" w:hAnsi="Calibri" w:cs="Calibri"/>
          <w:sz w:val="20"/>
        </w:rPr>
        <w:t>LBOTE</w:t>
      </w:r>
      <w:proofErr w:type="spellEnd"/>
      <w:r w:rsidRPr="001B165D">
        <w:rPr>
          <w:rFonts w:ascii="Calibri" w:hAnsi="Calibri" w:cs="Calibri"/>
          <w:sz w:val="20"/>
        </w:rPr>
        <w:t xml:space="preserve">), where either the student, or the student’s parents or carers, speak a language other than English at home in the reporting year. These figures may under represent the true number of </w:t>
      </w:r>
      <w:proofErr w:type="spellStart"/>
      <w:r w:rsidRPr="001B165D">
        <w:rPr>
          <w:rFonts w:ascii="Calibri" w:hAnsi="Calibri" w:cs="Calibri"/>
          <w:sz w:val="20"/>
        </w:rPr>
        <w:t>LBOTE</w:t>
      </w:r>
      <w:proofErr w:type="spellEnd"/>
      <w:r w:rsidRPr="001B165D">
        <w:rPr>
          <w:rFonts w:ascii="Calibri" w:hAnsi="Calibri" w:cs="Calibri"/>
          <w:sz w:val="20"/>
        </w:rPr>
        <w:t xml:space="preserve"> students due to the technical difficulties associated with data collection and reliance on self-identification.</w:t>
      </w:r>
    </w:p>
    <w:p w:rsidR="001B165D" w:rsidRPr="001B165D" w:rsidRDefault="001B165D" w:rsidP="001B165D">
      <w:pPr>
        <w:tabs>
          <w:tab w:val="left" w:pos="0"/>
        </w:tabs>
        <w:spacing w:before="120"/>
        <w:rPr>
          <w:rFonts w:ascii="Calibri" w:hAnsi="Calibri" w:cs="Arial"/>
          <w:sz w:val="20"/>
        </w:rPr>
      </w:pPr>
      <w:r w:rsidRPr="001B165D">
        <w:rPr>
          <w:rFonts w:ascii="Calibri" w:hAnsi="Calibri" w:cs="Arial"/>
          <w:sz w:val="20"/>
        </w:rPr>
        <w:t>(8)</w:t>
      </w:r>
      <w:r w:rsidRPr="001B165D">
        <w:rPr>
          <w:rFonts w:ascii="Calibri" w:hAnsi="Calibri" w:cs="Calibri"/>
          <w:sz w:val="20"/>
        </w:rPr>
        <w:t xml:space="preserve"> Includes all students who are eligible for the South Australian Department for Education and Child Development (</w:t>
      </w:r>
      <w:proofErr w:type="spellStart"/>
      <w:r w:rsidRPr="001B165D">
        <w:rPr>
          <w:rFonts w:ascii="Calibri" w:hAnsi="Calibri" w:cs="Calibri"/>
          <w:sz w:val="20"/>
        </w:rPr>
        <w:t>DECD</w:t>
      </w:r>
      <w:proofErr w:type="spellEnd"/>
      <w:r w:rsidRPr="001B165D">
        <w:rPr>
          <w:rFonts w:ascii="Calibri" w:hAnsi="Calibri" w:cs="Calibri"/>
          <w:sz w:val="20"/>
        </w:rPr>
        <w:t xml:space="preserve">) </w:t>
      </w:r>
      <w:r w:rsidRPr="001B165D">
        <w:rPr>
          <w:rFonts w:ascii="Calibri" w:hAnsi="Calibri" w:cs="Calibri"/>
          <w:i/>
          <w:sz w:val="20"/>
        </w:rPr>
        <w:t xml:space="preserve">Disability Support Program </w:t>
      </w:r>
      <w:r w:rsidRPr="001B165D">
        <w:rPr>
          <w:rFonts w:ascii="Calibri" w:hAnsi="Calibri" w:cs="Calibri"/>
          <w:sz w:val="20"/>
        </w:rPr>
        <w:t xml:space="preserve">in the reporting year. Eligibility for the </w:t>
      </w:r>
      <w:r w:rsidRPr="001B165D">
        <w:rPr>
          <w:rFonts w:ascii="Calibri" w:hAnsi="Calibri" w:cs="Calibri"/>
          <w:i/>
          <w:sz w:val="20"/>
        </w:rPr>
        <w:t>Disability Support Program</w:t>
      </w:r>
      <w:r w:rsidRPr="001B165D">
        <w:rPr>
          <w:rFonts w:ascii="Calibri" w:hAnsi="Calibri" w:cs="Calibri"/>
          <w:sz w:val="20"/>
        </w:rPr>
        <w:t xml:space="preserve"> requires evidence of both impairment, as described in the </w:t>
      </w:r>
      <w:proofErr w:type="spellStart"/>
      <w:r w:rsidRPr="001B165D">
        <w:rPr>
          <w:rFonts w:ascii="Calibri" w:hAnsi="Calibri" w:cs="Calibri"/>
          <w:sz w:val="20"/>
        </w:rPr>
        <w:t>DECD</w:t>
      </w:r>
      <w:proofErr w:type="spellEnd"/>
      <w:r w:rsidRPr="001B165D">
        <w:rPr>
          <w:rFonts w:ascii="Calibri" w:hAnsi="Calibri" w:cs="Calibri"/>
          <w:sz w:val="20"/>
        </w:rPr>
        <w:t xml:space="preserve"> </w:t>
      </w:r>
      <w:r w:rsidRPr="001B165D">
        <w:rPr>
          <w:rFonts w:ascii="Calibri" w:hAnsi="Calibri" w:cs="Calibri"/>
          <w:i/>
          <w:sz w:val="20"/>
        </w:rPr>
        <w:t>Disability Support Program 2007 Eligibility Criteria</w:t>
      </w:r>
      <w:r w:rsidRPr="001B165D">
        <w:rPr>
          <w:rFonts w:ascii="Calibri" w:hAnsi="Calibri" w:cs="Calibri"/>
          <w:sz w:val="20"/>
        </w:rPr>
        <w:t xml:space="preserve">, and the ways in which a student’s impairment does, or will, impact significantly on progress in the curriculum and on his/her ability to participate in learning activities and the school community. Please refer to </w:t>
      </w:r>
      <w:r w:rsidRPr="001B165D">
        <w:rPr>
          <w:color w:val="0000FF"/>
          <w:sz w:val="20"/>
          <w:u w:val="single"/>
        </w:rPr>
        <w:t>&lt;http://www.decd.sa.gov.au/speced/pages/specialneeds/intro/&gt;</w:t>
      </w:r>
      <w:r w:rsidRPr="001B165D">
        <w:rPr>
          <w:rFonts w:ascii="Calibri" w:hAnsi="Calibri" w:cs="Calibri"/>
          <w:sz w:val="20"/>
        </w:rPr>
        <w:t xml:space="preserve"> for further information.</w:t>
      </w:r>
    </w:p>
    <w:p w:rsidR="001B165D" w:rsidRPr="001B165D" w:rsidRDefault="001B165D" w:rsidP="001B165D">
      <w:pPr>
        <w:tabs>
          <w:tab w:val="left" w:pos="0"/>
        </w:tabs>
        <w:spacing w:before="120"/>
        <w:rPr>
          <w:rFonts w:ascii="Calibri" w:hAnsi="Calibri" w:cs="Arial"/>
          <w:sz w:val="20"/>
          <w:highlight w:val="yellow"/>
        </w:rPr>
      </w:pPr>
      <w:r w:rsidRPr="001B165D">
        <w:rPr>
          <w:rFonts w:ascii="Calibri" w:hAnsi="Calibri" w:cs="Arial"/>
          <w:sz w:val="20"/>
        </w:rPr>
        <w:t>(9) The percentage is calculated as: the total number of literacy and/or numeracy subjects (Stage 1 or 2, 10 or 20 credits) where students have achieved a 'C' grade or better, divided by the total number of literacy and numeracy subjects undertaken (footnote 4). Includes any subjects graded 'SA' (Satisfactory Achievement) prior to 2010, Grade level 'A' to 'C' Stage 1, and ‘A+’ to ‘C-’ Stage 2 from 2010.</w:t>
      </w:r>
      <w:r w:rsidRPr="001B165D">
        <w:rPr>
          <w:rFonts w:ascii="Calibri" w:hAnsi="Calibri" w:cs="Arial"/>
          <w:szCs w:val="22"/>
        </w:rPr>
        <w:t xml:space="preserve"> </w:t>
      </w:r>
    </w:p>
    <w:p w:rsidR="00E13AE5" w:rsidRDefault="00E13AE5">
      <w:pPr>
        <w:rPr>
          <w:rFonts w:eastAsia="Calibri" w:cstheme="minorHAnsi"/>
          <w:b/>
          <w:sz w:val="28"/>
          <w:szCs w:val="28"/>
        </w:rPr>
      </w:pPr>
      <w:r>
        <w:rPr>
          <w:rFonts w:eastAsia="Calibri" w:cstheme="minorHAnsi"/>
          <w:b/>
          <w:sz w:val="28"/>
          <w:szCs w:val="28"/>
        </w:rPr>
        <w:br w:type="page"/>
      </w:r>
    </w:p>
    <w:p w:rsidR="001B165D" w:rsidRPr="001B165D" w:rsidRDefault="001B165D" w:rsidP="001B165D">
      <w:pPr>
        <w:widowControl w:val="0"/>
        <w:spacing w:before="120" w:after="60"/>
        <w:contextualSpacing/>
        <w:rPr>
          <w:rFonts w:eastAsia="Calibri" w:cstheme="minorHAnsi"/>
          <w:b/>
          <w:sz w:val="28"/>
          <w:szCs w:val="28"/>
        </w:rPr>
      </w:pPr>
      <w:r w:rsidRPr="001B165D">
        <w:rPr>
          <w:rFonts w:eastAsia="Calibri" w:cstheme="minorHAnsi"/>
          <w:b/>
          <w:sz w:val="28"/>
          <w:szCs w:val="28"/>
        </w:rPr>
        <w:lastRenderedPageBreak/>
        <w:t xml:space="preserve">Communities Making </w:t>
      </w:r>
      <w:proofErr w:type="gramStart"/>
      <w:r w:rsidRPr="001B165D">
        <w:rPr>
          <w:rFonts w:eastAsia="Calibri" w:cstheme="minorHAnsi"/>
          <w:b/>
          <w:sz w:val="28"/>
          <w:szCs w:val="28"/>
        </w:rPr>
        <w:t>a Difference (Low SES) National Partnership senior students</w:t>
      </w:r>
      <w:proofErr w:type="gramEnd"/>
      <w:r w:rsidRPr="001B165D">
        <w:rPr>
          <w:rFonts w:eastAsia="Calibri" w:cstheme="minorHAnsi"/>
          <w:b/>
          <w:sz w:val="28"/>
          <w:szCs w:val="28"/>
        </w:rPr>
        <w:t xml:space="preserve"> (Year 10 and above) participating in ‘individual targeted support’ strategies and approaches 2010 to 2012, by potential destination:</w:t>
      </w:r>
    </w:p>
    <w:p w:rsidR="001B165D" w:rsidRPr="001B165D" w:rsidRDefault="001B165D" w:rsidP="001B165D">
      <w:pPr>
        <w:widowControl w:val="0"/>
        <w:spacing w:before="120" w:after="60"/>
        <w:contextualSpacing/>
        <w:rPr>
          <w:rFonts w:eastAsia="Calibri" w:cstheme="minorHAnsi"/>
          <w:b/>
          <w:szCs w:val="24"/>
        </w:rPr>
      </w:pPr>
    </w:p>
    <w:tbl>
      <w:tblPr>
        <w:tblW w:w="13985" w:type="dxa"/>
        <w:tblInd w:w="93" w:type="dxa"/>
        <w:tblLook w:val="04A0" w:firstRow="1" w:lastRow="0" w:firstColumn="1" w:lastColumn="0" w:noHBand="0" w:noVBand="1"/>
      </w:tblPr>
      <w:tblGrid>
        <w:gridCol w:w="2302"/>
        <w:gridCol w:w="1968"/>
        <w:gridCol w:w="1841"/>
        <w:gridCol w:w="1984"/>
        <w:gridCol w:w="2059"/>
        <w:gridCol w:w="1681"/>
        <w:gridCol w:w="71"/>
        <w:gridCol w:w="1947"/>
        <w:gridCol w:w="132"/>
      </w:tblGrid>
      <w:tr w:rsidR="00FD6853" w:rsidRPr="00FD6853" w:rsidTr="00FD6853">
        <w:trPr>
          <w:trHeight w:val="315"/>
        </w:trPr>
        <w:tc>
          <w:tcPr>
            <w:tcW w:w="10154" w:type="dxa"/>
            <w:gridSpan w:val="5"/>
            <w:tcBorders>
              <w:top w:val="nil"/>
              <w:left w:val="nil"/>
              <w:bottom w:val="nil"/>
              <w:right w:val="nil"/>
            </w:tcBorders>
            <w:shd w:val="clear" w:color="auto" w:fill="auto"/>
            <w:noWrap/>
            <w:vAlign w:val="bottom"/>
            <w:hideMark/>
          </w:tcPr>
          <w:p w:rsidR="00FD6853" w:rsidRPr="00FD6853" w:rsidRDefault="001B165D" w:rsidP="00C54CD1">
            <w:pPr>
              <w:rPr>
                <w:rFonts w:ascii="Calibri" w:hAnsi="Calibri" w:cs="Calibri"/>
                <w:color w:val="000000"/>
                <w:szCs w:val="22"/>
                <w:lang w:eastAsia="en-AU"/>
              </w:rPr>
            </w:pPr>
            <w:r w:rsidRPr="001B165D">
              <w:rPr>
                <w:rFonts w:eastAsia="Calibri" w:cstheme="minorHAnsi"/>
                <w:b/>
                <w:szCs w:val="24"/>
              </w:rPr>
              <w:t>Table 3.1(a</w:t>
            </w:r>
            <w:r w:rsidR="00C54CD1">
              <w:rPr>
                <w:rFonts w:eastAsia="Calibri" w:cstheme="minorHAnsi"/>
                <w:b/>
                <w:szCs w:val="24"/>
              </w:rPr>
              <w:t>-1</w:t>
            </w:r>
            <w:r w:rsidRPr="001B165D">
              <w:rPr>
                <w:rFonts w:eastAsia="Calibri" w:cstheme="minorHAnsi"/>
                <w:b/>
                <w:szCs w:val="24"/>
              </w:rPr>
              <w:t xml:space="preserve">) </w:t>
            </w:r>
            <w:r w:rsidR="00C54CD1">
              <w:rPr>
                <w:rFonts w:eastAsia="Calibri" w:cstheme="minorHAnsi"/>
                <w:b/>
                <w:szCs w:val="24"/>
              </w:rPr>
              <w:t xml:space="preserve">- </w:t>
            </w:r>
            <w:r w:rsidR="00FD6853" w:rsidRPr="00FD6853">
              <w:rPr>
                <w:rFonts w:ascii="Calibri" w:hAnsi="Calibri" w:cs="Calibri"/>
                <w:color w:val="000000"/>
                <w:szCs w:val="22"/>
                <w:lang w:eastAsia="en-AU"/>
              </w:rPr>
              <w:t xml:space="preserve">ALL Students participating in </w:t>
            </w:r>
            <w:proofErr w:type="spellStart"/>
            <w:r w:rsidR="00FD6853" w:rsidRPr="00FD6853">
              <w:rPr>
                <w:rFonts w:ascii="Calibri" w:hAnsi="Calibri" w:cs="Calibri"/>
                <w:color w:val="000000"/>
                <w:szCs w:val="22"/>
                <w:lang w:eastAsia="en-AU"/>
              </w:rPr>
              <w:t>CMaD</w:t>
            </w:r>
            <w:proofErr w:type="spellEnd"/>
            <w:r w:rsidR="00FD6853" w:rsidRPr="00FD6853">
              <w:rPr>
                <w:rFonts w:ascii="Calibri" w:hAnsi="Calibri" w:cs="Calibri"/>
                <w:color w:val="000000"/>
                <w:szCs w:val="22"/>
                <w:lang w:eastAsia="en-AU"/>
              </w:rPr>
              <w:t xml:space="preserve"> NP (Low SES) for 1 to 3 years </w:t>
            </w:r>
            <w:r w:rsidR="00FD6853" w:rsidRPr="00AE6D45">
              <w:rPr>
                <w:rFonts w:ascii="Calibri" w:hAnsi="Calibri" w:cs="Calibri"/>
                <w:color w:val="000000"/>
                <w:szCs w:val="22"/>
                <w:vertAlign w:val="superscript"/>
                <w:lang w:eastAsia="en-AU"/>
              </w:rPr>
              <w:t>(1)</w:t>
            </w:r>
          </w:p>
        </w:tc>
        <w:tc>
          <w:tcPr>
            <w:tcW w:w="1752" w:type="dxa"/>
            <w:gridSpan w:val="2"/>
            <w:tcBorders>
              <w:top w:val="nil"/>
              <w:left w:val="nil"/>
              <w:bottom w:val="nil"/>
              <w:right w:val="nil"/>
            </w:tcBorders>
            <w:shd w:val="clear" w:color="auto" w:fill="auto"/>
            <w:noWrap/>
            <w:vAlign w:val="bottom"/>
            <w:hideMark/>
          </w:tcPr>
          <w:p w:rsidR="00FD6853" w:rsidRPr="00FD6853" w:rsidRDefault="00FD6853" w:rsidP="00FD6853">
            <w:pPr>
              <w:rPr>
                <w:rFonts w:ascii="Calibri" w:hAnsi="Calibri" w:cs="Calibri"/>
                <w:color w:val="000000"/>
                <w:szCs w:val="22"/>
                <w:lang w:eastAsia="en-AU"/>
              </w:rPr>
            </w:pPr>
          </w:p>
        </w:tc>
        <w:tc>
          <w:tcPr>
            <w:tcW w:w="2079" w:type="dxa"/>
            <w:gridSpan w:val="2"/>
            <w:tcBorders>
              <w:top w:val="nil"/>
              <w:left w:val="nil"/>
              <w:bottom w:val="nil"/>
              <w:right w:val="nil"/>
            </w:tcBorders>
            <w:shd w:val="clear" w:color="auto" w:fill="auto"/>
            <w:noWrap/>
            <w:vAlign w:val="bottom"/>
            <w:hideMark/>
          </w:tcPr>
          <w:p w:rsidR="00FD6853" w:rsidRPr="00FD6853" w:rsidRDefault="00FD6853" w:rsidP="00FD6853">
            <w:pPr>
              <w:rPr>
                <w:rFonts w:ascii="Calibri" w:hAnsi="Calibri" w:cs="Calibri"/>
                <w:color w:val="000000"/>
                <w:szCs w:val="22"/>
                <w:lang w:eastAsia="en-AU"/>
              </w:rPr>
            </w:pPr>
          </w:p>
        </w:tc>
      </w:tr>
      <w:tr w:rsidR="00FD6853" w:rsidRPr="00FD6853" w:rsidTr="00FD6853">
        <w:trPr>
          <w:trHeight w:val="983"/>
        </w:trPr>
        <w:tc>
          <w:tcPr>
            <w:tcW w:w="2302" w:type="dxa"/>
            <w:tcBorders>
              <w:top w:val="single" w:sz="8" w:space="0" w:color="auto"/>
              <w:left w:val="single" w:sz="8" w:space="0" w:color="auto"/>
              <w:bottom w:val="nil"/>
              <w:right w:val="nil"/>
            </w:tcBorders>
            <w:shd w:val="clear" w:color="auto" w:fill="auto"/>
            <w:vAlign w:val="center"/>
            <w:hideMark/>
          </w:tcPr>
          <w:p w:rsidR="00FD6853" w:rsidRPr="00FD6853" w:rsidRDefault="00FD6853" w:rsidP="00FD6853">
            <w:pPr>
              <w:rPr>
                <w:rFonts w:ascii="Calibri" w:hAnsi="Calibri" w:cs="Calibri"/>
                <w:b/>
                <w:bCs/>
                <w:color w:val="000000"/>
                <w:szCs w:val="22"/>
                <w:lang w:eastAsia="en-AU"/>
              </w:rPr>
            </w:pPr>
            <w:r w:rsidRPr="00FD6853">
              <w:rPr>
                <w:rFonts w:ascii="Calibri" w:hAnsi="Calibri" w:cs="Calibri"/>
                <w:b/>
                <w:bCs/>
                <w:color w:val="000000"/>
                <w:szCs w:val="22"/>
                <w:lang w:eastAsia="en-AU"/>
              </w:rPr>
              <w:t>Destinations Reason</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D6853" w:rsidRPr="00FD6853" w:rsidRDefault="00FD6853" w:rsidP="00FD6853">
            <w:pPr>
              <w:jc w:val="center"/>
              <w:rPr>
                <w:rFonts w:ascii="Calibri" w:hAnsi="Calibri" w:cs="Calibri"/>
                <w:b/>
                <w:bCs/>
                <w:color w:val="000000"/>
                <w:szCs w:val="22"/>
                <w:lang w:eastAsia="en-AU"/>
              </w:rPr>
            </w:pPr>
            <w:r w:rsidRPr="00FD6853">
              <w:rPr>
                <w:rFonts w:ascii="Calibri" w:hAnsi="Calibri" w:cs="Calibri"/>
                <w:b/>
                <w:bCs/>
                <w:color w:val="000000"/>
                <w:szCs w:val="22"/>
                <w:lang w:eastAsia="en-AU"/>
              </w:rPr>
              <w:t>No. of Students 2010</w:t>
            </w:r>
          </w:p>
        </w:tc>
        <w:tc>
          <w:tcPr>
            <w:tcW w:w="1841" w:type="dxa"/>
            <w:tcBorders>
              <w:top w:val="single" w:sz="8" w:space="0" w:color="auto"/>
              <w:left w:val="nil"/>
              <w:bottom w:val="single" w:sz="8" w:space="0" w:color="auto"/>
              <w:right w:val="single" w:sz="8" w:space="0" w:color="auto"/>
            </w:tcBorders>
            <w:shd w:val="clear" w:color="auto" w:fill="auto"/>
            <w:vAlign w:val="center"/>
            <w:hideMark/>
          </w:tcPr>
          <w:p w:rsidR="00FD6853" w:rsidRPr="00FD6853" w:rsidRDefault="00FD6853" w:rsidP="00FD6853">
            <w:pPr>
              <w:jc w:val="center"/>
              <w:rPr>
                <w:rFonts w:ascii="Calibri" w:hAnsi="Calibri" w:cs="Calibri"/>
                <w:b/>
                <w:bCs/>
                <w:color w:val="000000"/>
                <w:szCs w:val="22"/>
                <w:lang w:eastAsia="en-AU"/>
              </w:rPr>
            </w:pPr>
            <w:r w:rsidRPr="00FD6853">
              <w:rPr>
                <w:rFonts w:ascii="Calibri" w:hAnsi="Calibri" w:cs="Calibri"/>
                <w:b/>
                <w:bCs/>
                <w:color w:val="000000"/>
                <w:szCs w:val="22"/>
                <w:lang w:eastAsia="en-AU"/>
              </w:rPr>
              <w:t>% of Total Students 2010</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FD6853" w:rsidRPr="00FD6853" w:rsidRDefault="00FD6853" w:rsidP="00FD6853">
            <w:pPr>
              <w:jc w:val="center"/>
              <w:rPr>
                <w:rFonts w:ascii="Calibri" w:hAnsi="Calibri" w:cs="Calibri"/>
                <w:b/>
                <w:bCs/>
                <w:color w:val="000000"/>
                <w:szCs w:val="22"/>
                <w:lang w:eastAsia="en-AU"/>
              </w:rPr>
            </w:pPr>
            <w:r w:rsidRPr="00FD6853">
              <w:rPr>
                <w:rFonts w:ascii="Calibri" w:hAnsi="Calibri" w:cs="Calibri"/>
                <w:b/>
                <w:bCs/>
                <w:color w:val="000000"/>
                <w:szCs w:val="22"/>
                <w:lang w:eastAsia="en-AU"/>
              </w:rPr>
              <w:t>No. of Students 2011</w:t>
            </w:r>
          </w:p>
        </w:tc>
        <w:tc>
          <w:tcPr>
            <w:tcW w:w="2059" w:type="dxa"/>
            <w:tcBorders>
              <w:top w:val="single" w:sz="8" w:space="0" w:color="auto"/>
              <w:left w:val="nil"/>
              <w:bottom w:val="single" w:sz="8" w:space="0" w:color="auto"/>
              <w:right w:val="single" w:sz="8" w:space="0" w:color="auto"/>
            </w:tcBorders>
            <w:shd w:val="clear" w:color="auto" w:fill="auto"/>
            <w:vAlign w:val="center"/>
            <w:hideMark/>
          </w:tcPr>
          <w:p w:rsidR="00FD6853" w:rsidRPr="00FD6853" w:rsidRDefault="00FD6853" w:rsidP="00FD6853">
            <w:pPr>
              <w:jc w:val="center"/>
              <w:rPr>
                <w:rFonts w:ascii="Calibri" w:hAnsi="Calibri" w:cs="Calibri"/>
                <w:b/>
                <w:bCs/>
                <w:color w:val="000000"/>
                <w:szCs w:val="22"/>
                <w:lang w:eastAsia="en-AU"/>
              </w:rPr>
            </w:pPr>
            <w:r w:rsidRPr="00FD6853">
              <w:rPr>
                <w:rFonts w:ascii="Calibri" w:hAnsi="Calibri" w:cs="Calibri"/>
                <w:b/>
                <w:bCs/>
                <w:color w:val="000000"/>
                <w:szCs w:val="22"/>
                <w:lang w:eastAsia="en-AU"/>
              </w:rPr>
              <w:t>% of Total Students 2011</w:t>
            </w:r>
          </w:p>
        </w:tc>
        <w:tc>
          <w:tcPr>
            <w:tcW w:w="1752" w:type="dxa"/>
            <w:gridSpan w:val="2"/>
            <w:tcBorders>
              <w:top w:val="single" w:sz="8" w:space="0" w:color="auto"/>
              <w:left w:val="nil"/>
              <w:bottom w:val="single" w:sz="8" w:space="0" w:color="auto"/>
              <w:right w:val="single" w:sz="8" w:space="0" w:color="auto"/>
            </w:tcBorders>
            <w:shd w:val="clear" w:color="auto" w:fill="auto"/>
            <w:vAlign w:val="center"/>
            <w:hideMark/>
          </w:tcPr>
          <w:p w:rsidR="00FD6853" w:rsidRPr="00FD6853" w:rsidRDefault="00FD6853" w:rsidP="00FD6853">
            <w:pPr>
              <w:jc w:val="center"/>
              <w:rPr>
                <w:rFonts w:ascii="Calibri" w:hAnsi="Calibri" w:cs="Calibri"/>
                <w:b/>
                <w:bCs/>
                <w:color w:val="000000"/>
                <w:szCs w:val="22"/>
                <w:lang w:eastAsia="en-AU"/>
              </w:rPr>
            </w:pPr>
            <w:r w:rsidRPr="00FD6853">
              <w:rPr>
                <w:rFonts w:ascii="Calibri" w:hAnsi="Calibri" w:cs="Calibri"/>
                <w:b/>
                <w:bCs/>
                <w:color w:val="000000"/>
                <w:szCs w:val="22"/>
                <w:lang w:eastAsia="en-AU"/>
              </w:rPr>
              <w:t>No. of Students 2012</w:t>
            </w:r>
          </w:p>
        </w:tc>
        <w:tc>
          <w:tcPr>
            <w:tcW w:w="2079" w:type="dxa"/>
            <w:gridSpan w:val="2"/>
            <w:tcBorders>
              <w:top w:val="single" w:sz="8" w:space="0" w:color="auto"/>
              <w:left w:val="nil"/>
              <w:bottom w:val="single" w:sz="8" w:space="0" w:color="auto"/>
              <w:right w:val="single" w:sz="8" w:space="0" w:color="auto"/>
            </w:tcBorders>
            <w:shd w:val="clear" w:color="auto" w:fill="auto"/>
            <w:vAlign w:val="center"/>
            <w:hideMark/>
          </w:tcPr>
          <w:p w:rsidR="00FD6853" w:rsidRPr="00FD6853" w:rsidRDefault="00FD6853" w:rsidP="00FD6853">
            <w:pPr>
              <w:jc w:val="center"/>
              <w:rPr>
                <w:rFonts w:ascii="Calibri" w:hAnsi="Calibri" w:cs="Calibri"/>
                <w:b/>
                <w:bCs/>
                <w:color w:val="000000"/>
                <w:szCs w:val="22"/>
                <w:lang w:eastAsia="en-AU"/>
              </w:rPr>
            </w:pPr>
            <w:r w:rsidRPr="00FD6853">
              <w:rPr>
                <w:rFonts w:ascii="Calibri" w:hAnsi="Calibri" w:cs="Calibri"/>
                <w:b/>
                <w:bCs/>
                <w:color w:val="000000"/>
                <w:szCs w:val="22"/>
                <w:lang w:eastAsia="en-AU"/>
              </w:rPr>
              <w:t>% of Total Students 2012</w:t>
            </w:r>
          </w:p>
        </w:tc>
      </w:tr>
      <w:tr w:rsidR="00FD6853" w:rsidRPr="00FD6853" w:rsidTr="00FD6853">
        <w:trPr>
          <w:trHeight w:val="320"/>
        </w:trPr>
        <w:tc>
          <w:tcPr>
            <w:tcW w:w="2302" w:type="dxa"/>
            <w:tcBorders>
              <w:top w:val="single" w:sz="8" w:space="0" w:color="auto"/>
              <w:left w:val="single" w:sz="8" w:space="0" w:color="auto"/>
              <w:bottom w:val="single" w:sz="8" w:space="0" w:color="auto"/>
              <w:right w:val="nil"/>
            </w:tcBorders>
            <w:shd w:val="clear" w:color="000000" w:fill="C0C0C0"/>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School Enrolment</w:t>
            </w:r>
          </w:p>
        </w:tc>
        <w:tc>
          <w:tcPr>
            <w:tcW w:w="1968" w:type="dxa"/>
            <w:tcBorders>
              <w:top w:val="nil"/>
              <w:left w:val="single" w:sz="8" w:space="0" w:color="auto"/>
              <w:bottom w:val="single" w:sz="8" w:space="0" w:color="auto"/>
              <w:right w:val="single" w:sz="8" w:space="0" w:color="auto"/>
            </w:tcBorders>
            <w:shd w:val="clear" w:color="000000" w:fill="C0C0C0"/>
            <w:noWrap/>
            <w:vAlign w:val="center"/>
            <w:hideMark/>
          </w:tcPr>
          <w:p w:rsidR="00FD6853" w:rsidRPr="00FD6853" w:rsidRDefault="00FD6853" w:rsidP="00FD6853">
            <w:pPr>
              <w:ind w:firstLineChars="6" w:firstLine="13"/>
              <w:jc w:val="right"/>
              <w:rPr>
                <w:rFonts w:ascii="Calibri" w:hAnsi="Calibri" w:cs="Calibri"/>
                <w:color w:val="000000"/>
                <w:szCs w:val="22"/>
                <w:lang w:eastAsia="en-AU"/>
              </w:rPr>
            </w:pPr>
            <w:r w:rsidRPr="00FD6853">
              <w:rPr>
                <w:rFonts w:ascii="Calibri" w:hAnsi="Calibri" w:cs="Calibri"/>
                <w:color w:val="000000"/>
                <w:szCs w:val="22"/>
                <w:lang w:eastAsia="en-AU"/>
              </w:rPr>
              <w:t>2112</w:t>
            </w:r>
          </w:p>
        </w:tc>
        <w:tc>
          <w:tcPr>
            <w:tcW w:w="1841" w:type="dxa"/>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55.3</w:t>
            </w:r>
          </w:p>
        </w:tc>
        <w:tc>
          <w:tcPr>
            <w:tcW w:w="1984"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1508</w:t>
            </w:r>
          </w:p>
        </w:tc>
        <w:tc>
          <w:tcPr>
            <w:tcW w:w="2059" w:type="dxa"/>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56.2</w:t>
            </w:r>
          </w:p>
        </w:tc>
        <w:tc>
          <w:tcPr>
            <w:tcW w:w="1752" w:type="dxa"/>
            <w:gridSpan w:val="2"/>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1990</w:t>
            </w:r>
          </w:p>
        </w:tc>
        <w:tc>
          <w:tcPr>
            <w:tcW w:w="2079" w:type="dxa"/>
            <w:gridSpan w:val="2"/>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60.2</w:t>
            </w:r>
          </w:p>
        </w:tc>
      </w:tr>
      <w:tr w:rsidR="00FD6853" w:rsidRPr="00FD6853" w:rsidTr="00FD6853">
        <w:trPr>
          <w:trHeight w:val="315"/>
        </w:trPr>
        <w:tc>
          <w:tcPr>
            <w:tcW w:w="2302" w:type="dxa"/>
            <w:tcBorders>
              <w:top w:val="nil"/>
              <w:left w:val="single" w:sz="8" w:space="0" w:color="auto"/>
              <w:bottom w:val="single" w:sz="8" w:space="0" w:color="auto"/>
              <w:right w:val="nil"/>
            </w:tcBorders>
            <w:shd w:val="clear" w:color="auto" w:fill="auto"/>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Tertiary/TAFE/Training</w:t>
            </w:r>
          </w:p>
        </w:tc>
        <w:tc>
          <w:tcPr>
            <w:tcW w:w="1968" w:type="dxa"/>
            <w:tcBorders>
              <w:top w:val="nil"/>
              <w:left w:val="single" w:sz="8" w:space="0" w:color="auto"/>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145</w:t>
            </w:r>
          </w:p>
        </w:tc>
        <w:tc>
          <w:tcPr>
            <w:tcW w:w="1841"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3.8</w:t>
            </w:r>
          </w:p>
        </w:tc>
        <w:tc>
          <w:tcPr>
            <w:tcW w:w="1984"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70</w:t>
            </w:r>
          </w:p>
        </w:tc>
        <w:tc>
          <w:tcPr>
            <w:tcW w:w="2059"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2.6</w:t>
            </w:r>
          </w:p>
        </w:tc>
        <w:tc>
          <w:tcPr>
            <w:tcW w:w="1752" w:type="dxa"/>
            <w:gridSpan w:val="2"/>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91</w:t>
            </w:r>
          </w:p>
        </w:tc>
        <w:tc>
          <w:tcPr>
            <w:tcW w:w="2079" w:type="dxa"/>
            <w:gridSpan w:val="2"/>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2.8</w:t>
            </w:r>
          </w:p>
        </w:tc>
      </w:tr>
      <w:tr w:rsidR="00FD6853" w:rsidRPr="00FD6853" w:rsidTr="00FD6853">
        <w:trPr>
          <w:trHeight w:val="315"/>
        </w:trPr>
        <w:tc>
          <w:tcPr>
            <w:tcW w:w="2302" w:type="dxa"/>
            <w:tcBorders>
              <w:top w:val="nil"/>
              <w:left w:val="single" w:sz="8" w:space="0" w:color="auto"/>
              <w:bottom w:val="single" w:sz="8" w:space="0" w:color="auto"/>
              <w:right w:val="nil"/>
            </w:tcBorders>
            <w:shd w:val="clear" w:color="000000" w:fill="C0C0C0"/>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Employment</w:t>
            </w:r>
          </w:p>
        </w:tc>
        <w:tc>
          <w:tcPr>
            <w:tcW w:w="1968" w:type="dxa"/>
            <w:tcBorders>
              <w:top w:val="nil"/>
              <w:left w:val="single" w:sz="8" w:space="0" w:color="auto"/>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321</w:t>
            </w:r>
          </w:p>
        </w:tc>
        <w:tc>
          <w:tcPr>
            <w:tcW w:w="1841" w:type="dxa"/>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8.4</w:t>
            </w:r>
          </w:p>
        </w:tc>
        <w:tc>
          <w:tcPr>
            <w:tcW w:w="1984"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162</w:t>
            </w:r>
          </w:p>
        </w:tc>
        <w:tc>
          <w:tcPr>
            <w:tcW w:w="2059" w:type="dxa"/>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6</w:t>
            </w:r>
          </w:p>
        </w:tc>
        <w:tc>
          <w:tcPr>
            <w:tcW w:w="1752" w:type="dxa"/>
            <w:gridSpan w:val="2"/>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167</w:t>
            </w:r>
          </w:p>
        </w:tc>
        <w:tc>
          <w:tcPr>
            <w:tcW w:w="2079" w:type="dxa"/>
            <w:gridSpan w:val="2"/>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5</w:t>
            </w:r>
          </w:p>
        </w:tc>
      </w:tr>
      <w:tr w:rsidR="00FD6853" w:rsidRPr="00FD6853" w:rsidTr="00FD6853">
        <w:trPr>
          <w:trHeight w:val="315"/>
        </w:trPr>
        <w:tc>
          <w:tcPr>
            <w:tcW w:w="2302" w:type="dxa"/>
            <w:tcBorders>
              <w:top w:val="nil"/>
              <w:left w:val="single" w:sz="8" w:space="0" w:color="auto"/>
              <w:bottom w:val="single" w:sz="8" w:space="0" w:color="auto"/>
              <w:right w:val="nil"/>
            </w:tcBorders>
            <w:shd w:val="clear" w:color="auto" w:fill="auto"/>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Seeking Employment</w:t>
            </w:r>
          </w:p>
        </w:tc>
        <w:tc>
          <w:tcPr>
            <w:tcW w:w="1968" w:type="dxa"/>
            <w:tcBorders>
              <w:top w:val="nil"/>
              <w:left w:val="single" w:sz="8" w:space="0" w:color="auto"/>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365</w:t>
            </w:r>
          </w:p>
        </w:tc>
        <w:tc>
          <w:tcPr>
            <w:tcW w:w="1841"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9.6</w:t>
            </w:r>
          </w:p>
        </w:tc>
        <w:tc>
          <w:tcPr>
            <w:tcW w:w="1984"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319</w:t>
            </w:r>
          </w:p>
        </w:tc>
        <w:tc>
          <w:tcPr>
            <w:tcW w:w="2059"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11.9</w:t>
            </w:r>
          </w:p>
        </w:tc>
        <w:tc>
          <w:tcPr>
            <w:tcW w:w="1752" w:type="dxa"/>
            <w:gridSpan w:val="2"/>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257</w:t>
            </w:r>
          </w:p>
        </w:tc>
        <w:tc>
          <w:tcPr>
            <w:tcW w:w="2079" w:type="dxa"/>
            <w:gridSpan w:val="2"/>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7.8</w:t>
            </w:r>
          </w:p>
        </w:tc>
      </w:tr>
      <w:tr w:rsidR="00FD6853" w:rsidRPr="00FD6853" w:rsidTr="00FD6853">
        <w:trPr>
          <w:trHeight w:val="315"/>
        </w:trPr>
        <w:tc>
          <w:tcPr>
            <w:tcW w:w="2302" w:type="dxa"/>
            <w:tcBorders>
              <w:top w:val="nil"/>
              <w:left w:val="single" w:sz="8" w:space="0" w:color="auto"/>
              <w:bottom w:val="single" w:sz="8" w:space="0" w:color="auto"/>
              <w:right w:val="nil"/>
            </w:tcBorders>
            <w:shd w:val="clear" w:color="000000" w:fill="C0C0C0"/>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Left South Australia</w:t>
            </w:r>
          </w:p>
        </w:tc>
        <w:tc>
          <w:tcPr>
            <w:tcW w:w="1968" w:type="dxa"/>
            <w:tcBorders>
              <w:top w:val="nil"/>
              <w:left w:val="single" w:sz="8" w:space="0" w:color="auto"/>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63</w:t>
            </w:r>
          </w:p>
        </w:tc>
        <w:tc>
          <w:tcPr>
            <w:tcW w:w="1841" w:type="dxa"/>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1.7</w:t>
            </w:r>
          </w:p>
        </w:tc>
        <w:tc>
          <w:tcPr>
            <w:tcW w:w="1984"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42</w:t>
            </w:r>
          </w:p>
        </w:tc>
        <w:tc>
          <w:tcPr>
            <w:tcW w:w="2059" w:type="dxa"/>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1.6</w:t>
            </w:r>
          </w:p>
        </w:tc>
        <w:tc>
          <w:tcPr>
            <w:tcW w:w="1752" w:type="dxa"/>
            <w:gridSpan w:val="2"/>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53</w:t>
            </w:r>
          </w:p>
        </w:tc>
        <w:tc>
          <w:tcPr>
            <w:tcW w:w="2079" w:type="dxa"/>
            <w:gridSpan w:val="2"/>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1.6</w:t>
            </w:r>
          </w:p>
        </w:tc>
      </w:tr>
      <w:tr w:rsidR="00FD6853" w:rsidRPr="00FD6853" w:rsidTr="00FD6853">
        <w:trPr>
          <w:trHeight w:val="315"/>
        </w:trPr>
        <w:tc>
          <w:tcPr>
            <w:tcW w:w="2302" w:type="dxa"/>
            <w:tcBorders>
              <w:top w:val="nil"/>
              <w:left w:val="single" w:sz="8" w:space="0" w:color="auto"/>
              <w:bottom w:val="single" w:sz="8" w:space="0" w:color="auto"/>
              <w:right w:val="nil"/>
            </w:tcBorders>
            <w:shd w:val="clear" w:color="auto" w:fill="auto"/>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Other</w:t>
            </w:r>
          </w:p>
        </w:tc>
        <w:tc>
          <w:tcPr>
            <w:tcW w:w="1968" w:type="dxa"/>
            <w:tcBorders>
              <w:top w:val="nil"/>
              <w:left w:val="single" w:sz="8" w:space="0" w:color="auto"/>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201</w:t>
            </w:r>
          </w:p>
        </w:tc>
        <w:tc>
          <w:tcPr>
            <w:tcW w:w="1841"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5.3</w:t>
            </w:r>
          </w:p>
        </w:tc>
        <w:tc>
          <w:tcPr>
            <w:tcW w:w="1984"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146</w:t>
            </w:r>
          </w:p>
        </w:tc>
        <w:tc>
          <w:tcPr>
            <w:tcW w:w="2059"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5.4</w:t>
            </w:r>
          </w:p>
        </w:tc>
        <w:tc>
          <w:tcPr>
            <w:tcW w:w="1752" w:type="dxa"/>
            <w:gridSpan w:val="2"/>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99</w:t>
            </w:r>
          </w:p>
        </w:tc>
        <w:tc>
          <w:tcPr>
            <w:tcW w:w="2079" w:type="dxa"/>
            <w:gridSpan w:val="2"/>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3</w:t>
            </w:r>
          </w:p>
        </w:tc>
      </w:tr>
      <w:tr w:rsidR="00FD6853" w:rsidRPr="00FD6853" w:rsidTr="00FD6853">
        <w:trPr>
          <w:trHeight w:val="315"/>
        </w:trPr>
        <w:tc>
          <w:tcPr>
            <w:tcW w:w="2302" w:type="dxa"/>
            <w:tcBorders>
              <w:top w:val="nil"/>
              <w:left w:val="single" w:sz="8" w:space="0" w:color="auto"/>
              <w:bottom w:val="single" w:sz="8" w:space="0" w:color="auto"/>
              <w:right w:val="nil"/>
            </w:tcBorders>
            <w:shd w:val="clear" w:color="000000" w:fill="C0C0C0"/>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Unknown</w:t>
            </w:r>
          </w:p>
        </w:tc>
        <w:tc>
          <w:tcPr>
            <w:tcW w:w="1968" w:type="dxa"/>
            <w:tcBorders>
              <w:top w:val="nil"/>
              <w:left w:val="single" w:sz="8" w:space="0" w:color="auto"/>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610</w:t>
            </w:r>
          </w:p>
        </w:tc>
        <w:tc>
          <w:tcPr>
            <w:tcW w:w="1841" w:type="dxa"/>
            <w:tcBorders>
              <w:top w:val="nil"/>
              <w:left w:val="nil"/>
              <w:bottom w:val="nil"/>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16</w:t>
            </w:r>
          </w:p>
        </w:tc>
        <w:tc>
          <w:tcPr>
            <w:tcW w:w="1984"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435</w:t>
            </w:r>
          </w:p>
        </w:tc>
        <w:tc>
          <w:tcPr>
            <w:tcW w:w="2059" w:type="dxa"/>
            <w:tcBorders>
              <w:top w:val="nil"/>
              <w:left w:val="nil"/>
              <w:bottom w:val="nil"/>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16.2</w:t>
            </w:r>
          </w:p>
        </w:tc>
        <w:tc>
          <w:tcPr>
            <w:tcW w:w="1752" w:type="dxa"/>
            <w:gridSpan w:val="2"/>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650</w:t>
            </w:r>
          </w:p>
        </w:tc>
        <w:tc>
          <w:tcPr>
            <w:tcW w:w="2079" w:type="dxa"/>
            <w:gridSpan w:val="2"/>
            <w:tcBorders>
              <w:top w:val="nil"/>
              <w:left w:val="nil"/>
              <w:bottom w:val="nil"/>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19.7</w:t>
            </w:r>
          </w:p>
        </w:tc>
      </w:tr>
      <w:tr w:rsidR="00FD6853" w:rsidRPr="00FD6853" w:rsidTr="00FD6853">
        <w:trPr>
          <w:trHeight w:val="315"/>
        </w:trPr>
        <w:tc>
          <w:tcPr>
            <w:tcW w:w="2302" w:type="dxa"/>
            <w:tcBorders>
              <w:top w:val="nil"/>
              <w:left w:val="single" w:sz="8" w:space="0" w:color="auto"/>
              <w:bottom w:val="single" w:sz="8" w:space="0" w:color="auto"/>
              <w:right w:val="nil"/>
            </w:tcBorders>
            <w:shd w:val="clear" w:color="auto" w:fill="auto"/>
            <w:vAlign w:val="center"/>
            <w:hideMark/>
          </w:tcPr>
          <w:p w:rsidR="00FD6853" w:rsidRPr="00FD6853" w:rsidRDefault="00FD6853" w:rsidP="00FD6853">
            <w:pPr>
              <w:rPr>
                <w:rFonts w:ascii="Calibri" w:hAnsi="Calibri" w:cs="Calibri"/>
                <w:b/>
                <w:bCs/>
                <w:color w:val="000000"/>
                <w:szCs w:val="22"/>
                <w:lang w:eastAsia="en-AU"/>
              </w:rPr>
            </w:pPr>
            <w:r w:rsidRPr="00FD6853">
              <w:rPr>
                <w:rFonts w:ascii="Calibri" w:hAnsi="Calibri" w:cs="Calibri"/>
                <w:b/>
                <w:bCs/>
                <w:color w:val="000000"/>
                <w:szCs w:val="22"/>
                <w:lang w:eastAsia="en-AU"/>
              </w:rPr>
              <w:t>Total</w:t>
            </w:r>
          </w:p>
        </w:tc>
        <w:tc>
          <w:tcPr>
            <w:tcW w:w="1968" w:type="dxa"/>
            <w:tcBorders>
              <w:top w:val="nil"/>
              <w:left w:val="single" w:sz="8" w:space="0" w:color="auto"/>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2"/>
              <w:jc w:val="right"/>
              <w:rPr>
                <w:rFonts w:ascii="Calibri" w:hAnsi="Calibri" w:cs="Calibri"/>
                <w:b/>
                <w:bCs/>
                <w:color w:val="000000"/>
                <w:szCs w:val="22"/>
                <w:lang w:eastAsia="en-AU"/>
              </w:rPr>
            </w:pPr>
            <w:r w:rsidRPr="00FD6853">
              <w:rPr>
                <w:rFonts w:ascii="Calibri" w:hAnsi="Calibri" w:cs="Calibri"/>
                <w:b/>
                <w:bCs/>
                <w:color w:val="000000"/>
                <w:szCs w:val="22"/>
                <w:lang w:eastAsia="en-AU"/>
              </w:rPr>
              <w:t>3817</w:t>
            </w:r>
          </w:p>
        </w:tc>
        <w:tc>
          <w:tcPr>
            <w:tcW w:w="1841" w:type="dxa"/>
            <w:tcBorders>
              <w:top w:val="single" w:sz="8" w:space="0" w:color="auto"/>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2"/>
              <w:jc w:val="right"/>
              <w:rPr>
                <w:rFonts w:ascii="Calibri" w:hAnsi="Calibri" w:cs="Calibri"/>
                <w:b/>
                <w:bCs/>
                <w:color w:val="000000"/>
                <w:szCs w:val="22"/>
                <w:lang w:eastAsia="en-AU"/>
              </w:rPr>
            </w:pPr>
            <w:r w:rsidRPr="00FD6853">
              <w:rPr>
                <w:rFonts w:ascii="Calibri" w:hAnsi="Calibri" w:cs="Calibri"/>
                <w:b/>
                <w:bCs/>
                <w:color w:val="000000"/>
                <w:szCs w:val="22"/>
                <w:lang w:eastAsia="en-AU"/>
              </w:rPr>
              <w:t>100</w:t>
            </w:r>
          </w:p>
        </w:tc>
        <w:tc>
          <w:tcPr>
            <w:tcW w:w="1984"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2"/>
              <w:jc w:val="right"/>
              <w:rPr>
                <w:rFonts w:ascii="Calibri" w:hAnsi="Calibri" w:cs="Calibri"/>
                <w:b/>
                <w:bCs/>
                <w:color w:val="000000"/>
                <w:szCs w:val="22"/>
                <w:lang w:eastAsia="en-AU"/>
              </w:rPr>
            </w:pPr>
            <w:r w:rsidRPr="00FD6853">
              <w:rPr>
                <w:rFonts w:ascii="Calibri" w:hAnsi="Calibri" w:cs="Calibri"/>
                <w:b/>
                <w:bCs/>
                <w:color w:val="000000"/>
                <w:szCs w:val="22"/>
                <w:lang w:eastAsia="en-AU"/>
              </w:rPr>
              <w:t>2682</w:t>
            </w:r>
          </w:p>
        </w:tc>
        <w:tc>
          <w:tcPr>
            <w:tcW w:w="2059" w:type="dxa"/>
            <w:tcBorders>
              <w:top w:val="single" w:sz="8" w:space="0" w:color="auto"/>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2"/>
              <w:jc w:val="right"/>
              <w:rPr>
                <w:rFonts w:ascii="Calibri" w:hAnsi="Calibri" w:cs="Calibri"/>
                <w:b/>
                <w:bCs/>
                <w:color w:val="000000"/>
                <w:szCs w:val="22"/>
                <w:lang w:eastAsia="en-AU"/>
              </w:rPr>
            </w:pPr>
            <w:r w:rsidRPr="00FD6853">
              <w:rPr>
                <w:rFonts w:ascii="Calibri" w:hAnsi="Calibri" w:cs="Calibri"/>
                <w:b/>
                <w:bCs/>
                <w:color w:val="000000"/>
                <w:szCs w:val="22"/>
                <w:lang w:eastAsia="en-AU"/>
              </w:rPr>
              <w:t>100</w:t>
            </w:r>
          </w:p>
        </w:tc>
        <w:tc>
          <w:tcPr>
            <w:tcW w:w="1752" w:type="dxa"/>
            <w:gridSpan w:val="2"/>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2"/>
              <w:jc w:val="right"/>
              <w:rPr>
                <w:rFonts w:ascii="Calibri" w:hAnsi="Calibri" w:cs="Calibri"/>
                <w:b/>
                <w:bCs/>
                <w:color w:val="000000"/>
                <w:szCs w:val="22"/>
                <w:lang w:eastAsia="en-AU"/>
              </w:rPr>
            </w:pPr>
            <w:r w:rsidRPr="00FD6853">
              <w:rPr>
                <w:rFonts w:ascii="Calibri" w:hAnsi="Calibri" w:cs="Calibri"/>
                <w:b/>
                <w:bCs/>
                <w:color w:val="000000"/>
                <w:szCs w:val="22"/>
                <w:lang w:eastAsia="en-AU"/>
              </w:rPr>
              <w:t>3307</w:t>
            </w:r>
          </w:p>
        </w:tc>
        <w:tc>
          <w:tcPr>
            <w:tcW w:w="2079" w:type="dxa"/>
            <w:gridSpan w:val="2"/>
            <w:tcBorders>
              <w:top w:val="single" w:sz="8" w:space="0" w:color="auto"/>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2"/>
              <w:jc w:val="right"/>
              <w:rPr>
                <w:rFonts w:ascii="Calibri" w:hAnsi="Calibri" w:cs="Calibri"/>
                <w:b/>
                <w:bCs/>
                <w:color w:val="000000"/>
                <w:szCs w:val="22"/>
                <w:lang w:eastAsia="en-AU"/>
              </w:rPr>
            </w:pPr>
            <w:r w:rsidRPr="00FD6853">
              <w:rPr>
                <w:rFonts w:ascii="Calibri" w:hAnsi="Calibri" w:cs="Calibri"/>
                <w:b/>
                <w:bCs/>
                <w:color w:val="000000"/>
                <w:szCs w:val="22"/>
                <w:lang w:eastAsia="en-AU"/>
              </w:rPr>
              <w:t>100</w:t>
            </w:r>
          </w:p>
        </w:tc>
      </w:tr>
      <w:tr w:rsidR="00FD6853" w:rsidRPr="00FD6853" w:rsidTr="00FD6853">
        <w:trPr>
          <w:gridAfter w:val="1"/>
          <w:wAfter w:w="132" w:type="dxa"/>
          <w:trHeight w:val="315"/>
        </w:trPr>
        <w:tc>
          <w:tcPr>
            <w:tcW w:w="11835" w:type="dxa"/>
            <w:gridSpan w:val="6"/>
            <w:tcBorders>
              <w:top w:val="nil"/>
              <w:left w:val="nil"/>
              <w:bottom w:val="nil"/>
              <w:right w:val="nil"/>
            </w:tcBorders>
            <w:shd w:val="clear" w:color="auto" w:fill="auto"/>
            <w:noWrap/>
            <w:vAlign w:val="bottom"/>
            <w:hideMark/>
          </w:tcPr>
          <w:p w:rsidR="00AE6D45" w:rsidRDefault="00AE6D45" w:rsidP="00FD6853">
            <w:pPr>
              <w:rPr>
                <w:rFonts w:eastAsia="Calibri" w:cstheme="minorHAnsi"/>
                <w:b/>
                <w:szCs w:val="24"/>
              </w:rPr>
            </w:pPr>
          </w:p>
          <w:p w:rsidR="00FD6853" w:rsidRPr="00FD6853" w:rsidRDefault="00C54CD1" w:rsidP="00FD6853">
            <w:pPr>
              <w:rPr>
                <w:rFonts w:ascii="Calibri" w:hAnsi="Calibri" w:cs="Calibri"/>
                <w:color w:val="000000"/>
                <w:szCs w:val="22"/>
                <w:lang w:eastAsia="en-AU"/>
              </w:rPr>
            </w:pPr>
            <w:r w:rsidRPr="001B165D">
              <w:rPr>
                <w:rFonts w:eastAsia="Calibri" w:cstheme="minorHAnsi"/>
                <w:b/>
                <w:szCs w:val="24"/>
              </w:rPr>
              <w:t>Table 3.1(a</w:t>
            </w:r>
            <w:r>
              <w:rPr>
                <w:rFonts w:eastAsia="Calibri" w:cstheme="minorHAnsi"/>
                <w:b/>
                <w:szCs w:val="24"/>
              </w:rPr>
              <w:t>-2</w:t>
            </w:r>
            <w:r w:rsidRPr="001B165D">
              <w:rPr>
                <w:rFonts w:eastAsia="Calibri" w:cstheme="minorHAnsi"/>
                <w:b/>
                <w:szCs w:val="24"/>
              </w:rPr>
              <w:t xml:space="preserve">) </w:t>
            </w:r>
            <w:r>
              <w:rPr>
                <w:rFonts w:eastAsia="Calibri" w:cstheme="minorHAnsi"/>
                <w:b/>
                <w:szCs w:val="24"/>
              </w:rPr>
              <w:t>-</w:t>
            </w:r>
            <w:r w:rsidR="00FD6853" w:rsidRPr="00FD6853">
              <w:rPr>
                <w:rFonts w:ascii="Calibri" w:hAnsi="Calibri" w:cs="Calibri"/>
                <w:color w:val="000000"/>
                <w:szCs w:val="22"/>
                <w:lang w:eastAsia="en-AU"/>
              </w:rPr>
              <w:t xml:space="preserve">Indigenous Students participating in </w:t>
            </w:r>
            <w:proofErr w:type="spellStart"/>
            <w:r w:rsidR="00FD6853" w:rsidRPr="00FD6853">
              <w:rPr>
                <w:rFonts w:ascii="Calibri" w:hAnsi="Calibri" w:cs="Calibri"/>
                <w:color w:val="000000"/>
                <w:szCs w:val="22"/>
                <w:lang w:eastAsia="en-AU"/>
              </w:rPr>
              <w:t>CMaD</w:t>
            </w:r>
            <w:proofErr w:type="spellEnd"/>
            <w:r w:rsidR="00FD6853" w:rsidRPr="00FD6853">
              <w:rPr>
                <w:rFonts w:ascii="Calibri" w:hAnsi="Calibri" w:cs="Calibri"/>
                <w:color w:val="000000"/>
                <w:szCs w:val="22"/>
                <w:lang w:eastAsia="en-AU"/>
              </w:rPr>
              <w:t xml:space="preserve"> NP (Low SES) for 1 to 3 years </w:t>
            </w:r>
            <w:r w:rsidR="00FD6853" w:rsidRPr="00AE6D45">
              <w:rPr>
                <w:rFonts w:ascii="Calibri" w:hAnsi="Calibri" w:cs="Calibri"/>
                <w:color w:val="000000"/>
                <w:szCs w:val="22"/>
                <w:vertAlign w:val="superscript"/>
                <w:lang w:eastAsia="en-AU"/>
              </w:rPr>
              <w:t>(2)</w:t>
            </w:r>
          </w:p>
        </w:tc>
        <w:tc>
          <w:tcPr>
            <w:tcW w:w="2018" w:type="dxa"/>
            <w:gridSpan w:val="2"/>
            <w:tcBorders>
              <w:top w:val="nil"/>
              <w:left w:val="nil"/>
              <w:bottom w:val="nil"/>
              <w:right w:val="nil"/>
            </w:tcBorders>
            <w:shd w:val="clear" w:color="auto" w:fill="auto"/>
            <w:noWrap/>
            <w:vAlign w:val="bottom"/>
            <w:hideMark/>
          </w:tcPr>
          <w:p w:rsidR="00FD6853" w:rsidRPr="00FD6853" w:rsidRDefault="00FD6853" w:rsidP="00FD6853">
            <w:pPr>
              <w:rPr>
                <w:rFonts w:ascii="Calibri" w:hAnsi="Calibri" w:cs="Calibri"/>
                <w:color w:val="000000"/>
                <w:szCs w:val="22"/>
                <w:lang w:eastAsia="en-AU"/>
              </w:rPr>
            </w:pPr>
          </w:p>
        </w:tc>
      </w:tr>
      <w:tr w:rsidR="00FD6853" w:rsidRPr="00FD6853" w:rsidTr="00FD6853">
        <w:trPr>
          <w:gridAfter w:val="1"/>
          <w:wAfter w:w="132" w:type="dxa"/>
          <w:trHeight w:val="800"/>
        </w:trPr>
        <w:tc>
          <w:tcPr>
            <w:tcW w:w="2302" w:type="dxa"/>
            <w:tcBorders>
              <w:top w:val="single" w:sz="8" w:space="0" w:color="auto"/>
              <w:left w:val="single" w:sz="8" w:space="0" w:color="auto"/>
              <w:bottom w:val="nil"/>
              <w:right w:val="nil"/>
            </w:tcBorders>
            <w:shd w:val="clear" w:color="auto" w:fill="auto"/>
            <w:vAlign w:val="center"/>
            <w:hideMark/>
          </w:tcPr>
          <w:p w:rsidR="00FD6853" w:rsidRPr="00FD6853" w:rsidRDefault="00FD6853" w:rsidP="00FD6853">
            <w:pPr>
              <w:rPr>
                <w:rFonts w:ascii="Calibri" w:hAnsi="Calibri" w:cs="Calibri"/>
                <w:b/>
                <w:bCs/>
                <w:color w:val="000000"/>
                <w:szCs w:val="22"/>
                <w:lang w:eastAsia="en-AU"/>
              </w:rPr>
            </w:pPr>
            <w:r w:rsidRPr="00FD6853">
              <w:rPr>
                <w:rFonts w:ascii="Calibri" w:hAnsi="Calibri" w:cs="Calibri"/>
                <w:b/>
                <w:bCs/>
                <w:color w:val="000000"/>
                <w:szCs w:val="22"/>
                <w:lang w:eastAsia="en-AU"/>
              </w:rPr>
              <w:t>Destinations Reason</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D6853" w:rsidRPr="00FD6853" w:rsidRDefault="00FD6853" w:rsidP="00FD6853">
            <w:pPr>
              <w:jc w:val="center"/>
              <w:rPr>
                <w:rFonts w:ascii="Calibri" w:hAnsi="Calibri" w:cs="Calibri"/>
                <w:b/>
                <w:bCs/>
                <w:color w:val="000000"/>
                <w:szCs w:val="22"/>
                <w:lang w:eastAsia="en-AU"/>
              </w:rPr>
            </w:pPr>
            <w:r w:rsidRPr="00FD6853">
              <w:rPr>
                <w:rFonts w:ascii="Calibri" w:hAnsi="Calibri" w:cs="Calibri"/>
                <w:b/>
                <w:bCs/>
                <w:color w:val="000000"/>
                <w:szCs w:val="22"/>
                <w:lang w:eastAsia="en-AU"/>
              </w:rPr>
              <w:t>No. of Students 2010</w:t>
            </w:r>
          </w:p>
        </w:tc>
        <w:tc>
          <w:tcPr>
            <w:tcW w:w="1841" w:type="dxa"/>
            <w:tcBorders>
              <w:top w:val="single" w:sz="8" w:space="0" w:color="auto"/>
              <w:left w:val="nil"/>
              <w:bottom w:val="single" w:sz="8" w:space="0" w:color="auto"/>
              <w:right w:val="single" w:sz="8" w:space="0" w:color="auto"/>
            </w:tcBorders>
            <w:shd w:val="clear" w:color="auto" w:fill="auto"/>
            <w:vAlign w:val="center"/>
            <w:hideMark/>
          </w:tcPr>
          <w:p w:rsidR="00FD6853" w:rsidRPr="00FD6853" w:rsidRDefault="00FD6853" w:rsidP="00FD6853">
            <w:pPr>
              <w:jc w:val="center"/>
              <w:rPr>
                <w:rFonts w:ascii="Calibri" w:hAnsi="Calibri" w:cs="Calibri"/>
                <w:b/>
                <w:bCs/>
                <w:color w:val="000000"/>
                <w:szCs w:val="22"/>
                <w:lang w:eastAsia="en-AU"/>
              </w:rPr>
            </w:pPr>
            <w:r>
              <w:rPr>
                <w:rFonts w:ascii="Calibri" w:hAnsi="Calibri" w:cs="Calibri"/>
                <w:b/>
                <w:bCs/>
                <w:color w:val="000000"/>
                <w:szCs w:val="22"/>
                <w:lang w:eastAsia="en-AU"/>
              </w:rPr>
              <w:t>% of Total S</w:t>
            </w:r>
            <w:r w:rsidRPr="00FD6853">
              <w:rPr>
                <w:rFonts w:ascii="Calibri" w:hAnsi="Calibri" w:cs="Calibri"/>
                <w:b/>
                <w:bCs/>
                <w:color w:val="000000"/>
                <w:szCs w:val="22"/>
                <w:lang w:eastAsia="en-AU"/>
              </w:rPr>
              <w:t>tudents 2010</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FD6853" w:rsidRPr="00FD6853" w:rsidRDefault="00FD6853" w:rsidP="00FD6853">
            <w:pPr>
              <w:jc w:val="center"/>
              <w:rPr>
                <w:rFonts w:ascii="Calibri" w:hAnsi="Calibri" w:cs="Calibri"/>
                <w:b/>
                <w:bCs/>
                <w:color w:val="000000"/>
                <w:szCs w:val="22"/>
                <w:lang w:eastAsia="en-AU"/>
              </w:rPr>
            </w:pPr>
            <w:r w:rsidRPr="00FD6853">
              <w:rPr>
                <w:rFonts w:ascii="Calibri" w:hAnsi="Calibri" w:cs="Calibri"/>
                <w:b/>
                <w:bCs/>
                <w:color w:val="000000"/>
                <w:szCs w:val="22"/>
                <w:lang w:eastAsia="en-AU"/>
              </w:rPr>
              <w:t>No. of Students 2011</w:t>
            </w:r>
          </w:p>
        </w:tc>
        <w:tc>
          <w:tcPr>
            <w:tcW w:w="2059" w:type="dxa"/>
            <w:tcBorders>
              <w:top w:val="single" w:sz="8" w:space="0" w:color="auto"/>
              <w:left w:val="nil"/>
              <w:bottom w:val="single" w:sz="8" w:space="0" w:color="auto"/>
              <w:right w:val="single" w:sz="8" w:space="0" w:color="auto"/>
            </w:tcBorders>
            <w:shd w:val="clear" w:color="auto" w:fill="auto"/>
            <w:vAlign w:val="center"/>
            <w:hideMark/>
          </w:tcPr>
          <w:p w:rsidR="00FD6853" w:rsidRPr="00FD6853" w:rsidRDefault="00FD6853" w:rsidP="00FD6853">
            <w:pPr>
              <w:jc w:val="center"/>
              <w:rPr>
                <w:rFonts w:ascii="Calibri" w:hAnsi="Calibri" w:cs="Calibri"/>
                <w:b/>
                <w:bCs/>
                <w:color w:val="000000"/>
                <w:szCs w:val="22"/>
                <w:lang w:eastAsia="en-AU"/>
              </w:rPr>
            </w:pPr>
            <w:r w:rsidRPr="00FD6853">
              <w:rPr>
                <w:rFonts w:ascii="Calibri" w:hAnsi="Calibri" w:cs="Calibri"/>
                <w:b/>
                <w:bCs/>
                <w:color w:val="000000"/>
                <w:szCs w:val="22"/>
                <w:lang w:eastAsia="en-AU"/>
              </w:rPr>
              <w:t>% of Total Students 2011</w:t>
            </w:r>
          </w:p>
        </w:tc>
        <w:tc>
          <w:tcPr>
            <w:tcW w:w="1681" w:type="dxa"/>
            <w:tcBorders>
              <w:top w:val="single" w:sz="8" w:space="0" w:color="auto"/>
              <w:left w:val="nil"/>
              <w:bottom w:val="single" w:sz="8" w:space="0" w:color="auto"/>
              <w:right w:val="single" w:sz="8" w:space="0" w:color="auto"/>
            </w:tcBorders>
            <w:shd w:val="clear" w:color="auto" w:fill="auto"/>
            <w:vAlign w:val="center"/>
            <w:hideMark/>
          </w:tcPr>
          <w:p w:rsidR="00FD6853" w:rsidRPr="00FD6853" w:rsidRDefault="00FD6853" w:rsidP="00FD6853">
            <w:pPr>
              <w:jc w:val="center"/>
              <w:rPr>
                <w:rFonts w:ascii="Calibri" w:hAnsi="Calibri" w:cs="Calibri"/>
                <w:b/>
                <w:bCs/>
                <w:color w:val="000000"/>
                <w:szCs w:val="22"/>
                <w:lang w:eastAsia="en-AU"/>
              </w:rPr>
            </w:pPr>
            <w:r w:rsidRPr="00FD6853">
              <w:rPr>
                <w:rFonts w:ascii="Calibri" w:hAnsi="Calibri" w:cs="Calibri"/>
                <w:b/>
                <w:bCs/>
                <w:color w:val="000000"/>
                <w:szCs w:val="22"/>
                <w:lang w:eastAsia="en-AU"/>
              </w:rPr>
              <w:t>No. of Students 2012</w:t>
            </w:r>
          </w:p>
        </w:tc>
        <w:tc>
          <w:tcPr>
            <w:tcW w:w="2018" w:type="dxa"/>
            <w:gridSpan w:val="2"/>
            <w:tcBorders>
              <w:top w:val="single" w:sz="8" w:space="0" w:color="auto"/>
              <w:left w:val="nil"/>
              <w:bottom w:val="single" w:sz="8" w:space="0" w:color="auto"/>
              <w:right w:val="single" w:sz="8" w:space="0" w:color="auto"/>
            </w:tcBorders>
            <w:shd w:val="clear" w:color="auto" w:fill="auto"/>
            <w:vAlign w:val="center"/>
            <w:hideMark/>
          </w:tcPr>
          <w:p w:rsidR="00FD6853" w:rsidRPr="00FD6853" w:rsidRDefault="00FD6853" w:rsidP="00FD6853">
            <w:pPr>
              <w:jc w:val="center"/>
              <w:rPr>
                <w:rFonts w:ascii="Calibri" w:hAnsi="Calibri" w:cs="Calibri"/>
                <w:b/>
                <w:bCs/>
                <w:color w:val="000000"/>
                <w:szCs w:val="22"/>
                <w:lang w:eastAsia="en-AU"/>
              </w:rPr>
            </w:pPr>
            <w:r w:rsidRPr="00FD6853">
              <w:rPr>
                <w:rFonts w:ascii="Calibri" w:hAnsi="Calibri" w:cs="Calibri"/>
                <w:b/>
                <w:bCs/>
                <w:color w:val="000000"/>
                <w:szCs w:val="22"/>
                <w:lang w:eastAsia="en-AU"/>
              </w:rPr>
              <w:t>% of Total Students 2012</w:t>
            </w:r>
          </w:p>
        </w:tc>
      </w:tr>
      <w:tr w:rsidR="00FD6853" w:rsidRPr="00FD6853" w:rsidTr="00FD6853">
        <w:trPr>
          <w:gridAfter w:val="1"/>
          <w:wAfter w:w="132" w:type="dxa"/>
          <w:trHeight w:val="315"/>
        </w:trPr>
        <w:tc>
          <w:tcPr>
            <w:tcW w:w="2302" w:type="dxa"/>
            <w:tcBorders>
              <w:top w:val="single" w:sz="8" w:space="0" w:color="auto"/>
              <w:left w:val="single" w:sz="8" w:space="0" w:color="auto"/>
              <w:bottom w:val="single" w:sz="8" w:space="0" w:color="auto"/>
              <w:right w:val="nil"/>
            </w:tcBorders>
            <w:shd w:val="clear" w:color="000000" w:fill="C0C0C0"/>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School Enrolment</w:t>
            </w:r>
          </w:p>
        </w:tc>
        <w:tc>
          <w:tcPr>
            <w:tcW w:w="1968" w:type="dxa"/>
            <w:tcBorders>
              <w:top w:val="nil"/>
              <w:left w:val="single" w:sz="8" w:space="0" w:color="auto"/>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356</w:t>
            </w:r>
          </w:p>
        </w:tc>
        <w:tc>
          <w:tcPr>
            <w:tcW w:w="1841" w:type="dxa"/>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62.9</w:t>
            </w:r>
          </w:p>
        </w:tc>
        <w:tc>
          <w:tcPr>
            <w:tcW w:w="1984"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326</w:t>
            </w:r>
          </w:p>
        </w:tc>
        <w:tc>
          <w:tcPr>
            <w:tcW w:w="2059" w:type="dxa"/>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64.6</w:t>
            </w:r>
          </w:p>
        </w:tc>
        <w:tc>
          <w:tcPr>
            <w:tcW w:w="1681"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445</w:t>
            </w:r>
          </w:p>
        </w:tc>
        <w:tc>
          <w:tcPr>
            <w:tcW w:w="2018" w:type="dxa"/>
            <w:gridSpan w:val="2"/>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67.5</w:t>
            </w:r>
          </w:p>
        </w:tc>
      </w:tr>
      <w:tr w:rsidR="00FD6853" w:rsidRPr="00FD6853" w:rsidTr="00FD6853">
        <w:trPr>
          <w:gridAfter w:val="1"/>
          <w:wAfter w:w="132" w:type="dxa"/>
          <w:trHeight w:val="315"/>
        </w:trPr>
        <w:tc>
          <w:tcPr>
            <w:tcW w:w="2302" w:type="dxa"/>
            <w:tcBorders>
              <w:top w:val="nil"/>
              <w:left w:val="single" w:sz="8" w:space="0" w:color="auto"/>
              <w:bottom w:val="single" w:sz="8" w:space="0" w:color="auto"/>
              <w:right w:val="nil"/>
            </w:tcBorders>
            <w:shd w:val="clear" w:color="auto" w:fill="auto"/>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Tertiary/TAFE/Training</w:t>
            </w:r>
          </w:p>
        </w:tc>
        <w:tc>
          <w:tcPr>
            <w:tcW w:w="1968" w:type="dxa"/>
            <w:tcBorders>
              <w:top w:val="nil"/>
              <w:left w:val="single" w:sz="8" w:space="0" w:color="auto"/>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23</w:t>
            </w:r>
          </w:p>
        </w:tc>
        <w:tc>
          <w:tcPr>
            <w:tcW w:w="1841"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4.1</w:t>
            </w:r>
          </w:p>
        </w:tc>
        <w:tc>
          <w:tcPr>
            <w:tcW w:w="1984"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8</w:t>
            </w:r>
          </w:p>
        </w:tc>
        <w:tc>
          <w:tcPr>
            <w:tcW w:w="2059"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1.6</w:t>
            </w:r>
          </w:p>
        </w:tc>
        <w:tc>
          <w:tcPr>
            <w:tcW w:w="1681"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18</w:t>
            </w:r>
          </w:p>
        </w:tc>
        <w:tc>
          <w:tcPr>
            <w:tcW w:w="2018" w:type="dxa"/>
            <w:gridSpan w:val="2"/>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2.7</w:t>
            </w:r>
          </w:p>
        </w:tc>
      </w:tr>
      <w:tr w:rsidR="00FD6853" w:rsidRPr="00FD6853" w:rsidTr="00FD6853">
        <w:trPr>
          <w:gridAfter w:val="1"/>
          <w:wAfter w:w="132" w:type="dxa"/>
          <w:trHeight w:val="315"/>
        </w:trPr>
        <w:tc>
          <w:tcPr>
            <w:tcW w:w="2302" w:type="dxa"/>
            <w:tcBorders>
              <w:top w:val="nil"/>
              <w:left w:val="single" w:sz="8" w:space="0" w:color="auto"/>
              <w:bottom w:val="single" w:sz="8" w:space="0" w:color="auto"/>
              <w:right w:val="nil"/>
            </w:tcBorders>
            <w:shd w:val="clear" w:color="000000" w:fill="C0C0C0"/>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Employment</w:t>
            </w:r>
          </w:p>
        </w:tc>
        <w:tc>
          <w:tcPr>
            <w:tcW w:w="1968" w:type="dxa"/>
            <w:tcBorders>
              <w:top w:val="nil"/>
              <w:left w:val="single" w:sz="8" w:space="0" w:color="auto"/>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17</w:t>
            </w:r>
          </w:p>
        </w:tc>
        <w:tc>
          <w:tcPr>
            <w:tcW w:w="1841" w:type="dxa"/>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3</w:t>
            </w:r>
          </w:p>
        </w:tc>
        <w:tc>
          <w:tcPr>
            <w:tcW w:w="1984"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15</w:t>
            </w:r>
          </w:p>
        </w:tc>
        <w:tc>
          <w:tcPr>
            <w:tcW w:w="2059" w:type="dxa"/>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3</w:t>
            </w:r>
          </w:p>
        </w:tc>
        <w:tc>
          <w:tcPr>
            <w:tcW w:w="1681"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22</w:t>
            </w:r>
          </w:p>
        </w:tc>
        <w:tc>
          <w:tcPr>
            <w:tcW w:w="2018" w:type="dxa"/>
            <w:gridSpan w:val="2"/>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3.3</w:t>
            </w:r>
          </w:p>
        </w:tc>
      </w:tr>
      <w:tr w:rsidR="00FD6853" w:rsidRPr="00FD6853" w:rsidTr="00FD6853">
        <w:trPr>
          <w:gridAfter w:val="1"/>
          <w:wAfter w:w="132" w:type="dxa"/>
          <w:trHeight w:val="315"/>
        </w:trPr>
        <w:tc>
          <w:tcPr>
            <w:tcW w:w="2302" w:type="dxa"/>
            <w:tcBorders>
              <w:top w:val="nil"/>
              <w:left w:val="single" w:sz="8" w:space="0" w:color="auto"/>
              <w:bottom w:val="single" w:sz="8" w:space="0" w:color="auto"/>
              <w:right w:val="nil"/>
            </w:tcBorders>
            <w:shd w:val="clear" w:color="auto" w:fill="auto"/>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Seeking Employment</w:t>
            </w:r>
          </w:p>
        </w:tc>
        <w:tc>
          <w:tcPr>
            <w:tcW w:w="1968" w:type="dxa"/>
            <w:tcBorders>
              <w:top w:val="nil"/>
              <w:left w:val="single" w:sz="8" w:space="0" w:color="auto"/>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53</w:t>
            </w:r>
          </w:p>
        </w:tc>
        <w:tc>
          <w:tcPr>
            <w:tcW w:w="1841"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9.4</w:t>
            </w:r>
          </w:p>
        </w:tc>
        <w:tc>
          <w:tcPr>
            <w:tcW w:w="1984"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51</w:t>
            </w:r>
          </w:p>
        </w:tc>
        <w:tc>
          <w:tcPr>
            <w:tcW w:w="2059"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10.1</w:t>
            </w:r>
          </w:p>
        </w:tc>
        <w:tc>
          <w:tcPr>
            <w:tcW w:w="1681"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50</w:t>
            </w:r>
          </w:p>
        </w:tc>
        <w:tc>
          <w:tcPr>
            <w:tcW w:w="2018" w:type="dxa"/>
            <w:gridSpan w:val="2"/>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7.6</w:t>
            </w:r>
          </w:p>
        </w:tc>
      </w:tr>
      <w:tr w:rsidR="00FD6853" w:rsidRPr="00FD6853" w:rsidTr="00FD6853">
        <w:trPr>
          <w:gridAfter w:val="1"/>
          <w:wAfter w:w="132" w:type="dxa"/>
          <w:trHeight w:val="315"/>
        </w:trPr>
        <w:tc>
          <w:tcPr>
            <w:tcW w:w="2302" w:type="dxa"/>
            <w:tcBorders>
              <w:top w:val="nil"/>
              <w:left w:val="single" w:sz="8" w:space="0" w:color="auto"/>
              <w:bottom w:val="single" w:sz="8" w:space="0" w:color="auto"/>
              <w:right w:val="nil"/>
            </w:tcBorders>
            <w:shd w:val="clear" w:color="000000" w:fill="C0C0C0"/>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Left South Australia</w:t>
            </w:r>
          </w:p>
        </w:tc>
        <w:tc>
          <w:tcPr>
            <w:tcW w:w="1968" w:type="dxa"/>
            <w:tcBorders>
              <w:top w:val="nil"/>
              <w:left w:val="single" w:sz="8" w:space="0" w:color="auto"/>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12</w:t>
            </w:r>
          </w:p>
        </w:tc>
        <w:tc>
          <w:tcPr>
            <w:tcW w:w="1841" w:type="dxa"/>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2.1</w:t>
            </w:r>
          </w:p>
        </w:tc>
        <w:tc>
          <w:tcPr>
            <w:tcW w:w="1984"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14</w:t>
            </w:r>
          </w:p>
        </w:tc>
        <w:tc>
          <w:tcPr>
            <w:tcW w:w="2059" w:type="dxa"/>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2.8</w:t>
            </w:r>
          </w:p>
        </w:tc>
        <w:tc>
          <w:tcPr>
            <w:tcW w:w="1681"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13</w:t>
            </w:r>
          </w:p>
        </w:tc>
        <w:tc>
          <w:tcPr>
            <w:tcW w:w="2018" w:type="dxa"/>
            <w:gridSpan w:val="2"/>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2</w:t>
            </w:r>
          </w:p>
        </w:tc>
      </w:tr>
      <w:tr w:rsidR="00FD6853" w:rsidRPr="00FD6853" w:rsidTr="00FD6853">
        <w:trPr>
          <w:gridAfter w:val="1"/>
          <w:wAfter w:w="132" w:type="dxa"/>
          <w:trHeight w:val="315"/>
        </w:trPr>
        <w:tc>
          <w:tcPr>
            <w:tcW w:w="2302" w:type="dxa"/>
            <w:tcBorders>
              <w:top w:val="nil"/>
              <w:left w:val="single" w:sz="8" w:space="0" w:color="auto"/>
              <w:bottom w:val="single" w:sz="8" w:space="0" w:color="auto"/>
              <w:right w:val="nil"/>
            </w:tcBorders>
            <w:shd w:val="clear" w:color="auto" w:fill="auto"/>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Other</w:t>
            </w:r>
          </w:p>
        </w:tc>
        <w:tc>
          <w:tcPr>
            <w:tcW w:w="1968" w:type="dxa"/>
            <w:tcBorders>
              <w:top w:val="nil"/>
              <w:left w:val="single" w:sz="8" w:space="0" w:color="auto"/>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29</w:t>
            </w:r>
          </w:p>
        </w:tc>
        <w:tc>
          <w:tcPr>
            <w:tcW w:w="1841"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5.1</w:t>
            </w:r>
          </w:p>
        </w:tc>
        <w:tc>
          <w:tcPr>
            <w:tcW w:w="1984"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19</w:t>
            </w:r>
          </w:p>
        </w:tc>
        <w:tc>
          <w:tcPr>
            <w:tcW w:w="2059"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3.8</w:t>
            </w:r>
          </w:p>
        </w:tc>
        <w:tc>
          <w:tcPr>
            <w:tcW w:w="1681"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25</w:t>
            </w:r>
          </w:p>
        </w:tc>
        <w:tc>
          <w:tcPr>
            <w:tcW w:w="2018" w:type="dxa"/>
            <w:gridSpan w:val="2"/>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3.8</w:t>
            </w:r>
          </w:p>
        </w:tc>
      </w:tr>
      <w:tr w:rsidR="00FD6853" w:rsidRPr="00FD6853" w:rsidTr="00FD6853">
        <w:trPr>
          <w:gridAfter w:val="1"/>
          <w:wAfter w:w="132" w:type="dxa"/>
          <w:trHeight w:val="315"/>
        </w:trPr>
        <w:tc>
          <w:tcPr>
            <w:tcW w:w="2302" w:type="dxa"/>
            <w:tcBorders>
              <w:top w:val="nil"/>
              <w:left w:val="single" w:sz="8" w:space="0" w:color="auto"/>
              <w:bottom w:val="single" w:sz="8" w:space="0" w:color="auto"/>
              <w:right w:val="nil"/>
            </w:tcBorders>
            <w:shd w:val="clear" w:color="000000" w:fill="C0C0C0"/>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Unknown</w:t>
            </w:r>
          </w:p>
        </w:tc>
        <w:tc>
          <w:tcPr>
            <w:tcW w:w="1968" w:type="dxa"/>
            <w:tcBorders>
              <w:top w:val="nil"/>
              <w:left w:val="single" w:sz="8" w:space="0" w:color="auto"/>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76</w:t>
            </w:r>
          </w:p>
        </w:tc>
        <w:tc>
          <w:tcPr>
            <w:tcW w:w="1841" w:type="dxa"/>
            <w:tcBorders>
              <w:top w:val="nil"/>
              <w:left w:val="nil"/>
              <w:bottom w:val="nil"/>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13.4</w:t>
            </w:r>
          </w:p>
        </w:tc>
        <w:tc>
          <w:tcPr>
            <w:tcW w:w="1984"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72</w:t>
            </w:r>
          </w:p>
        </w:tc>
        <w:tc>
          <w:tcPr>
            <w:tcW w:w="2059" w:type="dxa"/>
            <w:tcBorders>
              <w:top w:val="nil"/>
              <w:left w:val="nil"/>
              <w:bottom w:val="nil"/>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14.3</w:t>
            </w:r>
          </w:p>
        </w:tc>
        <w:tc>
          <w:tcPr>
            <w:tcW w:w="1681"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86</w:t>
            </w:r>
          </w:p>
        </w:tc>
        <w:tc>
          <w:tcPr>
            <w:tcW w:w="2018" w:type="dxa"/>
            <w:gridSpan w:val="2"/>
            <w:tcBorders>
              <w:top w:val="nil"/>
              <w:left w:val="nil"/>
              <w:bottom w:val="nil"/>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13.1</w:t>
            </w:r>
          </w:p>
        </w:tc>
      </w:tr>
      <w:tr w:rsidR="00FD6853" w:rsidRPr="00FD6853" w:rsidTr="00FD6853">
        <w:trPr>
          <w:gridAfter w:val="1"/>
          <w:wAfter w:w="132" w:type="dxa"/>
          <w:trHeight w:val="315"/>
        </w:trPr>
        <w:tc>
          <w:tcPr>
            <w:tcW w:w="2302" w:type="dxa"/>
            <w:tcBorders>
              <w:top w:val="nil"/>
              <w:left w:val="single" w:sz="8" w:space="0" w:color="auto"/>
              <w:bottom w:val="single" w:sz="8" w:space="0" w:color="auto"/>
              <w:right w:val="nil"/>
            </w:tcBorders>
            <w:shd w:val="clear" w:color="auto" w:fill="auto"/>
            <w:vAlign w:val="center"/>
            <w:hideMark/>
          </w:tcPr>
          <w:p w:rsidR="00FD6853" w:rsidRPr="00FD6853" w:rsidRDefault="00FD6853" w:rsidP="00FD6853">
            <w:pPr>
              <w:rPr>
                <w:rFonts w:ascii="Calibri" w:hAnsi="Calibri" w:cs="Calibri"/>
                <w:b/>
                <w:bCs/>
                <w:color w:val="000000"/>
                <w:szCs w:val="22"/>
                <w:lang w:eastAsia="en-AU"/>
              </w:rPr>
            </w:pPr>
            <w:r w:rsidRPr="00FD6853">
              <w:rPr>
                <w:rFonts w:ascii="Calibri" w:hAnsi="Calibri" w:cs="Calibri"/>
                <w:b/>
                <w:bCs/>
                <w:color w:val="000000"/>
                <w:szCs w:val="22"/>
                <w:lang w:eastAsia="en-AU"/>
              </w:rPr>
              <w:t>Total</w:t>
            </w:r>
          </w:p>
        </w:tc>
        <w:tc>
          <w:tcPr>
            <w:tcW w:w="1968" w:type="dxa"/>
            <w:tcBorders>
              <w:top w:val="nil"/>
              <w:left w:val="single" w:sz="8" w:space="0" w:color="auto"/>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2"/>
              <w:jc w:val="right"/>
              <w:rPr>
                <w:rFonts w:ascii="Calibri" w:hAnsi="Calibri" w:cs="Calibri"/>
                <w:b/>
                <w:bCs/>
                <w:color w:val="000000"/>
                <w:szCs w:val="22"/>
                <w:lang w:eastAsia="en-AU"/>
              </w:rPr>
            </w:pPr>
            <w:r w:rsidRPr="00FD6853">
              <w:rPr>
                <w:rFonts w:ascii="Calibri" w:hAnsi="Calibri" w:cs="Calibri"/>
                <w:b/>
                <w:bCs/>
                <w:color w:val="000000"/>
                <w:szCs w:val="22"/>
                <w:lang w:eastAsia="en-AU"/>
              </w:rPr>
              <w:t>566</w:t>
            </w:r>
          </w:p>
        </w:tc>
        <w:tc>
          <w:tcPr>
            <w:tcW w:w="1841" w:type="dxa"/>
            <w:tcBorders>
              <w:top w:val="single" w:sz="8" w:space="0" w:color="auto"/>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2"/>
              <w:jc w:val="right"/>
              <w:rPr>
                <w:rFonts w:ascii="Calibri" w:hAnsi="Calibri" w:cs="Calibri"/>
                <w:b/>
                <w:bCs/>
                <w:color w:val="000000"/>
                <w:szCs w:val="22"/>
                <w:lang w:eastAsia="en-AU"/>
              </w:rPr>
            </w:pPr>
            <w:r w:rsidRPr="00FD6853">
              <w:rPr>
                <w:rFonts w:ascii="Calibri" w:hAnsi="Calibri" w:cs="Calibri"/>
                <w:b/>
                <w:bCs/>
                <w:color w:val="000000"/>
                <w:szCs w:val="22"/>
                <w:lang w:eastAsia="en-AU"/>
              </w:rPr>
              <w:t>100</w:t>
            </w:r>
          </w:p>
        </w:tc>
        <w:tc>
          <w:tcPr>
            <w:tcW w:w="1984"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2"/>
              <w:jc w:val="right"/>
              <w:rPr>
                <w:rFonts w:ascii="Calibri" w:hAnsi="Calibri" w:cs="Calibri"/>
                <w:b/>
                <w:bCs/>
                <w:color w:val="000000"/>
                <w:szCs w:val="22"/>
                <w:lang w:eastAsia="en-AU"/>
              </w:rPr>
            </w:pPr>
            <w:r w:rsidRPr="00FD6853">
              <w:rPr>
                <w:rFonts w:ascii="Calibri" w:hAnsi="Calibri" w:cs="Calibri"/>
                <w:b/>
                <w:bCs/>
                <w:color w:val="000000"/>
                <w:szCs w:val="22"/>
                <w:lang w:eastAsia="en-AU"/>
              </w:rPr>
              <w:t>505</w:t>
            </w:r>
          </w:p>
        </w:tc>
        <w:tc>
          <w:tcPr>
            <w:tcW w:w="2059" w:type="dxa"/>
            <w:tcBorders>
              <w:top w:val="single" w:sz="8" w:space="0" w:color="auto"/>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2"/>
              <w:jc w:val="right"/>
              <w:rPr>
                <w:rFonts w:ascii="Calibri" w:hAnsi="Calibri" w:cs="Calibri"/>
                <w:b/>
                <w:bCs/>
                <w:color w:val="000000"/>
                <w:szCs w:val="22"/>
                <w:lang w:eastAsia="en-AU"/>
              </w:rPr>
            </w:pPr>
            <w:r w:rsidRPr="00FD6853">
              <w:rPr>
                <w:rFonts w:ascii="Calibri" w:hAnsi="Calibri" w:cs="Calibri"/>
                <w:b/>
                <w:bCs/>
                <w:color w:val="000000"/>
                <w:szCs w:val="22"/>
                <w:lang w:eastAsia="en-AU"/>
              </w:rPr>
              <w:t>100</w:t>
            </w:r>
          </w:p>
        </w:tc>
        <w:tc>
          <w:tcPr>
            <w:tcW w:w="1681"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2"/>
              <w:jc w:val="right"/>
              <w:rPr>
                <w:rFonts w:ascii="Calibri" w:hAnsi="Calibri" w:cs="Calibri"/>
                <w:b/>
                <w:bCs/>
                <w:color w:val="000000"/>
                <w:szCs w:val="22"/>
                <w:lang w:eastAsia="en-AU"/>
              </w:rPr>
            </w:pPr>
            <w:r w:rsidRPr="00FD6853">
              <w:rPr>
                <w:rFonts w:ascii="Calibri" w:hAnsi="Calibri" w:cs="Calibri"/>
                <w:b/>
                <w:bCs/>
                <w:color w:val="000000"/>
                <w:szCs w:val="22"/>
                <w:lang w:eastAsia="en-AU"/>
              </w:rPr>
              <w:t>659</w:t>
            </w:r>
          </w:p>
        </w:tc>
        <w:tc>
          <w:tcPr>
            <w:tcW w:w="2018" w:type="dxa"/>
            <w:gridSpan w:val="2"/>
            <w:tcBorders>
              <w:top w:val="single" w:sz="8" w:space="0" w:color="auto"/>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2"/>
              <w:jc w:val="right"/>
              <w:rPr>
                <w:rFonts w:ascii="Calibri" w:hAnsi="Calibri" w:cs="Calibri"/>
                <w:b/>
                <w:bCs/>
                <w:color w:val="000000"/>
                <w:szCs w:val="22"/>
                <w:lang w:eastAsia="en-AU"/>
              </w:rPr>
            </w:pPr>
            <w:r w:rsidRPr="00FD6853">
              <w:rPr>
                <w:rFonts w:ascii="Calibri" w:hAnsi="Calibri" w:cs="Calibri"/>
                <w:b/>
                <w:bCs/>
                <w:color w:val="000000"/>
                <w:szCs w:val="22"/>
                <w:lang w:eastAsia="en-AU"/>
              </w:rPr>
              <w:t>100</w:t>
            </w:r>
          </w:p>
        </w:tc>
      </w:tr>
      <w:tr w:rsidR="00FD6853" w:rsidRPr="00FD6853" w:rsidTr="00FD6853">
        <w:trPr>
          <w:gridAfter w:val="1"/>
          <w:wAfter w:w="132" w:type="dxa"/>
          <w:trHeight w:val="300"/>
        </w:trPr>
        <w:tc>
          <w:tcPr>
            <w:tcW w:w="2302" w:type="dxa"/>
            <w:tcBorders>
              <w:top w:val="nil"/>
              <w:left w:val="nil"/>
              <w:bottom w:val="nil"/>
              <w:right w:val="nil"/>
            </w:tcBorders>
            <w:shd w:val="clear" w:color="auto" w:fill="auto"/>
            <w:noWrap/>
            <w:vAlign w:val="bottom"/>
            <w:hideMark/>
          </w:tcPr>
          <w:p w:rsidR="00FD6853" w:rsidRPr="00AE6D45" w:rsidRDefault="00FD6853" w:rsidP="00FD6853">
            <w:pPr>
              <w:rPr>
                <w:rFonts w:ascii="Calibri" w:hAnsi="Calibri" w:cs="Calibri"/>
                <w:color w:val="000000"/>
                <w:sz w:val="56"/>
                <w:szCs w:val="56"/>
                <w:lang w:eastAsia="en-AU"/>
              </w:rPr>
            </w:pPr>
          </w:p>
        </w:tc>
        <w:tc>
          <w:tcPr>
            <w:tcW w:w="1968" w:type="dxa"/>
            <w:tcBorders>
              <w:top w:val="nil"/>
              <w:left w:val="nil"/>
              <w:bottom w:val="nil"/>
              <w:right w:val="nil"/>
            </w:tcBorders>
            <w:shd w:val="clear" w:color="auto" w:fill="auto"/>
            <w:noWrap/>
            <w:vAlign w:val="bottom"/>
            <w:hideMark/>
          </w:tcPr>
          <w:p w:rsidR="00FD6853" w:rsidRPr="00FD6853" w:rsidRDefault="00FD6853" w:rsidP="00FD6853">
            <w:pPr>
              <w:rPr>
                <w:rFonts w:ascii="Calibri" w:hAnsi="Calibri" w:cs="Calibri"/>
                <w:color w:val="000000"/>
                <w:szCs w:val="22"/>
                <w:lang w:eastAsia="en-AU"/>
              </w:rPr>
            </w:pPr>
          </w:p>
        </w:tc>
        <w:tc>
          <w:tcPr>
            <w:tcW w:w="1841" w:type="dxa"/>
            <w:tcBorders>
              <w:top w:val="nil"/>
              <w:left w:val="nil"/>
              <w:bottom w:val="nil"/>
              <w:right w:val="nil"/>
            </w:tcBorders>
            <w:shd w:val="clear" w:color="auto" w:fill="auto"/>
            <w:noWrap/>
            <w:vAlign w:val="bottom"/>
            <w:hideMark/>
          </w:tcPr>
          <w:p w:rsidR="00FD6853" w:rsidRPr="00FD6853" w:rsidRDefault="00FD6853" w:rsidP="00FD6853">
            <w:pPr>
              <w:rPr>
                <w:rFonts w:ascii="Calibri" w:hAnsi="Calibri" w:cs="Calibri"/>
                <w:color w:val="000000"/>
                <w:szCs w:val="22"/>
                <w:lang w:eastAsia="en-AU"/>
              </w:rPr>
            </w:pPr>
          </w:p>
        </w:tc>
        <w:tc>
          <w:tcPr>
            <w:tcW w:w="1984" w:type="dxa"/>
            <w:tcBorders>
              <w:top w:val="nil"/>
              <w:left w:val="nil"/>
              <w:bottom w:val="nil"/>
              <w:right w:val="nil"/>
            </w:tcBorders>
            <w:shd w:val="clear" w:color="auto" w:fill="auto"/>
            <w:noWrap/>
            <w:vAlign w:val="bottom"/>
            <w:hideMark/>
          </w:tcPr>
          <w:p w:rsidR="00FD6853" w:rsidRPr="00FD6853" w:rsidRDefault="00FD6853" w:rsidP="00FD6853">
            <w:pPr>
              <w:rPr>
                <w:rFonts w:ascii="Calibri" w:hAnsi="Calibri" w:cs="Calibri"/>
                <w:color w:val="000000"/>
                <w:szCs w:val="22"/>
                <w:lang w:eastAsia="en-AU"/>
              </w:rPr>
            </w:pPr>
          </w:p>
        </w:tc>
        <w:tc>
          <w:tcPr>
            <w:tcW w:w="2059" w:type="dxa"/>
            <w:tcBorders>
              <w:top w:val="nil"/>
              <w:left w:val="nil"/>
              <w:bottom w:val="nil"/>
              <w:right w:val="nil"/>
            </w:tcBorders>
            <w:shd w:val="clear" w:color="auto" w:fill="auto"/>
            <w:noWrap/>
            <w:vAlign w:val="bottom"/>
            <w:hideMark/>
          </w:tcPr>
          <w:p w:rsidR="00FD6853" w:rsidRPr="00FD6853" w:rsidRDefault="00FD6853" w:rsidP="00FD6853">
            <w:pPr>
              <w:rPr>
                <w:rFonts w:ascii="Calibri" w:hAnsi="Calibri" w:cs="Calibri"/>
                <w:color w:val="000000"/>
                <w:szCs w:val="22"/>
                <w:lang w:eastAsia="en-AU"/>
              </w:rPr>
            </w:pPr>
          </w:p>
        </w:tc>
        <w:tc>
          <w:tcPr>
            <w:tcW w:w="1681" w:type="dxa"/>
            <w:tcBorders>
              <w:top w:val="nil"/>
              <w:left w:val="nil"/>
              <w:bottom w:val="nil"/>
              <w:right w:val="nil"/>
            </w:tcBorders>
            <w:shd w:val="clear" w:color="auto" w:fill="auto"/>
            <w:noWrap/>
            <w:vAlign w:val="bottom"/>
            <w:hideMark/>
          </w:tcPr>
          <w:p w:rsidR="00FD6853" w:rsidRPr="00FD6853" w:rsidRDefault="00FD6853" w:rsidP="00FD6853">
            <w:pPr>
              <w:rPr>
                <w:rFonts w:ascii="Calibri" w:hAnsi="Calibri" w:cs="Calibri"/>
                <w:color w:val="000000"/>
                <w:szCs w:val="22"/>
                <w:lang w:eastAsia="en-AU"/>
              </w:rPr>
            </w:pPr>
          </w:p>
        </w:tc>
        <w:tc>
          <w:tcPr>
            <w:tcW w:w="2018" w:type="dxa"/>
            <w:gridSpan w:val="2"/>
            <w:tcBorders>
              <w:top w:val="nil"/>
              <w:left w:val="nil"/>
              <w:bottom w:val="nil"/>
              <w:right w:val="nil"/>
            </w:tcBorders>
            <w:shd w:val="clear" w:color="auto" w:fill="auto"/>
            <w:noWrap/>
            <w:vAlign w:val="bottom"/>
            <w:hideMark/>
          </w:tcPr>
          <w:p w:rsidR="00FD6853" w:rsidRPr="00FD6853" w:rsidRDefault="00FD6853" w:rsidP="00FD6853">
            <w:pPr>
              <w:rPr>
                <w:rFonts w:ascii="Calibri" w:hAnsi="Calibri" w:cs="Calibri"/>
                <w:color w:val="000000"/>
                <w:szCs w:val="22"/>
                <w:lang w:eastAsia="en-AU"/>
              </w:rPr>
            </w:pPr>
          </w:p>
        </w:tc>
      </w:tr>
      <w:tr w:rsidR="00FD6853" w:rsidRPr="00FD6853" w:rsidTr="00FD6853">
        <w:trPr>
          <w:gridAfter w:val="1"/>
          <w:wAfter w:w="132" w:type="dxa"/>
          <w:trHeight w:val="360"/>
        </w:trPr>
        <w:tc>
          <w:tcPr>
            <w:tcW w:w="10154" w:type="dxa"/>
            <w:gridSpan w:val="5"/>
            <w:tcBorders>
              <w:top w:val="nil"/>
              <w:left w:val="nil"/>
              <w:bottom w:val="nil"/>
              <w:right w:val="nil"/>
            </w:tcBorders>
            <w:shd w:val="clear" w:color="auto" w:fill="auto"/>
            <w:noWrap/>
            <w:vAlign w:val="bottom"/>
            <w:hideMark/>
          </w:tcPr>
          <w:p w:rsidR="00FD6853" w:rsidRPr="00FD6853" w:rsidRDefault="00C54CD1" w:rsidP="00FD6853">
            <w:pPr>
              <w:rPr>
                <w:rFonts w:ascii="Calibri" w:hAnsi="Calibri" w:cs="Calibri"/>
                <w:b/>
                <w:bCs/>
                <w:color w:val="000000"/>
                <w:szCs w:val="22"/>
                <w:lang w:eastAsia="en-AU"/>
              </w:rPr>
            </w:pPr>
            <w:r w:rsidRPr="001B165D">
              <w:rPr>
                <w:rFonts w:eastAsia="Calibri" w:cstheme="minorHAnsi"/>
                <w:b/>
                <w:szCs w:val="24"/>
              </w:rPr>
              <w:t>Table 3.1(a</w:t>
            </w:r>
            <w:r>
              <w:rPr>
                <w:rFonts w:eastAsia="Calibri" w:cstheme="minorHAnsi"/>
                <w:b/>
                <w:szCs w:val="24"/>
              </w:rPr>
              <w:t>-3</w:t>
            </w:r>
            <w:r w:rsidRPr="001B165D">
              <w:rPr>
                <w:rFonts w:eastAsia="Calibri" w:cstheme="minorHAnsi"/>
                <w:b/>
                <w:szCs w:val="24"/>
              </w:rPr>
              <w:t xml:space="preserve">) </w:t>
            </w:r>
            <w:r>
              <w:rPr>
                <w:rFonts w:eastAsia="Calibri" w:cstheme="minorHAnsi"/>
                <w:b/>
                <w:szCs w:val="24"/>
              </w:rPr>
              <w:t>-</w:t>
            </w:r>
            <w:proofErr w:type="spellStart"/>
            <w:r w:rsidR="00FD6853" w:rsidRPr="00FD6853">
              <w:rPr>
                <w:rFonts w:ascii="Calibri" w:hAnsi="Calibri" w:cs="Calibri"/>
                <w:b/>
                <w:bCs/>
                <w:color w:val="000000"/>
                <w:szCs w:val="22"/>
                <w:lang w:eastAsia="en-AU"/>
              </w:rPr>
              <w:t>LBOTE</w:t>
            </w:r>
            <w:proofErr w:type="spellEnd"/>
            <w:r w:rsidR="00FD6853" w:rsidRPr="00FD6853">
              <w:rPr>
                <w:rFonts w:ascii="Calibri" w:hAnsi="Calibri" w:cs="Calibri"/>
                <w:b/>
                <w:bCs/>
                <w:color w:val="000000"/>
                <w:szCs w:val="22"/>
                <w:lang w:eastAsia="en-AU"/>
              </w:rPr>
              <w:t xml:space="preserve"> Students</w:t>
            </w:r>
            <w:r w:rsidR="00FD6853" w:rsidRPr="00FD6853">
              <w:rPr>
                <w:rFonts w:ascii="Calibri" w:hAnsi="Calibri" w:cs="Calibri"/>
                <w:color w:val="000000"/>
                <w:szCs w:val="22"/>
                <w:lang w:eastAsia="en-AU"/>
              </w:rPr>
              <w:t xml:space="preserve"> participating in </w:t>
            </w:r>
            <w:proofErr w:type="spellStart"/>
            <w:r w:rsidR="00FD6853" w:rsidRPr="00FD6853">
              <w:rPr>
                <w:rFonts w:ascii="Calibri" w:hAnsi="Calibri" w:cs="Calibri"/>
                <w:color w:val="000000"/>
                <w:szCs w:val="22"/>
                <w:lang w:eastAsia="en-AU"/>
              </w:rPr>
              <w:t>CMaD</w:t>
            </w:r>
            <w:proofErr w:type="spellEnd"/>
            <w:r w:rsidR="00FD6853" w:rsidRPr="00FD6853">
              <w:rPr>
                <w:rFonts w:ascii="Calibri" w:hAnsi="Calibri" w:cs="Calibri"/>
                <w:color w:val="000000"/>
                <w:szCs w:val="22"/>
                <w:lang w:eastAsia="en-AU"/>
              </w:rPr>
              <w:t xml:space="preserve"> NP (Low SES) for 1 to 3 years </w:t>
            </w:r>
            <w:r w:rsidR="00FD6853" w:rsidRPr="00FD6853">
              <w:rPr>
                <w:rFonts w:ascii="Calibri" w:hAnsi="Calibri" w:cs="Calibri"/>
                <w:color w:val="000000"/>
                <w:szCs w:val="22"/>
                <w:vertAlign w:val="superscript"/>
                <w:lang w:eastAsia="en-AU"/>
              </w:rPr>
              <w:t>(3)</w:t>
            </w:r>
          </w:p>
        </w:tc>
        <w:tc>
          <w:tcPr>
            <w:tcW w:w="1681" w:type="dxa"/>
            <w:tcBorders>
              <w:top w:val="nil"/>
              <w:left w:val="nil"/>
              <w:bottom w:val="nil"/>
              <w:right w:val="nil"/>
            </w:tcBorders>
            <w:shd w:val="clear" w:color="auto" w:fill="auto"/>
            <w:noWrap/>
            <w:vAlign w:val="bottom"/>
            <w:hideMark/>
          </w:tcPr>
          <w:p w:rsidR="00FD6853" w:rsidRPr="00FD6853" w:rsidRDefault="00FD6853" w:rsidP="00FD6853">
            <w:pPr>
              <w:rPr>
                <w:rFonts w:ascii="Calibri" w:hAnsi="Calibri" w:cs="Calibri"/>
                <w:color w:val="000000"/>
                <w:szCs w:val="22"/>
                <w:lang w:eastAsia="en-AU"/>
              </w:rPr>
            </w:pPr>
          </w:p>
        </w:tc>
        <w:tc>
          <w:tcPr>
            <w:tcW w:w="2018" w:type="dxa"/>
            <w:gridSpan w:val="2"/>
            <w:tcBorders>
              <w:top w:val="nil"/>
              <w:left w:val="nil"/>
              <w:bottom w:val="nil"/>
              <w:right w:val="nil"/>
            </w:tcBorders>
            <w:shd w:val="clear" w:color="auto" w:fill="auto"/>
            <w:noWrap/>
            <w:vAlign w:val="bottom"/>
            <w:hideMark/>
          </w:tcPr>
          <w:p w:rsidR="00FD6853" w:rsidRPr="00FD6853" w:rsidRDefault="00FD6853" w:rsidP="00FD6853">
            <w:pPr>
              <w:rPr>
                <w:rFonts w:ascii="Calibri" w:hAnsi="Calibri" w:cs="Calibri"/>
                <w:color w:val="000000"/>
                <w:szCs w:val="22"/>
                <w:lang w:eastAsia="en-AU"/>
              </w:rPr>
            </w:pPr>
          </w:p>
        </w:tc>
      </w:tr>
      <w:tr w:rsidR="00FD6853" w:rsidRPr="00FD6853" w:rsidTr="00FD6853">
        <w:trPr>
          <w:gridAfter w:val="1"/>
          <w:wAfter w:w="132" w:type="dxa"/>
          <w:trHeight w:val="599"/>
        </w:trPr>
        <w:tc>
          <w:tcPr>
            <w:tcW w:w="2302" w:type="dxa"/>
            <w:tcBorders>
              <w:top w:val="single" w:sz="8" w:space="0" w:color="auto"/>
              <w:left w:val="single" w:sz="8" w:space="0" w:color="auto"/>
              <w:bottom w:val="nil"/>
              <w:right w:val="nil"/>
            </w:tcBorders>
            <w:shd w:val="clear" w:color="auto" w:fill="auto"/>
            <w:vAlign w:val="center"/>
            <w:hideMark/>
          </w:tcPr>
          <w:p w:rsidR="00FD6853" w:rsidRPr="00FD6853" w:rsidRDefault="00FD6853" w:rsidP="00FD6853">
            <w:pPr>
              <w:rPr>
                <w:rFonts w:ascii="Calibri" w:hAnsi="Calibri" w:cs="Calibri"/>
                <w:b/>
                <w:bCs/>
                <w:color w:val="000000"/>
                <w:szCs w:val="22"/>
                <w:lang w:eastAsia="en-AU"/>
              </w:rPr>
            </w:pPr>
            <w:r w:rsidRPr="00FD6853">
              <w:rPr>
                <w:rFonts w:ascii="Calibri" w:hAnsi="Calibri" w:cs="Calibri"/>
                <w:b/>
                <w:bCs/>
                <w:color w:val="000000"/>
                <w:szCs w:val="22"/>
                <w:lang w:eastAsia="en-AU"/>
              </w:rPr>
              <w:lastRenderedPageBreak/>
              <w:t>Destinations Reason</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D6853" w:rsidRPr="00FD6853" w:rsidRDefault="00FD6853" w:rsidP="00FD6853">
            <w:pPr>
              <w:jc w:val="center"/>
              <w:rPr>
                <w:rFonts w:ascii="Calibri" w:hAnsi="Calibri" w:cs="Calibri"/>
                <w:b/>
                <w:bCs/>
                <w:color w:val="000000"/>
                <w:szCs w:val="22"/>
                <w:lang w:eastAsia="en-AU"/>
              </w:rPr>
            </w:pPr>
            <w:r w:rsidRPr="00FD6853">
              <w:rPr>
                <w:rFonts w:ascii="Calibri" w:hAnsi="Calibri" w:cs="Calibri"/>
                <w:b/>
                <w:bCs/>
                <w:color w:val="000000"/>
                <w:szCs w:val="22"/>
                <w:lang w:eastAsia="en-AU"/>
              </w:rPr>
              <w:t>No. of Students 2010</w:t>
            </w:r>
          </w:p>
        </w:tc>
        <w:tc>
          <w:tcPr>
            <w:tcW w:w="1841" w:type="dxa"/>
            <w:tcBorders>
              <w:top w:val="single" w:sz="8" w:space="0" w:color="auto"/>
              <w:left w:val="nil"/>
              <w:bottom w:val="single" w:sz="8" w:space="0" w:color="auto"/>
              <w:right w:val="single" w:sz="8" w:space="0" w:color="auto"/>
            </w:tcBorders>
            <w:shd w:val="clear" w:color="auto" w:fill="auto"/>
            <w:vAlign w:val="center"/>
            <w:hideMark/>
          </w:tcPr>
          <w:p w:rsidR="00FD6853" w:rsidRPr="00FD6853" w:rsidRDefault="00FD6853" w:rsidP="00FD6853">
            <w:pPr>
              <w:jc w:val="center"/>
              <w:rPr>
                <w:rFonts w:ascii="Calibri" w:hAnsi="Calibri" w:cs="Calibri"/>
                <w:b/>
                <w:bCs/>
                <w:color w:val="000000"/>
                <w:szCs w:val="22"/>
                <w:lang w:eastAsia="en-AU"/>
              </w:rPr>
            </w:pPr>
            <w:r w:rsidRPr="00FD6853">
              <w:rPr>
                <w:rFonts w:ascii="Calibri" w:hAnsi="Calibri" w:cs="Calibri"/>
                <w:b/>
                <w:bCs/>
                <w:color w:val="000000"/>
                <w:szCs w:val="22"/>
                <w:lang w:eastAsia="en-AU"/>
              </w:rPr>
              <w:t>% of Total Students 2010</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FD6853" w:rsidRPr="00FD6853" w:rsidRDefault="00FD6853" w:rsidP="00FD6853">
            <w:pPr>
              <w:jc w:val="center"/>
              <w:rPr>
                <w:rFonts w:ascii="Calibri" w:hAnsi="Calibri" w:cs="Calibri"/>
                <w:b/>
                <w:bCs/>
                <w:color w:val="000000"/>
                <w:szCs w:val="22"/>
                <w:lang w:eastAsia="en-AU"/>
              </w:rPr>
            </w:pPr>
            <w:r w:rsidRPr="00FD6853">
              <w:rPr>
                <w:rFonts w:ascii="Calibri" w:hAnsi="Calibri" w:cs="Calibri"/>
                <w:b/>
                <w:bCs/>
                <w:color w:val="000000"/>
                <w:szCs w:val="22"/>
                <w:lang w:eastAsia="en-AU"/>
              </w:rPr>
              <w:t>No. of Students 2011</w:t>
            </w:r>
          </w:p>
        </w:tc>
        <w:tc>
          <w:tcPr>
            <w:tcW w:w="2059" w:type="dxa"/>
            <w:tcBorders>
              <w:top w:val="single" w:sz="8" w:space="0" w:color="auto"/>
              <w:left w:val="nil"/>
              <w:bottom w:val="single" w:sz="8" w:space="0" w:color="auto"/>
              <w:right w:val="single" w:sz="8" w:space="0" w:color="auto"/>
            </w:tcBorders>
            <w:shd w:val="clear" w:color="auto" w:fill="auto"/>
            <w:vAlign w:val="center"/>
            <w:hideMark/>
          </w:tcPr>
          <w:p w:rsidR="00FD6853" w:rsidRPr="00FD6853" w:rsidRDefault="00FD6853" w:rsidP="00FD6853">
            <w:pPr>
              <w:jc w:val="center"/>
              <w:rPr>
                <w:rFonts w:ascii="Calibri" w:hAnsi="Calibri" w:cs="Calibri"/>
                <w:b/>
                <w:bCs/>
                <w:color w:val="000000"/>
                <w:szCs w:val="22"/>
                <w:lang w:eastAsia="en-AU"/>
              </w:rPr>
            </w:pPr>
            <w:r w:rsidRPr="00FD6853">
              <w:rPr>
                <w:rFonts w:ascii="Calibri" w:hAnsi="Calibri" w:cs="Calibri"/>
                <w:b/>
                <w:bCs/>
                <w:color w:val="000000"/>
                <w:szCs w:val="22"/>
                <w:lang w:eastAsia="en-AU"/>
              </w:rPr>
              <w:t>% of Total Students 2011</w:t>
            </w:r>
          </w:p>
        </w:tc>
        <w:tc>
          <w:tcPr>
            <w:tcW w:w="1681" w:type="dxa"/>
            <w:tcBorders>
              <w:top w:val="single" w:sz="8" w:space="0" w:color="auto"/>
              <w:left w:val="nil"/>
              <w:bottom w:val="single" w:sz="8" w:space="0" w:color="auto"/>
              <w:right w:val="single" w:sz="8" w:space="0" w:color="auto"/>
            </w:tcBorders>
            <w:shd w:val="clear" w:color="auto" w:fill="auto"/>
            <w:vAlign w:val="center"/>
            <w:hideMark/>
          </w:tcPr>
          <w:p w:rsidR="00FD6853" w:rsidRPr="00FD6853" w:rsidRDefault="00FD6853" w:rsidP="00FD6853">
            <w:pPr>
              <w:jc w:val="center"/>
              <w:rPr>
                <w:rFonts w:ascii="Calibri" w:hAnsi="Calibri" w:cs="Calibri"/>
                <w:b/>
                <w:bCs/>
                <w:color w:val="000000"/>
                <w:szCs w:val="22"/>
                <w:lang w:eastAsia="en-AU"/>
              </w:rPr>
            </w:pPr>
            <w:r w:rsidRPr="00FD6853">
              <w:rPr>
                <w:rFonts w:ascii="Calibri" w:hAnsi="Calibri" w:cs="Calibri"/>
                <w:b/>
                <w:bCs/>
                <w:color w:val="000000"/>
                <w:szCs w:val="22"/>
                <w:lang w:eastAsia="en-AU"/>
              </w:rPr>
              <w:t>No. of Students 2012</w:t>
            </w:r>
          </w:p>
        </w:tc>
        <w:tc>
          <w:tcPr>
            <w:tcW w:w="2018" w:type="dxa"/>
            <w:gridSpan w:val="2"/>
            <w:tcBorders>
              <w:top w:val="single" w:sz="8" w:space="0" w:color="auto"/>
              <w:left w:val="nil"/>
              <w:bottom w:val="single" w:sz="8" w:space="0" w:color="auto"/>
              <w:right w:val="single" w:sz="8" w:space="0" w:color="auto"/>
            </w:tcBorders>
            <w:shd w:val="clear" w:color="auto" w:fill="auto"/>
            <w:vAlign w:val="center"/>
            <w:hideMark/>
          </w:tcPr>
          <w:p w:rsidR="00FD6853" w:rsidRPr="00FD6853" w:rsidRDefault="00FD6853" w:rsidP="00FD6853">
            <w:pPr>
              <w:jc w:val="center"/>
              <w:rPr>
                <w:rFonts w:ascii="Calibri" w:hAnsi="Calibri" w:cs="Calibri"/>
                <w:b/>
                <w:bCs/>
                <w:color w:val="000000"/>
                <w:szCs w:val="22"/>
                <w:lang w:eastAsia="en-AU"/>
              </w:rPr>
            </w:pPr>
            <w:r w:rsidRPr="00FD6853">
              <w:rPr>
                <w:rFonts w:ascii="Calibri" w:hAnsi="Calibri" w:cs="Calibri"/>
                <w:b/>
                <w:bCs/>
                <w:color w:val="000000"/>
                <w:szCs w:val="22"/>
                <w:lang w:eastAsia="en-AU"/>
              </w:rPr>
              <w:t>% of Total Students 2012</w:t>
            </w:r>
          </w:p>
        </w:tc>
      </w:tr>
      <w:tr w:rsidR="00FD6853" w:rsidRPr="00FD6853" w:rsidTr="00FD6853">
        <w:trPr>
          <w:gridAfter w:val="1"/>
          <w:wAfter w:w="132" w:type="dxa"/>
          <w:trHeight w:val="315"/>
        </w:trPr>
        <w:tc>
          <w:tcPr>
            <w:tcW w:w="2302" w:type="dxa"/>
            <w:tcBorders>
              <w:top w:val="single" w:sz="8" w:space="0" w:color="auto"/>
              <w:left w:val="single" w:sz="8" w:space="0" w:color="auto"/>
              <w:bottom w:val="single" w:sz="8" w:space="0" w:color="auto"/>
              <w:right w:val="nil"/>
            </w:tcBorders>
            <w:shd w:val="clear" w:color="000000" w:fill="C0C0C0"/>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School Enrolment</w:t>
            </w:r>
          </w:p>
        </w:tc>
        <w:tc>
          <w:tcPr>
            <w:tcW w:w="1968" w:type="dxa"/>
            <w:tcBorders>
              <w:top w:val="nil"/>
              <w:left w:val="single" w:sz="8" w:space="0" w:color="auto"/>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141</w:t>
            </w:r>
          </w:p>
        </w:tc>
        <w:tc>
          <w:tcPr>
            <w:tcW w:w="1841" w:type="dxa"/>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50.7</w:t>
            </w:r>
          </w:p>
        </w:tc>
        <w:tc>
          <w:tcPr>
            <w:tcW w:w="1984"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126</w:t>
            </w:r>
          </w:p>
        </w:tc>
        <w:tc>
          <w:tcPr>
            <w:tcW w:w="2059" w:type="dxa"/>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57</w:t>
            </w:r>
          </w:p>
        </w:tc>
        <w:tc>
          <w:tcPr>
            <w:tcW w:w="1681"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191</w:t>
            </w:r>
          </w:p>
        </w:tc>
        <w:tc>
          <w:tcPr>
            <w:tcW w:w="2018" w:type="dxa"/>
            <w:gridSpan w:val="2"/>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66.8</w:t>
            </w:r>
          </w:p>
        </w:tc>
      </w:tr>
      <w:tr w:rsidR="00FD6853" w:rsidRPr="00FD6853" w:rsidTr="00FD6853">
        <w:trPr>
          <w:gridAfter w:val="1"/>
          <w:wAfter w:w="132" w:type="dxa"/>
          <w:trHeight w:val="315"/>
        </w:trPr>
        <w:tc>
          <w:tcPr>
            <w:tcW w:w="2302" w:type="dxa"/>
            <w:tcBorders>
              <w:top w:val="nil"/>
              <w:left w:val="single" w:sz="8" w:space="0" w:color="auto"/>
              <w:bottom w:val="single" w:sz="8" w:space="0" w:color="auto"/>
              <w:right w:val="nil"/>
            </w:tcBorders>
            <w:shd w:val="clear" w:color="auto" w:fill="auto"/>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Tertiary/TAFE/Training</w:t>
            </w:r>
          </w:p>
        </w:tc>
        <w:tc>
          <w:tcPr>
            <w:tcW w:w="1968" w:type="dxa"/>
            <w:tcBorders>
              <w:top w:val="nil"/>
              <w:left w:val="single" w:sz="8" w:space="0" w:color="auto"/>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18</w:t>
            </w:r>
          </w:p>
        </w:tc>
        <w:tc>
          <w:tcPr>
            <w:tcW w:w="1841"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6.5</w:t>
            </w:r>
          </w:p>
        </w:tc>
        <w:tc>
          <w:tcPr>
            <w:tcW w:w="1984"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14</w:t>
            </w:r>
          </w:p>
        </w:tc>
        <w:tc>
          <w:tcPr>
            <w:tcW w:w="2059"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6.3</w:t>
            </w:r>
          </w:p>
        </w:tc>
        <w:tc>
          <w:tcPr>
            <w:tcW w:w="1681"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8</w:t>
            </w:r>
          </w:p>
        </w:tc>
        <w:tc>
          <w:tcPr>
            <w:tcW w:w="2018" w:type="dxa"/>
            <w:gridSpan w:val="2"/>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2.8</w:t>
            </w:r>
          </w:p>
        </w:tc>
      </w:tr>
      <w:tr w:rsidR="00FD6853" w:rsidRPr="00FD6853" w:rsidTr="00FD6853">
        <w:trPr>
          <w:gridAfter w:val="1"/>
          <w:wAfter w:w="132" w:type="dxa"/>
          <w:trHeight w:val="315"/>
        </w:trPr>
        <w:tc>
          <w:tcPr>
            <w:tcW w:w="2302" w:type="dxa"/>
            <w:tcBorders>
              <w:top w:val="nil"/>
              <w:left w:val="single" w:sz="8" w:space="0" w:color="auto"/>
              <w:bottom w:val="single" w:sz="8" w:space="0" w:color="auto"/>
              <w:right w:val="nil"/>
            </w:tcBorders>
            <w:shd w:val="clear" w:color="000000" w:fill="C0C0C0"/>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Employment</w:t>
            </w:r>
          </w:p>
        </w:tc>
        <w:tc>
          <w:tcPr>
            <w:tcW w:w="1968" w:type="dxa"/>
            <w:tcBorders>
              <w:top w:val="nil"/>
              <w:left w:val="single" w:sz="8" w:space="0" w:color="auto"/>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11</w:t>
            </w:r>
          </w:p>
        </w:tc>
        <w:tc>
          <w:tcPr>
            <w:tcW w:w="1841" w:type="dxa"/>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4</w:t>
            </w:r>
          </w:p>
        </w:tc>
        <w:tc>
          <w:tcPr>
            <w:tcW w:w="1984"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8</w:t>
            </w:r>
          </w:p>
        </w:tc>
        <w:tc>
          <w:tcPr>
            <w:tcW w:w="2059" w:type="dxa"/>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3.6</w:t>
            </w:r>
          </w:p>
        </w:tc>
        <w:tc>
          <w:tcPr>
            <w:tcW w:w="1681"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6</w:t>
            </w:r>
          </w:p>
        </w:tc>
        <w:tc>
          <w:tcPr>
            <w:tcW w:w="2018" w:type="dxa"/>
            <w:gridSpan w:val="2"/>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2.1</w:t>
            </w:r>
          </w:p>
        </w:tc>
      </w:tr>
      <w:tr w:rsidR="00FD6853" w:rsidRPr="00FD6853" w:rsidTr="00FD6853">
        <w:trPr>
          <w:gridAfter w:val="1"/>
          <w:wAfter w:w="132" w:type="dxa"/>
          <w:trHeight w:val="315"/>
        </w:trPr>
        <w:tc>
          <w:tcPr>
            <w:tcW w:w="2302" w:type="dxa"/>
            <w:tcBorders>
              <w:top w:val="nil"/>
              <w:left w:val="single" w:sz="8" w:space="0" w:color="auto"/>
              <w:bottom w:val="single" w:sz="8" w:space="0" w:color="auto"/>
              <w:right w:val="nil"/>
            </w:tcBorders>
            <w:shd w:val="clear" w:color="auto" w:fill="auto"/>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Seeking Employment</w:t>
            </w:r>
          </w:p>
        </w:tc>
        <w:tc>
          <w:tcPr>
            <w:tcW w:w="1968" w:type="dxa"/>
            <w:tcBorders>
              <w:top w:val="nil"/>
              <w:left w:val="single" w:sz="8" w:space="0" w:color="auto"/>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25</w:t>
            </w:r>
          </w:p>
        </w:tc>
        <w:tc>
          <w:tcPr>
            <w:tcW w:w="1841"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9</w:t>
            </w:r>
          </w:p>
        </w:tc>
        <w:tc>
          <w:tcPr>
            <w:tcW w:w="1984"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23</w:t>
            </w:r>
          </w:p>
        </w:tc>
        <w:tc>
          <w:tcPr>
            <w:tcW w:w="2059"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10.4</w:t>
            </w:r>
          </w:p>
        </w:tc>
        <w:tc>
          <w:tcPr>
            <w:tcW w:w="1681"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19</w:t>
            </w:r>
          </w:p>
        </w:tc>
        <w:tc>
          <w:tcPr>
            <w:tcW w:w="2018" w:type="dxa"/>
            <w:gridSpan w:val="2"/>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6.6</w:t>
            </w:r>
          </w:p>
        </w:tc>
      </w:tr>
      <w:tr w:rsidR="00FD6853" w:rsidRPr="00FD6853" w:rsidTr="00FD6853">
        <w:trPr>
          <w:gridAfter w:val="1"/>
          <w:wAfter w:w="132" w:type="dxa"/>
          <w:trHeight w:val="315"/>
        </w:trPr>
        <w:tc>
          <w:tcPr>
            <w:tcW w:w="2302" w:type="dxa"/>
            <w:tcBorders>
              <w:top w:val="nil"/>
              <w:left w:val="single" w:sz="8" w:space="0" w:color="auto"/>
              <w:bottom w:val="single" w:sz="8" w:space="0" w:color="auto"/>
              <w:right w:val="nil"/>
            </w:tcBorders>
            <w:shd w:val="clear" w:color="000000" w:fill="C0C0C0"/>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Left South Australia</w:t>
            </w:r>
          </w:p>
        </w:tc>
        <w:tc>
          <w:tcPr>
            <w:tcW w:w="1968" w:type="dxa"/>
            <w:tcBorders>
              <w:top w:val="nil"/>
              <w:left w:val="single" w:sz="8" w:space="0" w:color="auto"/>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5</w:t>
            </w:r>
          </w:p>
        </w:tc>
        <w:tc>
          <w:tcPr>
            <w:tcW w:w="1841" w:type="dxa"/>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1.8</w:t>
            </w:r>
          </w:p>
        </w:tc>
        <w:tc>
          <w:tcPr>
            <w:tcW w:w="1984"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7</w:t>
            </w:r>
          </w:p>
        </w:tc>
        <w:tc>
          <w:tcPr>
            <w:tcW w:w="2059" w:type="dxa"/>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3.2</w:t>
            </w:r>
          </w:p>
        </w:tc>
        <w:tc>
          <w:tcPr>
            <w:tcW w:w="1681"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5</w:t>
            </w:r>
          </w:p>
        </w:tc>
        <w:tc>
          <w:tcPr>
            <w:tcW w:w="2018" w:type="dxa"/>
            <w:gridSpan w:val="2"/>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1.7</w:t>
            </w:r>
          </w:p>
        </w:tc>
      </w:tr>
      <w:tr w:rsidR="00FD6853" w:rsidRPr="00FD6853" w:rsidTr="00FD6853">
        <w:trPr>
          <w:gridAfter w:val="1"/>
          <w:wAfter w:w="132" w:type="dxa"/>
          <w:trHeight w:val="315"/>
        </w:trPr>
        <w:tc>
          <w:tcPr>
            <w:tcW w:w="2302" w:type="dxa"/>
            <w:tcBorders>
              <w:top w:val="nil"/>
              <w:left w:val="single" w:sz="8" w:space="0" w:color="auto"/>
              <w:bottom w:val="single" w:sz="8" w:space="0" w:color="auto"/>
              <w:right w:val="nil"/>
            </w:tcBorders>
            <w:shd w:val="clear" w:color="auto" w:fill="auto"/>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Other</w:t>
            </w:r>
          </w:p>
        </w:tc>
        <w:tc>
          <w:tcPr>
            <w:tcW w:w="1968" w:type="dxa"/>
            <w:tcBorders>
              <w:top w:val="nil"/>
              <w:left w:val="single" w:sz="8" w:space="0" w:color="auto"/>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5</w:t>
            </w:r>
          </w:p>
        </w:tc>
        <w:tc>
          <w:tcPr>
            <w:tcW w:w="1841"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1.8</w:t>
            </w:r>
          </w:p>
        </w:tc>
        <w:tc>
          <w:tcPr>
            <w:tcW w:w="1984"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7</w:t>
            </w:r>
          </w:p>
        </w:tc>
        <w:tc>
          <w:tcPr>
            <w:tcW w:w="2059"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3.2</w:t>
            </w:r>
          </w:p>
        </w:tc>
        <w:tc>
          <w:tcPr>
            <w:tcW w:w="1681"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8</w:t>
            </w:r>
          </w:p>
        </w:tc>
        <w:tc>
          <w:tcPr>
            <w:tcW w:w="2018" w:type="dxa"/>
            <w:gridSpan w:val="2"/>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2.8</w:t>
            </w:r>
          </w:p>
        </w:tc>
      </w:tr>
      <w:tr w:rsidR="00FD6853" w:rsidRPr="00FD6853" w:rsidTr="00FD6853">
        <w:trPr>
          <w:gridAfter w:val="1"/>
          <w:wAfter w:w="132" w:type="dxa"/>
          <w:trHeight w:val="315"/>
        </w:trPr>
        <w:tc>
          <w:tcPr>
            <w:tcW w:w="2302" w:type="dxa"/>
            <w:tcBorders>
              <w:top w:val="nil"/>
              <w:left w:val="single" w:sz="8" w:space="0" w:color="auto"/>
              <w:bottom w:val="single" w:sz="8" w:space="0" w:color="auto"/>
              <w:right w:val="nil"/>
            </w:tcBorders>
            <w:shd w:val="clear" w:color="000000" w:fill="C0C0C0"/>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Unknown</w:t>
            </w:r>
          </w:p>
        </w:tc>
        <w:tc>
          <w:tcPr>
            <w:tcW w:w="1968" w:type="dxa"/>
            <w:tcBorders>
              <w:top w:val="nil"/>
              <w:left w:val="single" w:sz="8" w:space="0" w:color="auto"/>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73</w:t>
            </w:r>
          </w:p>
        </w:tc>
        <w:tc>
          <w:tcPr>
            <w:tcW w:w="1841" w:type="dxa"/>
            <w:tcBorders>
              <w:top w:val="nil"/>
              <w:left w:val="nil"/>
              <w:bottom w:val="nil"/>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26.3</w:t>
            </w:r>
          </w:p>
        </w:tc>
        <w:tc>
          <w:tcPr>
            <w:tcW w:w="1984"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36</w:t>
            </w:r>
          </w:p>
        </w:tc>
        <w:tc>
          <w:tcPr>
            <w:tcW w:w="2059" w:type="dxa"/>
            <w:tcBorders>
              <w:top w:val="nil"/>
              <w:left w:val="nil"/>
              <w:bottom w:val="nil"/>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16.3</w:t>
            </w:r>
          </w:p>
        </w:tc>
        <w:tc>
          <w:tcPr>
            <w:tcW w:w="1681"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49</w:t>
            </w:r>
          </w:p>
        </w:tc>
        <w:tc>
          <w:tcPr>
            <w:tcW w:w="2018" w:type="dxa"/>
            <w:gridSpan w:val="2"/>
            <w:tcBorders>
              <w:top w:val="nil"/>
              <w:left w:val="nil"/>
              <w:bottom w:val="nil"/>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17.1</w:t>
            </w:r>
          </w:p>
        </w:tc>
      </w:tr>
      <w:tr w:rsidR="00FD6853" w:rsidRPr="00FD6853" w:rsidTr="00FD6853">
        <w:trPr>
          <w:gridAfter w:val="1"/>
          <w:wAfter w:w="132" w:type="dxa"/>
          <w:trHeight w:val="315"/>
        </w:trPr>
        <w:tc>
          <w:tcPr>
            <w:tcW w:w="2302" w:type="dxa"/>
            <w:tcBorders>
              <w:top w:val="nil"/>
              <w:left w:val="single" w:sz="8" w:space="0" w:color="auto"/>
              <w:bottom w:val="single" w:sz="8" w:space="0" w:color="auto"/>
              <w:right w:val="nil"/>
            </w:tcBorders>
            <w:shd w:val="clear" w:color="auto" w:fill="auto"/>
            <w:vAlign w:val="center"/>
            <w:hideMark/>
          </w:tcPr>
          <w:p w:rsidR="00FD6853" w:rsidRPr="00FD6853" w:rsidRDefault="00FD6853" w:rsidP="00FD6853">
            <w:pPr>
              <w:rPr>
                <w:rFonts w:ascii="Calibri" w:hAnsi="Calibri" w:cs="Calibri"/>
                <w:b/>
                <w:bCs/>
                <w:color w:val="000000"/>
                <w:szCs w:val="22"/>
                <w:lang w:eastAsia="en-AU"/>
              </w:rPr>
            </w:pPr>
            <w:r w:rsidRPr="00FD6853">
              <w:rPr>
                <w:rFonts w:ascii="Calibri" w:hAnsi="Calibri" w:cs="Calibri"/>
                <w:b/>
                <w:bCs/>
                <w:color w:val="000000"/>
                <w:szCs w:val="22"/>
                <w:lang w:eastAsia="en-AU"/>
              </w:rPr>
              <w:t>Total</w:t>
            </w:r>
          </w:p>
        </w:tc>
        <w:tc>
          <w:tcPr>
            <w:tcW w:w="1968" w:type="dxa"/>
            <w:tcBorders>
              <w:top w:val="nil"/>
              <w:left w:val="single" w:sz="8" w:space="0" w:color="auto"/>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2"/>
              <w:jc w:val="right"/>
              <w:rPr>
                <w:rFonts w:ascii="Calibri" w:hAnsi="Calibri" w:cs="Calibri"/>
                <w:b/>
                <w:bCs/>
                <w:color w:val="000000"/>
                <w:szCs w:val="22"/>
                <w:lang w:eastAsia="en-AU"/>
              </w:rPr>
            </w:pPr>
            <w:r w:rsidRPr="00FD6853">
              <w:rPr>
                <w:rFonts w:ascii="Calibri" w:hAnsi="Calibri" w:cs="Calibri"/>
                <w:b/>
                <w:bCs/>
                <w:color w:val="000000"/>
                <w:szCs w:val="22"/>
                <w:lang w:eastAsia="en-AU"/>
              </w:rPr>
              <w:t>278</w:t>
            </w:r>
          </w:p>
        </w:tc>
        <w:tc>
          <w:tcPr>
            <w:tcW w:w="1841" w:type="dxa"/>
            <w:tcBorders>
              <w:top w:val="single" w:sz="8" w:space="0" w:color="auto"/>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2"/>
              <w:jc w:val="right"/>
              <w:rPr>
                <w:rFonts w:ascii="Calibri" w:hAnsi="Calibri" w:cs="Calibri"/>
                <w:b/>
                <w:bCs/>
                <w:color w:val="000000"/>
                <w:szCs w:val="22"/>
                <w:lang w:eastAsia="en-AU"/>
              </w:rPr>
            </w:pPr>
            <w:r w:rsidRPr="00FD6853">
              <w:rPr>
                <w:rFonts w:ascii="Calibri" w:hAnsi="Calibri" w:cs="Calibri"/>
                <w:b/>
                <w:bCs/>
                <w:color w:val="000000"/>
                <w:szCs w:val="22"/>
                <w:lang w:eastAsia="en-AU"/>
              </w:rPr>
              <w:t>100</w:t>
            </w:r>
          </w:p>
        </w:tc>
        <w:tc>
          <w:tcPr>
            <w:tcW w:w="1984"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2"/>
              <w:jc w:val="right"/>
              <w:rPr>
                <w:rFonts w:ascii="Calibri" w:hAnsi="Calibri" w:cs="Calibri"/>
                <w:b/>
                <w:bCs/>
                <w:color w:val="000000"/>
                <w:szCs w:val="22"/>
                <w:lang w:eastAsia="en-AU"/>
              </w:rPr>
            </w:pPr>
            <w:r w:rsidRPr="00FD6853">
              <w:rPr>
                <w:rFonts w:ascii="Calibri" w:hAnsi="Calibri" w:cs="Calibri"/>
                <w:b/>
                <w:bCs/>
                <w:color w:val="000000"/>
                <w:szCs w:val="22"/>
                <w:lang w:eastAsia="en-AU"/>
              </w:rPr>
              <w:t>221</w:t>
            </w:r>
          </w:p>
        </w:tc>
        <w:tc>
          <w:tcPr>
            <w:tcW w:w="2059" w:type="dxa"/>
            <w:tcBorders>
              <w:top w:val="single" w:sz="8" w:space="0" w:color="auto"/>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2"/>
              <w:jc w:val="right"/>
              <w:rPr>
                <w:rFonts w:ascii="Calibri" w:hAnsi="Calibri" w:cs="Calibri"/>
                <w:b/>
                <w:bCs/>
                <w:color w:val="000000"/>
                <w:szCs w:val="22"/>
                <w:lang w:eastAsia="en-AU"/>
              </w:rPr>
            </w:pPr>
            <w:r w:rsidRPr="00FD6853">
              <w:rPr>
                <w:rFonts w:ascii="Calibri" w:hAnsi="Calibri" w:cs="Calibri"/>
                <w:b/>
                <w:bCs/>
                <w:color w:val="000000"/>
                <w:szCs w:val="22"/>
                <w:lang w:eastAsia="en-AU"/>
              </w:rPr>
              <w:t>100</w:t>
            </w:r>
          </w:p>
        </w:tc>
        <w:tc>
          <w:tcPr>
            <w:tcW w:w="1681"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2"/>
              <w:jc w:val="right"/>
              <w:rPr>
                <w:rFonts w:ascii="Calibri" w:hAnsi="Calibri" w:cs="Calibri"/>
                <w:b/>
                <w:bCs/>
                <w:color w:val="000000"/>
                <w:szCs w:val="22"/>
                <w:lang w:eastAsia="en-AU"/>
              </w:rPr>
            </w:pPr>
            <w:r w:rsidRPr="00FD6853">
              <w:rPr>
                <w:rFonts w:ascii="Calibri" w:hAnsi="Calibri" w:cs="Calibri"/>
                <w:b/>
                <w:bCs/>
                <w:color w:val="000000"/>
                <w:szCs w:val="22"/>
                <w:lang w:eastAsia="en-AU"/>
              </w:rPr>
              <w:t>286</w:t>
            </w:r>
          </w:p>
        </w:tc>
        <w:tc>
          <w:tcPr>
            <w:tcW w:w="2018" w:type="dxa"/>
            <w:gridSpan w:val="2"/>
            <w:tcBorders>
              <w:top w:val="single" w:sz="8" w:space="0" w:color="auto"/>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2"/>
              <w:jc w:val="right"/>
              <w:rPr>
                <w:rFonts w:ascii="Calibri" w:hAnsi="Calibri" w:cs="Calibri"/>
                <w:b/>
                <w:bCs/>
                <w:color w:val="000000"/>
                <w:szCs w:val="22"/>
                <w:lang w:eastAsia="en-AU"/>
              </w:rPr>
            </w:pPr>
            <w:r w:rsidRPr="00FD6853">
              <w:rPr>
                <w:rFonts w:ascii="Calibri" w:hAnsi="Calibri" w:cs="Calibri"/>
                <w:b/>
                <w:bCs/>
                <w:color w:val="000000"/>
                <w:szCs w:val="22"/>
                <w:lang w:eastAsia="en-AU"/>
              </w:rPr>
              <w:t>100</w:t>
            </w:r>
          </w:p>
        </w:tc>
      </w:tr>
      <w:tr w:rsidR="00FD6853" w:rsidRPr="00FD6853" w:rsidTr="00FD6853">
        <w:trPr>
          <w:gridAfter w:val="1"/>
          <w:wAfter w:w="132" w:type="dxa"/>
          <w:trHeight w:val="300"/>
        </w:trPr>
        <w:tc>
          <w:tcPr>
            <w:tcW w:w="2302" w:type="dxa"/>
            <w:tcBorders>
              <w:top w:val="nil"/>
              <w:left w:val="nil"/>
              <w:bottom w:val="nil"/>
              <w:right w:val="nil"/>
            </w:tcBorders>
            <w:shd w:val="clear" w:color="auto" w:fill="auto"/>
            <w:noWrap/>
            <w:vAlign w:val="bottom"/>
            <w:hideMark/>
          </w:tcPr>
          <w:p w:rsidR="00FD6853" w:rsidRPr="00FD6853" w:rsidRDefault="00FD6853" w:rsidP="00FD6853">
            <w:pPr>
              <w:rPr>
                <w:rFonts w:ascii="Calibri" w:hAnsi="Calibri" w:cs="Calibri"/>
                <w:color w:val="000000"/>
                <w:szCs w:val="22"/>
                <w:lang w:eastAsia="en-AU"/>
              </w:rPr>
            </w:pPr>
          </w:p>
        </w:tc>
        <w:tc>
          <w:tcPr>
            <w:tcW w:w="1968" w:type="dxa"/>
            <w:tcBorders>
              <w:top w:val="nil"/>
              <w:left w:val="nil"/>
              <w:bottom w:val="nil"/>
              <w:right w:val="nil"/>
            </w:tcBorders>
            <w:shd w:val="clear" w:color="auto" w:fill="auto"/>
            <w:noWrap/>
            <w:vAlign w:val="bottom"/>
            <w:hideMark/>
          </w:tcPr>
          <w:p w:rsidR="00FD6853" w:rsidRPr="00FD6853" w:rsidRDefault="00FD6853" w:rsidP="00FD6853">
            <w:pPr>
              <w:rPr>
                <w:rFonts w:ascii="Calibri" w:hAnsi="Calibri" w:cs="Calibri"/>
                <w:color w:val="000000"/>
                <w:szCs w:val="22"/>
                <w:lang w:eastAsia="en-AU"/>
              </w:rPr>
            </w:pPr>
          </w:p>
        </w:tc>
        <w:tc>
          <w:tcPr>
            <w:tcW w:w="1841" w:type="dxa"/>
            <w:tcBorders>
              <w:top w:val="nil"/>
              <w:left w:val="nil"/>
              <w:bottom w:val="nil"/>
              <w:right w:val="nil"/>
            </w:tcBorders>
            <w:shd w:val="clear" w:color="auto" w:fill="auto"/>
            <w:noWrap/>
            <w:vAlign w:val="bottom"/>
            <w:hideMark/>
          </w:tcPr>
          <w:p w:rsidR="00FD6853" w:rsidRPr="00FD6853" w:rsidRDefault="00FD6853" w:rsidP="00FD6853">
            <w:pPr>
              <w:rPr>
                <w:rFonts w:ascii="Calibri" w:hAnsi="Calibri" w:cs="Calibri"/>
                <w:color w:val="000000"/>
                <w:szCs w:val="22"/>
                <w:lang w:eastAsia="en-AU"/>
              </w:rPr>
            </w:pPr>
          </w:p>
        </w:tc>
        <w:tc>
          <w:tcPr>
            <w:tcW w:w="1984" w:type="dxa"/>
            <w:tcBorders>
              <w:top w:val="nil"/>
              <w:left w:val="nil"/>
              <w:bottom w:val="nil"/>
              <w:right w:val="nil"/>
            </w:tcBorders>
            <w:shd w:val="clear" w:color="auto" w:fill="auto"/>
            <w:noWrap/>
            <w:vAlign w:val="bottom"/>
            <w:hideMark/>
          </w:tcPr>
          <w:p w:rsidR="00FD6853" w:rsidRPr="00FD6853" w:rsidRDefault="00FD6853" w:rsidP="00FD6853">
            <w:pPr>
              <w:rPr>
                <w:rFonts w:ascii="Calibri" w:hAnsi="Calibri" w:cs="Calibri"/>
                <w:color w:val="000000"/>
                <w:szCs w:val="22"/>
                <w:lang w:eastAsia="en-AU"/>
              </w:rPr>
            </w:pPr>
          </w:p>
        </w:tc>
        <w:tc>
          <w:tcPr>
            <w:tcW w:w="2059" w:type="dxa"/>
            <w:tcBorders>
              <w:top w:val="nil"/>
              <w:left w:val="nil"/>
              <w:bottom w:val="nil"/>
              <w:right w:val="nil"/>
            </w:tcBorders>
            <w:shd w:val="clear" w:color="auto" w:fill="auto"/>
            <w:noWrap/>
            <w:vAlign w:val="bottom"/>
            <w:hideMark/>
          </w:tcPr>
          <w:p w:rsidR="00FD6853" w:rsidRPr="00FD6853" w:rsidRDefault="00FD6853" w:rsidP="00FD6853">
            <w:pPr>
              <w:rPr>
                <w:rFonts w:ascii="Calibri" w:hAnsi="Calibri" w:cs="Calibri"/>
                <w:color w:val="000000"/>
                <w:szCs w:val="22"/>
                <w:lang w:eastAsia="en-AU"/>
              </w:rPr>
            </w:pPr>
          </w:p>
        </w:tc>
        <w:tc>
          <w:tcPr>
            <w:tcW w:w="1681" w:type="dxa"/>
            <w:tcBorders>
              <w:top w:val="nil"/>
              <w:left w:val="nil"/>
              <w:bottom w:val="nil"/>
              <w:right w:val="nil"/>
            </w:tcBorders>
            <w:shd w:val="clear" w:color="auto" w:fill="auto"/>
            <w:noWrap/>
            <w:vAlign w:val="bottom"/>
            <w:hideMark/>
          </w:tcPr>
          <w:p w:rsidR="00FD6853" w:rsidRPr="00FD6853" w:rsidRDefault="00FD6853" w:rsidP="00FD6853">
            <w:pPr>
              <w:rPr>
                <w:rFonts w:ascii="Calibri" w:hAnsi="Calibri" w:cs="Calibri"/>
                <w:color w:val="000000"/>
                <w:szCs w:val="22"/>
                <w:lang w:eastAsia="en-AU"/>
              </w:rPr>
            </w:pPr>
          </w:p>
        </w:tc>
        <w:tc>
          <w:tcPr>
            <w:tcW w:w="2018" w:type="dxa"/>
            <w:gridSpan w:val="2"/>
            <w:tcBorders>
              <w:top w:val="nil"/>
              <w:left w:val="nil"/>
              <w:bottom w:val="nil"/>
              <w:right w:val="nil"/>
            </w:tcBorders>
            <w:shd w:val="clear" w:color="auto" w:fill="auto"/>
            <w:noWrap/>
            <w:vAlign w:val="bottom"/>
            <w:hideMark/>
          </w:tcPr>
          <w:p w:rsidR="00FD6853" w:rsidRPr="00FD6853" w:rsidRDefault="00FD6853" w:rsidP="00FD6853">
            <w:pPr>
              <w:rPr>
                <w:rFonts w:ascii="Calibri" w:hAnsi="Calibri" w:cs="Calibri"/>
                <w:color w:val="000000"/>
                <w:szCs w:val="22"/>
                <w:lang w:eastAsia="en-AU"/>
              </w:rPr>
            </w:pPr>
          </w:p>
        </w:tc>
      </w:tr>
      <w:tr w:rsidR="00FD6853" w:rsidRPr="00FD6853" w:rsidTr="00FD6853">
        <w:trPr>
          <w:gridAfter w:val="1"/>
          <w:wAfter w:w="132" w:type="dxa"/>
          <w:trHeight w:val="360"/>
        </w:trPr>
        <w:tc>
          <w:tcPr>
            <w:tcW w:w="11835" w:type="dxa"/>
            <w:gridSpan w:val="6"/>
            <w:tcBorders>
              <w:top w:val="nil"/>
              <w:left w:val="nil"/>
              <w:bottom w:val="nil"/>
              <w:right w:val="nil"/>
            </w:tcBorders>
            <w:shd w:val="clear" w:color="auto" w:fill="auto"/>
            <w:noWrap/>
            <w:vAlign w:val="bottom"/>
            <w:hideMark/>
          </w:tcPr>
          <w:p w:rsidR="00FD6853" w:rsidRPr="00FD6853" w:rsidRDefault="00C54CD1" w:rsidP="00FD6853">
            <w:pPr>
              <w:rPr>
                <w:rFonts w:ascii="Calibri" w:hAnsi="Calibri" w:cs="Calibri"/>
                <w:b/>
                <w:bCs/>
                <w:color w:val="000000"/>
                <w:szCs w:val="22"/>
                <w:lang w:eastAsia="en-AU"/>
              </w:rPr>
            </w:pPr>
            <w:r w:rsidRPr="001B165D">
              <w:rPr>
                <w:rFonts w:eastAsia="Calibri" w:cstheme="minorHAnsi"/>
                <w:b/>
                <w:szCs w:val="24"/>
              </w:rPr>
              <w:t>Table 3.1(a</w:t>
            </w:r>
            <w:r>
              <w:rPr>
                <w:rFonts w:eastAsia="Calibri" w:cstheme="minorHAnsi"/>
                <w:b/>
                <w:szCs w:val="24"/>
              </w:rPr>
              <w:t>-4</w:t>
            </w:r>
            <w:r w:rsidRPr="001B165D">
              <w:rPr>
                <w:rFonts w:eastAsia="Calibri" w:cstheme="minorHAnsi"/>
                <w:b/>
                <w:szCs w:val="24"/>
              </w:rPr>
              <w:t xml:space="preserve">) </w:t>
            </w:r>
            <w:r>
              <w:rPr>
                <w:rFonts w:eastAsia="Calibri" w:cstheme="minorHAnsi"/>
                <w:b/>
                <w:szCs w:val="24"/>
              </w:rPr>
              <w:t>-</w:t>
            </w:r>
            <w:r w:rsidR="00FD6853" w:rsidRPr="00FD6853">
              <w:rPr>
                <w:rFonts w:ascii="Calibri" w:hAnsi="Calibri" w:cs="Calibri"/>
                <w:b/>
                <w:bCs/>
                <w:color w:val="000000"/>
                <w:szCs w:val="22"/>
                <w:lang w:eastAsia="en-AU"/>
              </w:rPr>
              <w:t>Students with a Disability</w:t>
            </w:r>
            <w:r w:rsidR="00FD6853" w:rsidRPr="00FD6853">
              <w:rPr>
                <w:rFonts w:ascii="Calibri" w:hAnsi="Calibri" w:cs="Calibri"/>
                <w:color w:val="000000"/>
                <w:szCs w:val="22"/>
                <w:lang w:eastAsia="en-AU"/>
              </w:rPr>
              <w:t xml:space="preserve"> participating in </w:t>
            </w:r>
            <w:proofErr w:type="spellStart"/>
            <w:r w:rsidR="00FD6853" w:rsidRPr="00FD6853">
              <w:rPr>
                <w:rFonts w:ascii="Calibri" w:hAnsi="Calibri" w:cs="Calibri"/>
                <w:color w:val="000000"/>
                <w:szCs w:val="22"/>
                <w:lang w:eastAsia="en-AU"/>
              </w:rPr>
              <w:t>CMaD</w:t>
            </w:r>
            <w:proofErr w:type="spellEnd"/>
            <w:r w:rsidR="00FD6853" w:rsidRPr="00FD6853">
              <w:rPr>
                <w:rFonts w:ascii="Calibri" w:hAnsi="Calibri" w:cs="Calibri"/>
                <w:color w:val="000000"/>
                <w:szCs w:val="22"/>
                <w:lang w:eastAsia="en-AU"/>
              </w:rPr>
              <w:t xml:space="preserve"> NP (Low SES) for 1 to 3 years </w:t>
            </w:r>
            <w:r w:rsidR="00FD6853" w:rsidRPr="00FD6853">
              <w:rPr>
                <w:rFonts w:ascii="Calibri" w:hAnsi="Calibri" w:cs="Calibri"/>
                <w:color w:val="000000"/>
                <w:szCs w:val="22"/>
                <w:vertAlign w:val="superscript"/>
                <w:lang w:eastAsia="en-AU"/>
              </w:rPr>
              <w:t>(4)</w:t>
            </w:r>
          </w:p>
        </w:tc>
        <w:tc>
          <w:tcPr>
            <w:tcW w:w="2018" w:type="dxa"/>
            <w:gridSpan w:val="2"/>
            <w:tcBorders>
              <w:top w:val="nil"/>
              <w:left w:val="nil"/>
              <w:bottom w:val="nil"/>
              <w:right w:val="nil"/>
            </w:tcBorders>
            <w:shd w:val="clear" w:color="auto" w:fill="auto"/>
            <w:noWrap/>
            <w:vAlign w:val="bottom"/>
            <w:hideMark/>
          </w:tcPr>
          <w:p w:rsidR="00FD6853" w:rsidRPr="00FD6853" w:rsidRDefault="00FD6853" w:rsidP="00FD6853">
            <w:pPr>
              <w:rPr>
                <w:rFonts w:ascii="Calibri" w:hAnsi="Calibri" w:cs="Calibri"/>
                <w:color w:val="000000"/>
                <w:szCs w:val="22"/>
                <w:lang w:eastAsia="en-AU"/>
              </w:rPr>
            </w:pPr>
          </w:p>
        </w:tc>
      </w:tr>
      <w:tr w:rsidR="00FD6853" w:rsidRPr="00FD6853" w:rsidTr="00FD6853">
        <w:trPr>
          <w:gridAfter w:val="1"/>
          <w:wAfter w:w="132" w:type="dxa"/>
          <w:trHeight w:val="712"/>
        </w:trPr>
        <w:tc>
          <w:tcPr>
            <w:tcW w:w="2302" w:type="dxa"/>
            <w:tcBorders>
              <w:top w:val="single" w:sz="8" w:space="0" w:color="auto"/>
              <w:left w:val="single" w:sz="8" w:space="0" w:color="auto"/>
              <w:bottom w:val="nil"/>
              <w:right w:val="nil"/>
            </w:tcBorders>
            <w:shd w:val="clear" w:color="auto" w:fill="auto"/>
            <w:vAlign w:val="center"/>
            <w:hideMark/>
          </w:tcPr>
          <w:p w:rsidR="00FD6853" w:rsidRPr="00FD6853" w:rsidRDefault="00FD6853" w:rsidP="00FD6853">
            <w:pPr>
              <w:rPr>
                <w:rFonts w:ascii="Calibri" w:hAnsi="Calibri" w:cs="Calibri"/>
                <w:b/>
                <w:bCs/>
                <w:color w:val="000000"/>
                <w:szCs w:val="22"/>
                <w:lang w:eastAsia="en-AU"/>
              </w:rPr>
            </w:pPr>
            <w:r w:rsidRPr="00FD6853">
              <w:rPr>
                <w:rFonts w:ascii="Calibri" w:hAnsi="Calibri" w:cs="Calibri"/>
                <w:b/>
                <w:bCs/>
                <w:color w:val="000000"/>
                <w:szCs w:val="22"/>
                <w:lang w:eastAsia="en-AU"/>
              </w:rPr>
              <w:t>Destinations Reason</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D6853" w:rsidRPr="00FD6853" w:rsidRDefault="00FD6853" w:rsidP="00FD6853">
            <w:pPr>
              <w:jc w:val="center"/>
              <w:rPr>
                <w:rFonts w:ascii="Calibri" w:hAnsi="Calibri" w:cs="Calibri"/>
                <w:b/>
                <w:bCs/>
                <w:color w:val="000000"/>
                <w:szCs w:val="22"/>
                <w:lang w:eastAsia="en-AU"/>
              </w:rPr>
            </w:pPr>
            <w:r w:rsidRPr="00FD6853">
              <w:rPr>
                <w:rFonts w:ascii="Calibri" w:hAnsi="Calibri" w:cs="Calibri"/>
                <w:b/>
                <w:bCs/>
                <w:color w:val="000000"/>
                <w:szCs w:val="22"/>
                <w:lang w:eastAsia="en-AU"/>
              </w:rPr>
              <w:t>No. of Students 2010</w:t>
            </w:r>
          </w:p>
        </w:tc>
        <w:tc>
          <w:tcPr>
            <w:tcW w:w="1841" w:type="dxa"/>
            <w:tcBorders>
              <w:top w:val="single" w:sz="8" w:space="0" w:color="auto"/>
              <w:left w:val="nil"/>
              <w:bottom w:val="single" w:sz="8" w:space="0" w:color="auto"/>
              <w:right w:val="single" w:sz="8" w:space="0" w:color="auto"/>
            </w:tcBorders>
            <w:shd w:val="clear" w:color="auto" w:fill="auto"/>
            <w:vAlign w:val="center"/>
            <w:hideMark/>
          </w:tcPr>
          <w:p w:rsidR="00FD6853" w:rsidRPr="00FD6853" w:rsidRDefault="00FD6853" w:rsidP="00FD6853">
            <w:pPr>
              <w:jc w:val="center"/>
              <w:rPr>
                <w:rFonts w:ascii="Calibri" w:hAnsi="Calibri" w:cs="Calibri"/>
                <w:b/>
                <w:bCs/>
                <w:color w:val="000000"/>
                <w:szCs w:val="22"/>
                <w:lang w:eastAsia="en-AU"/>
              </w:rPr>
            </w:pPr>
            <w:r w:rsidRPr="00FD6853">
              <w:rPr>
                <w:rFonts w:ascii="Calibri" w:hAnsi="Calibri" w:cs="Calibri"/>
                <w:b/>
                <w:bCs/>
                <w:color w:val="000000"/>
                <w:szCs w:val="22"/>
                <w:lang w:eastAsia="en-AU"/>
              </w:rPr>
              <w:t>% of Total Students 2010</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FD6853" w:rsidRPr="00FD6853" w:rsidRDefault="00FD6853" w:rsidP="00FD6853">
            <w:pPr>
              <w:jc w:val="center"/>
              <w:rPr>
                <w:rFonts w:ascii="Calibri" w:hAnsi="Calibri" w:cs="Calibri"/>
                <w:b/>
                <w:bCs/>
                <w:color w:val="000000"/>
                <w:szCs w:val="22"/>
                <w:lang w:eastAsia="en-AU"/>
              </w:rPr>
            </w:pPr>
            <w:r w:rsidRPr="00FD6853">
              <w:rPr>
                <w:rFonts w:ascii="Calibri" w:hAnsi="Calibri" w:cs="Calibri"/>
                <w:b/>
                <w:bCs/>
                <w:color w:val="000000"/>
                <w:szCs w:val="22"/>
                <w:lang w:eastAsia="en-AU"/>
              </w:rPr>
              <w:t>No. of Students 2011</w:t>
            </w:r>
          </w:p>
        </w:tc>
        <w:tc>
          <w:tcPr>
            <w:tcW w:w="2059" w:type="dxa"/>
            <w:tcBorders>
              <w:top w:val="single" w:sz="8" w:space="0" w:color="auto"/>
              <w:left w:val="nil"/>
              <w:bottom w:val="single" w:sz="8" w:space="0" w:color="auto"/>
              <w:right w:val="single" w:sz="8" w:space="0" w:color="auto"/>
            </w:tcBorders>
            <w:shd w:val="clear" w:color="auto" w:fill="auto"/>
            <w:vAlign w:val="center"/>
            <w:hideMark/>
          </w:tcPr>
          <w:p w:rsidR="00FD6853" w:rsidRPr="00FD6853" w:rsidRDefault="00FD6853" w:rsidP="00FD6853">
            <w:pPr>
              <w:jc w:val="center"/>
              <w:rPr>
                <w:rFonts w:ascii="Calibri" w:hAnsi="Calibri" w:cs="Calibri"/>
                <w:b/>
                <w:bCs/>
                <w:color w:val="000000"/>
                <w:szCs w:val="22"/>
                <w:lang w:eastAsia="en-AU"/>
              </w:rPr>
            </w:pPr>
            <w:r w:rsidRPr="00FD6853">
              <w:rPr>
                <w:rFonts w:ascii="Calibri" w:hAnsi="Calibri" w:cs="Calibri"/>
                <w:b/>
                <w:bCs/>
                <w:color w:val="000000"/>
                <w:szCs w:val="22"/>
                <w:lang w:eastAsia="en-AU"/>
              </w:rPr>
              <w:t>% of Total Students 2011</w:t>
            </w:r>
          </w:p>
        </w:tc>
        <w:tc>
          <w:tcPr>
            <w:tcW w:w="1681" w:type="dxa"/>
            <w:tcBorders>
              <w:top w:val="single" w:sz="8" w:space="0" w:color="auto"/>
              <w:left w:val="nil"/>
              <w:bottom w:val="single" w:sz="8" w:space="0" w:color="auto"/>
              <w:right w:val="single" w:sz="8" w:space="0" w:color="auto"/>
            </w:tcBorders>
            <w:shd w:val="clear" w:color="auto" w:fill="auto"/>
            <w:vAlign w:val="center"/>
            <w:hideMark/>
          </w:tcPr>
          <w:p w:rsidR="00FD6853" w:rsidRPr="00FD6853" w:rsidRDefault="00FD6853" w:rsidP="00FD6853">
            <w:pPr>
              <w:jc w:val="center"/>
              <w:rPr>
                <w:rFonts w:ascii="Calibri" w:hAnsi="Calibri" w:cs="Calibri"/>
                <w:b/>
                <w:bCs/>
                <w:color w:val="000000"/>
                <w:szCs w:val="22"/>
                <w:lang w:eastAsia="en-AU"/>
              </w:rPr>
            </w:pPr>
            <w:r w:rsidRPr="00FD6853">
              <w:rPr>
                <w:rFonts w:ascii="Calibri" w:hAnsi="Calibri" w:cs="Calibri"/>
                <w:b/>
                <w:bCs/>
                <w:color w:val="000000"/>
                <w:szCs w:val="22"/>
                <w:lang w:eastAsia="en-AU"/>
              </w:rPr>
              <w:t>No. of Students 2012</w:t>
            </w:r>
          </w:p>
        </w:tc>
        <w:tc>
          <w:tcPr>
            <w:tcW w:w="2018" w:type="dxa"/>
            <w:gridSpan w:val="2"/>
            <w:tcBorders>
              <w:top w:val="single" w:sz="8" w:space="0" w:color="auto"/>
              <w:left w:val="nil"/>
              <w:bottom w:val="single" w:sz="8" w:space="0" w:color="auto"/>
              <w:right w:val="single" w:sz="8" w:space="0" w:color="auto"/>
            </w:tcBorders>
            <w:shd w:val="clear" w:color="auto" w:fill="auto"/>
            <w:vAlign w:val="center"/>
            <w:hideMark/>
          </w:tcPr>
          <w:p w:rsidR="00FD6853" w:rsidRPr="00FD6853" w:rsidRDefault="00FD6853" w:rsidP="00FD6853">
            <w:pPr>
              <w:jc w:val="center"/>
              <w:rPr>
                <w:rFonts w:ascii="Calibri" w:hAnsi="Calibri" w:cs="Calibri"/>
                <w:b/>
                <w:bCs/>
                <w:color w:val="000000"/>
                <w:szCs w:val="22"/>
                <w:lang w:eastAsia="en-AU"/>
              </w:rPr>
            </w:pPr>
            <w:r w:rsidRPr="00FD6853">
              <w:rPr>
                <w:rFonts w:ascii="Calibri" w:hAnsi="Calibri" w:cs="Calibri"/>
                <w:b/>
                <w:bCs/>
                <w:color w:val="000000"/>
                <w:szCs w:val="22"/>
                <w:lang w:eastAsia="en-AU"/>
              </w:rPr>
              <w:t>% of Total Students 2012</w:t>
            </w:r>
          </w:p>
        </w:tc>
      </w:tr>
      <w:tr w:rsidR="00FD6853" w:rsidRPr="00FD6853" w:rsidTr="00FD6853">
        <w:trPr>
          <w:gridAfter w:val="1"/>
          <w:wAfter w:w="132" w:type="dxa"/>
          <w:trHeight w:val="315"/>
        </w:trPr>
        <w:tc>
          <w:tcPr>
            <w:tcW w:w="2302" w:type="dxa"/>
            <w:tcBorders>
              <w:top w:val="single" w:sz="8" w:space="0" w:color="auto"/>
              <w:left w:val="single" w:sz="8" w:space="0" w:color="auto"/>
              <w:bottom w:val="single" w:sz="8" w:space="0" w:color="auto"/>
              <w:right w:val="nil"/>
            </w:tcBorders>
            <w:shd w:val="clear" w:color="000000" w:fill="C0C0C0"/>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School Enrolment</w:t>
            </w:r>
          </w:p>
        </w:tc>
        <w:tc>
          <w:tcPr>
            <w:tcW w:w="1968" w:type="dxa"/>
            <w:tcBorders>
              <w:top w:val="nil"/>
              <w:left w:val="single" w:sz="8" w:space="0" w:color="auto"/>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392</w:t>
            </w:r>
          </w:p>
        </w:tc>
        <w:tc>
          <w:tcPr>
            <w:tcW w:w="1841" w:type="dxa"/>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60.4</w:t>
            </w:r>
          </w:p>
        </w:tc>
        <w:tc>
          <w:tcPr>
            <w:tcW w:w="1984"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312</w:t>
            </w:r>
          </w:p>
        </w:tc>
        <w:tc>
          <w:tcPr>
            <w:tcW w:w="2059" w:type="dxa"/>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59.9</w:t>
            </w:r>
          </w:p>
        </w:tc>
        <w:tc>
          <w:tcPr>
            <w:tcW w:w="1681"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403</w:t>
            </w:r>
          </w:p>
        </w:tc>
        <w:tc>
          <w:tcPr>
            <w:tcW w:w="2018" w:type="dxa"/>
            <w:gridSpan w:val="2"/>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62</w:t>
            </w:r>
          </w:p>
        </w:tc>
      </w:tr>
      <w:tr w:rsidR="00FD6853" w:rsidRPr="00FD6853" w:rsidTr="00FD6853">
        <w:trPr>
          <w:gridAfter w:val="1"/>
          <w:wAfter w:w="132" w:type="dxa"/>
          <w:trHeight w:val="315"/>
        </w:trPr>
        <w:tc>
          <w:tcPr>
            <w:tcW w:w="2302" w:type="dxa"/>
            <w:tcBorders>
              <w:top w:val="nil"/>
              <w:left w:val="single" w:sz="8" w:space="0" w:color="auto"/>
              <w:bottom w:val="single" w:sz="8" w:space="0" w:color="auto"/>
              <w:right w:val="nil"/>
            </w:tcBorders>
            <w:shd w:val="clear" w:color="auto" w:fill="auto"/>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Tertiary/TAFE/Training</w:t>
            </w:r>
          </w:p>
        </w:tc>
        <w:tc>
          <w:tcPr>
            <w:tcW w:w="1968" w:type="dxa"/>
            <w:tcBorders>
              <w:top w:val="nil"/>
              <w:left w:val="single" w:sz="8" w:space="0" w:color="auto"/>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12</w:t>
            </w:r>
          </w:p>
        </w:tc>
        <w:tc>
          <w:tcPr>
            <w:tcW w:w="1841"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1.8</w:t>
            </w:r>
          </w:p>
        </w:tc>
        <w:tc>
          <w:tcPr>
            <w:tcW w:w="1984"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10</w:t>
            </w:r>
          </w:p>
        </w:tc>
        <w:tc>
          <w:tcPr>
            <w:tcW w:w="2059"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1.9</w:t>
            </w:r>
          </w:p>
        </w:tc>
        <w:tc>
          <w:tcPr>
            <w:tcW w:w="1681"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16</w:t>
            </w:r>
          </w:p>
        </w:tc>
        <w:tc>
          <w:tcPr>
            <w:tcW w:w="2018" w:type="dxa"/>
            <w:gridSpan w:val="2"/>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2.5</w:t>
            </w:r>
          </w:p>
        </w:tc>
      </w:tr>
      <w:tr w:rsidR="00FD6853" w:rsidRPr="00FD6853" w:rsidTr="00FD6853">
        <w:trPr>
          <w:gridAfter w:val="1"/>
          <w:wAfter w:w="132" w:type="dxa"/>
          <w:trHeight w:val="315"/>
        </w:trPr>
        <w:tc>
          <w:tcPr>
            <w:tcW w:w="2302" w:type="dxa"/>
            <w:tcBorders>
              <w:top w:val="nil"/>
              <w:left w:val="single" w:sz="8" w:space="0" w:color="auto"/>
              <w:bottom w:val="single" w:sz="8" w:space="0" w:color="auto"/>
              <w:right w:val="nil"/>
            </w:tcBorders>
            <w:shd w:val="clear" w:color="000000" w:fill="C0C0C0"/>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Employment</w:t>
            </w:r>
          </w:p>
        </w:tc>
        <w:tc>
          <w:tcPr>
            <w:tcW w:w="1968" w:type="dxa"/>
            <w:tcBorders>
              <w:top w:val="nil"/>
              <w:left w:val="single" w:sz="8" w:space="0" w:color="auto"/>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45</w:t>
            </w:r>
          </w:p>
        </w:tc>
        <w:tc>
          <w:tcPr>
            <w:tcW w:w="1841" w:type="dxa"/>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6.9</w:t>
            </w:r>
          </w:p>
        </w:tc>
        <w:tc>
          <w:tcPr>
            <w:tcW w:w="1984"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18</w:t>
            </w:r>
          </w:p>
        </w:tc>
        <w:tc>
          <w:tcPr>
            <w:tcW w:w="2059" w:type="dxa"/>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3.5</w:t>
            </w:r>
          </w:p>
        </w:tc>
        <w:tc>
          <w:tcPr>
            <w:tcW w:w="1681"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31</w:t>
            </w:r>
          </w:p>
        </w:tc>
        <w:tc>
          <w:tcPr>
            <w:tcW w:w="2018" w:type="dxa"/>
            <w:gridSpan w:val="2"/>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4.8</w:t>
            </w:r>
          </w:p>
        </w:tc>
      </w:tr>
      <w:tr w:rsidR="00FD6853" w:rsidRPr="00FD6853" w:rsidTr="00FD6853">
        <w:trPr>
          <w:gridAfter w:val="1"/>
          <w:wAfter w:w="132" w:type="dxa"/>
          <w:trHeight w:val="315"/>
        </w:trPr>
        <w:tc>
          <w:tcPr>
            <w:tcW w:w="2302" w:type="dxa"/>
            <w:tcBorders>
              <w:top w:val="nil"/>
              <w:left w:val="single" w:sz="8" w:space="0" w:color="auto"/>
              <w:bottom w:val="single" w:sz="8" w:space="0" w:color="auto"/>
              <w:right w:val="nil"/>
            </w:tcBorders>
            <w:shd w:val="clear" w:color="auto" w:fill="auto"/>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Seeking Employment</w:t>
            </w:r>
          </w:p>
        </w:tc>
        <w:tc>
          <w:tcPr>
            <w:tcW w:w="1968" w:type="dxa"/>
            <w:tcBorders>
              <w:top w:val="nil"/>
              <w:left w:val="single" w:sz="8" w:space="0" w:color="auto"/>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72</w:t>
            </w:r>
          </w:p>
        </w:tc>
        <w:tc>
          <w:tcPr>
            <w:tcW w:w="1841"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11.1</w:t>
            </w:r>
          </w:p>
        </w:tc>
        <w:tc>
          <w:tcPr>
            <w:tcW w:w="1984"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69</w:t>
            </w:r>
          </w:p>
        </w:tc>
        <w:tc>
          <w:tcPr>
            <w:tcW w:w="2059"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13.2</w:t>
            </w:r>
          </w:p>
        </w:tc>
        <w:tc>
          <w:tcPr>
            <w:tcW w:w="1681"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52</w:t>
            </w:r>
          </w:p>
        </w:tc>
        <w:tc>
          <w:tcPr>
            <w:tcW w:w="2018" w:type="dxa"/>
            <w:gridSpan w:val="2"/>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8</w:t>
            </w:r>
          </w:p>
        </w:tc>
      </w:tr>
      <w:tr w:rsidR="00FD6853" w:rsidRPr="00FD6853" w:rsidTr="00FD6853">
        <w:trPr>
          <w:gridAfter w:val="1"/>
          <w:wAfter w:w="132" w:type="dxa"/>
          <w:trHeight w:val="315"/>
        </w:trPr>
        <w:tc>
          <w:tcPr>
            <w:tcW w:w="2302" w:type="dxa"/>
            <w:tcBorders>
              <w:top w:val="nil"/>
              <w:left w:val="single" w:sz="8" w:space="0" w:color="auto"/>
              <w:bottom w:val="single" w:sz="8" w:space="0" w:color="auto"/>
              <w:right w:val="nil"/>
            </w:tcBorders>
            <w:shd w:val="clear" w:color="000000" w:fill="C0C0C0"/>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Left South Australia</w:t>
            </w:r>
          </w:p>
        </w:tc>
        <w:tc>
          <w:tcPr>
            <w:tcW w:w="1968" w:type="dxa"/>
            <w:tcBorders>
              <w:top w:val="nil"/>
              <w:left w:val="single" w:sz="8" w:space="0" w:color="auto"/>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10</w:t>
            </w:r>
          </w:p>
        </w:tc>
        <w:tc>
          <w:tcPr>
            <w:tcW w:w="1841" w:type="dxa"/>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1.5</w:t>
            </w:r>
          </w:p>
        </w:tc>
        <w:tc>
          <w:tcPr>
            <w:tcW w:w="1984"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10</w:t>
            </w:r>
          </w:p>
        </w:tc>
        <w:tc>
          <w:tcPr>
            <w:tcW w:w="2059" w:type="dxa"/>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1.9</w:t>
            </w:r>
          </w:p>
        </w:tc>
        <w:tc>
          <w:tcPr>
            <w:tcW w:w="1681"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15</w:t>
            </w:r>
          </w:p>
        </w:tc>
        <w:tc>
          <w:tcPr>
            <w:tcW w:w="2018" w:type="dxa"/>
            <w:gridSpan w:val="2"/>
            <w:tcBorders>
              <w:top w:val="nil"/>
              <w:left w:val="nil"/>
              <w:bottom w:val="single" w:sz="8" w:space="0" w:color="auto"/>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2.3</w:t>
            </w:r>
          </w:p>
        </w:tc>
      </w:tr>
      <w:tr w:rsidR="00FD6853" w:rsidRPr="00FD6853" w:rsidTr="00FD6853">
        <w:trPr>
          <w:gridAfter w:val="1"/>
          <w:wAfter w:w="132" w:type="dxa"/>
          <w:trHeight w:val="315"/>
        </w:trPr>
        <w:tc>
          <w:tcPr>
            <w:tcW w:w="2302" w:type="dxa"/>
            <w:tcBorders>
              <w:top w:val="nil"/>
              <w:left w:val="single" w:sz="8" w:space="0" w:color="auto"/>
              <w:bottom w:val="single" w:sz="8" w:space="0" w:color="auto"/>
              <w:right w:val="nil"/>
            </w:tcBorders>
            <w:shd w:val="clear" w:color="auto" w:fill="auto"/>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Other</w:t>
            </w:r>
          </w:p>
        </w:tc>
        <w:tc>
          <w:tcPr>
            <w:tcW w:w="1968" w:type="dxa"/>
            <w:tcBorders>
              <w:top w:val="nil"/>
              <w:left w:val="single" w:sz="8" w:space="0" w:color="auto"/>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33</w:t>
            </w:r>
          </w:p>
        </w:tc>
        <w:tc>
          <w:tcPr>
            <w:tcW w:w="1841"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5.1</w:t>
            </w:r>
          </w:p>
        </w:tc>
        <w:tc>
          <w:tcPr>
            <w:tcW w:w="1984"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24</w:t>
            </w:r>
          </w:p>
        </w:tc>
        <w:tc>
          <w:tcPr>
            <w:tcW w:w="2059"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4.6</w:t>
            </w:r>
          </w:p>
        </w:tc>
        <w:tc>
          <w:tcPr>
            <w:tcW w:w="1681"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16</w:t>
            </w:r>
          </w:p>
        </w:tc>
        <w:tc>
          <w:tcPr>
            <w:tcW w:w="2018" w:type="dxa"/>
            <w:gridSpan w:val="2"/>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2.5</w:t>
            </w:r>
          </w:p>
        </w:tc>
      </w:tr>
      <w:tr w:rsidR="00FD6853" w:rsidRPr="00FD6853" w:rsidTr="00FD6853">
        <w:trPr>
          <w:gridAfter w:val="1"/>
          <w:wAfter w:w="132" w:type="dxa"/>
          <w:trHeight w:val="315"/>
        </w:trPr>
        <w:tc>
          <w:tcPr>
            <w:tcW w:w="2302" w:type="dxa"/>
            <w:tcBorders>
              <w:top w:val="nil"/>
              <w:left w:val="single" w:sz="8" w:space="0" w:color="auto"/>
              <w:bottom w:val="single" w:sz="8" w:space="0" w:color="auto"/>
              <w:right w:val="nil"/>
            </w:tcBorders>
            <w:shd w:val="clear" w:color="000000" w:fill="C0C0C0"/>
            <w:vAlign w:val="center"/>
            <w:hideMark/>
          </w:tcPr>
          <w:p w:rsidR="00FD6853" w:rsidRPr="00FD6853" w:rsidRDefault="00FD6853" w:rsidP="00FD6853">
            <w:pPr>
              <w:rPr>
                <w:rFonts w:ascii="Calibri" w:hAnsi="Calibri" w:cs="Calibri"/>
                <w:color w:val="000000"/>
                <w:szCs w:val="22"/>
                <w:lang w:eastAsia="en-AU"/>
              </w:rPr>
            </w:pPr>
            <w:r w:rsidRPr="00FD6853">
              <w:rPr>
                <w:rFonts w:ascii="Calibri" w:hAnsi="Calibri" w:cs="Calibri"/>
                <w:color w:val="000000"/>
                <w:szCs w:val="22"/>
                <w:lang w:eastAsia="en-AU"/>
              </w:rPr>
              <w:t>Unknown</w:t>
            </w:r>
          </w:p>
        </w:tc>
        <w:tc>
          <w:tcPr>
            <w:tcW w:w="1968" w:type="dxa"/>
            <w:tcBorders>
              <w:top w:val="nil"/>
              <w:left w:val="single" w:sz="8" w:space="0" w:color="auto"/>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85</w:t>
            </w:r>
          </w:p>
        </w:tc>
        <w:tc>
          <w:tcPr>
            <w:tcW w:w="1841" w:type="dxa"/>
            <w:tcBorders>
              <w:top w:val="nil"/>
              <w:left w:val="nil"/>
              <w:bottom w:val="nil"/>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13.1</w:t>
            </w:r>
          </w:p>
        </w:tc>
        <w:tc>
          <w:tcPr>
            <w:tcW w:w="1984"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78</w:t>
            </w:r>
          </w:p>
        </w:tc>
        <w:tc>
          <w:tcPr>
            <w:tcW w:w="2059" w:type="dxa"/>
            <w:tcBorders>
              <w:top w:val="nil"/>
              <w:left w:val="nil"/>
              <w:bottom w:val="nil"/>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15</w:t>
            </w:r>
          </w:p>
        </w:tc>
        <w:tc>
          <w:tcPr>
            <w:tcW w:w="1681" w:type="dxa"/>
            <w:tcBorders>
              <w:top w:val="nil"/>
              <w:left w:val="nil"/>
              <w:bottom w:val="single" w:sz="8" w:space="0" w:color="auto"/>
              <w:right w:val="single" w:sz="8" w:space="0" w:color="auto"/>
            </w:tcBorders>
            <w:shd w:val="clear" w:color="000000" w:fill="C0C0C0"/>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117</w:t>
            </w:r>
          </w:p>
        </w:tc>
        <w:tc>
          <w:tcPr>
            <w:tcW w:w="2018" w:type="dxa"/>
            <w:gridSpan w:val="2"/>
            <w:tcBorders>
              <w:top w:val="nil"/>
              <w:left w:val="nil"/>
              <w:bottom w:val="nil"/>
              <w:right w:val="single" w:sz="8" w:space="0" w:color="auto"/>
            </w:tcBorders>
            <w:shd w:val="clear" w:color="000000" w:fill="E6B8B7"/>
            <w:noWrap/>
            <w:vAlign w:val="center"/>
            <w:hideMark/>
          </w:tcPr>
          <w:p w:rsidR="00FD6853" w:rsidRPr="00FD6853" w:rsidRDefault="00FD6853" w:rsidP="00FD6853">
            <w:pPr>
              <w:ind w:firstLineChars="200" w:firstLine="440"/>
              <w:jc w:val="right"/>
              <w:rPr>
                <w:rFonts w:ascii="Calibri" w:hAnsi="Calibri" w:cs="Calibri"/>
                <w:color w:val="000000"/>
                <w:szCs w:val="22"/>
                <w:lang w:eastAsia="en-AU"/>
              </w:rPr>
            </w:pPr>
            <w:r w:rsidRPr="00FD6853">
              <w:rPr>
                <w:rFonts w:ascii="Calibri" w:hAnsi="Calibri" w:cs="Calibri"/>
                <w:color w:val="000000"/>
                <w:szCs w:val="22"/>
                <w:lang w:eastAsia="en-AU"/>
              </w:rPr>
              <w:t>18</w:t>
            </w:r>
          </w:p>
        </w:tc>
      </w:tr>
      <w:tr w:rsidR="00FD6853" w:rsidRPr="00FD6853" w:rsidTr="00FD6853">
        <w:trPr>
          <w:gridAfter w:val="1"/>
          <w:wAfter w:w="132" w:type="dxa"/>
          <w:trHeight w:val="315"/>
        </w:trPr>
        <w:tc>
          <w:tcPr>
            <w:tcW w:w="2302" w:type="dxa"/>
            <w:tcBorders>
              <w:top w:val="nil"/>
              <w:left w:val="single" w:sz="8" w:space="0" w:color="auto"/>
              <w:bottom w:val="single" w:sz="8" w:space="0" w:color="auto"/>
              <w:right w:val="nil"/>
            </w:tcBorders>
            <w:shd w:val="clear" w:color="auto" w:fill="auto"/>
            <w:vAlign w:val="center"/>
            <w:hideMark/>
          </w:tcPr>
          <w:p w:rsidR="00FD6853" w:rsidRPr="00FD6853" w:rsidRDefault="00FD6853" w:rsidP="00FD6853">
            <w:pPr>
              <w:rPr>
                <w:rFonts w:ascii="Calibri" w:hAnsi="Calibri" w:cs="Calibri"/>
                <w:b/>
                <w:bCs/>
                <w:color w:val="000000"/>
                <w:szCs w:val="22"/>
                <w:lang w:eastAsia="en-AU"/>
              </w:rPr>
            </w:pPr>
            <w:r w:rsidRPr="00FD6853">
              <w:rPr>
                <w:rFonts w:ascii="Calibri" w:hAnsi="Calibri" w:cs="Calibri"/>
                <w:b/>
                <w:bCs/>
                <w:color w:val="000000"/>
                <w:szCs w:val="22"/>
                <w:lang w:eastAsia="en-AU"/>
              </w:rPr>
              <w:t>Total</w:t>
            </w:r>
          </w:p>
        </w:tc>
        <w:tc>
          <w:tcPr>
            <w:tcW w:w="1968" w:type="dxa"/>
            <w:tcBorders>
              <w:top w:val="nil"/>
              <w:left w:val="single" w:sz="8" w:space="0" w:color="auto"/>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2"/>
              <w:jc w:val="right"/>
              <w:rPr>
                <w:rFonts w:ascii="Calibri" w:hAnsi="Calibri" w:cs="Calibri"/>
                <w:b/>
                <w:bCs/>
                <w:color w:val="000000"/>
                <w:szCs w:val="22"/>
                <w:lang w:eastAsia="en-AU"/>
              </w:rPr>
            </w:pPr>
            <w:r w:rsidRPr="00FD6853">
              <w:rPr>
                <w:rFonts w:ascii="Calibri" w:hAnsi="Calibri" w:cs="Calibri"/>
                <w:b/>
                <w:bCs/>
                <w:color w:val="000000"/>
                <w:szCs w:val="22"/>
                <w:lang w:eastAsia="en-AU"/>
              </w:rPr>
              <w:t>649</w:t>
            </w:r>
          </w:p>
        </w:tc>
        <w:tc>
          <w:tcPr>
            <w:tcW w:w="1841" w:type="dxa"/>
            <w:tcBorders>
              <w:top w:val="single" w:sz="8" w:space="0" w:color="auto"/>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2"/>
              <w:jc w:val="right"/>
              <w:rPr>
                <w:rFonts w:ascii="Calibri" w:hAnsi="Calibri" w:cs="Calibri"/>
                <w:b/>
                <w:bCs/>
                <w:color w:val="000000"/>
                <w:szCs w:val="22"/>
                <w:lang w:eastAsia="en-AU"/>
              </w:rPr>
            </w:pPr>
            <w:r w:rsidRPr="00FD6853">
              <w:rPr>
                <w:rFonts w:ascii="Calibri" w:hAnsi="Calibri" w:cs="Calibri"/>
                <w:b/>
                <w:bCs/>
                <w:color w:val="000000"/>
                <w:szCs w:val="22"/>
                <w:lang w:eastAsia="en-AU"/>
              </w:rPr>
              <w:t>100</w:t>
            </w:r>
          </w:p>
        </w:tc>
        <w:tc>
          <w:tcPr>
            <w:tcW w:w="1984"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2"/>
              <w:jc w:val="right"/>
              <w:rPr>
                <w:rFonts w:ascii="Calibri" w:hAnsi="Calibri" w:cs="Calibri"/>
                <w:b/>
                <w:bCs/>
                <w:color w:val="000000"/>
                <w:szCs w:val="22"/>
                <w:lang w:eastAsia="en-AU"/>
              </w:rPr>
            </w:pPr>
            <w:r w:rsidRPr="00FD6853">
              <w:rPr>
                <w:rFonts w:ascii="Calibri" w:hAnsi="Calibri" w:cs="Calibri"/>
                <w:b/>
                <w:bCs/>
                <w:color w:val="000000"/>
                <w:szCs w:val="22"/>
                <w:lang w:eastAsia="en-AU"/>
              </w:rPr>
              <w:t>521</w:t>
            </w:r>
          </w:p>
        </w:tc>
        <w:tc>
          <w:tcPr>
            <w:tcW w:w="2059" w:type="dxa"/>
            <w:tcBorders>
              <w:top w:val="single" w:sz="8" w:space="0" w:color="auto"/>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2"/>
              <w:jc w:val="right"/>
              <w:rPr>
                <w:rFonts w:ascii="Calibri" w:hAnsi="Calibri" w:cs="Calibri"/>
                <w:b/>
                <w:bCs/>
                <w:color w:val="000000"/>
                <w:szCs w:val="22"/>
                <w:lang w:eastAsia="en-AU"/>
              </w:rPr>
            </w:pPr>
            <w:r w:rsidRPr="00FD6853">
              <w:rPr>
                <w:rFonts w:ascii="Calibri" w:hAnsi="Calibri" w:cs="Calibri"/>
                <w:b/>
                <w:bCs/>
                <w:color w:val="000000"/>
                <w:szCs w:val="22"/>
                <w:lang w:eastAsia="en-AU"/>
              </w:rPr>
              <w:t>100</w:t>
            </w:r>
          </w:p>
        </w:tc>
        <w:tc>
          <w:tcPr>
            <w:tcW w:w="1681" w:type="dxa"/>
            <w:tcBorders>
              <w:top w:val="nil"/>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2"/>
              <w:jc w:val="right"/>
              <w:rPr>
                <w:rFonts w:ascii="Calibri" w:hAnsi="Calibri" w:cs="Calibri"/>
                <w:b/>
                <w:bCs/>
                <w:color w:val="000000"/>
                <w:szCs w:val="22"/>
                <w:lang w:eastAsia="en-AU"/>
              </w:rPr>
            </w:pPr>
            <w:r w:rsidRPr="00FD6853">
              <w:rPr>
                <w:rFonts w:ascii="Calibri" w:hAnsi="Calibri" w:cs="Calibri"/>
                <w:b/>
                <w:bCs/>
                <w:color w:val="000000"/>
                <w:szCs w:val="22"/>
                <w:lang w:eastAsia="en-AU"/>
              </w:rPr>
              <w:t>650</w:t>
            </w:r>
          </w:p>
        </w:tc>
        <w:tc>
          <w:tcPr>
            <w:tcW w:w="2018" w:type="dxa"/>
            <w:gridSpan w:val="2"/>
            <w:tcBorders>
              <w:top w:val="single" w:sz="8" w:space="0" w:color="auto"/>
              <w:left w:val="nil"/>
              <w:bottom w:val="single" w:sz="8" w:space="0" w:color="auto"/>
              <w:right w:val="single" w:sz="8" w:space="0" w:color="auto"/>
            </w:tcBorders>
            <w:shd w:val="clear" w:color="auto" w:fill="auto"/>
            <w:noWrap/>
            <w:vAlign w:val="center"/>
            <w:hideMark/>
          </w:tcPr>
          <w:p w:rsidR="00FD6853" w:rsidRPr="00FD6853" w:rsidRDefault="00FD6853" w:rsidP="00FD6853">
            <w:pPr>
              <w:ind w:firstLineChars="200" w:firstLine="442"/>
              <w:jc w:val="right"/>
              <w:rPr>
                <w:rFonts w:ascii="Calibri" w:hAnsi="Calibri" w:cs="Calibri"/>
                <w:b/>
                <w:bCs/>
                <w:color w:val="000000"/>
                <w:szCs w:val="22"/>
                <w:lang w:eastAsia="en-AU"/>
              </w:rPr>
            </w:pPr>
            <w:r w:rsidRPr="00FD6853">
              <w:rPr>
                <w:rFonts w:ascii="Calibri" w:hAnsi="Calibri" w:cs="Calibri"/>
                <w:b/>
                <w:bCs/>
                <w:color w:val="000000"/>
                <w:szCs w:val="22"/>
                <w:lang w:eastAsia="en-AU"/>
              </w:rPr>
              <w:t>100</w:t>
            </w:r>
          </w:p>
        </w:tc>
      </w:tr>
    </w:tbl>
    <w:p w:rsidR="001B165D" w:rsidRPr="00AE6D45" w:rsidRDefault="001B165D" w:rsidP="001B165D">
      <w:pPr>
        <w:tabs>
          <w:tab w:val="left" w:pos="0"/>
        </w:tabs>
        <w:spacing w:before="120"/>
        <w:rPr>
          <w:rFonts w:ascii="Calibri" w:hAnsi="Calibri" w:cs="Arial"/>
          <w:sz w:val="180"/>
          <w:szCs w:val="180"/>
        </w:rPr>
      </w:pPr>
    </w:p>
    <w:p w:rsidR="00C54CD1" w:rsidRPr="001B165D" w:rsidRDefault="001B165D" w:rsidP="001B165D">
      <w:pPr>
        <w:widowControl w:val="0"/>
        <w:spacing w:before="120" w:after="60"/>
        <w:contextualSpacing/>
        <w:rPr>
          <w:rFonts w:eastAsia="Calibri" w:cstheme="minorHAnsi"/>
          <w:b/>
          <w:szCs w:val="24"/>
        </w:rPr>
      </w:pPr>
      <w:r w:rsidRPr="001B165D">
        <w:rPr>
          <w:rFonts w:eastAsia="Calibri" w:cstheme="minorHAnsi"/>
          <w:b/>
          <w:szCs w:val="24"/>
        </w:rPr>
        <w:lastRenderedPageBreak/>
        <w:t>Table 3.1(b</w:t>
      </w:r>
      <w:r w:rsidR="00C54CD1">
        <w:rPr>
          <w:rFonts w:eastAsia="Calibri" w:cstheme="minorHAnsi"/>
          <w:b/>
          <w:szCs w:val="24"/>
        </w:rPr>
        <w:t>-1</w:t>
      </w:r>
      <w:r w:rsidRPr="001B165D">
        <w:rPr>
          <w:rFonts w:eastAsia="Calibri" w:cstheme="minorHAnsi"/>
          <w:b/>
          <w:szCs w:val="24"/>
        </w:rPr>
        <w:t>) –</w:t>
      </w:r>
      <w:r w:rsidR="00C54CD1" w:rsidRPr="001B165D">
        <w:rPr>
          <w:rFonts w:ascii="Calibri" w:hAnsi="Calibri" w:cs="Calibri"/>
          <w:b/>
          <w:bCs/>
          <w:color w:val="000000"/>
          <w:szCs w:val="22"/>
          <w:lang w:eastAsia="en-AU"/>
        </w:rPr>
        <w:t>ALL Students</w:t>
      </w:r>
      <w:r w:rsidR="00C54CD1" w:rsidRPr="001B165D">
        <w:rPr>
          <w:rFonts w:ascii="Calibri" w:hAnsi="Calibri" w:cs="Calibri"/>
          <w:color w:val="000000"/>
          <w:szCs w:val="22"/>
          <w:lang w:eastAsia="en-AU"/>
        </w:rPr>
        <w:t xml:space="preserve"> participating in </w:t>
      </w:r>
      <w:proofErr w:type="spellStart"/>
      <w:r w:rsidR="00C54CD1" w:rsidRPr="001B165D">
        <w:rPr>
          <w:rFonts w:ascii="Calibri" w:hAnsi="Calibri" w:cs="Calibri"/>
          <w:color w:val="000000"/>
          <w:szCs w:val="22"/>
          <w:lang w:eastAsia="en-AU"/>
        </w:rPr>
        <w:t>CMaD</w:t>
      </w:r>
      <w:proofErr w:type="spellEnd"/>
      <w:r w:rsidR="00C54CD1" w:rsidRPr="001B165D">
        <w:rPr>
          <w:rFonts w:ascii="Calibri" w:hAnsi="Calibri" w:cs="Calibri"/>
          <w:color w:val="000000"/>
          <w:szCs w:val="22"/>
          <w:lang w:eastAsia="en-AU"/>
        </w:rPr>
        <w:t xml:space="preserve"> NP (Low SES) for less than 1 year </w:t>
      </w:r>
      <w:r w:rsidR="00C54CD1" w:rsidRPr="001B165D">
        <w:rPr>
          <w:rFonts w:ascii="Calibri" w:hAnsi="Calibri" w:cs="Calibri"/>
          <w:color w:val="000000"/>
          <w:szCs w:val="22"/>
          <w:vertAlign w:val="superscript"/>
          <w:lang w:eastAsia="en-AU"/>
        </w:rPr>
        <w:t>(1)</w:t>
      </w:r>
    </w:p>
    <w:tbl>
      <w:tblPr>
        <w:tblW w:w="3998" w:type="pct"/>
        <w:tblLook w:val="04A0" w:firstRow="1" w:lastRow="0" w:firstColumn="1" w:lastColumn="0" w:noHBand="0" w:noVBand="1"/>
      </w:tblPr>
      <w:tblGrid>
        <w:gridCol w:w="3641"/>
        <w:gridCol w:w="2081"/>
        <w:gridCol w:w="2081"/>
        <w:gridCol w:w="2081"/>
        <w:gridCol w:w="2076"/>
      </w:tblGrid>
      <w:tr w:rsidR="00C54CD1" w:rsidRPr="001B165D" w:rsidTr="00C54CD1">
        <w:trPr>
          <w:trHeight w:val="742"/>
        </w:trPr>
        <w:tc>
          <w:tcPr>
            <w:tcW w:w="1522" w:type="pct"/>
            <w:tcBorders>
              <w:top w:val="single" w:sz="4" w:space="0" w:color="auto"/>
              <w:left w:val="nil"/>
              <w:bottom w:val="nil"/>
              <w:right w:val="single" w:sz="4" w:space="0" w:color="auto"/>
            </w:tcBorders>
            <w:shd w:val="clear" w:color="auto" w:fill="auto"/>
            <w:vAlign w:val="center"/>
            <w:hideMark/>
          </w:tcPr>
          <w:p w:rsidR="00C54CD1" w:rsidRPr="001B165D" w:rsidRDefault="00C54CD1" w:rsidP="001B165D">
            <w:pPr>
              <w:rPr>
                <w:rFonts w:ascii="Calibri" w:hAnsi="Calibri" w:cs="Calibri"/>
                <w:b/>
                <w:bCs/>
                <w:color w:val="000000"/>
                <w:szCs w:val="22"/>
                <w:lang w:eastAsia="en-AU"/>
              </w:rPr>
            </w:pPr>
            <w:r w:rsidRPr="001B165D">
              <w:rPr>
                <w:rFonts w:ascii="Calibri" w:hAnsi="Calibri" w:cs="Calibri"/>
                <w:b/>
                <w:bCs/>
                <w:color w:val="000000"/>
                <w:szCs w:val="22"/>
                <w:lang w:eastAsia="en-AU"/>
              </w:rPr>
              <w:t>Destinations Reason</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4CD1" w:rsidRDefault="00C54CD1"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No. of Students</w:t>
            </w:r>
          </w:p>
          <w:p w:rsidR="00C54CD1" w:rsidRPr="001B165D" w:rsidRDefault="00C54CD1" w:rsidP="001B165D">
            <w:pPr>
              <w:jc w:val="center"/>
              <w:rPr>
                <w:rFonts w:ascii="Calibri" w:hAnsi="Calibri" w:cs="Calibri"/>
                <w:b/>
                <w:bCs/>
                <w:color w:val="000000"/>
                <w:szCs w:val="22"/>
                <w:lang w:eastAsia="en-AU"/>
              </w:rPr>
            </w:pPr>
            <w:r>
              <w:rPr>
                <w:rFonts w:ascii="Calibri" w:hAnsi="Calibri" w:cs="Calibri"/>
                <w:b/>
                <w:bCs/>
                <w:color w:val="000000"/>
                <w:szCs w:val="22"/>
                <w:lang w:eastAsia="en-AU"/>
              </w:rPr>
              <w:t>2011</w:t>
            </w:r>
          </w:p>
        </w:tc>
        <w:tc>
          <w:tcPr>
            <w:tcW w:w="870" w:type="pct"/>
            <w:tcBorders>
              <w:top w:val="single" w:sz="4" w:space="0" w:color="auto"/>
              <w:left w:val="nil"/>
              <w:bottom w:val="single" w:sz="4" w:space="0" w:color="auto"/>
              <w:right w:val="single" w:sz="8" w:space="0" w:color="auto"/>
            </w:tcBorders>
            <w:shd w:val="clear" w:color="auto" w:fill="auto"/>
            <w:vAlign w:val="center"/>
            <w:hideMark/>
          </w:tcPr>
          <w:p w:rsidR="00C54CD1" w:rsidRDefault="00C54CD1"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 of Total Students</w:t>
            </w:r>
          </w:p>
          <w:p w:rsidR="00C54CD1" w:rsidRPr="001B165D" w:rsidRDefault="00C54CD1" w:rsidP="001B165D">
            <w:pPr>
              <w:jc w:val="center"/>
              <w:rPr>
                <w:rFonts w:ascii="Calibri" w:hAnsi="Calibri" w:cs="Calibri"/>
                <w:b/>
                <w:bCs/>
                <w:color w:val="000000"/>
                <w:szCs w:val="22"/>
                <w:lang w:eastAsia="en-AU"/>
              </w:rPr>
            </w:pPr>
            <w:r>
              <w:rPr>
                <w:rFonts w:ascii="Calibri" w:hAnsi="Calibri" w:cs="Calibri"/>
                <w:b/>
                <w:bCs/>
                <w:color w:val="000000"/>
                <w:szCs w:val="22"/>
                <w:lang w:eastAsia="en-AU"/>
              </w:rPr>
              <w:t>2011</w:t>
            </w:r>
          </w:p>
        </w:tc>
        <w:tc>
          <w:tcPr>
            <w:tcW w:w="870" w:type="pct"/>
            <w:tcBorders>
              <w:top w:val="single" w:sz="4" w:space="0" w:color="auto"/>
              <w:left w:val="nil"/>
              <w:bottom w:val="single" w:sz="4" w:space="0" w:color="auto"/>
              <w:right w:val="single" w:sz="4" w:space="0" w:color="auto"/>
            </w:tcBorders>
            <w:shd w:val="clear" w:color="auto" w:fill="auto"/>
            <w:vAlign w:val="center"/>
            <w:hideMark/>
          </w:tcPr>
          <w:p w:rsidR="00C54CD1" w:rsidRDefault="00C54CD1"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No. of Students</w:t>
            </w:r>
          </w:p>
          <w:p w:rsidR="00C54CD1" w:rsidRPr="001B165D" w:rsidRDefault="00C54CD1" w:rsidP="001B165D">
            <w:pPr>
              <w:jc w:val="center"/>
              <w:rPr>
                <w:rFonts w:ascii="Calibri" w:hAnsi="Calibri" w:cs="Calibri"/>
                <w:b/>
                <w:bCs/>
                <w:color w:val="000000"/>
                <w:szCs w:val="22"/>
                <w:lang w:eastAsia="en-AU"/>
              </w:rPr>
            </w:pPr>
            <w:r>
              <w:rPr>
                <w:rFonts w:ascii="Calibri" w:hAnsi="Calibri" w:cs="Calibri"/>
                <w:b/>
                <w:bCs/>
                <w:color w:val="000000"/>
                <w:szCs w:val="22"/>
                <w:lang w:eastAsia="en-AU"/>
              </w:rPr>
              <w:t>2012</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C54CD1" w:rsidRDefault="00C54CD1"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 of Total Students</w:t>
            </w:r>
          </w:p>
          <w:p w:rsidR="00C54CD1" w:rsidRPr="001B165D" w:rsidRDefault="00C54CD1" w:rsidP="001B165D">
            <w:pPr>
              <w:jc w:val="center"/>
              <w:rPr>
                <w:rFonts w:ascii="Calibri" w:hAnsi="Calibri" w:cs="Calibri"/>
                <w:b/>
                <w:bCs/>
                <w:color w:val="000000"/>
                <w:szCs w:val="22"/>
                <w:lang w:eastAsia="en-AU"/>
              </w:rPr>
            </w:pPr>
            <w:r>
              <w:rPr>
                <w:rFonts w:ascii="Calibri" w:hAnsi="Calibri" w:cs="Calibri"/>
                <w:b/>
                <w:bCs/>
                <w:color w:val="000000"/>
                <w:szCs w:val="22"/>
                <w:lang w:eastAsia="en-AU"/>
              </w:rPr>
              <w:t>2012</w:t>
            </w:r>
          </w:p>
        </w:tc>
      </w:tr>
      <w:tr w:rsidR="00C54CD1" w:rsidRPr="001B165D" w:rsidTr="00C54CD1">
        <w:trPr>
          <w:trHeight w:val="293"/>
        </w:trPr>
        <w:tc>
          <w:tcPr>
            <w:tcW w:w="1522" w:type="pct"/>
            <w:tcBorders>
              <w:top w:val="single" w:sz="4" w:space="0" w:color="auto"/>
              <w:left w:val="nil"/>
              <w:bottom w:val="single" w:sz="4" w:space="0" w:color="auto"/>
              <w:right w:val="nil"/>
            </w:tcBorders>
            <w:shd w:val="clear" w:color="000000" w:fill="C0C0C0"/>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School Enrolment</w:t>
            </w:r>
          </w:p>
        </w:tc>
        <w:tc>
          <w:tcPr>
            <w:tcW w:w="870" w:type="pct"/>
            <w:tcBorders>
              <w:top w:val="nil"/>
              <w:left w:val="single" w:sz="8" w:space="0" w:color="auto"/>
              <w:bottom w:val="single" w:sz="4" w:space="0" w:color="auto"/>
              <w:right w:val="single" w:sz="4" w:space="0" w:color="auto"/>
            </w:tcBorders>
            <w:shd w:val="clear" w:color="000000" w:fill="C0C0C0"/>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1706</w:t>
            </w:r>
          </w:p>
        </w:tc>
        <w:tc>
          <w:tcPr>
            <w:tcW w:w="870" w:type="pct"/>
            <w:tcBorders>
              <w:top w:val="nil"/>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62.8</w:t>
            </w:r>
          </w:p>
        </w:tc>
        <w:tc>
          <w:tcPr>
            <w:tcW w:w="870" w:type="pct"/>
            <w:tcBorders>
              <w:top w:val="nil"/>
              <w:left w:val="nil"/>
              <w:bottom w:val="single" w:sz="4" w:space="0" w:color="auto"/>
              <w:right w:val="single" w:sz="4" w:space="0" w:color="auto"/>
            </w:tcBorders>
            <w:shd w:val="clear" w:color="000000" w:fill="C0C0C0"/>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1655</w:t>
            </w:r>
          </w:p>
        </w:tc>
        <w:tc>
          <w:tcPr>
            <w:tcW w:w="868" w:type="pct"/>
            <w:tcBorders>
              <w:top w:val="nil"/>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62.8</w:t>
            </w:r>
          </w:p>
        </w:tc>
      </w:tr>
      <w:tr w:rsidR="00C54CD1" w:rsidRPr="001B165D" w:rsidTr="00C54CD1">
        <w:trPr>
          <w:trHeight w:val="293"/>
        </w:trPr>
        <w:tc>
          <w:tcPr>
            <w:tcW w:w="1522" w:type="pct"/>
            <w:tcBorders>
              <w:top w:val="nil"/>
              <w:left w:val="nil"/>
              <w:bottom w:val="single" w:sz="4" w:space="0" w:color="auto"/>
              <w:right w:val="nil"/>
            </w:tcBorders>
            <w:shd w:val="clear" w:color="auto" w:fill="auto"/>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Tertiary/TAFE/Training</w:t>
            </w:r>
          </w:p>
        </w:tc>
        <w:tc>
          <w:tcPr>
            <w:tcW w:w="870" w:type="pct"/>
            <w:tcBorders>
              <w:top w:val="nil"/>
              <w:left w:val="single" w:sz="8" w:space="0" w:color="auto"/>
              <w:bottom w:val="single" w:sz="4" w:space="0" w:color="auto"/>
              <w:right w:val="single" w:sz="4" w:space="0" w:color="auto"/>
            </w:tcBorders>
            <w:shd w:val="clear" w:color="auto" w:fill="auto"/>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101</w:t>
            </w:r>
          </w:p>
        </w:tc>
        <w:tc>
          <w:tcPr>
            <w:tcW w:w="870" w:type="pct"/>
            <w:tcBorders>
              <w:top w:val="nil"/>
              <w:left w:val="nil"/>
              <w:bottom w:val="single" w:sz="4" w:space="0" w:color="auto"/>
              <w:right w:val="single" w:sz="8" w:space="0" w:color="auto"/>
            </w:tcBorders>
            <w:shd w:val="clear" w:color="auto" w:fill="auto"/>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3.7</w:t>
            </w:r>
          </w:p>
        </w:tc>
        <w:tc>
          <w:tcPr>
            <w:tcW w:w="870" w:type="pct"/>
            <w:tcBorders>
              <w:top w:val="nil"/>
              <w:left w:val="nil"/>
              <w:bottom w:val="single" w:sz="4" w:space="0" w:color="auto"/>
              <w:right w:val="single" w:sz="4" w:space="0" w:color="auto"/>
            </w:tcBorders>
            <w:shd w:val="clear" w:color="auto" w:fill="auto"/>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105</w:t>
            </w:r>
          </w:p>
        </w:tc>
        <w:tc>
          <w:tcPr>
            <w:tcW w:w="868" w:type="pct"/>
            <w:tcBorders>
              <w:top w:val="nil"/>
              <w:left w:val="nil"/>
              <w:bottom w:val="single" w:sz="4" w:space="0" w:color="auto"/>
              <w:right w:val="single" w:sz="8" w:space="0" w:color="auto"/>
            </w:tcBorders>
            <w:shd w:val="clear" w:color="auto" w:fill="auto"/>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4.0</w:t>
            </w:r>
          </w:p>
        </w:tc>
      </w:tr>
      <w:tr w:rsidR="00C54CD1" w:rsidRPr="001B165D" w:rsidTr="00C54CD1">
        <w:trPr>
          <w:trHeight w:val="293"/>
        </w:trPr>
        <w:tc>
          <w:tcPr>
            <w:tcW w:w="1522" w:type="pct"/>
            <w:tcBorders>
              <w:top w:val="nil"/>
              <w:left w:val="nil"/>
              <w:bottom w:val="single" w:sz="4" w:space="0" w:color="auto"/>
              <w:right w:val="nil"/>
            </w:tcBorders>
            <w:shd w:val="clear" w:color="000000" w:fill="C0C0C0"/>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Employment</w:t>
            </w:r>
          </w:p>
        </w:tc>
        <w:tc>
          <w:tcPr>
            <w:tcW w:w="870" w:type="pct"/>
            <w:tcBorders>
              <w:top w:val="nil"/>
              <w:left w:val="single" w:sz="8" w:space="0" w:color="auto"/>
              <w:bottom w:val="single" w:sz="4" w:space="0" w:color="auto"/>
              <w:right w:val="single" w:sz="4" w:space="0" w:color="auto"/>
            </w:tcBorders>
            <w:shd w:val="clear" w:color="000000" w:fill="C0C0C0"/>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136</w:t>
            </w:r>
          </w:p>
        </w:tc>
        <w:tc>
          <w:tcPr>
            <w:tcW w:w="870" w:type="pct"/>
            <w:tcBorders>
              <w:top w:val="nil"/>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5.0</w:t>
            </w:r>
          </w:p>
        </w:tc>
        <w:tc>
          <w:tcPr>
            <w:tcW w:w="870" w:type="pct"/>
            <w:tcBorders>
              <w:top w:val="nil"/>
              <w:left w:val="nil"/>
              <w:bottom w:val="single" w:sz="4" w:space="0" w:color="auto"/>
              <w:right w:val="single" w:sz="4" w:space="0" w:color="auto"/>
            </w:tcBorders>
            <w:shd w:val="clear" w:color="000000" w:fill="C0C0C0"/>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112</w:t>
            </w:r>
          </w:p>
        </w:tc>
        <w:tc>
          <w:tcPr>
            <w:tcW w:w="868" w:type="pct"/>
            <w:tcBorders>
              <w:top w:val="nil"/>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4.3</w:t>
            </w:r>
          </w:p>
        </w:tc>
      </w:tr>
      <w:tr w:rsidR="00C54CD1" w:rsidRPr="001B165D" w:rsidTr="00C54CD1">
        <w:trPr>
          <w:trHeight w:val="293"/>
        </w:trPr>
        <w:tc>
          <w:tcPr>
            <w:tcW w:w="1522" w:type="pct"/>
            <w:tcBorders>
              <w:top w:val="nil"/>
              <w:left w:val="nil"/>
              <w:bottom w:val="single" w:sz="4" w:space="0" w:color="auto"/>
              <w:right w:val="nil"/>
            </w:tcBorders>
            <w:shd w:val="clear" w:color="auto" w:fill="auto"/>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Seeking Employment</w:t>
            </w:r>
          </w:p>
        </w:tc>
        <w:tc>
          <w:tcPr>
            <w:tcW w:w="870" w:type="pct"/>
            <w:tcBorders>
              <w:top w:val="nil"/>
              <w:left w:val="single" w:sz="8" w:space="0" w:color="auto"/>
              <w:bottom w:val="single" w:sz="4" w:space="0" w:color="auto"/>
              <w:right w:val="single" w:sz="4" w:space="0" w:color="auto"/>
            </w:tcBorders>
            <w:shd w:val="clear" w:color="auto" w:fill="auto"/>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181</w:t>
            </w:r>
          </w:p>
        </w:tc>
        <w:tc>
          <w:tcPr>
            <w:tcW w:w="870" w:type="pct"/>
            <w:tcBorders>
              <w:top w:val="nil"/>
              <w:left w:val="nil"/>
              <w:bottom w:val="single" w:sz="4" w:space="0" w:color="auto"/>
              <w:right w:val="single" w:sz="8" w:space="0" w:color="auto"/>
            </w:tcBorders>
            <w:shd w:val="clear" w:color="auto" w:fill="auto"/>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6.7</w:t>
            </w:r>
          </w:p>
        </w:tc>
        <w:tc>
          <w:tcPr>
            <w:tcW w:w="870" w:type="pct"/>
            <w:tcBorders>
              <w:top w:val="nil"/>
              <w:left w:val="nil"/>
              <w:bottom w:val="single" w:sz="4" w:space="0" w:color="auto"/>
              <w:right w:val="single" w:sz="4" w:space="0" w:color="auto"/>
            </w:tcBorders>
            <w:shd w:val="clear" w:color="auto" w:fill="auto"/>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174</w:t>
            </w:r>
          </w:p>
        </w:tc>
        <w:tc>
          <w:tcPr>
            <w:tcW w:w="868" w:type="pct"/>
            <w:tcBorders>
              <w:top w:val="nil"/>
              <w:left w:val="nil"/>
              <w:bottom w:val="single" w:sz="4" w:space="0" w:color="auto"/>
              <w:right w:val="single" w:sz="8" w:space="0" w:color="auto"/>
            </w:tcBorders>
            <w:shd w:val="clear" w:color="auto" w:fill="auto"/>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6.6</w:t>
            </w:r>
          </w:p>
        </w:tc>
      </w:tr>
      <w:tr w:rsidR="00C54CD1" w:rsidRPr="001B165D" w:rsidTr="00C54CD1">
        <w:trPr>
          <w:trHeight w:val="293"/>
        </w:trPr>
        <w:tc>
          <w:tcPr>
            <w:tcW w:w="1522" w:type="pct"/>
            <w:tcBorders>
              <w:top w:val="nil"/>
              <w:left w:val="nil"/>
              <w:bottom w:val="single" w:sz="4" w:space="0" w:color="auto"/>
              <w:right w:val="nil"/>
            </w:tcBorders>
            <w:shd w:val="clear" w:color="000000" w:fill="C0C0C0"/>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Left South Australia</w:t>
            </w:r>
          </w:p>
        </w:tc>
        <w:tc>
          <w:tcPr>
            <w:tcW w:w="870" w:type="pct"/>
            <w:tcBorders>
              <w:top w:val="nil"/>
              <w:left w:val="single" w:sz="8" w:space="0" w:color="auto"/>
              <w:bottom w:val="single" w:sz="4" w:space="0" w:color="auto"/>
              <w:right w:val="single" w:sz="4" w:space="0" w:color="auto"/>
            </w:tcBorders>
            <w:shd w:val="clear" w:color="000000" w:fill="C0C0C0"/>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52</w:t>
            </w:r>
          </w:p>
        </w:tc>
        <w:tc>
          <w:tcPr>
            <w:tcW w:w="870" w:type="pct"/>
            <w:tcBorders>
              <w:top w:val="nil"/>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1.9</w:t>
            </w:r>
          </w:p>
        </w:tc>
        <w:tc>
          <w:tcPr>
            <w:tcW w:w="870" w:type="pct"/>
            <w:tcBorders>
              <w:top w:val="nil"/>
              <w:left w:val="nil"/>
              <w:bottom w:val="single" w:sz="4" w:space="0" w:color="auto"/>
              <w:right w:val="single" w:sz="4" w:space="0" w:color="auto"/>
            </w:tcBorders>
            <w:shd w:val="clear" w:color="000000" w:fill="C0C0C0"/>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56</w:t>
            </w:r>
          </w:p>
        </w:tc>
        <w:tc>
          <w:tcPr>
            <w:tcW w:w="868" w:type="pct"/>
            <w:tcBorders>
              <w:top w:val="nil"/>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2.1</w:t>
            </w:r>
          </w:p>
        </w:tc>
      </w:tr>
      <w:tr w:rsidR="00C54CD1" w:rsidRPr="001B165D" w:rsidTr="00C54CD1">
        <w:trPr>
          <w:trHeight w:val="293"/>
        </w:trPr>
        <w:tc>
          <w:tcPr>
            <w:tcW w:w="1522" w:type="pct"/>
            <w:tcBorders>
              <w:top w:val="nil"/>
              <w:left w:val="nil"/>
              <w:bottom w:val="single" w:sz="4" w:space="0" w:color="auto"/>
              <w:right w:val="nil"/>
            </w:tcBorders>
            <w:shd w:val="clear" w:color="auto" w:fill="auto"/>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Other</w:t>
            </w:r>
          </w:p>
        </w:tc>
        <w:tc>
          <w:tcPr>
            <w:tcW w:w="870" w:type="pct"/>
            <w:tcBorders>
              <w:top w:val="nil"/>
              <w:left w:val="single" w:sz="8" w:space="0" w:color="auto"/>
              <w:bottom w:val="single" w:sz="4" w:space="0" w:color="auto"/>
              <w:right w:val="single" w:sz="4" w:space="0" w:color="auto"/>
            </w:tcBorders>
            <w:shd w:val="clear" w:color="auto" w:fill="auto"/>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88</w:t>
            </w:r>
          </w:p>
        </w:tc>
        <w:tc>
          <w:tcPr>
            <w:tcW w:w="870" w:type="pct"/>
            <w:tcBorders>
              <w:top w:val="nil"/>
              <w:left w:val="nil"/>
              <w:bottom w:val="single" w:sz="4" w:space="0" w:color="auto"/>
              <w:right w:val="single" w:sz="8" w:space="0" w:color="auto"/>
            </w:tcBorders>
            <w:shd w:val="clear" w:color="auto" w:fill="auto"/>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3.2</w:t>
            </w:r>
          </w:p>
        </w:tc>
        <w:tc>
          <w:tcPr>
            <w:tcW w:w="870" w:type="pct"/>
            <w:tcBorders>
              <w:top w:val="nil"/>
              <w:left w:val="nil"/>
              <w:bottom w:val="single" w:sz="4" w:space="0" w:color="auto"/>
              <w:right w:val="single" w:sz="4" w:space="0" w:color="auto"/>
            </w:tcBorders>
            <w:shd w:val="clear" w:color="auto" w:fill="auto"/>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69</w:t>
            </w:r>
          </w:p>
        </w:tc>
        <w:tc>
          <w:tcPr>
            <w:tcW w:w="868" w:type="pct"/>
            <w:tcBorders>
              <w:top w:val="nil"/>
              <w:left w:val="nil"/>
              <w:bottom w:val="single" w:sz="4" w:space="0" w:color="auto"/>
              <w:right w:val="single" w:sz="8" w:space="0" w:color="auto"/>
            </w:tcBorders>
            <w:shd w:val="clear" w:color="auto" w:fill="auto"/>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2.6</w:t>
            </w:r>
          </w:p>
        </w:tc>
      </w:tr>
      <w:tr w:rsidR="00C54CD1" w:rsidRPr="001B165D" w:rsidTr="00C54CD1">
        <w:trPr>
          <w:trHeight w:val="293"/>
        </w:trPr>
        <w:tc>
          <w:tcPr>
            <w:tcW w:w="1522" w:type="pct"/>
            <w:tcBorders>
              <w:top w:val="nil"/>
              <w:left w:val="nil"/>
              <w:bottom w:val="single" w:sz="4" w:space="0" w:color="auto"/>
              <w:right w:val="nil"/>
            </w:tcBorders>
            <w:shd w:val="clear" w:color="000000" w:fill="C0C0C0"/>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Unknown</w:t>
            </w:r>
          </w:p>
        </w:tc>
        <w:tc>
          <w:tcPr>
            <w:tcW w:w="870" w:type="pct"/>
            <w:tcBorders>
              <w:top w:val="nil"/>
              <w:left w:val="single" w:sz="8" w:space="0" w:color="auto"/>
              <w:bottom w:val="single" w:sz="4" w:space="0" w:color="auto"/>
              <w:right w:val="single" w:sz="4" w:space="0" w:color="auto"/>
            </w:tcBorders>
            <w:shd w:val="clear" w:color="000000" w:fill="C0C0C0"/>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454</w:t>
            </w:r>
          </w:p>
        </w:tc>
        <w:tc>
          <w:tcPr>
            <w:tcW w:w="870" w:type="pct"/>
            <w:tcBorders>
              <w:top w:val="nil"/>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16.7</w:t>
            </w:r>
          </w:p>
        </w:tc>
        <w:tc>
          <w:tcPr>
            <w:tcW w:w="870" w:type="pct"/>
            <w:tcBorders>
              <w:top w:val="nil"/>
              <w:left w:val="nil"/>
              <w:bottom w:val="single" w:sz="4" w:space="0" w:color="auto"/>
              <w:right w:val="single" w:sz="4" w:space="0" w:color="auto"/>
            </w:tcBorders>
            <w:shd w:val="clear" w:color="000000" w:fill="C0C0C0"/>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464</w:t>
            </w:r>
          </w:p>
        </w:tc>
        <w:tc>
          <w:tcPr>
            <w:tcW w:w="868" w:type="pct"/>
            <w:tcBorders>
              <w:top w:val="nil"/>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205" w:firstLineChars="200" w:firstLine="440"/>
              <w:jc w:val="right"/>
              <w:rPr>
                <w:rFonts w:ascii="Calibri" w:hAnsi="Calibri" w:cs="Calibri"/>
                <w:szCs w:val="22"/>
                <w:lang w:eastAsia="en-AU"/>
              </w:rPr>
            </w:pPr>
            <w:r w:rsidRPr="001B165D">
              <w:rPr>
                <w:rFonts w:ascii="Calibri" w:hAnsi="Calibri" w:cs="Calibri"/>
                <w:szCs w:val="22"/>
                <w:lang w:eastAsia="en-AU"/>
              </w:rPr>
              <w:t>17.6</w:t>
            </w:r>
          </w:p>
        </w:tc>
      </w:tr>
      <w:tr w:rsidR="00C54CD1" w:rsidRPr="001B165D" w:rsidTr="00C54CD1">
        <w:trPr>
          <w:trHeight w:val="293"/>
        </w:trPr>
        <w:tc>
          <w:tcPr>
            <w:tcW w:w="1522" w:type="pct"/>
            <w:tcBorders>
              <w:top w:val="nil"/>
              <w:left w:val="nil"/>
              <w:bottom w:val="single" w:sz="4" w:space="0" w:color="auto"/>
              <w:right w:val="nil"/>
            </w:tcBorders>
            <w:shd w:val="clear" w:color="auto" w:fill="auto"/>
            <w:vAlign w:val="bottom"/>
            <w:hideMark/>
          </w:tcPr>
          <w:p w:rsidR="00C54CD1" w:rsidRPr="001B165D" w:rsidRDefault="00C54CD1" w:rsidP="001B165D">
            <w:pPr>
              <w:rPr>
                <w:rFonts w:ascii="Calibri" w:hAnsi="Calibri" w:cs="Calibri"/>
                <w:b/>
                <w:bCs/>
                <w:szCs w:val="22"/>
                <w:lang w:eastAsia="en-AU"/>
              </w:rPr>
            </w:pPr>
            <w:r w:rsidRPr="001B165D">
              <w:rPr>
                <w:rFonts w:ascii="Calibri" w:hAnsi="Calibri" w:cs="Calibri"/>
                <w:b/>
                <w:bCs/>
                <w:szCs w:val="22"/>
                <w:lang w:eastAsia="en-AU"/>
              </w:rPr>
              <w:t>Total</w:t>
            </w:r>
          </w:p>
        </w:tc>
        <w:tc>
          <w:tcPr>
            <w:tcW w:w="870" w:type="pct"/>
            <w:tcBorders>
              <w:top w:val="nil"/>
              <w:left w:val="single" w:sz="8" w:space="0" w:color="auto"/>
              <w:bottom w:val="single" w:sz="8" w:space="0" w:color="auto"/>
              <w:right w:val="single" w:sz="4" w:space="0" w:color="auto"/>
            </w:tcBorders>
            <w:shd w:val="clear" w:color="auto" w:fill="auto"/>
            <w:noWrap/>
            <w:vAlign w:val="bottom"/>
            <w:hideMark/>
          </w:tcPr>
          <w:p w:rsidR="00C54CD1" w:rsidRPr="001B165D" w:rsidRDefault="00C54CD1" w:rsidP="001B165D">
            <w:pPr>
              <w:ind w:right="205" w:firstLineChars="200" w:firstLine="442"/>
              <w:jc w:val="right"/>
              <w:rPr>
                <w:rFonts w:ascii="Calibri" w:hAnsi="Calibri" w:cs="Calibri"/>
                <w:b/>
                <w:bCs/>
                <w:szCs w:val="22"/>
                <w:lang w:eastAsia="en-AU"/>
              </w:rPr>
            </w:pPr>
            <w:r w:rsidRPr="001B165D">
              <w:rPr>
                <w:rFonts w:ascii="Calibri" w:hAnsi="Calibri" w:cs="Calibri"/>
                <w:b/>
                <w:bCs/>
                <w:szCs w:val="22"/>
                <w:lang w:eastAsia="en-AU"/>
              </w:rPr>
              <w:t>2718</w:t>
            </w:r>
          </w:p>
        </w:tc>
        <w:tc>
          <w:tcPr>
            <w:tcW w:w="870" w:type="pct"/>
            <w:tcBorders>
              <w:top w:val="nil"/>
              <w:left w:val="nil"/>
              <w:bottom w:val="single" w:sz="8" w:space="0" w:color="auto"/>
              <w:right w:val="single" w:sz="8" w:space="0" w:color="auto"/>
            </w:tcBorders>
            <w:shd w:val="clear" w:color="auto" w:fill="auto"/>
            <w:noWrap/>
            <w:vAlign w:val="bottom"/>
            <w:hideMark/>
          </w:tcPr>
          <w:p w:rsidR="00C54CD1" w:rsidRPr="001B165D" w:rsidRDefault="00C54CD1" w:rsidP="001B165D">
            <w:pPr>
              <w:ind w:right="205" w:firstLineChars="200" w:firstLine="442"/>
              <w:jc w:val="right"/>
              <w:rPr>
                <w:rFonts w:ascii="Calibri" w:hAnsi="Calibri" w:cs="Calibri"/>
                <w:b/>
                <w:bCs/>
                <w:szCs w:val="22"/>
                <w:lang w:eastAsia="en-AU"/>
              </w:rPr>
            </w:pPr>
            <w:r w:rsidRPr="001B165D">
              <w:rPr>
                <w:rFonts w:ascii="Calibri" w:hAnsi="Calibri" w:cs="Calibri"/>
                <w:b/>
                <w:bCs/>
                <w:szCs w:val="22"/>
                <w:lang w:eastAsia="en-AU"/>
              </w:rPr>
              <w:t>100.0</w:t>
            </w:r>
          </w:p>
        </w:tc>
        <w:tc>
          <w:tcPr>
            <w:tcW w:w="870" w:type="pct"/>
            <w:tcBorders>
              <w:top w:val="nil"/>
              <w:left w:val="nil"/>
              <w:bottom w:val="single" w:sz="8" w:space="0" w:color="auto"/>
              <w:right w:val="single" w:sz="4" w:space="0" w:color="auto"/>
            </w:tcBorders>
            <w:shd w:val="clear" w:color="auto" w:fill="auto"/>
            <w:noWrap/>
            <w:vAlign w:val="bottom"/>
            <w:hideMark/>
          </w:tcPr>
          <w:p w:rsidR="00C54CD1" w:rsidRPr="001B165D" w:rsidRDefault="00C54CD1" w:rsidP="001B165D">
            <w:pPr>
              <w:ind w:right="205" w:firstLineChars="200" w:firstLine="442"/>
              <w:jc w:val="right"/>
              <w:rPr>
                <w:rFonts w:ascii="Calibri" w:hAnsi="Calibri" w:cs="Calibri"/>
                <w:b/>
                <w:bCs/>
                <w:szCs w:val="22"/>
                <w:lang w:eastAsia="en-AU"/>
              </w:rPr>
            </w:pPr>
            <w:r w:rsidRPr="001B165D">
              <w:rPr>
                <w:rFonts w:ascii="Calibri" w:hAnsi="Calibri" w:cs="Calibri"/>
                <w:b/>
                <w:bCs/>
                <w:szCs w:val="22"/>
                <w:lang w:eastAsia="en-AU"/>
              </w:rPr>
              <w:t>2635</w:t>
            </w:r>
          </w:p>
        </w:tc>
        <w:tc>
          <w:tcPr>
            <w:tcW w:w="868" w:type="pct"/>
            <w:tcBorders>
              <w:top w:val="nil"/>
              <w:left w:val="nil"/>
              <w:bottom w:val="single" w:sz="8" w:space="0" w:color="auto"/>
              <w:right w:val="single" w:sz="8" w:space="0" w:color="auto"/>
            </w:tcBorders>
            <w:shd w:val="clear" w:color="auto" w:fill="auto"/>
            <w:noWrap/>
            <w:vAlign w:val="bottom"/>
            <w:hideMark/>
          </w:tcPr>
          <w:p w:rsidR="00C54CD1" w:rsidRPr="001B165D" w:rsidRDefault="00C54CD1" w:rsidP="001B165D">
            <w:pPr>
              <w:ind w:right="205" w:firstLineChars="200" w:firstLine="442"/>
              <w:jc w:val="right"/>
              <w:rPr>
                <w:rFonts w:ascii="Calibri" w:hAnsi="Calibri" w:cs="Calibri"/>
                <w:b/>
                <w:bCs/>
                <w:szCs w:val="22"/>
                <w:lang w:eastAsia="en-AU"/>
              </w:rPr>
            </w:pPr>
            <w:r w:rsidRPr="001B165D">
              <w:rPr>
                <w:rFonts w:ascii="Calibri" w:hAnsi="Calibri" w:cs="Calibri"/>
                <w:b/>
                <w:bCs/>
                <w:szCs w:val="22"/>
                <w:lang w:eastAsia="en-AU"/>
              </w:rPr>
              <w:t>100.0</w:t>
            </w:r>
          </w:p>
        </w:tc>
      </w:tr>
    </w:tbl>
    <w:p w:rsidR="00C54CD1" w:rsidRDefault="00C54CD1" w:rsidP="001B165D">
      <w:pPr>
        <w:tabs>
          <w:tab w:val="left" w:pos="0"/>
        </w:tabs>
        <w:spacing w:before="120"/>
        <w:rPr>
          <w:rFonts w:ascii="Calibri" w:hAnsi="Calibri" w:cs="Calibri"/>
          <w:b/>
          <w:bCs/>
          <w:color w:val="000000"/>
          <w:szCs w:val="22"/>
          <w:lang w:eastAsia="en-AU"/>
        </w:rPr>
      </w:pPr>
    </w:p>
    <w:p w:rsidR="001B165D" w:rsidRPr="001B165D" w:rsidRDefault="00C54CD1" w:rsidP="001B165D">
      <w:pPr>
        <w:tabs>
          <w:tab w:val="left" w:pos="0"/>
        </w:tabs>
        <w:spacing w:before="120"/>
        <w:rPr>
          <w:rFonts w:ascii="Calibri" w:hAnsi="Calibri" w:cs="Arial"/>
          <w:sz w:val="20"/>
        </w:rPr>
      </w:pPr>
      <w:r w:rsidRPr="001B165D">
        <w:rPr>
          <w:rFonts w:eastAsia="Calibri" w:cstheme="minorHAnsi"/>
          <w:b/>
          <w:szCs w:val="24"/>
        </w:rPr>
        <w:t>Table 3.1(b</w:t>
      </w:r>
      <w:r>
        <w:rPr>
          <w:rFonts w:eastAsia="Calibri" w:cstheme="minorHAnsi"/>
          <w:b/>
          <w:szCs w:val="24"/>
        </w:rPr>
        <w:t>-2</w:t>
      </w:r>
      <w:r w:rsidRPr="001B165D">
        <w:rPr>
          <w:rFonts w:eastAsia="Calibri" w:cstheme="minorHAnsi"/>
          <w:b/>
          <w:szCs w:val="24"/>
        </w:rPr>
        <w:t xml:space="preserve">) </w:t>
      </w:r>
      <w:r w:rsidRPr="001B165D">
        <w:rPr>
          <w:rFonts w:ascii="Calibri" w:hAnsi="Calibri" w:cs="Calibri"/>
          <w:b/>
          <w:bCs/>
          <w:color w:val="000000"/>
          <w:szCs w:val="22"/>
          <w:lang w:eastAsia="en-AU"/>
        </w:rPr>
        <w:t>Indigenous Students</w:t>
      </w:r>
      <w:r w:rsidRPr="001B165D">
        <w:rPr>
          <w:rFonts w:ascii="Calibri" w:hAnsi="Calibri" w:cs="Calibri"/>
          <w:color w:val="000000"/>
          <w:szCs w:val="22"/>
          <w:lang w:eastAsia="en-AU"/>
        </w:rPr>
        <w:t xml:space="preserve"> participating in </w:t>
      </w:r>
      <w:proofErr w:type="spellStart"/>
      <w:r w:rsidRPr="001B165D">
        <w:rPr>
          <w:rFonts w:ascii="Calibri" w:hAnsi="Calibri" w:cs="Calibri"/>
          <w:color w:val="000000"/>
          <w:szCs w:val="22"/>
          <w:lang w:eastAsia="en-AU"/>
        </w:rPr>
        <w:t>CMaD</w:t>
      </w:r>
      <w:proofErr w:type="spellEnd"/>
      <w:r w:rsidRPr="001B165D">
        <w:rPr>
          <w:rFonts w:ascii="Calibri" w:hAnsi="Calibri" w:cs="Calibri"/>
          <w:color w:val="000000"/>
          <w:szCs w:val="22"/>
          <w:lang w:eastAsia="en-AU"/>
        </w:rPr>
        <w:t xml:space="preserve"> NP (Low SES) for less than 1 year </w:t>
      </w:r>
      <w:r w:rsidRPr="001B165D">
        <w:rPr>
          <w:rFonts w:ascii="Calibri" w:hAnsi="Calibri" w:cs="Calibri"/>
          <w:color w:val="000000"/>
          <w:szCs w:val="22"/>
          <w:vertAlign w:val="superscript"/>
          <w:lang w:eastAsia="en-AU"/>
        </w:rPr>
        <w:t>(2)</w:t>
      </w:r>
    </w:p>
    <w:tbl>
      <w:tblPr>
        <w:tblW w:w="4002" w:type="pct"/>
        <w:tblLook w:val="04A0" w:firstRow="1" w:lastRow="0" w:firstColumn="1" w:lastColumn="0" w:noHBand="0" w:noVBand="1"/>
      </w:tblPr>
      <w:tblGrid>
        <w:gridCol w:w="3645"/>
        <w:gridCol w:w="2083"/>
        <w:gridCol w:w="2083"/>
        <w:gridCol w:w="2083"/>
        <w:gridCol w:w="2078"/>
      </w:tblGrid>
      <w:tr w:rsidR="00C54CD1" w:rsidRPr="001B165D" w:rsidTr="00C54CD1">
        <w:trPr>
          <w:trHeight w:val="724"/>
        </w:trPr>
        <w:tc>
          <w:tcPr>
            <w:tcW w:w="1522" w:type="pct"/>
            <w:tcBorders>
              <w:top w:val="single" w:sz="4" w:space="0" w:color="auto"/>
              <w:left w:val="nil"/>
              <w:bottom w:val="nil"/>
              <w:right w:val="single" w:sz="4" w:space="0" w:color="auto"/>
            </w:tcBorders>
            <w:shd w:val="clear" w:color="auto" w:fill="auto"/>
            <w:vAlign w:val="center"/>
            <w:hideMark/>
          </w:tcPr>
          <w:p w:rsidR="00C54CD1" w:rsidRPr="001B165D" w:rsidRDefault="00C54CD1" w:rsidP="001B165D">
            <w:pPr>
              <w:rPr>
                <w:rFonts w:ascii="Calibri" w:hAnsi="Calibri" w:cs="Calibri"/>
                <w:b/>
                <w:bCs/>
                <w:color w:val="000000"/>
                <w:szCs w:val="22"/>
                <w:lang w:eastAsia="en-AU"/>
              </w:rPr>
            </w:pPr>
            <w:r w:rsidRPr="001B165D">
              <w:rPr>
                <w:rFonts w:ascii="Calibri" w:hAnsi="Calibri" w:cs="Calibri"/>
                <w:b/>
                <w:bCs/>
                <w:color w:val="000000"/>
                <w:szCs w:val="22"/>
                <w:lang w:eastAsia="en-AU"/>
              </w:rPr>
              <w:t>Destinations Reason</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4CD1" w:rsidRDefault="00C54CD1"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No. of Students</w:t>
            </w:r>
          </w:p>
          <w:p w:rsidR="00C54CD1" w:rsidRPr="001B165D" w:rsidRDefault="00C54CD1" w:rsidP="001B165D">
            <w:pPr>
              <w:jc w:val="center"/>
              <w:rPr>
                <w:rFonts w:ascii="Calibri" w:hAnsi="Calibri" w:cs="Calibri"/>
                <w:b/>
                <w:bCs/>
                <w:color w:val="000000"/>
                <w:szCs w:val="22"/>
                <w:lang w:eastAsia="en-AU"/>
              </w:rPr>
            </w:pPr>
            <w:r>
              <w:rPr>
                <w:rFonts w:ascii="Calibri" w:hAnsi="Calibri" w:cs="Calibri"/>
                <w:b/>
                <w:bCs/>
                <w:color w:val="000000"/>
                <w:szCs w:val="22"/>
                <w:lang w:eastAsia="en-AU"/>
              </w:rPr>
              <w:t>2011</w:t>
            </w:r>
          </w:p>
        </w:tc>
        <w:tc>
          <w:tcPr>
            <w:tcW w:w="870" w:type="pct"/>
            <w:tcBorders>
              <w:top w:val="single" w:sz="4" w:space="0" w:color="auto"/>
              <w:left w:val="nil"/>
              <w:bottom w:val="single" w:sz="4" w:space="0" w:color="auto"/>
              <w:right w:val="single" w:sz="8" w:space="0" w:color="auto"/>
            </w:tcBorders>
            <w:shd w:val="clear" w:color="auto" w:fill="auto"/>
            <w:vAlign w:val="center"/>
            <w:hideMark/>
          </w:tcPr>
          <w:p w:rsidR="00C54CD1" w:rsidRDefault="00C54CD1"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 of Total Students</w:t>
            </w:r>
          </w:p>
          <w:p w:rsidR="00C54CD1" w:rsidRPr="001B165D" w:rsidRDefault="00C54CD1" w:rsidP="001B165D">
            <w:pPr>
              <w:jc w:val="center"/>
              <w:rPr>
                <w:rFonts w:ascii="Calibri" w:hAnsi="Calibri" w:cs="Calibri"/>
                <w:b/>
                <w:bCs/>
                <w:color w:val="000000"/>
                <w:szCs w:val="22"/>
                <w:lang w:eastAsia="en-AU"/>
              </w:rPr>
            </w:pPr>
            <w:r>
              <w:rPr>
                <w:rFonts w:ascii="Calibri" w:hAnsi="Calibri" w:cs="Calibri"/>
                <w:b/>
                <w:bCs/>
                <w:color w:val="000000"/>
                <w:szCs w:val="22"/>
                <w:lang w:eastAsia="en-AU"/>
              </w:rPr>
              <w:t>2011</w:t>
            </w:r>
          </w:p>
        </w:tc>
        <w:tc>
          <w:tcPr>
            <w:tcW w:w="870" w:type="pct"/>
            <w:tcBorders>
              <w:top w:val="single" w:sz="4" w:space="0" w:color="auto"/>
              <w:left w:val="nil"/>
              <w:bottom w:val="single" w:sz="4" w:space="0" w:color="auto"/>
              <w:right w:val="single" w:sz="4" w:space="0" w:color="auto"/>
            </w:tcBorders>
            <w:shd w:val="clear" w:color="auto" w:fill="auto"/>
            <w:vAlign w:val="center"/>
            <w:hideMark/>
          </w:tcPr>
          <w:p w:rsidR="00C54CD1" w:rsidRDefault="00C54CD1"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No. of Students</w:t>
            </w:r>
          </w:p>
          <w:p w:rsidR="00C54CD1" w:rsidRPr="001B165D" w:rsidRDefault="00C54CD1" w:rsidP="001B165D">
            <w:pPr>
              <w:jc w:val="center"/>
              <w:rPr>
                <w:rFonts w:ascii="Calibri" w:hAnsi="Calibri" w:cs="Calibri"/>
                <w:b/>
                <w:bCs/>
                <w:color w:val="000000"/>
                <w:szCs w:val="22"/>
                <w:lang w:eastAsia="en-AU"/>
              </w:rPr>
            </w:pPr>
            <w:r>
              <w:rPr>
                <w:rFonts w:ascii="Calibri" w:hAnsi="Calibri" w:cs="Calibri"/>
                <w:b/>
                <w:bCs/>
                <w:color w:val="000000"/>
                <w:szCs w:val="22"/>
                <w:lang w:eastAsia="en-AU"/>
              </w:rPr>
              <w:t>2012</w:t>
            </w:r>
          </w:p>
        </w:tc>
        <w:tc>
          <w:tcPr>
            <w:tcW w:w="870" w:type="pct"/>
            <w:tcBorders>
              <w:top w:val="single" w:sz="4" w:space="0" w:color="auto"/>
              <w:left w:val="nil"/>
              <w:bottom w:val="single" w:sz="4" w:space="0" w:color="auto"/>
              <w:right w:val="single" w:sz="4" w:space="0" w:color="auto"/>
            </w:tcBorders>
            <w:shd w:val="clear" w:color="auto" w:fill="auto"/>
            <w:vAlign w:val="center"/>
            <w:hideMark/>
          </w:tcPr>
          <w:p w:rsidR="00C54CD1" w:rsidRDefault="00C54CD1"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 of Total Students</w:t>
            </w:r>
          </w:p>
          <w:p w:rsidR="00C54CD1" w:rsidRPr="001B165D" w:rsidRDefault="00C54CD1" w:rsidP="001B165D">
            <w:pPr>
              <w:jc w:val="center"/>
              <w:rPr>
                <w:rFonts w:ascii="Calibri" w:hAnsi="Calibri" w:cs="Calibri"/>
                <w:b/>
                <w:bCs/>
                <w:color w:val="000000"/>
                <w:szCs w:val="22"/>
                <w:lang w:eastAsia="en-AU"/>
              </w:rPr>
            </w:pPr>
            <w:r>
              <w:rPr>
                <w:rFonts w:ascii="Calibri" w:hAnsi="Calibri" w:cs="Calibri"/>
                <w:b/>
                <w:bCs/>
                <w:color w:val="000000"/>
                <w:szCs w:val="22"/>
                <w:lang w:eastAsia="en-AU"/>
              </w:rPr>
              <w:t>2012</w:t>
            </w:r>
          </w:p>
        </w:tc>
      </w:tr>
      <w:tr w:rsidR="00C54CD1" w:rsidRPr="001B165D" w:rsidTr="00C54CD1">
        <w:trPr>
          <w:trHeight w:val="285"/>
        </w:trPr>
        <w:tc>
          <w:tcPr>
            <w:tcW w:w="1522" w:type="pct"/>
            <w:tcBorders>
              <w:top w:val="single" w:sz="4" w:space="0" w:color="auto"/>
              <w:left w:val="nil"/>
              <w:bottom w:val="single" w:sz="4" w:space="0" w:color="auto"/>
              <w:right w:val="nil"/>
            </w:tcBorders>
            <w:shd w:val="clear" w:color="000000" w:fill="C0C0C0"/>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School Enrolment</w:t>
            </w:r>
          </w:p>
        </w:tc>
        <w:tc>
          <w:tcPr>
            <w:tcW w:w="870" w:type="pct"/>
            <w:tcBorders>
              <w:top w:val="nil"/>
              <w:left w:val="single" w:sz="8" w:space="0" w:color="auto"/>
              <w:bottom w:val="single" w:sz="4" w:space="0" w:color="auto"/>
              <w:right w:val="single" w:sz="4" w:space="0" w:color="auto"/>
            </w:tcBorders>
            <w:shd w:val="clear" w:color="000000" w:fill="C0C0C0"/>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217</w:t>
            </w:r>
          </w:p>
        </w:tc>
        <w:tc>
          <w:tcPr>
            <w:tcW w:w="870" w:type="pct"/>
            <w:tcBorders>
              <w:top w:val="nil"/>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65.6</w:t>
            </w:r>
          </w:p>
        </w:tc>
        <w:tc>
          <w:tcPr>
            <w:tcW w:w="870" w:type="pct"/>
            <w:tcBorders>
              <w:top w:val="nil"/>
              <w:left w:val="nil"/>
              <w:bottom w:val="single" w:sz="4" w:space="0" w:color="auto"/>
              <w:right w:val="single" w:sz="4" w:space="0" w:color="auto"/>
            </w:tcBorders>
            <w:shd w:val="clear" w:color="000000" w:fill="C0C0C0"/>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152</w:t>
            </w:r>
          </w:p>
        </w:tc>
        <w:tc>
          <w:tcPr>
            <w:tcW w:w="870" w:type="pct"/>
            <w:tcBorders>
              <w:top w:val="nil"/>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64.7</w:t>
            </w:r>
          </w:p>
        </w:tc>
      </w:tr>
      <w:tr w:rsidR="00C54CD1" w:rsidRPr="001B165D" w:rsidTr="00C54CD1">
        <w:trPr>
          <w:trHeight w:val="285"/>
        </w:trPr>
        <w:tc>
          <w:tcPr>
            <w:tcW w:w="1522" w:type="pct"/>
            <w:tcBorders>
              <w:top w:val="nil"/>
              <w:left w:val="nil"/>
              <w:bottom w:val="single" w:sz="4" w:space="0" w:color="auto"/>
              <w:right w:val="nil"/>
            </w:tcBorders>
            <w:shd w:val="clear" w:color="auto" w:fill="auto"/>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Tertiary/TAFE/Training</w:t>
            </w:r>
          </w:p>
        </w:tc>
        <w:tc>
          <w:tcPr>
            <w:tcW w:w="870" w:type="pct"/>
            <w:tcBorders>
              <w:top w:val="nil"/>
              <w:left w:val="single" w:sz="8" w:space="0" w:color="auto"/>
              <w:bottom w:val="single" w:sz="4" w:space="0" w:color="auto"/>
              <w:right w:val="single" w:sz="4" w:space="0" w:color="auto"/>
            </w:tcBorders>
            <w:shd w:val="clear" w:color="auto" w:fill="auto"/>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9</w:t>
            </w:r>
          </w:p>
        </w:tc>
        <w:tc>
          <w:tcPr>
            <w:tcW w:w="870" w:type="pct"/>
            <w:tcBorders>
              <w:top w:val="nil"/>
              <w:left w:val="nil"/>
              <w:bottom w:val="single" w:sz="4" w:space="0" w:color="auto"/>
              <w:right w:val="single" w:sz="8" w:space="0" w:color="auto"/>
            </w:tcBorders>
            <w:shd w:val="clear" w:color="auto" w:fill="auto"/>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2.7</w:t>
            </w:r>
          </w:p>
        </w:tc>
        <w:tc>
          <w:tcPr>
            <w:tcW w:w="870" w:type="pct"/>
            <w:tcBorders>
              <w:top w:val="nil"/>
              <w:left w:val="nil"/>
              <w:bottom w:val="single" w:sz="4" w:space="0" w:color="auto"/>
              <w:right w:val="single" w:sz="4" w:space="0" w:color="auto"/>
            </w:tcBorders>
            <w:shd w:val="clear" w:color="auto" w:fill="auto"/>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4</w:t>
            </w:r>
          </w:p>
        </w:tc>
        <w:tc>
          <w:tcPr>
            <w:tcW w:w="870" w:type="pct"/>
            <w:tcBorders>
              <w:top w:val="nil"/>
              <w:left w:val="nil"/>
              <w:bottom w:val="single" w:sz="4" w:space="0" w:color="auto"/>
              <w:right w:val="single" w:sz="8" w:space="0" w:color="auto"/>
            </w:tcBorders>
            <w:shd w:val="clear" w:color="auto" w:fill="auto"/>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1.7</w:t>
            </w:r>
          </w:p>
        </w:tc>
      </w:tr>
      <w:tr w:rsidR="00C54CD1" w:rsidRPr="001B165D" w:rsidTr="00C54CD1">
        <w:trPr>
          <w:trHeight w:val="285"/>
        </w:trPr>
        <w:tc>
          <w:tcPr>
            <w:tcW w:w="1522" w:type="pct"/>
            <w:tcBorders>
              <w:top w:val="nil"/>
              <w:left w:val="nil"/>
              <w:bottom w:val="single" w:sz="4" w:space="0" w:color="auto"/>
              <w:right w:val="nil"/>
            </w:tcBorders>
            <w:shd w:val="clear" w:color="000000" w:fill="C0C0C0"/>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Employment</w:t>
            </w:r>
          </w:p>
        </w:tc>
        <w:tc>
          <w:tcPr>
            <w:tcW w:w="870" w:type="pct"/>
            <w:tcBorders>
              <w:top w:val="nil"/>
              <w:left w:val="single" w:sz="8" w:space="0" w:color="auto"/>
              <w:bottom w:val="single" w:sz="4" w:space="0" w:color="auto"/>
              <w:right w:val="single" w:sz="4" w:space="0" w:color="auto"/>
            </w:tcBorders>
            <w:shd w:val="clear" w:color="000000" w:fill="C0C0C0"/>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8</w:t>
            </w:r>
          </w:p>
        </w:tc>
        <w:tc>
          <w:tcPr>
            <w:tcW w:w="870" w:type="pct"/>
            <w:tcBorders>
              <w:top w:val="nil"/>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2.4</w:t>
            </w:r>
          </w:p>
        </w:tc>
        <w:tc>
          <w:tcPr>
            <w:tcW w:w="870" w:type="pct"/>
            <w:tcBorders>
              <w:top w:val="nil"/>
              <w:left w:val="nil"/>
              <w:bottom w:val="single" w:sz="4" w:space="0" w:color="auto"/>
              <w:right w:val="single" w:sz="4" w:space="0" w:color="auto"/>
            </w:tcBorders>
            <w:shd w:val="clear" w:color="000000" w:fill="C0C0C0"/>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6</w:t>
            </w:r>
          </w:p>
        </w:tc>
        <w:tc>
          <w:tcPr>
            <w:tcW w:w="870" w:type="pct"/>
            <w:tcBorders>
              <w:top w:val="nil"/>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2.6</w:t>
            </w:r>
          </w:p>
        </w:tc>
      </w:tr>
      <w:tr w:rsidR="00C54CD1" w:rsidRPr="001B165D" w:rsidTr="00C54CD1">
        <w:trPr>
          <w:trHeight w:val="285"/>
        </w:trPr>
        <w:tc>
          <w:tcPr>
            <w:tcW w:w="1522" w:type="pct"/>
            <w:tcBorders>
              <w:top w:val="nil"/>
              <w:left w:val="nil"/>
              <w:bottom w:val="single" w:sz="4" w:space="0" w:color="auto"/>
              <w:right w:val="nil"/>
            </w:tcBorders>
            <w:shd w:val="clear" w:color="auto" w:fill="auto"/>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Seeking Employment</w:t>
            </w:r>
          </w:p>
        </w:tc>
        <w:tc>
          <w:tcPr>
            <w:tcW w:w="870" w:type="pct"/>
            <w:tcBorders>
              <w:top w:val="nil"/>
              <w:left w:val="single" w:sz="8" w:space="0" w:color="auto"/>
              <w:bottom w:val="single" w:sz="4" w:space="0" w:color="auto"/>
              <w:right w:val="single" w:sz="4" w:space="0" w:color="auto"/>
            </w:tcBorders>
            <w:shd w:val="clear" w:color="auto" w:fill="auto"/>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18</w:t>
            </w:r>
          </w:p>
        </w:tc>
        <w:tc>
          <w:tcPr>
            <w:tcW w:w="870" w:type="pct"/>
            <w:tcBorders>
              <w:top w:val="nil"/>
              <w:left w:val="nil"/>
              <w:bottom w:val="single" w:sz="4" w:space="0" w:color="auto"/>
              <w:right w:val="single" w:sz="8" w:space="0" w:color="auto"/>
            </w:tcBorders>
            <w:shd w:val="clear" w:color="auto" w:fill="auto"/>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5.4</w:t>
            </w:r>
          </w:p>
        </w:tc>
        <w:tc>
          <w:tcPr>
            <w:tcW w:w="870" w:type="pct"/>
            <w:tcBorders>
              <w:top w:val="nil"/>
              <w:left w:val="nil"/>
              <w:bottom w:val="single" w:sz="4" w:space="0" w:color="auto"/>
              <w:right w:val="single" w:sz="4" w:space="0" w:color="auto"/>
            </w:tcBorders>
            <w:shd w:val="clear" w:color="auto" w:fill="auto"/>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9</w:t>
            </w:r>
          </w:p>
        </w:tc>
        <w:tc>
          <w:tcPr>
            <w:tcW w:w="870" w:type="pct"/>
            <w:tcBorders>
              <w:top w:val="nil"/>
              <w:left w:val="nil"/>
              <w:bottom w:val="single" w:sz="4" w:space="0" w:color="auto"/>
              <w:right w:val="single" w:sz="8" w:space="0" w:color="auto"/>
            </w:tcBorders>
            <w:shd w:val="clear" w:color="auto" w:fill="auto"/>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3.8</w:t>
            </w:r>
          </w:p>
        </w:tc>
      </w:tr>
      <w:tr w:rsidR="00C54CD1" w:rsidRPr="001B165D" w:rsidTr="00C54CD1">
        <w:trPr>
          <w:trHeight w:val="285"/>
        </w:trPr>
        <w:tc>
          <w:tcPr>
            <w:tcW w:w="1522" w:type="pct"/>
            <w:tcBorders>
              <w:top w:val="nil"/>
              <w:left w:val="nil"/>
              <w:bottom w:val="single" w:sz="4" w:space="0" w:color="auto"/>
              <w:right w:val="nil"/>
            </w:tcBorders>
            <w:shd w:val="clear" w:color="000000" w:fill="C0C0C0"/>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Left South Australia</w:t>
            </w:r>
          </w:p>
        </w:tc>
        <w:tc>
          <w:tcPr>
            <w:tcW w:w="870" w:type="pct"/>
            <w:tcBorders>
              <w:top w:val="nil"/>
              <w:left w:val="single" w:sz="8" w:space="0" w:color="auto"/>
              <w:bottom w:val="single" w:sz="4" w:space="0" w:color="auto"/>
              <w:right w:val="single" w:sz="4" w:space="0" w:color="auto"/>
            </w:tcBorders>
            <w:shd w:val="clear" w:color="000000" w:fill="C0C0C0"/>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12</w:t>
            </w:r>
          </w:p>
        </w:tc>
        <w:tc>
          <w:tcPr>
            <w:tcW w:w="870" w:type="pct"/>
            <w:tcBorders>
              <w:top w:val="nil"/>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3.6</w:t>
            </w:r>
          </w:p>
        </w:tc>
        <w:tc>
          <w:tcPr>
            <w:tcW w:w="870" w:type="pct"/>
            <w:tcBorders>
              <w:top w:val="nil"/>
              <w:left w:val="nil"/>
              <w:bottom w:val="single" w:sz="4" w:space="0" w:color="auto"/>
              <w:right w:val="single" w:sz="4" w:space="0" w:color="auto"/>
            </w:tcBorders>
            <w:shd w:val="clear" w:color="000000" w:fill="C0C0C0"/>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8</w:t>
            </w:r>
          </w:p>
        </w:tc>
        <w:tc>
          <w:tcPr>
            <w:tcW w:w="870" w:type="pct"/>
            <w:tcBorders>
              <w:top w:val="nil"/>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3.4</w:t>
            </w:r>
          </w:p>
        </w:tc>
      </w:tr>
      <w:tr w:rsidR="00C54CD1" w:rsidRPr="001B165D" w:rsidTr="00C54CD1">
        <w:trPr>
          <w:trHeight w:val="285"/>
        </w:trPr>
        <w:tc>
          <w:tcPr>
            <w:tcW w:w="1522" w:type="pct"/>
            <w:tcBorders>
              <w:top w:val="nil"/>
              <w:left w:val="nil"/>
              <w:bottom w:val="single" w:sz="4" w:space="0" w:color="auto"/>
              <w:right w:val="nil"/>
            </w:tcBorders>
            <w:shd w:val="clear" w:color="auto" w:fill="auto"/>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Other</w:t>
            </w:r>
          </w:p>
        </w:tc>
        <w:tc>
          <w:tcPr>
            <w:tcW w:w="870" w:type="pct"/>
            <w:tcBorders>
              <w:top w:val="nil"/>
              <w:left w:val="single" w:sz="8" w:space="0" w:color="auto"/>
              <w:bottom w:val="single" w:sz="4" w:space="0" w:color="auto"/>
              <w:right w:val="single" w:sz="4" w:space="0" w:color="auto"/>
            </w:tcBorders>
            <w:shd w:val="clear" w:color="auto" w:fill="auto"/>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10</w:t>
            </w:r>
          </w:p>
        </w:tc>
        <w:tc>
          <w:tcPr>
            <w:tcW w:w="870" w:type="pct"/>
            <w:tcBorders>
              <w:top w:val="nil"/>
              <w:left w:val="nil"/>
              <w:bottom w:val="single" w:sz="4" w:space="0" w:color="auto"/>
              <w:right w:val="single" w:sz="8" w:space="0" w:color="auto"/>
            </w:tcBorders>
            <w:shd w:val="clear" w:color="auto" w:fill="auto"/>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3.0</w:t>
            </w:r>
          </w:p>
        </w:tc>
        <w:tc>
          <w:tcPr>
            <w:tcW w:w="870" w:type="pct"/>
            <w:tcBorders>
              <w:top w:val="nil"/>
              <w:left w:val="nil"/>
              <w:bottom w:val="single" w:sz="4" w:space="0" w:color="auto"/>
              <w:right w:val="single" w:sz="4" w:space="0" w:color="auto"/>
            </w:tcBorders>
            <w:shd w:val="clear" w:color="auto" w:fill="auto"/>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13</w:t>
            </w:r>
          </w:p>
        </w:tc>
        <w:tc>
          <w:tcPr>
            <w:tcW w:w="870" w:type="pct"/>
            <w:tcBorders>
              <w:top w:val="nil"/>
              <w:left w:val="nil"/>
              <w:bottom w:val="single" w:sz="4" w:space="0" w:color="auto"/>
              <w:right w:val="single" w:sz="8" w:space="0" w:color="auto"/>
            </w:tcBorders>
            <w:shd w:val="clear" w:color="auto" w:fill="auto"/>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5.5</w:t>
            </w:r>
          </w:p>
        </w:tc>
      </w:tr>
      <w:tr w:rsidR="00C54CD1" w:rsidRPr="001B165D" w:rsidTr="00C54CD1">
        <w:trPr>
          <w:trHeight w:val="285"/>
        </w:trPr>
        <w:tc>
          <w:tcPr>
            <w:tcW w:w="1522" w:type="pct"/>
            <w:tcBorders>
              <w:top w:val="nil"/>
              <w:left w:val="nil"/>
              <w:bottom w:val="single" w:sz="4" w:space="0" w:color="auto"/>
              <w:right w:val="nil"/>
            </w:tcBorders>
            <w:shd w:val="clear" w:color="000000" w:fill="C0C0C0"/>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Unknown</w:t>
            </w:r>
          </w:p>
        </w:tc>
        <w:tc>
          <w:tcPr>
            <w:tcW w:w="870" w:type="pct"/>
            <w:tcBorders>
              <w:top w:val="nil"/>
              <w:left w:val="single" w:sz="8" w:space="0" w:color="auto"/>
              <w:bottom w:val="single" w:sz="4" w:space="0" w:color="auto"/>
              <w:right w:val="single" w:sz="4" w:space="0" w:color="auto"/>
            </w:tcBorders>
            <w:shd w:val="clear" w:color="000000" w:fill="C0C0C0"/>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57</w:t>
            </w:r>
          </w:p>
        </w:tc>
        <w:tc>
          <w:tcPr>
            <w:tcW w:w="870" w:type="pct"/>
            <w:tcBorders>
              <w:top w:val="nil"/>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17.2</w:t>
            </w:r>
          </w:p>
        </w:tc>
        <w:tc>
          <w:tcPr>
            <w:tcW w:w="870" w:type="pct"/>
            <w:tcBorders>
              <w:top w:val="nil"/>
              <w:left w:val="nil"/>
              <w:bottom w:val="single" w:sz="4" w:space="0" w:color="auto"/>
              <w:right w:val="single" w:sz="4" w:space="0" w:color="auto"/>
            </w:tcBorders>
            <w:shd w:val="clear" w:color="000000" w:fill="C0C0C0"/>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43</w:t>
            </w:r>
          </w:p>
        </w:tc>
        <w:tc>
          <w:tcPr>
            <w:tcW w:w="870" w:type="pct"/>
            <w:tcBorders>
              <w:top w:val="nil"/>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213" w:firstLineChars="200" w:firstLine="440"/>
              <w:jc w:val="right"/>
              <w:rPr>
                <w:rFonts w:ascii="Calibri" w:hAnsi="Calibri" w:cs="Calibri"/>
                <w:szCs w:val="22"/>
                <w:lang w:eastAsia="en-AU"/>
              </w:rPr>
            </w:pPr>
            <w:r w:rsidRPr="001B165D">
              <w:rPr>
                <w:rFonts w:ascii="Calibri" w:hAnsi="Calibri" w:cs="Calibri"/>
                <w:szCs w:val="22"/>
                <w:lang w:eastAsia="en-AU"/>
              </w:rPr>
              <w:t>18.3</w:t>
            </w:r>
          </w:p>
        </w:tc>
      </w:tr>
      <w:tr w:rsidR="00C54CD1" w:rsidRPr="001B165D" w:rsidTr="00C54CD1">
        <w:trPr>
          <w:trHeight w:val="285"/>
        </w:trPr>
        <w:tc>
          <w:tcPr>
            <w:tcW w:w="1522" w:type="pct"/>
            <w:tcBorders>
              <w:top w:val="nil"/>
              <w:left w:val="nil"/>
              <w:bottom w:val="single" w:sz="4" w:space="0" w:color="auto"/>
              <w:right w:val="nil"/>
            </w:tcBorders>
            <w:shd w:val="clear" w:color="auto" w:fill="auto"/>
            <w:vAlign w:val="bottom"/>
            <w:hideMark/>
          </w:tcPr>
          <w:p w:rsidR="00C54CD1" w:rsidRPr="001B165D" w:rsidRDefault="00C54CD1" w:rsidP="001B165D">
            <w:pPr>
              <w:rPr>
                <w:rFonts w:ascii="Calibri" w:hAnsi="Calibri" w:cs="Calibri"/>
                <w:b/>
                <w:bCs/>
                <w:szCs w:val="22"/>
                <w:lang w:eastAsia="en-AU"/>
              </w:rPr>
            </w:pPr>
            <w:r w:rsidRPr="001B165D">
              <w:rPr>
                <w:rFonts w:ascii="Calibri" w:hAnsi="Calibri" w:cs="Calibri"/>
                <w:b/>
                <w:bCs/>
                <w:szCs w:val="22"/>
                <w:lang w:eastAsia="en-AU"/>
              </w:rPr>
              <w:t>Total</w:t>
            </w:r>
          </w:p>
        </w:tc>
        <w:tc>
          <w:tcPr>
            <w:tcW w:w="870" w:type="pct"/>
            <w:tcBorders>
              <w:top w:val="nil"/>
              <w:left w:val="single" w:sz="8" w:space="0" w:color="auto"/>
              <w:bottom w:val="single" w:sz="8" w:space="0" w:color="auto"/>
              <w:right w:val="single" w:sz="4" w:space="0" w:color="auto"/>
            </w:tcBorders>
            <w:shd w:val="clear" w:color="auto" w:fill="auto"/>
            <w:noWrap/>
            <w:vAlign w:val="bottom"/>
            <w:hideMark/>
          </w:tcPr>
          <w:p w:rsidR="00C54CD1" w:rsidRPr="001B165D" w:rsidRDefault="00C54CD1" w:rsidP="001B165D">
            <w:pPr>
              <w:ind w:right="213" w:firstLineChars="200" w:firstLine="442"/>
              <w:jc w:val="right"/>
              <w:rPr>
                <w:rFonts w:ascii="Calibri" w:hAnsi="Calibri" w:cs="Calibri"/>
                <w:b/>
                <w:bCs/>
                <w:szCs w:val="22"/>
                <w:lang w:eastAsia="en-AU"/>
              </w:rPr>
            </w:pPr>
            <w:r w:rsidRPr="001B165D">
              <w:rPr>
                <w:rFonts w:ascii="Calibri" w:hAnsi="Calibri" w:cs="Calibri"/>
                <w:b/>
                <w:bCs/>
                <w:szCs w:val="22"/>
                <w:lang w:eastAsia="en-AU"/>
              </w:rPr>
              <w:t>331</w:t>
            </w:r>
          </w:p>
        </w:tc>
        <w:tc>
          <w:tcPr>
            <w:tcW w:w="870" w:type="pct"/>
            <w:tcBorders>
              <w:top w:val="nil"/>
              <w:left w:val="nil"/>
              <w:bottom w:val="single" w:sz="8" w:space="0" w:color="auto"/>
              <w:right w:val="single" w:sz="8" w:space="0" w:color="auto"/>
            </w:tcBorders>
            <w:shd w:val="clear" w:color="auto" w:fill="auto"/>
            <w:noWrap/>
            <w:vAlign w:val="bottom"/>
            <w:hideMark/>
          </w:tcPr>
          <w:p w:rsidR="00C54CD1" w:rsidRPr="001B165D" w:rsidRDefault="00C54CD1" w:rsidP="001B165D">
            <w:pPr>
              <w:ind w:right="213" w:firstLineChars="200" w:firstLine="442"/>
              <w:jc w:val="right"/>
              <w:rPr>
                <w:rFonts w:ascii="Calibri" w:hAnsi="Calibri" w:cs="Calibri"/>
                <w:b/>
                <w:bCs/>
                <w:szCs w:val="22"/>
                <w:lang w:eastAsia="en-AU"/>
              </w:rPr>
            </w:pPr>
            <w:r w:rsidRPr="001B165D">
              <w:rPr>
                <w:rFonts w:ascii="Calibri" w:hAnsi="Calibri" w:cs="Calibri"/>
                <w:b/>
                <w:bCs/>
                <w:szCs w:val="22"/>
                <w:lang w:eastAsia="en-AU"/>
              </w:rPr>
              <w:t>100.0</w:t>
            </w:r>
          </w:p>
        </w:tc>
        <w:tc>
          <w:tcPr>
            <w:tcW w:w="870" w:type="pct"/>
            <w:tcBorders>
              <w:top w:val="nil"/>
              <w:left w:val="nil"/>
              <w:bottom w:val="single" w:sz="8" w:space="0" w:color="auto"/>
              <w:right w:val="single" w:sz="4" w:space="0" w:color="auto"/>
            </w:tcBorders>
            <w:shd w:val="clear" w:color="auto" w:fill="auto"/>
            <w:noWrap/>
            <w:vAlign w:val="bottom"/>
            <w:hideMark/>
          </w:tcPr>
          <w:p w:rsidR="00C54CD1" w:rsidRPr="001B165D" w:rsidRDefault="00C54CD1" w:rsidP="001B165D">
            <w:pPr>
              <w:ind w:right="213" w:firstLineChars="200" w:firstLine="442"/>
              <w:jc w:val="right"/>
              <w:rPr>
                <w:rFonts w:ascii="Calibri" w:hAnsi="Calibri" w:cs="Calibri"/>
                <w:b/>
                <w:bCs/>
                <w:szCs w:val="22"/>
                <w:lang w:eastAsia="en-AU"/>
              </w:rPr>
            </w:pPr>
            <w:r w:rsidRPr="001B165D">
              <w:rPr>
                <w:rFonts w:ascii="Calibri" w:hAnsi="Calibri" w:cs="Calibri"/>
                <w:b/>
                <w:bCs/>
                <w:szCs w:val="22"/>
                <w:lang w:eastAsia="en-AU"/>
              </w:rPr>
              <w:t>235</w:t>
            </w:r>
          </w:p>
        </w:tc>
        <w:tc>
          <w:tcPr>
            <w:tcW w:w="870" w:type="pct"/>
            <w:tcBorders>
              <w:top w:val="nil"/>
              <w:left w:val="nil"/>
              <w:bottom w:val="single" w:sz="8" w:space="0" w:color="auto"/>
              <w:right w:val="single" w:sz="8" w:space="0" w:color="auto"/>
            </w:tcBorders>
            <w:shd w:val="clear" w:color="auto" w:fill="auto"/>
            <w:noWrap/>
            <w:vAlign w:val="bottom"/>
            <w:hideMark/>
          </w:tcPr>
          <w:p w:rsidR="00C54CD1" w:rsidRPr="001B165D" w:rsidRDefault="00C54CD1" w:rsidP="001B165D">
            <w:pPr>
              <w:ind w:right="213" w:firstLineChars="200" w:firstLine="442"/>
              <w:jc w:val="right"/>
              <w:rPr>
                <w:rFonts w:ascii="Calibri" w:hAnsi="Calibri" w:cs="Calibri"/>
                <w:b/>
                <w:bCs/>
                <w:szCs w:val="22"/>
                <w:lang w:eastAsia="en-AU"/>
              </w:rPr>
            </w:pPr>
            <w:r w:rsidRPr="001B165D">
              <w:rPr>
                <w:rFonts w:ascii="Calibri" w:hAnsi="Calibri" w:cs="Calibri"/>
                <w:b/>
                <w:bCs/>
                <w:szCs w:val="22"/>
                <w:lang w:eastAsia="en-AU"/>
              </w:rPr>
              <w:t>100.0</w:t>
            </w:r>
          </w:p>
        </w:tc>
      </w:tr>
    </w:tbl>
    <w:p w:rsidR="00C54CD1" w:rsidRPr="00AE6D45" w:rsidRDefault="00C54CD1" w:rsidP="001B165D">
      <w:pPr>
        <w:tabs>
          <w:tab w:val="left" w:pos="0"/>
        </w:tabs>
        <w:spacing w:before="120"/>
        <w:rPr>
          <w:rFonts w:ascii="Calibri" w:hAnsi="Calibri" w:cs="Calibri"/>
          <w:b/>
          <w:bCs/>
          <w:color w:val="000000"/>
          <w:sz w:val="180"/>
          <w:szCs w:val="180"/>
          <w:lang w:eastAsia="en-AU"/>
        </w:rPr>
      </w:pPr>
    </w:p>
    <w:p w:rsidR="001B165D" w:rsidRPr="001B165D" w:rsidRDefault="00C54CD1" w:rsidP="001B165D">
      <w:pPr>
        <w:tabs>
          <w:tab w:val="left" w:pos="0"/>
        </w:tabs>
        <w:spacing w:before="120"/>
        <w:rPr>
          <w:rFonts w:ascii="Calibri" w:hAnsi="Calibri" w:cs="Arial"/>
          <w:sz w:val="20"/>
        </w:rPr>
      </w:pPr>
      <w:r w:rsidRPr="001B165D">
        <w:rPr>
          <w:rFonts w:eastAsia="Calibri" w:cstheme="minorHAnsi"/>
          <w:b/>
          <w:szCs w:val="24"/>
        </w:rPr>
        <w:lastRenderedPageBreak/>
        <w:t>Table 3.1(b</w:t>
      </w:r>
      <w:r>
        <w:rPr>
          <w:rFonts w:eastAsia="Calibri" w:cstheme="minorHAnsi"/>
          <w:b/>
          <w:szCs w:val="24"/>
        </w:rPr>
        <w:t>-3</w:t>
      </w:r>
      <w:r w:rsidRPr="001B165D">
        <w:rPr>
          <w:rFonts w:eastAsia="Calibri" w:cstheme="minorHAnsi"/>
          <w:b/>
          <w:szCs w:val="24"/>
        </w:rPr>
        <w:t xml:space="preserve">) </w:t>
      </w:r>
      <w:proofErr w:type="spellStart"/>
      <w:r w:rsidRPr="001B165D">
        <w:rPr>
          <w:rFonts w:ascii="Calibri" w:hAnsi="Calibri" w:cs="Calibri"/>
          <w:b/>
          <w:bCs/>
          <w:color w:val="000000"/>
          <w:szCs w:val="22"/>
          <w:lang w:eastAsia="en-AU"/>
        </w:rPr>
        <w:t>LBOTE</w:t>
      </w:r>
      <w:proofErr w:type="spellEnd"/>
      <w:r w:rsidRPr="001B165D">
        <w:rPr>
          <w:rFonts w:ascii="Calibri" w:hAnsi="Calibri" w:cs="Calibri"/>
          <w:b/>
          <w:bCs/>
          <w:color w:val="000000"/>
          <w:szCs w:val="22"/>
          <w:lang w:eastAsia="en-AU"/>
        </w:rPr>
        <w:t xml:space="preserve"> Students</w:t>
      </w:r>
      <w:r w:rsidRPr="001B165D">
        <w:rPr>
          <w:rFonts w:ascii="Calibri" w:hAnsi="Calibri" w:cs="Calibri"/>
          <w:color w:val="000000"/>
          <w:szCs w:val="22"/>
          <w:lang w:eastAsia="en-AU"/>
        </w:rPr>
        <w:t xml:space="preserve"> participating in </w:t>
      </w:r>
      <w:proofErr w:type="spellStart"/>
      <w:r w:rsidRPr="001B165D">
        <w:rPr>
          <w:rFonts w:ascii="Calibri" w:hAnsi="Calibri" w:cs="Calibri"/>
          <w:color w:val="000000"/>
          <w:szCs w:val="22"/>
          <w:lang w:eastAsia="en-AU"/>
        </w:rPr>
        <w:t>CMaD</w:t>
      </w:r>
      <w:proofErr w:type="spellEnd"/>
      <w:r w:rsidRPr="001B165D">
        <w:rPr>
          <w:rFonts w:ascii="Calibri" w:hAnsi="Calibri" w:cs="Calibri"/>
          <w:color w:val="000000"/>
          <w:szCs w:val="22"/>
          <w:lang w:eastAsia="en-AU"/>
        </w:rPr>
        <w:t xml:space="preserve"> NP (Low SES) for less than 1 year </w:t>
      </w:r>
      <w:r w:rsidRPr="001B165D">
        <w:rPr>
          <w:rFonts w:ascii="Calibri" w:hAnsi="Calibri" w:cs="Calibri"/>
          <w:color w:val="000000"/>
          <w:szCs w:val="22"/>
          <w:vertAlign w:val="superscript"/>
          <w:lang w:eastAsia="en-AU"/>
        </w:rPr>
        <w:t>(3)</w:t>
      </w:r>
    </w:p>
    <w:tbl>
      <w:tblPr>
        <w:tblW w:w="3972" w:type="pct"/>
        <w:tblLook w:val="04A0" w:firstRow="1" w:lastRow="0" w:firstColumn="1" w:lastColumn="0" w:noHBand="0" w:noVBand="1"/>
      </w:tblPr>
      <w:tblGrid>
        <w:gridCol w:w="3618"/>
        <w:gridCol w:w="2067"/>
        <w:gridCol w:w="2067"/>
        <w:gridCol w:w="2067"/>
        <w:gridCol w:w="2063"/>
      </w:tblGrid>
      <w:tr w:rsidR="00C54CD1" w:rsidRPr="001B165D" w:rsidTr="00C54CD1">
        <w:trPr>
          <w:trHeight w:val="768"/>
        </w:trPr>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4CD1" w:rsidRPr="001B165D" w:rsidRDefault="00C54CD1" w:rsidP="001B165D">
            <w:pPr>
              <w:rPr>
                <w:rFonts w:ascii="Calibri" w:hAnsi="Calibri" w:cs="Calibri"/>
                <w:b/>
                <w:bCs/>
                <w:color w:val="000000"/>
                <w:szCs w:val="22"/>
                <w:lang w:eastAsia="en-AU"/>
              </w:rPr>
            </w:pPr>
            <w:r w:rsidRPr="001B165D">
              <w:rPr>
                <w:rFonts w:ascii="Calibri" w:hAnsi="Calibri" w:cs="Calibri"/>
                <w:b/>
                <w:bCs/>
                <w:color w:val="000000"/>
                <w:szCs w:val="22"/>
                <w:lang w:eastAsia="en-AU"/>
              </w:rPr>
              <w:t>Destinations Reason</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4CD1" w:rsidRDefault="00C54CD1"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No. of Students</w:t>
            </w:r>
          </w:p>
          <w:p w:rsidR="00C54CD1" w:rsidRPr="001B165D" w:rsidRDefault="00C54CD1" w:rsidP="001B165D">
            <w:pPr>
              <w:jc w:val="center"/>
              <w:rPr>
                <w:rFonts w:ascii="Calibri" w:hAnsi="Calibri" w:cs="Calibri"/>
                <w:b/>
                <w:bCs/>
                <w:color w:val="000000"/>
                <w:szCs w:val="22"/>
                <w:lang w:eastAsia="en-AU"/>
              </w:rPr>
            </w:pPr>
            <w:r>
              <w:rPr>
                <w:rFonts w:ascii="Calibri" w:hAnsi="Calibri" w:cs="Calibri"/>
                <w:b/>
                <w:bCs/>
                <w:color w:val="000000"/>
                <w:szCs w:val="22"/>
                <w:lang w:eastAsia="en-AU"/>
              </w:rPr>
              <w:t>2011</w:t>
            </w:r>
          </w:p>
        </w:tc>
        <w:tc>
          <w:tcPr>
            <w:tcW w:w="870" w:type="pct"/>
            <w:tcBorders>
              <w:top w:val="single" w:sz="4" w:space="0" w:color="auto"/>
              <w:left w:val="nil"/>
              <w:bottom w:val="single" w:sz="4" w:space="0" w:color="auto"/>
              <w:right w:val="single" w:sz="8" w:space="0" w:color="auto"/>
            </w:tcBorders>
            <w:shd w:val="clear" w:color="auto" w:fill="auto"/>
            <w:vAlign w:val="center"/>
            <w:hideMark/>
          </w:tcPr>
          <w:p w:rsidR="00C54CD1" w:rsidRDefault="00C54CD1"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 of Total Students</w:t>
            </w:r>
          </w:p>
          <w:p w:rsidR="00C54CD1" w:rsidRPr="001B165D" w:rsidRDefault="00C54CD1" w:rsidP="001B165D">
            <w:pPr>
              <w:jc w:val="center"/>
              <w:rPr>
                <w:rFonts w:ascii="Calibri" w:hAnsi="Calibri" w:cs="Calibri"/>
                <w:b/>
                <w:bCs/>
                <w:color w:val="000000"/>
                <w:szCs w:val="22"/>
                <w:lang w:eastAsia="en-AU"/>
              </w:rPr>
            </w:pPr>
            <w:r>
              <w:rPr>
                <w:rFonts w:ascii="Calibri" w:hAnsi="Calibri" w:cs="Calibri"/>
                <w:b/>
                <w:bCs/>
                <w:color w:val="000000"/>
                <w:szCs w:val="22"/>
                <w:lang w:eastAsia="en-AU"/>
              </w:rPr>
              <w:t>2011</w:t>
            </w:r>
          </w:p>
        </w:tc>
        <w:tc>
          <w:tcPr>
            <w:tcW w:w="870" w:type="pct"/>
            <w:tcBorders>
              <w:top w:val="single" w:sz="4" w:space="0" w:color="auto"/>
              <w:left w:val="nil"/>
              <w:bottom w:val="single" w:sz="4" w:space="0" w:color="auto"/>
              <w:right w:val="single" w:sz="4" w:space="0" w:color="auto"/>
            </w:tcBorders>
            <w:shd w:val="clear" w:color="auto" w:fill="auto"/>
            <w:vAlign w:val="center"/>
            <w:hideMark/>
          </w:tcPr>
          <w:p w:rsidR="00C54CD1" w:rsidRDefault="00C54CD1"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No. of Students</w:t>
            </w:r>
          </w:p>
          <w:p w:rsidR="00C54CD1" w:rsidRPr="001B165D" w:rsidRDefault="00C54CD1" w:rsidP="001B165D">
            <w:pPr>
              <w:jc w:val="center"/>
              <w:rPr>
                <w:rFonts w:ascii="Calibri" w:hAnsi="Calibri" w:cs="Calibri"/>
                <w:b/>
                <w:bCs/>
                <w:color w:val="000000"/>
                <w:szCs w:val="22"/>
                <w:lang w:eastAsia="en-AU"/>
              </w:rPr>
            </w:pPr>
            <w:r>
              <w:rPr>
                <w:rFonts w:ascii="Calibri" w:hAnsi="Calibri" w:cs="Calibri"/>
                <w:b/>
                <w:bCs/>
                <w:color w:val="000000"/>
                <w:szCs w:val="22"/>
                <w:lang w:eastAsia="en-AU"/>
              </w:rPr>
              <w:t>2012</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C54CD1" w:rsidRDefault="00C54CD1"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 of Total Students</w:t>
            </w:r>
          </w:p>
          <w:p w:rsidR="00C54CD1" w:rsidRPr="001B165D" w:rsidRDefault="00C54CD1" w:rsidP="001B165D">
            <w:pPr>
              <w:jc w:val="center"/>
              <w:rPr>
                <w:rFonts w:ascii="Calibri" w:hAnsi="Calibri" w:cs="Calibri"/>
                <w:b/>
                <w:bCs/>
                <w:color w:val="000000"/>
                <w:szCs w:val="22"/>
                <w:lang w:eastAsia="en-AU"/>
              </w:rPr>
            </w:pPr>
            <w:r>
              <w:rPr>
                <w:rFonts w:ascii="Calibri" w:hAnsi="Calibri" w:cs="Calibri"/>
                <w:b/>
                <w:bCs/>
                <w:color w:val="000000"/>
                <w:szCs w:val="22"/>
                <w:lang w:eastAsia="en-AU"/>
              </w:rPr>
              <w:t>2012</w:t>
            </w:r>
          </w:p>
        </w:tc>
      </w:tr>
      <w:tr w:rsidR="00C54CD1" w:rsidRPr="001B165D" w:rsidTr="00C54CD1">
        <w:trPr>
          <w:trHeight w:val="303"/>
        </w:trPr>
        <w:tc>
          <w:tcPr>
            <w:tcW w:w="1522" w:type="pct"/>
            <w:tcBorders>
              <w:top w:val="single" w:sz="4" w:space="0" w:color="auto"/>
              <w:left w:val="single" w:sz="4" w:space="0" w:color="auto"/>
              <w:bottom w:val="single" w:sz="4" w:space="0" w:color="auto"/>
              <w:right w:val="single" w:sz="4" w:space="0" w:color="auto"/>
            </w:tcBorders>
            <w:shd w:val="clear" w:color="000000" w:fill="C0C0C0"/>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School Enrolment</w:t>
            </w:r>
          </w:p>
        </w:tc>
        <w:tc>
          <w:tcPr>
            <w:tcW w:w="870"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156</w:t>
            </w:r>
          </w:p>
        </w:tc>
        <w:tc>
          <w:tcPr>
            <w:tcW w:w="870" w:type="pct"/>
            <w:tcBorders>
              <w:top w:val="single" w:sz="4" w:space="0" w:color="auto"/>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59.3</w:t>
            </w:r>
          </w:p>
        </w:tc>
        <w:tc>
          <w:tcPr>
            <w:tcW w:w="870" w:type="pct"/>
            <w:tcBorders>
              <w:top w:val="single" w:sz="4" w:space="0" w:color="auto"/>
              <w:left w:val="nil"/>
              <w:bottom w:val="single" w:sz="4" w:space="0" w:color="auto"/>
              <w:right w:val="single" w:sz="4" w:space="0" w:color="auto"/>
            </w:tcBorders>
            <w:shd w:val="clear" w:color="000000" w:fill="C0C0C0"/>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157</w:t>
            </w:r>
          </w:p>
        </w:tc>
        <w:tc>
          <w:tcPr>
            <w:tcW w:w="868" w:type="pct"/>
            <w:tcBorders>
              <w:top w:val="single" w:sz="4" w:space="0" w:color="auto"/>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55.7</w:t>
            </w:r>
          </w:p>
        </w:tc>
      </w:tr>
      <w:tr w:rsidR="00C54CD1" w:rsidRPr="001B165D" w:rsidTr="00C54CD1">
        <w:trPr>
          <w:trHeight w:val="303"/>
        </w:trPr>
        <w:tc>
          <w:tcPr>
            <w:tcW w:w="152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Tertiary/TAFE/Training</w:t>
            </w:r>
          </w:p>
        </w:tc>
        <w:tc>
          <w:tcPr>
            <w:tcW w:w="870" w:type="pct"/>
            <w:tcBorders>
              <w:top w:val="nil"/>
              <w:left w:val="single" w:sz="4" w:space="0" w:color="auto"/>
              <w:bottom w:val="single" w:sz="4" w:space="0" w:color="auto"/>
              <w:right w:val="single" w:sz="4" w:space="0" w:color="auto"/>
            </w:tcBorders>
            <w:shd w:val="clear" w:color="auto" w:fill="auto"/>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17</w:t>
            </w:r>
          </w:p>
        </w:tc>
        <w:tc>
          <w:tcPr>
            <w:tcW w:w="870" w:type="pct"/>
            <w:tcBorders>
              <w:top w:val="nil"/>
              <w:left w:val="nil"/>
              <w:bottom w:val="single" w:sz="4" w:space="0" w:color="auto"/>
              <w:right w:val="single" w:sz="8" w:space="0" w:color="auto"/>
            </w:tcBorders>
            <w:shd w:val="clear" w:color="auto" w:fill="auto"/>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6.5</w:t>
            </w:r>
          </w:p>
        </w:tc>
        <w:tc>
          <w:tcPr>
            <w:tcW w:w="870" w:type="pct"/>
            <w:tcBorders>
              <w:top w:val="nil"/>
              <w:left w:val="nil"/>
              <w:bottom w:val="single" w:sz="4" w:space="0" w:color="auto"/>
              <w:right w:val="single" w:sz="4" w:space="0" w:color="auto"/>
            </w:tcBorders>
            <w:shd w:val="clear" w:color="auto" w:fill="auto"/>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16</w:t>
            </w:r>
          </w:p>
        </w:tc>
        <w:tc>
          <w:tcPr>
            <w:tcW w:w="868" w:type="pct"/>
            <w:tcBorders>
              <w:top w:val="nil"/>
              <w:left w:val="nil"/>
              <w:bottom w:val="single" w:sz="4" w:space="0" w:color="auto"/>
              <w:right w:val="single" w:sz="8" w:space="0" w:color="auto"/>
            </w:tcBorders>
            <w:shd w:val="clear" w:color="auto" w:fill="auto"/>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5.7</w:t>
            </w:r>
          </w:p>
        </w:tc>
      </w:tr>
      <w:tr w:rsidR="00C54CD1" w:rsidRPr="001B165D" w:rsidTr="00C54CD1">
        <w:trPr>
          <w:trHeight w:val="303"/>
        </w:trPr>
        <w:tc>
          <w:tcPr>
            <w:tcW w:w="1522" w:type="pct"/>
            <w:tcBorders>
              <w:top w:val="single" w:sz="4" w:space="0" w:color="auto"/>
              <w:left w:val="single" w:sz="4" w:space="0" w:color="auto"/>
              <w:bottom w:val="single" w:sz="4" w:space="0" w:color="auto"/>
              <w:right w:val="single" w:sz="4" w:space="0" w:color="auto"/>
            </w:tcBorders>
            <w:shd w:val="clear" w:color="000000" w:fill="C0C0C0"/>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Employment</w:t>
            </w:r>
          </w:p>
        </w:tc>
        <w:tc>
          <w:tcPr>
            <w:tcW w:w="870" w:type="pct"/>
            <w:tcBorders>
              <w:top w:val="nil"/>
              <w:left w:val="single" w:sz="4" w:space="0" w:color="auto"/>
              <w:bottom w:val="single" w:sz="4" w:space="0" w:color="auto"/>
              <w:right w:val="single" w:sz="4" w:space="0" w:color="auto"/>
            </w:tcBorders>
            <w:shd w:val="clear" w:color="000000" w:fill="C0C0C0"/>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10</w:t>
            </w:r>
          </w:p>
        </w:tc>
        <w:tc>
          <w:tcPr>
            <w:tcW w:w="870" w:type="pct"/>
            <w:tcBorders>
              <w:top w:val="nil"/>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3.8</w:t>
            </w:r>
          </w:p>
        </w:tc>
        <w:tc>
          <w:tcPr>
            <w:tcW w:w="870" w:type="pct"/>
            <w:tcBorders>
              <w:top w:val="nil"/>
              <w:left w:val="nil"/>
              <w:bottom w:val="single" w:sz="4" w:space="0" w:color="auto"/>
              <w:right w:val="single" w:sz="4" w:space="0" w:color="auto"/>
            </w:tcBorders>
            <w:shd w:val="clear" w:color="000000" w:fill="C0C0C0"/>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4</w:t>
            </w:r>
          </w:p>
        </w:tc>
        <w:tc>
          <w:tcPr>
            <w:tcW w:w="868" w:type="pct"/>
            <w:tcBorders>
              <w:top w:val="nil"/>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1.4</w:t>
            </w:r>
          </w:p>
        </w:tc>
      </w:tr>
      <w:tr w:rsidR="00C54CD1" w:rsidRPr="001B165D" w:rsidTr="00C54CD1">
        <w:trPr>
          <w:trHeight w:val="303"/>
        </w:trPr>
        <w:tc>
          <w:tcPr>
            <w:tcW w:w="152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Seeking Employment</w:t>
            </w:r>
          </w:p>
        </w:tc>
        <w:tc>
          <w:tcPr>
            <w:tcW w:w="870" w:type="pct"/>
            <w:tcBorders>
              <w:top w:val="nil"/>
              <w:left w:val="single" w:sz="4" w:space="0" w:color="auto"/>
              <w:bottom w:val="single" w:sz="4" w:space="0" w:color="auto"/>
              <w:right w:val="single" w:sz="4" w:space="0" w:color="auto"/>
            </w:tcBorders>
            <w:shd w:val="clear" w:color="auto" w:fill="auto"/>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12</w:t>
            </w:r>
          </w:p>
        </w:tc>
        <w:tc>
          <w:tcPr>
            <w:tcW w:w="870" w:type="pct"/>
            <w:tcBorders>
              <w:top w:val="nil"/>
              <w:left w:val="nil"/>
              <w:bottom w:val="single" w:sz="4" w:space="0" w:color="auto"/>
              <w:right w:val="single" w:sz="8" w:space="0" w:color="auto"/>
            </w:tcBorders>
            <w:shd w:val="clear" w:color="auto" w:fill="auto"/>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4.6</w:t>
            </w:r>
          </w:p>
        </w:tc>
        <w:tc>
          <w:tcPr>
            <w:tcW w:w="870" w:type="pct"/>
            <w:tcBorders>
              <w:top w:val="nil"/>
              <w:left w:val="nil"/>
              <w:bottom w:val="single" w:sz="4" w:space="0" w:color="auto"/>
              <w:right w:val="single" w:sz="4" w:space="0" w:color="auto"/>
            </w:tcBorders>
            <w:shd w:val="clear" w:color="auto" w:fill="auto"/>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17</w:t>
            </w:r>
          </w:p>
        </w:tc>
        <w:tc>
          <w:tcPr>
            <w:tcW w:w="868" w:type="pct"/>
            <w:tcBorders>
              <w:top w:val="nil"/>
              <w:left w:val="nil"/>
              <w:bottom w:val="single" w:sz="4" w:space="0" w:color="auto"/>
              <w:right w:val="single" w:sz="8" w:space="0" w:color="auto"/>
            </w:tcBorders>
            <w:shd w:val="clear" w:color="auto" w:fill="auto"/>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6.0</w:t>
            </w:r>
          </w:p>
        </w:tc>
      </w:tr>
      <w:tr w:rsidR="00C54CD1" w:rsidRPr="001B165D" w:rsidTr="00C54CD1">
        <w:trPr>
          <w:trHeight w:val="303"/>
        </w:trPr>
        <w:tc>
          <w:tcPr>
            <w:tcW w:w="1522" w:type="pct"/>
            <w:tcBorders>
              <w:top w:val="single" w:sz="4" w:space="0" w:color="auto"/>
              <w:left w:val="single" w:sz="4" w:space="0" w:color="auto"/>
              <w:bottom w:val="single" w:sz="4" w:space="0" w:color="auto"/>
              <w:right w:val="single" w:sz="4" w:space="0" w:color="auto"/>
            </w:tcBorders>
            <w:shd w:val="clear" w:color="000000" w:fill="C0C0C0"/>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Left South Australia</w:t>
            </w:r>
          </w:p>
        </w:tc>
        <w:tc>
          <w:tcPr>
            <w:tcW w:w="870" w:type="pct"/>
            <w:tcBorders>
              <w:top w:val="nil"/>
              <w:left w:val="single" w:sz="4" w:space="0" w:color="auto"/>
              <w:bottom w:val="single" w:sz="4" w:space="0" w:color="auto"/>
              <w:right w:val="single" w:sz="4" w:space="0" w:color="auto"/>
            </w:tcBorders>
            <w:shd w:val="clear" w:color="000000" w:fill="C0C0C0"/>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6</w:t>
            </w:r>
          </w:p>
        </w:tc>
        <w:tc>
          <w:tcPr>
            <w:tcW w:w="870" w:type="pct"/>
            <w:tcBorders>
              <w:top w:val="nil"/>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2.3</w:t>
            </w:r>
          </w:p>
        </w:tc>
        <w:tc>
          <w:tcPr>
            <w:tcW w:w="870" w:type="pct"/>
            <w:tcBorders>
              <w:top w:val="nil"/>
              <w:left w:val="nil"/>
              <w:bottom w:val="single" w:sz="4" w:space="0" w:color="auto"/>
              <w:right w:val="single" w:sz="4" w:space="0" w:color="auto"/>
            </w:tcBorders>
            <w:shd w:val="clear" w:color="000000" w:fill="C0C0C0"/>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8</w:t>
            </w:r>
          </w:p>
        </w:tc>
        <w:tc>
          <w:tcPr>
            <w:tcW w:w="868" w:type="pct"/>
            <w:tcBorders>
              <w:top w:val="nil"/>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2.8</w:t>
            </w:r>
          </w:p>
        </w:tc>
      </w:tr>
      <w:tr w:rsidR="00C54CD1" w:rsidRPr="001B165D" w:rsidTr="00C54CD1">
        <w:trPr>
          <w:trHeight w:val="303"/>
        </w:trPr>
        <w:tc>
          <w:tcPr>
            <w:tcW w:w="152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Other</w:t>
            </w:r>
          </w:p>
        </w:tc>
        <w:tc>
          <w:tcPr>
            <w:tcW w:w="870" w:type="pct"/>
            <w:tcBorders>
              <w:top w:val="nil"/>
              <w:left w:val="single" w:sz="4" w:space="0" w:color="auto"/>
              <w:bottom w:val="single" w:sz="4" w:space="0" w:color="auto"/>
              <w:right w:val="single" w:sz="4" w:space="0" w:color="auto"/>
            </w:tcBorders>
            <w:shd w:val="clear" w:color="auto" w:fill="auto"/>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3</w:t>
            </w:r>
          </w:p>
        </w:tc>
        <w:tc>
          <w:tcPr>
            <w:tcW w:w="870" w:type="pct"/>
            <w:tcBorders>
              <w:top w:val="nil"/>
              <w:left w:val="nil"/>
              <w:bottom w:val="single" w:sz="4" w:space="0" w:color="auto"/>
              <w:right w:val="single" w:sz="8" w:space="0" w:color="auto"/>
            </w:tcBorders>
            <w:shd w:val="clear" w:color="auto" w:fill="auto"/>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1.1</w:t>
            </w:r>
          </w:p>
        </w:tc>
        <w:tc>
          <w:tcPr>
            <w:tcW w:w="870" w:type="pct"/>
            <w:tcBorders>
              <w:top w:val="nil"/>
              <w:left w:val="nil"/>
              <w:bottom w:val="single" w:sz="4" w:space="0" w:color="auto"/>
              <w:right w:val="single" w:sz="4" w:space="0" w:color="auto"/>
            </w:tcBorders>
            <w:shd w:val="clear" w:color="auto" w:fill="auto"/>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5</w:t>
            </w:r>
          </w:p>
        </w:tc>
        <w:tc>
          <w:tcPr>
            <w:tcW w:w="868" w:type="pct"/>
            <w:tcBorders>
              <w:top w:val="nil"/>
              <w:left w:val="nil"/>
              <w:bottom w:val="single" w:sz="4" w:space="0" w:color="auto"/>
              <w:right w:val="single" w:sz="8" w:space="0" w:color="auto"/>
            </w:tcBorders>
            <w:shd w:val="clear" w:color="auto" w:fill="auto"/>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1.8</w:t>
            </w:r>
          </w:p>
        </w:tc>
      </w:tr>
      <w:tr w:rsidR="00C54CD1" w:rsidRPr="001B165D" w:rsidTr="00C54CD1">
        <w:trPr>
          <w:trHeight w:val="303"/>
        </w:trPr>
        <w:tc>
          <w:tcPr>
            <w:tcW w:w="1522" w:type="pct"/>
            <w:tcBorders>
              <w:top w:val="single" w:sz="4" w:space="0" w:color="auto"/>
              <w:left w:val="single" w:sz="4" w:space="0" w:color="auto"/>
              <w:bottom w:val="single" w:sz="4" w:space="0" w:color="auto"/>
              <w:right w:val="single" w:sz="4" w:space="0" w:color="auto"/>
            </w:tcBorders>
            <w:shd w:val="clear" w:color="000000" w:fill="C0C0C0"/>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Unknown</w:t>
            </w:r>
          </w:p>
        </w:tc>
        <w:tc>
          <w:tcPr>
            <w:tcW w:w="870" w:type="pct"/>
            <w:tcBorders>
              <w:top w:val="nil"/>
              <w:left w:val="single" w:sz="4" w:space="0" w:color="auto"/>
              <w:bottom w:val="single" w:sz="4" w:space="0" w:color="auto"/>
              <w:right w:val="single" w:sz="4" w:space="0" w:color="auto"/>
            </w:tcBorders>
            <w:shd w:val="clear" w:color="000000" w:fill="C0C0C0"/>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59</w:t>
            </w:r>
          </w:p>
        </w:tc>
        <w:tc>
          <w:tcPr>
            <w:tcW w:w="870" w:type="pct"/>
            <w:tcBorders>
              <w:top w:val="nil"/>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22.4</w:t>
            </w:r>
          </w:p>
        </w:tc>
        <w:tc>
          <w:tcPr>
            <w:tcW w:w="870" w:type="pct"/>
            <w:tcBorders>
              <w:top w:val="nil"/>
              <w:left w:val="nil"/>
              <w:bottom w:val="single" w:sz="4" w:space="0" w:color="auto"/>
              <w:right w:val="single" w:sz="4" w:space="0" w:color="auto"/>
            </w:tcBorders>
            <w:shd w:val="clear" w:color="000000" w:fill="C0C0C0"/>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75</w:t>
            </w:r>
          </w:p>
        </w:tc>
        <w:tc>
          <w:tcPr>
            <w:tcW w:w="868" w:type="pct"/>
            <w:tcBorders>
              <w:top w:val="nil"/>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152" w:firstLineChars="200" w:firstLine="440"/>
              <w:jc w:val="right"/>
              <w:rPr>
                <w:rFonts w:ascii="Calibri" w:hAnsi="Calibri" w:cs="Calibri"/>
                <w:szCs w:val="22"/>
                <w:lang w:eastAsia="en-AU"/>
              </w:rPr>
            </w:pPr>
            <w:r w:rsidRPr="001B165D">
              <w:rPr>
                <w:rFonts w:ascii="Calibri" w:hAnsi="Calibri" w:cs="Calibri"/>
                <w:szCs w:val="22"/>
                <w:lang w:eastAsia="en-AU"/>
              </w:rPr>
              <w:t>26.6</w:t>
            </w:r>
          </w:p>
        </w:tc>
      </w:tr>
      <w:tr w:rsidR="00C54CD1" w:rsidRPr="001B165D" w:rsidTr="00C54CD1">
        <w:trPr>
          <w:trHeight w:val="303"/>
        </w:trPr>
        <w:tc>
          <w:tcPr>
            <w:tcW w:w="152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54CD1" w:rsidRPr="001B165D" w:rsidRDefault="00C54CD1" w:rsidP="001B165D">
            <w:pPr>
              <w:rPr>
                <w:rFonts w:ascii="Calibri" w:hAnsi="Calibri" w:cs="Calibri"/>
                <w:b/>
                <w:bCs/>
                <w:szCs w:val="22"/>
                <w:lang w:eastAsia="en-AU"/>
              </w:rPr>
            </w:pPr>
            <w:r w:rsidRPr="001B165D">
              <w:rPr>
                <w:rFonts w:ascii="Calibri" w:hAnsi="Calibri" w:cs="Calibri"/>
                <w:b/>
                <w:bCs/>
                <w:szCs w:val="22"/>
                <w:lang w:eastAsia="en-AU"/>
              </w:rPr>
              <w:t>Total</w:t>
            </w:r>
          </w:p>
        </w:tc>
        <w:tc>
          <w:tcPr>
            <w:tcW w:w="870" w:type="pct"/>
            <w:tcBorders>
              <w:top w:val="nil"/>
              <w:left w:val="single" w:sz="4" w:space="0" w:color="auto"/>
              <w:bottom w:val="single" w:sz="8" w:space="0" w:color="auto"/>
              <w:right w:val="single" w:sz="4" w:space="0" w:color="auto"/>
            </w:tcBorders>
            <w:shd w:val="clear" w:color="auto" w:fill="auto"/>
            <w:noWrap/>
            <w:vAlign w:val="bottom"/>
            <w:hideMark/>
          </w:tcPr>
          <w:p w:rsidR="00C54CD1" w:rsidRPr="001B165D" w:rsidRDefault="00C54CD1" w:rsidP="001B165D">
            <w:pPr>
              <w:ind w:right="152" w:firstLineChars="200" w:firstLine="442"/>
              <w:jc w:val="right"/>
              <w:rPr>
                <w:rFonts w:ascii="Calibri" w:hAnsi="Calibri" w:cs="Calibri"/>
                <w:b/>
                <w:bCs/>
                <w:szCs w:val="22"/>
                <w:lang w:eastAsia="en-AU"/>
              </w:rPr>
            </w:pPr>
            <w:r w:rsidRPr="001B165D">
              <w:rPr>
                <w:rFonts w:ascii="Calibri" w:hAnsi="Calibri" w:cs="Calibri"/>
                <w:b/>
                <w:bCs/>
                <w:szCs w:val="22"/>
                <w:lang w:eastAsia="en-AU"/>
              </w:rPr>
              <w:t>263</w:t>
            </w:r>
          </w:p>
        </w:tc>
        <w:tc>
          <w:tcPr>
            <w:tcW w:w="870" w:type="pct"/>
            <w:tcBorders>
              <w:top w:val="nil"/>
              <w:left w:val="nil"/>
              <w:bottom w:val="single" w:sz="8" w:space="0" w:color="auto"/>
              <w:right w:val="single" w:sz="8" w:space="0" w:color="auto"/>
            </w:tcBorders>
            <w:shd w:val="clear" w:color="auto" w:fill="auto"/>
            <w:noWrap/>
            <w:vAlign w:val="bottom"/>
            <w:hideMark/>
          </w:tcPr>
          <w:p w:rsidR="00C54CD1" w:rsidRPr="001B165D" w:rsidRDefault="00C54CD1" w:rsidP="001B165D">
            <w:pPr>
              <w:ind w:right="152" w:firstLineChars="200" w:firstLine="442"/>
              <w:jc w:val="right"/>
              <w:rPr>
                <w:rFonts w:ascii="Calibri" w:hAnsi="Calibri" w:cs="Calibri"/>
                <w:b/>
                <w:bCs/>
                <w:szCs w:val="22"/>
                <w:lang w:eastAsia="en-AU"/>
              </w:rPr>
            </w:pPr>
            <w:r w:rsidRPr="001B165D">
              <w:rPr>
                <w:rFonts w:ascii="Calibri" w:hAnsi="Calibri" w:cs="Calibri"/>
                <w:b/>
                <w:bCs/>
                <w:szCs w:val="22"/>
                <w:lang w:eastAsia="en-AU"/>
              </w:rPr>
              <w:t>100.0</w:t>
            </w:r>
          </w:p>
        </w:tc>
        <w:tc>
          <w:tcPr>
            <w:tcW w:w="870" w:type="pct"/>
            <w:tcBorders>
              <w:top w:val="nil"/>
              <w:left w:val="nil"/>
              <w:bottom w:val="single" w:sz="8" w:space="0" w:color="auto"/>
              <w:right w:val="single" w:sz="4" w:space="0" w:color="auto"/>
            </w:tcBorders>
            <w:shd w:val="clear" w:color="auto" w:fill="auto"/>
            <w:noWrap/>
            <w:vAlign w:val="bottom"/>
            <w:hideMark/>
          </w:tcPr>
          <w:p w:rsidR="00C54CD1" w:rsidRPr="001B165D" w:rsidRDefault="00C54CD1" w:rsidP="001B165D">
            <w:pPr>
              <w:ind w:right="152" w:firstLineChars="200" w:firstLine="442"/>
              <w:jc w:val="right"/>
              <w:rPr>
                <w:rFonts w:ascii="Calibri" w:hAnsi="Calibri" w:cs="Calibri"/>
                <w:b/>
                <w:bCs/>
                <w:szCs w:val="22"/>
                <w:lang w:eastAsia="en-AU"/>
              </w:rPr>
            </w:pPr>
            <w:r w:rsidRPr="001B165D">
              <w:rPr>
                <w:rFonts w:ascii="Calibri" w:hAnsi="Calibri" w:cs="Calibri"/>
                <w:b/>
                <w:bCs/>
                <w:szCs w:val="22"/>
                <w:lang w:eastAsia="en-AU"/>
              </w:rPr>
              <w:t>282</w:t>
            </w:r>
          </w:p>
        </w:tc>
        <w:tc>
          <w:tcPr>
            <w:tcW w:w="868" w:type="pct"/>
            <w:tcBorders>
              <w:top w:val="nil"/>
              <w:left w:val="nil"/>
              <w:bottom w:val="single" w:sz="8" w:space="0" w:color="auto"/>
              <w:right w:val="single" w:sz="8" w:space="0" w:color="auto"/>
            </w:tcBorders>
            <w:shd w:val="clear" w:color="auto" w:fill="auto"/>
            <w:noWrap/>
            <w:vAlign w:val="bottom"/>
            <w:hideMark/>
          </w:tcPr>
          <w:p w:rsidR="00C54CD1" w:rsidRPr="001B165D" w:rsidRDefault="00C54CD1" w:rsidP="001B165D">
            <w:pPr>
              <w:ind w:right="152" w:firstLineChars="200" w:firstLine="442"/>
              <w:jc w:val="right"/>
              <w:rPr>
                <w:rFonts w:ascii="Calibri" w:hAnsi="Calibri" w:cs="Calibri"/>
                <w:b/>
                <w:bCs/>
                <w:szCs w:val="22"/>
                <w:lang w:eastAsia="en-AU"/>
              </w:rPr>
            </w:pPr>
            <w:r w:rsidRPr="001B165D">
              <w:rPr>
                <w:rFonts w:ascii="Calibri" w:hAnsi="Calibri" w:cs="Calibri"/>
                <w:b/>
                <w:bCs/>
                <w:szCs w:val="22"/>
                <w:lang w:eastAsia="en-AU"/>
              </w:rPr>
              <w:t>100.0</w:t>
            </w:r>
          </w:p>
        </w:tc>
      </w:tr>
    </w:tbl>
    <w:p w:rsidR="00AE6D45" w:rsidRDefault="00AE6D45" w:rsidP="001B165D">
      <w:pPr>
        <w:tabs>
          <w:tab w:val="left" w:pos="0"/>
        </w:tabs>
        <w:spacing w:before="120"/>
        <w:rPr>
          <w:rFonts w:eastAsia="Calibri" w:cstheme="minorHAnsi"/>
          <w:b/>
          <w:szCs w:val="24"/>
        </w:rPr>
      </w:pPr>
    </w:p>
    <w:p w:rsidR="001B165D" w:rsidRPr="001B165D" w:rsidRDefault="00C54CD1" w:rsidP="001B165D">
      <w:pPr>
        <w:tabs>
          <w:tab w:val="left" w:pos="0"/>
        </w:tabs>
        <w:spacing w:before="120"/>
        <w:rPr>
          <w:rFonts w:ascii="Calibri" w:hAnsi="Calibri" w:cs="Arial"/>
          <w:sz w:val="20"/>
        </w:rPr>
      </w:pPr>
      <w:r w:rsidRPr="001B165D">
        <w:rPr>
          <w:rFonts w:eastAsia="Calibri" w:cstheme="minorHAnsi"/>
          <w:b/>
          <w:szCs w:val="24"/>
        </w:rPr>
        <w:t>Table 3.1(b</w:t>
      </w:r>
      <w:r>
        <w:rPr>
          <w:rFonts w:eastAsia="Calibri" w:cstheme="minorHAnsi"/>
          <w:b/>
          <w:szCs w:val="24"/>
        </w:rPr>
        <w:t>-4</w:t>
      </w:r>
      <w:r w:rsidRPr="001B165D">
        <w:rPr>
          <w:rFonts w:eastAsia="Calibri" w:cstheme="minorHAnsi"/>
          <w:b/>
          <w:szCs w:val="24"/>
        </w:rPr>
        <w:t>)</w:t>
      </w:r>
      <w:r>
        <w:rPr>
          <w:rFonts w:eastAsia="Calibri" w:cstheme="minorHAnsi"/>
          <w:b/>
          <w:szCs w:val="24"/>
        </w:rPr>
        <w:t xml:space="preserve"> -</w:t>
      </w:r>
      <w:r w:rsidRPr="001B165D">
        <w:rPr>
          <w:rFonts w:eastAsia="Calibri" w:cstheme="minorHAnsi"/>
          <w:b/>
          <w:szCs w:val="24"/>
        </w:rPr>
        <w:t xml:space="preserve"> </w:t>
      </w:r>
      <w:r w:rsidRPr="001B165D">
        <w:rPr>
          <w:rFonts w:ascii="Calibri" w:hAnsi="Calibri" w:cs="Calibri"/>
          <w:b/>
          <w:bCs/>
          <w:color w:val="000000"/>
          <w:szCs w:val="22"/>
          <w:lang w:eastAsia="en-AU"/>
        </w:rPr>
        <w:t>Students with a Disability</w:t>
      </w:r>
      <w:r w:rsidRPr="001B165D">
        <w:rPr>
          <w:rFonts w:ascii="Calibri" w:hAnsi="Calibri" w:cs="Calibri"/>
          <w:color w:val="000000"/>
          <w:szCs w:val="22"/>
          <w:lang w:eastAsia="en-AU"/>
        </w:rPr>
        <w:t xml:space="preserve"> participating in </w:t>
      </w:r>
      <w:proofErr w:type="spellStart"/>
      <w:r w:rsidRPr="001B165D">
        <w:rPr>
          <w:rFonts w:ascii="Calibri" w:hAnsi="Calibri" w:cs="Calibri"/>
          <w:color w:val="000000"/>
          <w:szCs w:val="22"/>
          <w:lang w:eastAsia="en-AU"/>
        </w:rPr>
        <w:t>CMaD</w:t>
      </w:r>
      <w:proofErr w:type="spellEnd"/>
      <w:r w:rsidRPr="001B165D">
        <w:rPr>
          <w:rFonts w:ascii="Calibri" w:hAnsi="Calibri" w:cs="Calibri"/>
          <w:color w:val="000000"/>
          <w:szCs w:val="22"/>
          <w:lang w:eastAsia="en-AU"/>
        </w:rPr>
        <w:t xml:space="preserve"> NP (Low SES) for less than 1 year </w:t>
      </w:r>
      <w:r w:rsidRPr="001B165D">
        <w:rPr>
          <w:rFonts w:ascii="Calibri" w:hAnsi="Calibri" w:cs="Calibri"/>
          <w:color w:val="000000"/>
          <w:szCs w:val="22"/>
          <w:vertAlign w:val="superscript"/>
          <w:lang w:eastAsia="en-AU"/>
        </w:rPr>
        <w:t>(4)</w:t>
      </w:r>
    </w:p>
    <w:tbl>
      <w:tblPr>
        <w:tblW w:w="3994" w:type="pct"/>
        <w:tblLook w:val="04A0" w:firstRow="1" w:lastRow="0" w:firstColumn="1" w:lastColumn="0" w:noHBand="0" w:noVBand="1"/>
      </w:tblPr>
      <w:tblGrid>
        <w:gridCol w:w="3637"/>
        <w:gridCol w:w="2079"/>
        <w:gridCol w:w="2079"/>
        <w:gridCol w:w="2079"/>
        <w:gridCol w:w="2074"/>
      </w:tblGrid>
      <w:tr w:rsidR="00C54CD1" w:rsidRPr="001B165D" w:rsidTr="00C54CD1">
        <w:trPr>
          <w:trHeight w:val="739"/>
        </w:trPr>
        <w:tc>
          <w:tcPr>
            <w:tcW w:w="1522" w:type="pct"/>
            <w:tcBorders>
              <w:top w:val="single" w:sz="4" w:space="0" w:color="auto"/>
              <w:left w:val="single" w:sz="4" w:space="0" w:color="auto"/>
              <w:bottom w:val="single" w:sz="4" w:space="0" w:color="auto"/>
              <w:right w:val="nil"/>
            </w:tcBorders>
            <w:shd w:val="clear" w:color="auto" w:fill="auto"/>
            <w:vAlign w:val="center"/>
            <w:hideMark/>
          </w:tcPr>
          <w:p w:rsidR="00C54CD1" w:rsidRPr="001B165D" w:rsidRDefault="00C54CD1" w:rsidP="001B165D">
            <w:pPr>
              <w:rPr>
                <w:rFonts w:ascii="Calibri" w:hAnsi="Calibri" w:cs="Calibri"/>
                <w:b/>
                <w:bCs/>
                <w:color w:val="000000"/>
                <w:szCs w:val="22"/>
                <w:lang w:eastAsia="en-AU"/>
              </w:rPr>
            </w:pPr>
            <w:r w:rsidRPr="001B165D">
              <w:rPr>
                <w:rFonts w:ascii="Calibri" w:hAnsi="Calibri" w:cs="Calibri"/>
                <w:b/>
                <w:bCs/>
                <w:color w:val="000000"/>
                <w:szCs w:val="22"/>
                <w:lang w:eastAsia="en-AU"/>
              </w:rPr>
              <w:t>Destinations Reason</w:t>
            </w:r>
          </w:p>
        </w:tc>
        <w:tc>
          <w:tcPr>
            <w:tcW w:w="870"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C54CD1" w:rsidRDefault="00C54CD1"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No. of Students</w:t>
            </w:r>
          </w:p>
          <w:p w:rsidR="00C54CD1" w:rsidRPr="001B165D" w:rsidRDefault="00C54CD1" w:rsidP="001B165D">
            <w:pPr>
              <w:jc w:val="center"/>
              <w:rPr>
                <w:rFonts w:ascii="Calibri" w:hAnsi="Calibri" w:cs="Calibri"/>
                <w:b/>
                <w:bCs/>
                <w:color w:val="000000"/>
                <w:szCs w:val="22"/>
                <w:lang w:eastAsia="en-AU"/>
              </w:rPr>
            </w:pPr>
            <w:r>
              <w:rPr>
                <w:rFonts w:ascii="Calibri" w:hAnsi="Calibri" w:cs="Calibri"/>
                <w:b/>
                <w:bCs/>
                <w:color w:val="000000"/>
                <w:szCs w:val="22"/>
                <w:lang w:eastAsia="en-AU"/>
              </w:rPr>
              <w:t>2011</w:t>
            </w:r>
          </w:p>
        </w:tc>
        <w:tc>
          <w:tcPr>
            <w:tcW w:w="870" w:type="pct"/>
            <w:tcBorders>
              <w:top w:val="single" w:sz="4" w:space="0" w:color="auto"/>
              <w:left w:val="nil"/>
              <w:bottom w:val="single" w:sz="4" w:space="0" w:color="auto"/>
              <w:right w:val="single" w:sz="8" w:space="0" w:color="auto"/>
            </w:tcBorders>
            <w:shd w:val="clear" w:color="auto" w:fill="auto"/>
            <w:vAlign w:val="center"/>
            <w:hideMark/>
          </w:tcPr>
          <w:p w:rsidR="00C54CD1" w:rsidRDefault="00C54CD1"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 of Total Students</w:t>
            </w:r>
          </w:p>
          <w:p w:rsidR="00C54CD1" w:rsidRPr="001B165D" w:rsidRDefault="00C54CD1" w:rsidP="001B165D">
            <w:pPr>
              <w:jc w:val="center"/>
              <w:rPr>
                <w:rFonts w:ascii="Calibri" w:hAnsi="Calibri" w:cs="Calibri"/>
                <w:b/>
                <w:bCs/>
                <w:color w:val="000000"/>
                <w:szCs w:val="22"/>
                <w:lang w:eastAsia="en-AU"/>
              </w:rPr>
            </w:pPr>
            <w:r>
              <w:rPr>
                <w:rFonts w:ascii="Calibri" w:hAnsi="Calibri" w:cs="Calibri"/>
                <w:b/>
                <w:bCs/>
                <w:color w:val="000000"/>
                <w:szCs w:val="22"/>
                <w:lang w:eastAsia="en-AU"/>
              </w:rPr>
              <w:t>2011</w:t>
            </w:r>
          </w:p>
        </w:tc>
        <w:tc>
          <w:tcPr>
            <w:tcW w:w="870" w:type="pct"/>
            <w:tcBorders>
              <w:top w:val="single" w:sz="4" w:space="0" w:color="auto"/>
              <w:left w:val="nil"/>
              <w:bottom w:val="single" w:sz="4" w:space="0" w:color="auto"/>
              <w:right w:val="single" w:sz="4" w:space="0" w:color="auto"/>
            </w:tcBorders>
            <w:shd w:val="clear" w:color="auto" w:fill="auto"/>
            <w:vAlign w:val="center"/>
            <w:hideMark/>
          </w:tcPr>
          <w:p w:rsidR="00C54CD1" w:rsidRDefault="00C54CD1"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No. of Students</w:t>
            </w:r>
          </w:p>
          <w:p w:rsidR="00C54CD1" w:rsidRPr="001B165D" w:rsidRDefault="00C54CD1" w:rsidP="001B165D">
            <w:pPr>
              <w:jc w:val="center"/>
              <w:rPr>
                <w:rFonts w:ascii="Calibri" w:hAnsi="Calibri" w:cs="Calibri"/>
                <w:b/>
                <w:bCs/>
                <w:color w:val="000000"/>
                <w:szCs w:val="22"/>
                <w:lang w:eastAsia="en-AU"/>
              </w:rPr>
            </w:pPr>
            <w:r>
              <w:rPr>
                <w:rFonts w:ascii="Calibri" w:hAnsi="Calibri" w:cs="Calibri"/>
                <w:b/>
                <w:bCs/>
                <w:color w:val="000000"/>
                <w:szCs w:val="22"/>
                <w:lang w:eastAsia="en-AU"/>
              </w:rPr>
              <w:t>2012</w:t>
            </w:r>
          </w:p>
        </w:tc>
        <w:tc>
          <w:tcPr>
            <w:tcW w:w="870" w:type="pct"/>
            <w:tcBorders>
              <w:top w:val="single" w:sz="4" w:space="0" w:color="auto"/>
              <w:left w:val="nil"/>
              <w:bottom w:val="single" w:sz="4" w:space="0" w:color="auto"/>
              <w:right w:val="single" w:sz="4" w:space="0" w:color="auto"/>
            </w:tcBorders>
            <w:shd w:val="clear" w:color="auto" w:fill="auto"/>
            <w:vAlign w:val="center"/>
            <w:hideMark/>
          </w:tcPr>
          <w:p w:rsidR="00C54CD1" w:rsidRDefault="00C54CD1" w:rsidP="001B165D">
            <w:pPr>
              <w:jc w:val="center"/>
              <w:rPr>
                <w:rFonts w:ascii="Calibri" w:hAnsi="Calibri" w:cs="Calibri"/>
                <w:b/>
                <w:bCs/>
                <w:color w:val="000000"/>
                <w:szCs w:val="22"/>
                <w:lang w:eastAsia="en-AU"/>
              </w:rPr>
            </w:pPr>
            <w:r w:rsidRPr="001B165D">
              <w:rPr>
                <w:rFonts w:ascii="Calibri" w:hAnsi="Calibri" w:cs="Calibri"/>
                <w:b/>
                <w:bCs/>
                <w:color w:val="000000"/>
                <w:szCs w:val="22"/>
                <w:lang w:eastAsia="en-AU"/>
              </w:rPr>
              <w:t>% of Total Students</w:t>
            </w:r>
          </w:p>
          <w:p w:rsidR="00C54CD1" w:rsidRPr="001B165D" w:rsidRDefault="00C54CD1" w:rsidP="001B165D">
            <w:pPr>
              <w:jc w:val="center"/>
              <w:rPr>
                <w:rFonts w:ascii="Calibri" w:hAnsi="Calibri" w:cs="Calibri"/>
                <w:b/>
                <w:bCs/>
                <w:color w:val="000000"/>
                <w:szCs w:val="22"/>
                <w:lang w:eastAsia="en-AU"/>
              </w:rPr>
            </w:pPr>
            <w:r>
              <w:rPr>
                <w:rFonts w:ascii="Calibri" w:hAnsi="Calibri" w:cs="Calibri"/>
                <w:b/>
                <w:bCs/>
                <w:color w:val="000000"/>
                <w:szCs w:val="22"/>
                <w:lang w:eastAsia="en-AU"/>
              </w:rPr>
              <w:t>2012</w:t>
            </w:r>
          </w:p>
        </w:tc>
      </w:tr>
      <w:tr w:rsidR="00C54CD1" w:rsidRPr="001B165D" w:rsidTr="00C54CD1">
        <w:trPr>
          <w:trHeight w:val="292"/>
        </w:trPr>
        <w:tc>
          <w:tcPr>
            <w:tcW w:w="1522" w:type="pct"/>
            <w:tcBorders>
              <w:top w:val="single" w:sz="4" w:space="0" w:color="auto"/>
              <w:left w:val="single" w:sz="4" w:space="0" w:color="auto"/>
              <w:bottom w:val="single" w:sz="4" w:space="0" w:color="auto"/>
              <w:right w:val="nil"/>
            </w:tcBorders>
            <w:shd w:val="clear" w:color="000000" w:fill="C0C0C0"/>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School Enrolment</w:t>
            </w:r>
          </w:p>
        </w:tc>
        <w:tc>
          <w:tcPr>
            <w:tcW w:w="870" w:type="pct"/>
            <w:tcBorders>
              <w:top w:val="single" w:sz="4" w:space="0" w:color="auto"/>
              <w:left w:val="single" w:sz="8" w:space="0" w:color="auto"/>
              <w:bottom w:val="single" w:sz="4" w:space="0" w:color="auto"/>
              <w:right w:val="single" w:sz="4" w:space="0" w:color="auto"/>
            </w:tcBorders>
            <w:shd w:val="clear" w:color="000000" w:fill="C0C0C0"/>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288</w:t>
            </w:r>
          </w:p>
        </w:tc>
        <w:tc>
          <w:tcPr>
            <w:tcW w:w="870" w:type="pct"/>
            <w:tcBorders>
              <w:top w:val="single" w:sz="4" w:space="0" w:color="auto"/>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71.6</w:t>
            </w:r>
          </w:p>
        </w:tc>
        <w:tc>
          <w:tcPr>
            <w:tcW w:w="870" w:type="pct"/>
            <w:tcBorders>
              <w:top w:val="single" w:sz="4" w:space="0" w:color="auto"/>
              <w:left w:val="nil"/>
              <w:bottom w:val="single" w:sz="4" w:space="0" w:color="auto"/>
              <w:right w:val="single" w:sz="4" w:space="0" w:color="auto"/>
            </w:tcBorders>
            <w:shd w:val="clear" w:color="000000" w:fill="C0C0C0"/>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238</w:t>
            </w:r>
          </w:p>
        </w:tc>
        <w:tc>
          <w:tcPr>
            <w:tcW w:w="870" w:type="pct"/>
            <w:tcBorders>
              <w:top w:val="single" w:sz="4" w:space="0" w:color="auto"/>
              <w:left w:val="nil"/>
              <w:bottom w:val="single" w:sz="4" w:space="0" w:color="auto"/>
              <w:right w:val="single" w:sz="4" w:space="0" w:color="auto"/>
            </w:tcBorders>
            <w:shd w:val="clear" w:color="000000" w:fill="B7DEE8"/>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65.4</w:t>
            </w:r>
          </w:p>
        </w:tc>
      </w:tr>
      <w:tr w:rsidR="00C54CD1" w:rsidRPr="001B165D" w:rsidTr="00C54CD1">
        <w:trPr>
          <w:trHeight w:val="292"/>
        </w:trPr>
        <w:tc>
          <w:tcPr>
            <w:tcW w:w="1522" w:type="pct"/>
            <w:tcBorders>
              <w:top w:val="single" w:sz="4" w:space="0" w:color="auto"/>
              <w:left w:val="single" w:sz="4" w:space="0" w:color="auto"/>
              <w:bottom w:val="single" w:sz="4" w:space="0" w:color="auto"/>
              <w:right w:val="nil"/>
            </w:tcBorders>
            <w:shd w:val="clear" w:color="auto" w:fill="auto"/>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Tertiary/TAFE/Training</w:t>
            </w:r>
          </w:p>
        </w:tc>
        <w:tc>
          <w:tcPr>
            <w:tcW w:w="870"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5</w:t>
            </w:r>
          </w:p>
        </w:tc>
        <w:tc>
          <w:tcPr>
            <w:tcW w:w="870" w:type="pct"/>
            <w:tcBorders>
              <w:top w:val="single" w:sz="4" w:space="0" w:color="auto"/>
              <w:left w:val="nil"/>
              <w:bottom w:val="single" w:sz="4" w:space="0" w:color="auto"/>
              <w:right w:val="single" w:sz="8" w:space="0" w:color="auto"/>
            </w:tcBorders>
            <w:shd w:val="clear" w:color="auto" w:fill="auto"/>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1.2</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12</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3.3</w:t>
            </w:r>
          </w:p>
        </w:tc>
      </w:tr>
      <w:tr w:rsidR="00C54CD1" w:rsidRPr="001B165D" w:rsidTr="00C54CD1">
        <w:trPr>
          <w:trHeight w:val="292"/>
        </w:trPr>
        <w:tc>
          <w:tcPr>
            <w:tcW w:w="1522" w:type="pct"/>
            <w:tcBorders>
              <w:top w:val="single" w:sz="4" w:space="0" w:color="auto"/>
              <w:left w:val="single" w:sz="4" w:space="0" w:color="auto"/>
              <w:bottom w:val="single" w:sz="4" w:space="0" w:color="auto"/>
              <w:right w:val="nil"/>
            </w:tcBorders>
            <w:shd w:val="clear" w:color="000000" w:fill="C0C0C0"/>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Employment</w:t>
            </w:r>
          </w:p>
        </w:tc>
        <w:tc>
          <w:tcPr>
            <w:tcW w:w="870" w:type="pct"/>
            <w:tcBorders>
              <w:top w:val="single" w:sz="4" w:space="0" w:color="auto"/>
              <w:left w:val="single" w:sz="8" w:space="0" w:color="auto"/>
              <w:bottom w:val="single" w:sz="4" w:space="0" w:color="auto"/>
              <w:right w:val="single" w:sz="4" w:space="0" w:color="auto"/>
            </w:tcBorders>
            <w:shd w:val="clear" w:color="000000" w:fill="C0C0C0"/>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14</w:t>
            </w:r>
          </w:p>
        </w:tc>
        <w:tc>
          <w:tcPr>
            <w:tcW w:w="870" w:type="pct"/>
            <w:tcBorders>
              <w:top w:val="single" w:sz="4" w:space="0" w:color="auto"/>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3.5</w:t>
            </w:r>
          </w:p>
        </w:tc>
        <w:tc>
          <w:tcPr>
            <w:tcW w:w="870" w:type="pct"/>
            <w:tcBorders>
              <w:top w:val="single" w:sz="4" w:space="0" w:color="auto"/>
              <w:left w:val="nil"/>
              <w:bottom w:val="single" w:sz="4" w:space="0" w:color="auto"/>
              <w:right w:val="single" w:sz="4" w:space="0" w:color="auto"/>
            </w:tcBorders>
            <w:shd w:val="clear" w:color="000000" w:fill="C0C0C0"/>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16</w:t>
            </w:r>
          </w:p>
        </w:tc>
        <w:tc>
          <w:tcPr>
            <w:tcW w:w="870" w:type="pct"/>
            <w:tcBorders>
              <w:top w:val="single" w:sz="4" w:space="0" w:color="auto"/>
              <w:left w:val="nil"/>
              <w:bottom w:val="single" w:sz="4" w:space="0" w:color="auto"/>
              <w:right w:val="single" w:sz="4" w:space="0" w:color="auto"/>
            </w:tcBorders>
            <w:shd w:val="clear" w:color="000000" w:fill="B7DEE8"/>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4.4</w:t>
            </w:r>
          </w:p>
        </w:tc>
      </w:tr>
      <w:tr w:rsidR="00C54CD1" w:rsidRPr="001B165D" w:rsidTr="00C54CD1">
        <w:trPr>
          <w:trHeight w:val="292"/>
        </w:trPr>
        <w:tc>
          <w:tcPr>
            <w:tcW w:w="1522" w:type="pct"/>
            <w:tcBorders>
              <w:top w:val="single" w:sz="4" w:space="0" w:color="auto"/>
              <w:left w:val="single" w:sz="4" w:space="0" w:color="auto"/>
              <w:bottom w:val="single" w:sz="4" w:space="0" w:color="auto"/>
              <w:right w:val="nil"/>
            </w:tcBorders>
            <w:shd w:val="clear" w:color="auto" w:fill="auto"/>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Seeking Employment</w:t>
            </w:r>
          </w:p>
        </w:tc>
        <w:tc>
          <w:tcPr>
            <w:tcW w:w="870"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30</w:t>
            </w:r>
          </w:p>
        </w:tc>
        <w:tc>
          <w:tcPr>
            <w:tcW w:w="870" w:type="pct"/>
            <w:tcBorders>
              <w:top w:val="single" w:sz="4" w:space="0" w:color="auto"/>
              <w:left w:val="nil"/>
              <w:bottom w:val="single" w:sz="4" w:space="0" w:color="auto"/>
              <w:right w:val="single" w:sz="8" w:space="0" w:color="auto"/>
            </w:tcBorders>
            <w:shd w:val="clear" w:color="auto" w:fill="auto"/>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7.5</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25</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6.9</w:t>
            </w:r>
          </w:p>
        </w:tc>
      </w:tr>
      <w:tr w:rsidR="00C54CD1" w:rsidRPr="001B165D" w:rsidTr="00C54CD1">
        <w:trPr>
          <w:trHeight w:val="292"/>
        </w:trPr>
        <w:tc>
          <w:tcPr>
            <w:tcW w:w="1522" w:type="pct"/>
            <w:tcBorders>
              <w:top w:val="single" w:sz="4" w:space="0" w:color="auto"/>
              <w:left w:val="single" w:sz="4" w:space="0" w:color="auto"/>
              <w:bottom w:val="single" w:sz="4" w:space="0" w:color="auto"/>
              <w:right w:val="nil"/>
            </w:tcBorders>
            <w:shd w:val="clear" w:color="000000" w:fill="C0C0C0"/>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Left South Australia</w:t>
            </w:r>
          </w:p>
        </w:tc>
        <w:tc>
          <w:tcPr>
            <w:tcW w:w="870" w:type="pct"/>
            <w:tcBorders>
              <w:top w:val="single" w:sz="4" w:space="0" w:color="auto"/>
              <w:left w:val="single" w:sz="8" w:space="0" w:color="auto"/>
              <w:bottom w:val="single" w:sz="4" w:space="0" w:color="auto"/>
              <w:right w:val="single" w:sz="4" w:space="0" w:color="auto"/>
            </w:tcBorders>
            <w:shd w:val="clear" w:color="000000" w:fill="C0C0C0"/>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5</w:t>
            </w:r>
          </w:p>
        </w:tc>
        <w:tc>
          <w:tcPr>
            <w:tcW w:w="870" w:type="pct"/>
            <w:tcBorders>
              <w:top w:val="single" w:sz="4" w:space="0" w:color="auto"/>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1.2</w:t>
            </w:r>
          </w:p>
        </w:tc>
        <w:tc>
          <w:tcPr>
            <w:tcW w:w="870" w:type="pct"/>
            <w:tcBorders>
              <w:top w:val="single" w:sz="4" w:space="0" w:color="auto"/>
              <w:left w:val="nil"/>
              <w:bottom w:val="single" w:sz="4" w:space="0" w:color="auto"/>
              <w:right w:val="single" w:sz="4" w:space="0" w:color="auto"/>
            </w:tcBorders>
            <w:shd w:val="clear" w:color="000000" w:fill="C0C0C0"/>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7</w:t>
            </w:r>
          </w:p>
        </w:tc>
        <w:tc>
          <w:tcPr>
            <w:tcW w:w="870" w:type="pct"/>
            <w:tcBorders>
              <w:top w:val="single" w:sz="4" w:space="0" w:color="auto"/>
              <w:left w:val="nil"/>
              <w:bottom w:val="single" w:sz="4" w:space="0" w:color="auto"/>
              <w:right w:val="single" w:sz="4" w:space="0" w:color="auto"/>
            </w:tcBorders>
            <w:shd w:val="clear" w:color="000000" w:fill="B7DEE8"/>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1.9</w:t>
            </w:r>
          </w:p>
        </w:tc>
      </w:tr>
      <w:tr w:rsidR="00C54CD1" w:rsidRPr="001B165D" w:rsidTr="00C54CD1">
        <w:trPr>
          <w:trHeight w:val="292"/>
        </w:trPr>
        <w:tc>
          <w:tcPr>
            <w:tcW w:w="1522" w:type="pct"/>
            <w:tcBorders>
              <w:top w:val="single" w:sz="4" w:space="0" w:color="auto"/>
              <w:left w:val="single" w:sz="4" w:space="0" w:color="auto"/>
              <w:bottom w:val="single" w:sz="4" w:space="0" w:color="auto"/>
              <w:right w:val="nil"/>
            </w:tcBorders>
            <w:shd w:val="clear" w:color="auto" w:fill="auto"/>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Other</w:t>
            </w:r>
          </w:p>
        </w:tc>
        <w:tc>
          <w:tcPr>
            <w:tcW w:w="870"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9</w:t>
            </w:r>
          </w:p>
        </w:tc>
        <w:tc>
          <w:tcPr>
            <w:tcW w:w="870" w:type="pct"/>
            <w:tcBorders>
              <w:top w:val="single" w:sz="4" w:space="0" w:color="auto"/>
              <w:left w:val="nil"/>
              <w:bottom w:val="single" w:sz="4" w:space="0" w:color="auto"/>
              <w:right w:val="single" w:sz="8" w:space="0" w:color="auto"/>
            </w:tcBorders>
            <w:shd w:val="clear" w:color="auto" w:fill="auto"/>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2.2</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4</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1.1</w:t>
            </w:r>
          </w:p>
        </w:tc>
      </w:tr>
      <w:tr w:rsidR="00C54CD1" w:rsidRPr="001B165D" w:rsidTr="00C54CD1">
        <w:trPr>
          <w:trHeight w:val="292"/>
        </w:trPr>
        <w:tc>
          <w:tcPr>
            <w:tcW w:w="1522" w:type="pct"/>
            <w:tcBorders>
              <w:top w:val="single" w:sz="4" w:space="0" w:color="auto"/>
              <w:left w:val="single" w:sz="4" w:space="0" w:color="auto"/>
              <w:bottom w:val="single" w:sz="4" w:space="0" w:color="auto"/>
              <w:right w:val="nil"/>
            </w:tcBorders>
            <w:shd w:val="clear" w:color="000000" w:fill="C0C0C0"/>
            <w:vAlign w:val="bottom"/>
            <w:hideMark/>
          </w:tcPr>
          <w:p w:rsidR="00C54CD1" w:rsidRPr="001B165D" w:rsidRDefault="00C54CD1" w:rsidP="001B165D">
            <w:pPr>
              <w:rPr>
                <w:rFonts w:ascii="Calibri" w:hAnsi="Calibri" w:cs="Calibri"/>
                <w:szCs w:val="22"/>
                <w:lang w:eastAsia="en-AU"/>
              </w:rPr>
            </w:pPr>
            <w:r w:rsidRPr="001B165D">
              <w:rPr>
                <w:rFonts w:ascii="Calibri" w:hAnsi="Calibri" w:cs="Calibri"/>
                <w:szCs w:val="22"/>
                <w:lang w:eastAsia="en-AU"/>
              </w:rPr>
              <w:t>Unknown</w:t>
            </w:r>
          </w:p>
        </w:tc>
        <w:tc>
          <w:tcPr>
            <w:tcW w:w="870" w:type="pct"/>
            <w:tcBorders>
              <w:top w:val="single" w:sz="4" w:space="0" w:color="auto"/>
              <w:left w:val="single" w:sz="8" w:space="0" w:color="auto"/>
              <w:bottom w:val="single" w:sz="4" w:space="0" w:color="auto"/>
              <w:right w:val="single" w:sz="4" w:space="0" w:color="auto"/>
            </w:tcBorders>
            <w:shd w:val="clear" w:color="000000" w:fill="C0C0C0"/>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51</w:t>
            </w:r>
          </w:p>
        </w:tc>
        <w:tc>
          <w:tcPr>
            <w:tcW w:w="870" w:type="pct"/>
            <w:tcBorders>
              <w:top w:val="single" w:sz="4" w:space="0" w:color="auto"/>
              <w:left w:val="nil"/>
              <w:bottom w:val="single" w:sz="4" w:space="0" w:color="auto"/>
              <w:right w:val="single" w:sz="8" w:space="0" w:color="auto"/>
            </w:tcBorders>
            <w:shd w:val="clear" w:color="000000" w:fill="B7DEE8"/>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12.7</w:t>
            </w:r>
          </w:p>
        </w:tc>
        <w:tc>
          <w:tcPr>
            <w:tcW w:w="870" w:type="pct"/>
            <w:tcBorders>
              <w:top w:val="single" w:sz="4" w:space="0" w:color="auto"/>
              <w:left w:val="nil"/>
              <w:bottom w:val="single" w:sz="4" w:space="0" w:color="auto"/>
              <w:right w:val="single" w:sz="4" w:space="0" w:color="auto"/>
            </w:tcBorders>
            <w:shd w:val="clear" w:color="000000" w:fill="C0C0C0"/>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62</w:t>
            </w:r>
          </w:p>
        </w:tc>
        <w:tc>
          <w:tcPr>
            <w:tcW w:w="870" w:type="pct"/>
            <w:tcBorders>
              <w:top w:val="single" w:sz="4" w:space="0" w:color="auto"/>
              <w:left w:val="nil"/>
              <w:bottom w:val="single" w:sz="4" w:space="0" w:color="auto"/>
              <w:right w:val="single" w:sz="4" w:space="0" w:color="auto"/>
            </w:tcBorders>
            <w:shd w:val="clear" w:color="000000" w:fill="B7DEE8"/>
            <w:noWrap/>
            <w:vAlign w:val="bottom"/>
            <w:hideMark/>
          </w:tcPr>
          <w:p w:rsidR="00C54CD1" w:rsidRPr="001B165D" w:rsidRDefault="00C54CD1" w:rsidP="001B165D">
            <w:pPr>
              <w:ind w:right="196" w:firstLineChars="200" w:firstLine="440"/>
              <w:jc w:val="right"/>
              <w:rPr>
                <w:rFonts w:ascii="Calibri" w:hAnsi="Calibri" w:cs="Calibri"/>
                <w:szCs w:val="22"/>
                <w:lang w:eastAsia="en-AU"/>
              </w:rPr>
            </w:pPr>
            <w:r w:rsidRPr="001B165D">
              <w:rPr>
                <w:rFonts w:ascii="Calibri" w:hAnsi="Calibri" w:cs="Calibri"/>
                <w:szCs w:val="22"/>
                <w:lang w:eastAsia="en-AU"/>
              </w:rPr>
              <w:t>17.0</w:t>
            </w:r>
          </w:p>
        </w:tc>
      </w:tr>
      <w:tr w:rsidR="00C54CD1" w:rsidRPr="001B165D" w:rsidTr="00C54CD1">
        <w:trPr>
          <w:trHeight w:val="292"/>
        </w:trPr>
        <w:tc>
          <w:tcPr>
            <w:tcW w:w="1522" w:type="pct"/>
            <w:tcBorders>
              <w:top w:val="single" w:sz="4" w:space="0" w:color="auto"/>
              <w:left w:val="single" w:sz="4" w:space="0" w:color="auto"/>
              <w:bottom w:val="single" w:sz="4" w:space="0" w:color="auto"/>
              <w:right w:val="nil"/>
            </w:tcBorders>
            <w:shd w:val="clear" w:color="auto" w:fill="auto"/>
            <w:vAlign w:val="bottom"/>
            <w:hideMark/>
          </w:tcPr>
          <w:p w:rsidR="00C54CD1" w:rsidRPr="001B165D" w:rsidRDefault="00C54CD1" w:rsidP="001B165D">
            <w:pPr>
              <w:rPr>
                <w:rFonts w:ascii="Calibri" w:hAnsi="Calibri" w:cs="Calibri"/>
                <w:b/>
                <w:bCs/>
                <w:szCs w:val="22"/>
                <w:lang w:eastAsia="en-AU"/>
              </w:rPr>
            </w:pPr>
            <w:r w:rsidRPr="001B165D">
              <w:rPr>
                <w:rFonts w:ascii="Calibri" w:hAnsi="Calibri" w:cs="Calibri"/>
                <w:b/>
                <w:bCs/>
                <w:szCs w:val="22"/>
                <w:lang w:eastAsia="en-AU"/>
              </w:rPr>
              <w:t>Total</w:t>
            </w:r>
          </w:p>
        </w:tc>
        <w:tc>
          <w:tcPr>
            <w:tcW w:w="870"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54CD1" w:rsidRPr="001B165D" w:rsidRDefault="00C54CD1" w:rsidP="001B165D">
            <w:pPr>
              <w:ind w:right="196" w:firstLineChars="200" w:firstLine="442"/>
              <w:jc w:val="right"/>
              <w:rPr>
                <w:rFonts w:ascii="Calibri" w:hAnsi="Calibri" w:cs="Calibri"/>
                <w:b/>
                <w:bCs/>
                <w:szCs w:val="22"/>
                <w:lang w:eastAsia="en-AU"/>
              </w:rPr>
            </w:pPr>
            <w:r w:rsidRPr="001B165D">
              <w:rPr>
                <w:rFonts w:ascii="Calibri" w:hAnsi="Calibri" w:cs="Calibri"/>
                <w:b/>
                <w:bCs/>
                <w:szCs w:val="22"/>
                <w:lang w:eastAsia="en-AU"/>
              </w:rPr>
              <w:t>402</w:t>
            </w:r>
          </w:p>
        </w:tc>
        <w:tc>
          <w:tcPr>
            <w:tcW w:w="870" w:type="pct"/>
            <w:tcBorders>
              <w:top w:val="single" w:sz="4" w:space="0" w:color="auto"/>
              <w:left w:val="nil"/>
              <w:bottom w:val="single" w:sz="4" w:space="0" w:color="auto"/>
              <w:right w:val="single" w:sz="8" w:space="0" w:color="auto"/>
            </w:tcBorders>
            <w:shd w:val="clear" w:color="auto" w:fill="auto"/>
            <w:noWrap/>
            <w:vAlign w:val="bottom"/>
            <w:hideMark/>
          </w:tcPr>
          <w:p w:rsidR="00C54CD1" w:rsidRPr="001B165D" w:rsidRDefault="00C54CD1" w:rsidP="001B165D">
            <w:pPr>
              <w:ind w:right="196" w:firstLineChars="200" w:firstLine="442"/>
              <w:jc w:val="right"/>
              <w:rPr>
                <w:rFonts w:ascii="Calibri" w:hAnsi="Calibri" w:cs="Calibri"/>
                <w:b/>
                <w:bCs/>
                <w:szCs w:val="22"/>
                <w:lang w:eastAsia="en-AU"/>
              </w:rPr>
            </w:pPr>
            <w:r w:rsidRPr="001B165D">
              <w:rPr>
                <w:rFonts w:ascii="Calibri" w:hAnsi="Calibri" w:cs="Calibri"/>
                <w:b/>
                <w:bCs/>
                <w:szCs w:val="22"/>
                <w:lang w:eastAsia="en-AU"/>
              </w:rPr>
              <w:t>100.0</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C54CD1" w:rsidRPr="001B165D" w:rsidRDefault="00C54CD1" w:rsidP="001B165D">
            <w:pPr>
              <w:ind w:right="196" w:firstLineChars="200" w:firstLine="442"/>
              <w:jc w:val="right"/>
              <w:rPr>
                <w:rFonts w:ascii="Calibri" w:hAnsi="Calibri" w:cs="Calibri"/>
                <w:b/>
                <w:bCs/>
                <w:szCs w:val="22"/>
                <w:lang w:eastAsia="en-AU"/>
              </w:rPr>
            </w:pPr>
            <w:r w:rsidRPr="001B165D">
              <w:rPr>
                <w:rFonts w:ascii="Calibri" w:hAnsi="Calibri" w:cs="Calibri"/>
                <w:b/>
                <w:bCs/>
                <w:szCs w:val="22"/>
                <w:lang w:eastAsia="en-AU"/>
              </w:rPr>
              <w:t>364</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C54CD1" w:rsidRPr="001B165D" w:rsidRDefault="00C54CD1" w:rsidP="001B165D">
            <w:pPr>
              <w:ind w:right="196" w:firstLineChars="200" w:firstLine="442"/>
              <w:jc w:val="right"/>
              <w:rPr>
                <w:rFonts w:ascii="Calibri" w:hAnsi="Calibri" w:cs="Calibri"/>
                <w:b/>
                <w:bCs/>
                <w:szCs w:val="22"/>
                <w:lang w:eastAsia="en-AU"/>
              </w:rPr>
            </w:pPr>
            <w:r w:rsidRPr="001B165D">
              <w:rPr>
                <w:rFonts w:ascii="Calibri" w:hAnsi="Calibri" w:cs="Calibri"/>
                <w:b/>
                <w:bCs/>
                <w:szCs w:val="22"/>
                <w:lang w:eastAsia="en-AU"/>
              </w:rPr>
              <w:t>100.0</w:t>
            </w:r>
          </w:p>
        </w:tc>
      </w:tr>
    </w:tbl>
    <w:p w:rsidR="00AE6D45" w:rsidRDefault="00AE6D45" w:rsidP="001B165D">
      <w:pPr>
        <w:tabs>
          <w:tab w:val="left" w:pos="0"/>
        </w:tabs>
        <w:spacing w:before="120"/>
        <w:rPr>
          <w:rFonts w:ascii="Calibri" w:hAnsi="Calibri" w:cs="Arial"/>
          <w:sz w:val="20"/>
        </w:rPr>
      </w:pPr>
    </w:p>
    <w:p w:rsidR="00AE6D45" w:rsidRDefault="00AE6D45">
      <w:pPr>
        <w:rPr>
          <w:rFonts w:ascii="Calibri" w:hAnsi="Calibri" w:cs="Arial"/>
          <w:sz w:val="20"/>
        </w:rPr>
      </w:pPr>
      <w:r>
        <w:rPr>
          <w:rFonts w:ascii="Calibri" w:hAnsi="Calibri" w:cs="Arial"/>
          <w:sz w:val="20"/>
        </w:rPr>
        <w:br w:type="page"/>
      </w:r>
    </w:p>
    <w:p w:rsidR="001B165D" w:rsidRPr="001B165D" w:rsidRDefault="001B165D" w:rsidP="001B165D">
      <w:pPr>
        <w:tabs>
          <w:tab w:val="left" w:pos="0"/>
        </w:tabs>
        <w:spacing w:before="120"/>
        <w:rPr>
          <w:rFonts w:ascii="Calibri" w:hAnsi="Calibri" w:cs="Arial"/>
          <w:sz w:val="20"/>
        </w:rPr>
      </w:pPr>
    </w:p>
    <w:p w:rsidR="001B165D" w:rsidRPr="001B165D" w:rsidRDefault="001B165D" w:rsidP="001B165D">
      <w:pPr>
        <w:tabs>
          <w:tab w:val="left" w:pos="0"/>
        </w:tabs>
        <w:rPr>
          <w:rFonts w:ascii="Calibri" w:hAnsi="Calibri" w:cs="Arial"/>
          <w:b/>
          <w:bCs/>
          <w:color w:val="000000"/>
          <w:szCs w:val="22"/>
        </w:rPr>
      </w:pPr>
      <w:r w:rsidRPr="001B165D">
        <w:rPr>
          <w:rFonts w:ascii="Calibri" w:hAnsi="Calibri" w:cs="Arial"/>
          <w:b/>
          <w:bCs/>
          <w:color w:val="000000"/>
          <w:szCs w:val="22"/>
        </w:rPr>
        <w:t>Footnotes section 4(2) — Table 3.1(a) and Table 3.1(b)</w:t>
      </w:r>
    </w:p>
    <w:p w:rsidR="001B165D" w:rsidRPr="001B165D" w:rsidRDefault="001B165D" w:rsidP="001B165D">
      <w:pPr>
        <w:spacing w:before="60"/>
        <w:rPr>
          <w:rFonts w:ascii="Calibri" w:hAnsi="Calibri" w:cs="Calibri"/>
          <w:sz w:val="20"/>
        </w:rPr>
      </w:pPr>
      <w:r w:rsidRPr="001B165D">
        <w:rPr>
          <w:rFonts w:ascii="Calibri" w:hAnsi="Calibri" w:cs="Arial"/>
          <w:sz w:val="20"/>
        </w:rPr>
        <w:t xml:space="preserve">(1) The intended destination of students (Year 10 and above) participating in </w:t>
      </w:r>
      <w:proofErr w:type="spellStart"/>
      <w:r w:rsidRPr="001B165D">
        <w:rPr>
          <w:rFonts w:ascii="Calibri" w:hAnsi="Calibri" w:cs="Arial"/>
          <w:sz w:val="20"/>
        </w:rPr>
        <w:t>CMaD</w:t>
      </w:r>
      <w:proofErr w:type="spellEnd"/>
      <w:r w:rsidRPr="001B165D">
        <w:rPr>
          <w:rFonts w:ascii="Calibri" w:hAnsi="Calibri" w:cs="Arial"/>
          <w:sz w:val="20"/>
        </w:rPr>
        <w:t xml:space="preserve"> </w:t>
      </w:r>
      <w:r w:rsidRPr="001B165D">
        <w:rPr>
          <w:rFonts w:ascii="Calibri" w:hAnsi="Calibri" w:cs="Arial"/>
          <w:bCs/>
          <w:color w:val="000000"/>
          <w:sz w:val="20"/>
        </w:rPr>
        <w:t xml:space="preserve">National Partnership </w:t>
      </w:r>
      <w:r w:rsidRPr="001B165D">
        <w:rPr>
          <w:rFonts w:ascii="Calibri" w:hAnsi="Calibri" w:cs="Arial"/>
          <w:sz w:val="20"/>
        </w:rPr>
        <w:t xml:space="preserve">‘Individual Targeted Support’ sourced from the </w:t>
      </w:r>
      <w:proofErr w:type="spellStart"/>
      <w:r w:rsidRPr="001B165D">
        <w:rPr>
          <w:rFonts w:ascii="Calibri" w:hAnsi="Calibri"/>
          <w:sz w:val="20"/>
        </w:rPr>
        <w:t>DECD</w:t>
      </w:r>
      <w:proofErr w:type="spellEnd"/>
      <w:r w:rsidRPr="001B165D">
        <w:rPr>
          <w:rFonts w:ascii="Calibri" w:hAnsi="Calibri"/>
          <w:sz w:val="20"/>
        </w:rPr>
        <w:t xml:space="preserve"> Student Census System</w:t>
      </w:r>
      <w:r w:rsidRPr="001B165D">
        <w:rPr>
          <w:rFonts w:ascii="Calibri" w:hAnsi="Calibri" w:cs="Arial"/>
          <w:sz w:val="20"/>
        </w:rPr>
        <w:t xml:space="preserve"> </w:t>
      </w:r>
      <w:r w:rsidRPr="001B165D">
        <w:rPr>
          <w:rFonts w:ascii="Calibri" w:hAnsi="Calibri"/>
          <w:sz w:val="20"/>
        </w:rPr>
        <w:t xml:space="preserve">Term 1, </w:t>
      </w:r>
      <w:r w:rsidRPr="001B165D">
        <w:rPr>
          <w:rFonts w:ascii="Calibri" w:hAnsi="Calibri" w:cs="Arial"/>
          <w:sz w:val="20"/>
        </w:rPr>
        <w:t xml:space="preserve">subsequent reporting period(s) . This information should be used with discretion. A follow up survey such as student intended destination has limitations such as cost, low response rates, and the difficulty of contacting populations who tend to be very mobile. </w:t>
      </w:r>
      <w:r w:rsidRPr="001B165D">
        <w:rPr>
          <w:rFonts w:ascii="Calibri" w:hAnsi="Calibri"/>
          <w:sz w:val="20"/>
        </w:rPr>
        <w:t xml:space="preserve">Continuation of ‘School Enrolment’ is based on the assumption that students with an ‘active' status’ in the </w:t>
      </w:r>
      <w:r w:rsidRPr="001B165D">
        <w:rPr>
          <w:rFonts w:ascii="Calibri" w:hAnsi="Calibri" w:cs="Arial"/>
          <w:sz w:val="20"/>
        </w:rPr>
        <w:t xml:space="preserve">Central </w:t>
      </w:r>
      <w:proofErr w:type="spellStart"/>
      <w:r w:rsidRPr="001B165D">
        <w:rPr>
          <w:rFonts w:ascii="Calibri" w:hAnsi="Calibri" w:cs="Arial"/>
          <w:sz w:val="20"/>
        </w:rPr>
        <w:t>EDSAS</w:t>
      </w:r>
      <w:proofErr w:type="spellEnd"/>
      <w:r w:rsidRPr="001B165D">
        <w:rPr>
          <w:rFonts w:ascii="Calibri" w:hAnsi="Calibri" w:cs="Arial"/>
          <w:sz w:val="20"/>
        </w:rPr>
        <w:t xml:space="preserve"> Data Store (</w:t>
      </w:r>
      <w:proofErr w:type="spellStart"/>
      <w:r w:rsidRPr="001B165D">
        <w:rPr>
          <w:rFonts w:ascii="Calibri" w:hAnsi="Calibri" w:cs="Arial"/>
          <w:bCs/>
          <w:sz w:val="20"/>
        </w:rPr>
        <w:t>CEDS</w:t>
      </w:r>
      <w:proofErr w:type="spellEnd"/>
      <w:r w:rsidRPr="001B165D">
        <w:rPr>
          <w:rFonts w:ascii="Calibri" w:hAnsi="Calibri" w:cs="Arial"/>
          <w:sz w:val="20"/>
        </w:rPr>
        <w:t>)</w:t>
      </w:r>
      <w:r w:rsidRPr="001B165D">
        <w:rPr>
          <w:rFonts w:cs="Arial"/>
          <w:sz w:val="20"/>
        </w:rPr>
        <w:t xml:space="preserve"> </w:t>
      </w:r>
      <w:r w:rsidRPr="001B165D">
        <w:rPr>
          <w:rFonts w:ascii="Calibri" w:hAnsi="Calibri"/>
          <w:sz w:val="20"/>
        </w:rPr>
        <w:t xml:space="preserve">are still at school. </w:t>
      </w:r>
      <w:proofErr w:type="spellStart"/>
      <w:r w:rsidRPr="001B165D">
        <w:rPr>
          <w:rFonts w:ascii="Calibri" w:hAnsi="Calibri"/>
          <w:sz w:val="20"/>
        </w:rPr>
        <w:t>DECD</w:t>
      </w:r>
      <w:proofErr w:type="spellEnd"/>
      <w:r w:rsidRPr="001B165D">
        <w:rPr>
          <w:rFonts w:ascii="Calibri" w:hAnsi="Calibri"/>
          <w:sz w:val="20"/>
        </w:rPr>
        <w:t xml:space="preserve"> Student Census System, Term 1, 2013.</w:t>
      </w:r>
    </w:p>
    <w:p w:rsidR="001B165D" w:rsidRPr="001B165D" w:rsidRDefault="001B165D" w:rsidP="001B165D">
      <w:pPr>
        <w:tabs>
          <w:tab w:val="left" w:pos="0"/>
        </w:tabs>
        <w:spacing w:before="120"/>
        <w:rPr>
          <w:rFonts w:ascii="Calibri" w:hAnsi="Calibri" w:cs="Arial"/>
          <w:sz w:val="20"/>
        </w:rPr>
      </w:pPr>
      <w:r w:rsidRPr="001B165D">
        <w:rPr>
          <w:rFonts w:ascii="Calibri" w:hAnsi="Calibri" w:cs="Arial"/>
          <w:sz w:val="20"/>
        </w:rPr>
        <w:t xml:space="preserve">(2) </w:t>
      </w:r>
      <w:r w:rsidRPr="001B165D">
        <w:rPr>
          <w:rFonts w:ascii="Calibri" w:hAnsi="Calibri" w:cs="Calibri"/>
          <w:sz w:val="20"/>
        </w:rPr>
        <w:t>Includes all students who identify as being Australian Aboriginal and/or Torres Strait Islander students in the reporting year. These figures may under represent the true number of Indigenous students due to the technical difficulties associated with data collection and reliance on self-identification.</w:t>
      </w:r>
    </w:p>
    <w:p w:rsidR="001B165D" w:rsidRPr="001B165D" w:rsidRDefault="001B165D" w:rsidP="001B165D">
      <w:pPr>
        <w:tabs>
          <w:tab w:val="left" w:pos="0"/>
        </w:tabs>
        <w:spacing w:before="120"/>
        <w:rPr>
          <w:rFonts w:ascii="Calibri" w:hAnsi="Calibri" w:cs="Arial"/>
          <w:sz w:val="20"/>
        </w:rPr>
      </w:pPr>
      <w:r w:rsidRPr="001B165D">
        <w:rPr>
          <w:rFonts w:ascii="Calibri" w:hAnsi="Calibri" w:cs="Arial"/>
          <w:sz w:val="20"/>
        </w:rPr>
        <w:t xml:space="preserve">(3) </w:t>
      </w:r>
      <w:r w:rsidRPr="001B165D">
        <w:rPr>
          <w:rFonts w:ascii="Calibri" w:hAnsi="Calibri" w:cs="Calibri"/>
          <w:sz w:val="20"/>
        </w:rPr>
        <w:t>Includes all students who identify as having a Language Background Other Than English (</w:t>
      </w:r>
      <w:proofErr w:type="spellStart"/>
      <w:r w:rsidRPr="001B165D">
        <w:rPr>
          <w:rFonts w:ascii="Calibri" w:hAnsi="Calibri" w:cs="Calibri"/>
          <w:sz w:val="20"/>
        </w:rPr>
        <w:t>LBOTE</w:t>
      </w:r>
      <w:proofErr w:type="spellEnd"/>
      <w:r w:rsidRPr="001B165D">
        <w:rPr>
          <w:rFonts w:ascii="Calibri" w:hAnsi="Calibri" w:cs="Calibri"/>
          <w:sz w:val="20"/>
        </w:rPr>
        <w:t xml:space="preserve">), where either the student, or the student’s parents or carers, speak a language other than English at home in the reporting year. These figures may under represent the true number of </w:t>
      </w:r>
      <w:proofErr w:type="spellStart"/>
      <w:r w:rsidRPr="001B165D">
        <w:rPr>
          <w:rFonts w:ascii="Calibri" w:hAnsi="Calibri" w:cs="Calibri"/>
          <w:sz w:val="20"/>
        </w:rPr>
        <w:t>LBOTE</w:t>
      </w:r>
      <w:proofErr w:type="spellEnd"/>
      <w:r w:rsidRPr="001B165D">
        <w:rPr>
          <w:rFonts w:ascii="Calibri" w:hAnsi="Calibri" w:cs="Calibri"/>
          <w:sz w:val="20"/>
        </w:rPr>
        <w:t xml:space="preserve"> students due to the technical difficulties associated with data collection and reliance on self-identification.</w:t>
      </w:r>
    </w:p>
    <w:p w:rsidR="001B165D" w:rsidRPr="001B165D" w:rsidRDefault="001B165D" w:rsidP="001B165D">
      <w:pPr>
        <w:tabs>
          <w:tab w:val="left" w:pos="0"/>
        </w:tabs>
        <w:spacing w:before="120"/>
        <w:rPr>
          <w:rFonts w:ascii="Calibri" w:hAnsi="Calibri" w:cs="Calibri"/>
          <w:sz w:val="20"/>
        </w:rPr>
      </w:pPr>
      <w:r w:rsidRPr="001B165D">
        <w:rPr>
          <w:rFonts w:ascii="Calibri" w:hAnsi="Calibri" w:cs="Arial"/>
          <w:sz w:val="20"/>
        </w:rPr>
        <w:t>(4)</w:t>
      </w:r>
      <w:r w:rsidRPr="001B165D">
        <w:rPr>
          <w:rFonts w:ascii="Calibri" w:hAnsi="Calibri" w:cs="Calibri"/>
          <w:sz w:val="20"/>
        </w:rPr>
        <w:t xml:space="preserve"> Includes all students who are eligible for the South Australian Department for Education and Child Development (</w:t>
      </w:r>
      <w:proofErr w:type="spellStart"/>
      <w:r w:rsidRPr="001B165D">
        <w:rPr>
          <w:rFonts w:ascii="Calibri" w:hAnsi="Calibri" w:cs="Calibri"/>
          <w:sz w:val="20"/>
        </w:rPr>
        <w:t>DECD</w:t>
      </w:r>
      <w:proofErr w:type="spellEnd"/>
      <w:r w:rsidRPr="001B165D">
        <w:rPr>
          <w:rFonts w:ascii="Calibri" w:hAnsi="Calibri" w:cs="Calibri"/>
          <w:sz w:val="20"/>
        </w:rPr>
        <w:t xml:space="preserve">) </w:t>
      </w:r>
      <w:r w:rsidRPr="001B165D">
        <w:rPr>
          <w:rFonts w:ascii="Calibri" w:hAnsi="Calibri" w:cs="Calibri"/>
          <w:i/>
          <w:sz w:val="20"/>
        </w:rPr>
        <w:t xml:space="preserve">Disability Support Program </w:t>
      </w:r>
      <w:r w:rsidRPr="001B165D">
        <w:rPr>
          <w:rFonts w:ascii="Calibri" w:hAnsi="Calibri" w:cs="Calibri"/>
          <w:sz w:val="20"/>
        </w:rPr>
        <w:t xml:space="preserve">in the reporting year. Eligibility for the </w:t>
      </w:r>
      <w:r w:rsidRPr="001B165D">
        <w:rPr>
          <w:rFonts w:ascii="Calibri" w:hAnsi="Calibri" w:cs="Calibri"/>
          <w:i/>
          <w:sz w:val="20"/>
        </w:rPr>
        <w:t>Disability Support Program</w:t>
      </w:r>
      <w:r w:rsidRPr="001B165D">
        <w:rPr>
          <w:rFonts w:ascii="Calibri" w:hAnsi="Calibri" w:cs="Calibri"/>
          <w:sz w:val="20"/>
        </w:rPr>
        <w:t xml:space="preserve"> requires evidence of both impairment, as described in the </w:t>
      </w:r>
      <w:proofErr w:type="spellStart"/>
      <w:r w:rsidRPr="001B165D">
        <w:rPr>
          <w:rFonts w:ascii="Calibri" w:hAnsi="Calibri" w:cs="Calibri"/>
          <w:sz w:val="20"/>
        </w:rPr>
        <w:t>DECD</w:t>
      </w:r>
      <w:proofErr w:type="spellEnd"/>
      <w:r w:rsidRPr="001B165D">
        <w:rPr>
          <w:rFonts w:ascii="Calibri" w:hAnsi="Calibri" w:cs="Calibri"/>
          <w:sz w:val="20"/>
        </w:rPr>
        <w:t xml:space="preserve"> </w:t>
      </w:r>
      <w:r w:rsidRPr="001B165D">
        <w:rPr>
          <w:rFonts w:ascii="Calibri" w:hAnsi="Calibri" w:cs="Calibri"/>
          <w:i/>
          <w:sz w:val="20"/>
        </w:rPr>
        <w:t>Disability Support Program 2007 Eligibility Criteria</w:t>
      </w:r>
      <w:r w:rsidRPr="001B165D">
        <w:rPr>
          <w:rFonts w:ascii="Calibri" w:hAnsi="Calibri" w:cs="Calibri"/>
          <w:sz w:val="20"/>
        </w:rPr>
        <w:t xml:space="preserve">, and the ways in which a student’s impairment does, or will, impact significantly on progress in the curriculum and on his/her ability to participate in learning activities and the school community. Please refer to </w:t>
      </w:r>
      <w:r w:rsidRPr="001B165D">
        <w:rPr>
          <w:color w:val="0000FF"/>
          <w:sz w:val="20"/>
          <w:u w:val="single"/>
        </w:rPr>
        <w:t>&lt;http://www.decd.sa.gov.au/speced/pages/specialneeds/intro/&gt;</w:t>
      </w:r>
      <w:r w:rsidRPr="001B165D">
        <w:rPr>
          <w:rFonts w:ascii="Calibri" w:hAnsi="Calibri" w:cs="Calibri"/>
          <w:sz w:val="20"/>
        </w:rPr>
        <w:t xml:space="preserve"> for further information.</w:t>
      </w:r>
    </w:p>
    <w:p w:rsidR="001B165D" w:rsidRPr="001B165D" w:rsidRDefault="001B165D" w:rsidP="001B165D">
      <w:pPr>
        <w:spacing w:before="120" w:after="120"/>
        <w:rPr>
          <w:rFonts w:ascii="Calibri" w:hAnsi="Calibri" w:cs="Arial"/>
          <w:bCs/>
          <w:color w:val="000000"/>
          <w:szCs w:val="24"/>
        </w:rPr>
      </w:pPr>
    </w:p>
    <w:p w:rsidR="001B165D" w:rsidRDefault="00A23750" w:rsidP="001B165D">
      <w:pPr>
        <w:rPr>
          <w:rFonts w:ascii="Calibri" w:hAnsi="Calibri" w:cs="Arial"/>
          <w:bCs/>
          <w:color w:val="000000"/>
          <w:szCs w:val="24"/>
        </w:rPr>
      </w:pPr>
      <w:r>
        <w:rPr>
          <w:rFonts w:ascii="Calibri" w:hAnsi="Calibri" w:cs="Arial"/>
          <w:bCs/>
          <w:color w:val="000000"/>
          <w:szCs w:val="24"/>
        </w:rPr>
        <w:br w:type="page"/>
      </w:r>
    </w:p>
    <w:p w:rsidR="00A23750" w:rsidRDefault="00A23750" w:rsidP="001B165D">
      <w:pPr>
        <w:rPr>
          <w:rFonts w:eastAsiaTheme="majorEastAsia" w:cstheme="minorHAnsi"/>
          <w:b/>
          <w:bCs/>
          <w:color w:val="1F497D" w:themeColor="text2"/>
          <w:szCs w:val="24"/>
        </w:rPr>
        <w:sectPr w:rsidR="00A23750" w:rsidSect="00632B23">
          <w:pgSz w:w="16839" w:h="11907" w:orient="landscape" w:code="9"/>
          <w:pgMar w:top="1440" w:right="1247" w:bottom="284" w:left="851" w:header="709" w:footer="304" w:gutter="0"/>
          <w:cols w:space="708"/>
          <w:titlePg/>
          <w:docGrid w:linePitch="360"/>
        </w:sectPr>
      </w:pPr>
    </w:p>
    <w:p w:rsidR="00C54CD1" w:rsidRDefault="00A23750" w:rsidP="001B165D">
      <w:pPr>
        <w:rPr>
          <w:rFonts w:eastAsiaTheme="majorEastAsia" w:cstheme="minorHAnsi"/>
          <w:b/>
          <w:bCs/>
          <w:color w:val="1F497D" w:themeColor="text2"/>
          <w:szCs w:val="24"/>
        </w:rPr>
      </w:pPr>
      <w:r w:rsidRPr="001B165D">
        <w:rPr>
          <w:rFonts w:eastAsiaTheme="majorEastAsia" w:cstheme="minorHAnsi"/>
          <w:b/>
          <w:bCs/>
          <w:color w:val="1F497D" w:themeColor="text2"/>
          <w:szCs w:val="24"/>
        </w:rPr>
        <w:lastRenderedPageBreak/>
        <w:t>Acronyms and abbreviations used in the 2013 South Australian progress report</w:t>
      </w:r>
    </w:p>
    <w:tbl>
      <w:tblPr>
        <w:tblpPr w:leftFromText="180" w:rightFromText="180" w:vertAnchor="page" w:horzAnchor="margin" w:tblpY="1215"/>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8156"/>
      </w:tblGrid>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APCSS</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 xml:space="preserve">Association </w:t>
            </w:r>
            <w:r w:rsidRPr="001B165D">
              <w:rPr>
                <w:rFonts w:eastAsiaTheme="majorEastAsia" w:cstheme="minorHAnsi"/>
                <w:b/>
                <w:bCs/>
                <w:color w:val="1F497D" w:themeColor="text2"/>
                <w:szCs w:val="24"/>
              </w:rPr>
              <w:t xml:space="preserve"> </w:t>
            </w:r>
            <w:r w:rsidRPr="001B165D">
              <w:rPr>
                <w:rFonts w:cstheme="minorHAnsi"/>
                <w:szCs w:val="22"/>
              </w:rPr>
              <w:t>of Principals of Catholic Secondary Schools</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ACEM</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Aboriginal Community Education Officer</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AIO</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Aboriginal Inclusion Officer</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AISSA</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Association of Independent Schools of South Australia</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AITSL</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Australian Institute for Teaching and School Leadership</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APST</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Australian Professional Standards for Teachers</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APY</w:t>
            </w:r>
            <w:proofErr w:type="spellEnd"/>
          </w:p>
        </w:tc>
        <w:tc>
          <w:tcPr>
            <w:tcW w:w="8156" w:type="dxa"/>
            <w:shd w:val="clear" w:color="auto" w:fill="auto"/>
          </w:tcPr>
          <w:p w:rsidR="00C54CD1" w:rsidRPr="001B165D" w:rsidRDefault="00C54CD1" w:rsidP="00C54CD1">
            <w:pPr>
              <w:spacing w:before="20" w:after="20"/>
              <w:rPr>
                <w:rFonts w:cstheme="minorHAnsi"/>
                <w:szCs w:val="22"/>
              </w:rPr>
            </w:pPr>
            <w:proofErr w:type="spellStart"/>
            <w:r w:rsidRPr="001B165D">
              <w:rPr>
                <w:rFonts w:cstheme="minorHAnsi"/>
                <w:szCs w:val="22"/>
              </w:rPr>
              <w:t>Anangu</w:t>
            </w:r>
            <w:proofErr w:type="spellEnd"/>
            <w:r w:rsidRPr="001B165D">
              <w:rPr>
                <w:rFonts w:cstheme="minorHAnsi"/>
                <w:szCs w:val="22"/>
              </w:rPr>
              <w:t xml:space="preserve"> Pitjantjatjara </w:t>
            </w:r>
            <w:proofErr w:type="spellStart"/>
            <w:r w:rsidRPr="001B165D">
              <w:rPr>
                <w:rFonts w:cstheme="minorHAnsi"/>
                <w:szCs w:val="22"/>
              </w:rPr>
              <w:t>Yankunytjatjara</w:t>
            </w:r>
            <w:proofErr w:type="spellEnd"/>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ATAT</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Aboriginal Turn Around Team</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r w:rsidRPr="001B165D">
              <w:rPr>
                <w:rFonts w:cstheme="minorHAnsi"/>
                <w:szCs w:val="22"/>
              </w:rPr>
              <w:t>CEO</w:t>
            </w:r>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Catholic Education Office</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CESA</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Catholic Education South Australia</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CLP</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Collaborative Learning Projects</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CMaD</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Communities Making a Difference</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CPD</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Continuing Professional Development</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DECD</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Department for Education and Child Development</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r w:rsidRPr="001B165D">
              <w:rPr>
                <w:rFonts w:cstheme="minorHAnsi"/>
                <w:szCs w:val="22"/>
              </w:rPr>
              <w:t>DEEWR</w:t>
            </w:r>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Department of Education, Employment and Workplace Relations</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EAL</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English as an Additional</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ECT</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Early Career Teacher</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r w:rsidRPr="001B165D">
              <w:rPr>
                <w:rFonts w:cstheme="minorHAnsi"/>
                <w:szCs w:val="22"/>
              </w:rPr>
              <w:t>FLO</w:t>
            </w:r>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Flexible Learning Option</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r w:rsidRPr="001B165D">
              <w:rPr>
                <w:rFonts w:cstheme="minorHAnsi"/>
                <w:szCs w:val="22"/>
              </w:rPr>
              <w:t>HASS</w:t>
            </w:r>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Humanities and Social Sciences</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ICAN</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Innovative Community Action Network</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ILC</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Independent Learning Centre</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ILP</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Independent Learning Plan</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LBOTE</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Language Background Other Than English</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r w:rsidRPr="001B165D">
              <w:rPr>
                <w:rFonts w:cstheme="minorHAnsi"/>
                <w:szCs w:val="22"/>
              </w:rPr>
              <w:t>NP</w:t>
            </w:r>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National Partnership</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r w:rsidRPr="001B165D">
              <w:rPr>
                <w:rFonts w:cstheme="minorHAnsi"/>
                <w:szCs w:val="22"/>
              </w:rPr>
              <w:t>PALL</w:t>
            </w:r>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Principals as Literacy Leaders</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r w:rsidRPr="001B165D">
              <w:rPr>
                <w:rFonts w:cstheme="minorHAnsi"/>
                <w:szCs w:val="22"/>
              </w:rPr>
              <w:t>PLC</w:t>
            </w:r>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Professional Learning Communities</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QeLi</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Queensland Education Leadership Institute</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RLC</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Regional Leadership Consultant</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SAAETCB</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South Australian Aboriginal Education and Training Consultative Board</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r w:rsidRPr="001B165D">
              <w:rPr>
                <w:rFonts w:cstheme="minorHAnsi"/>
                <w:szCs w:val="22"/>
              </w:rPr>
              <w:t>SAC</w:t>
            </w:r>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Student Attendance Counsellor</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SACE</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South Australian Certificate of Education</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SACPPA</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South Australian Catholic Primary Principals Association</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SASPA</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South Australian  Secondary Principals Association</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r w:rsidRPr="001B165D">
              <w:rPr>
                <w:rFonts w:cstheme="minorHAnsi"/>
                <w:szCs w:val="22"/>
              </w:rPr>
              <w:t>SPALL</w:t>
            </w:r>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Secondary Principals as Literacy Leaders</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SSNPs</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Smarter Schools National Partnerships</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SSO</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School Services Officer</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TfEL</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Teaching for Effective Learning</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r w:rsidRPr="001B165D">
              <w:rPr>
                <w:rFonts w:cstheme="minorHAnsi"/>
                <w:szCs w:val="22"/>
              </w:rPr>
              <w:t>TORCH</w:t>
            </w:r>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Tests of Reading Comprehension</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TRB</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Teachers Registration Board</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proofErr w:type="spellStart"/>
            <w:r w:rsidRPr="001B165D">
              <w:rPr>
                <w:rFonts w:cstheme="minorHAnsi"/>
                <w:szCs w:val="22"/>
              </w:rPr>
              <w:t>TSS</w:t>
            </w:r>
            <w:proofErr w:type="spellEnd"/>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Targeted Student Support</w:t>
            </w:r>
          </w:p>
        </w:tc>
      </w:tr>
      <w:tr w:rsidR="00C54CD1" w:rsidRPr="001B165D" w:rsidTr="00C54CD1">
        <w:tc>
          <w:tcPr>
            <w:tcW w:w="1672" w:type="dxa"/>
            <w:shd w:val="clear" w:color="auto" w:fill="E6E6E6"/>
          </w:tcPr>
          <w:p w:rsidR="00C54CD1" w:rsidRPr="001B165D" w:rsidRDefault="00C54CD1" w:rsidP="00C54CD1">
            <w:pPr>
              <w:spacing w:before="20" w:after="20"/>
              <w:rPr>
                <w:rFonts w:cstheme="minorHAnsi"/>
                <w:szCs w:val="22"/>
              </w:rPr>
            </w:pPr>
            <w:r w:rsidRPr="001B165D">
              <w:rPr>
                <w:rFonts w:cstheme="minorHAnsi"/>
                <w:szCs w:val="22"/>
              </w:rPr>
              <w:t>VET</w:t>
            </w:r>
          </w:p>
        </w:tc>
        <w:tc>
          <w:tcPr>
            <w:tcW w:w="8156" w:type="dxa"/>
            <w:shd w:val="clear" w:color="auto" w:fill="auto"/>
          </w:tcPr>
          <w:p w:rsidR="00C54CD1" w:rsidRPr="001B165D" w:rsidRDefault="00C54CD1" w:rsidP="00C54CD1">
            <w:pPr>
              <w:spacing w:before="20" w:after="20"/>
              <w:rPr>
                <w:rFonts w:cstheme="minorHAnsi"/>
                <w:szCs w:val="22"/>
              </w:rPr>
            </w:pPr>
            <w:r w:rsidRPr="001B165D">
              <w:rPr>
                <w:rFonts w:cstheme="minorHAnsi"/>
                <w:szCs w:val="22"/>
              </w:rPr>
              <w:t>Vocational Education and Training</w:t>
            </w:r>
          </w:p>
        </w:tc>
      </w:tr>
    </w:tbl>
    <w:p w:rsidR="001B165D" w:rsidRPr="001B165D" w:rsidRDefault="001B165D" w:rsidP="00C54CD1">
      <w:pPr>
        <w:widowControl w:val="0"/>
        <w:spacing w:before="200"/>
        <w:outlineLvl w:val="1"/>
        <w:rPr>
          <w:rFonts w:eastAsiaTheme="majorEastAsia" w:cstheme="minorHAnsi"/>
          <w:b/>
          <w:bCs/>
          <w:color w:val="1F497D" w:themeColor="text2"/>
          <w:szCs w:val="24"/>
        </w:rPr>
      </w:pPr>
    </w:p>
    <w:sectPr w:rsidR="001B165D" w:rsidRPr="001B165D" w:rsidSect="00C54CD1">
      <w:headerReference w:type="even" r:id="rId26"/>
      <w:headerReference w:type="default" r:id="rId27"/>
      <w:footerReference w:type="default" r:id="rId28"/>
      <w:footerReference w:type="first" r:id="rId29"/>
      <w:pgSz w:w="11906" w:h="16838"/>
      <w:pgMar w:top="539" w:right="851" w:bottom="539"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A35" w:rsidRDefault="00DA3A35">
      <w:r>
        <w:separator/>
      </w:r>
    </w:p>
  </w:endnote>
  <w:endnote w:type="continuationSeparator" w:id="0">
    <w:p w:rsidR="00DA3A35" w:rsidRDefault="00DA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Beijing">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781293"/>
      <w:docPartObj>
        <w:docPartGallery w:val="Page Numbers (Bottom of Page)"/>
        <w:docPartUnique/>
      </w:docPartObj>
    </w:sdtPr>
    <w:sdtEndPr>
      <w:rPr>
        <w:noProof/>
      </w:rPr>
    </w:sdtEndPr>
    <w:sdtContent>
      <w:p w:rsidR="00DA3A35" w:rsidRDefault="00DA3A35">
        <w:pPr>
          <w:pStyle w:val="Footer"/>
          <w:jc w:val="center"/>
        </w:pPr>
        <w:r>
          <w:fldChar w:fldCharType="begin"/>
        </w:r>
        <w:r>
          <w:instrText xml:space="preserve"> PAGE   \* MERGEFORMAT </w:instrText>
        </w:r>
        <w:r>
          <w:fldChar w:fldCharType="separate"/>
        </w:r>
        <w:r w:rsidR="00632B23">
          <w:rPr>
            <w:noProof/>
          </w:rPr>
          <w:t>7</w:t>
        </w:r>
        <w:r>
          <w:rPr>
            <w:noProof/>
          </w:rPr>
          <w:fldChar w:fldCharType="end"/>
        </w:r>
      </w:p>
    </w:sdtContent>
  </w:sdt>
  <w:p w:rsidR="00DA3A35" w:rsidRDefault="00DA3A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805804"/>
      <w:docPartObj>
        <w:docPartGallery w:val="Page Numbers (Bottom of Page)"/>
        <w:docPartUnique/>
      </w:docPartObj>
    </w:sdtPr>
    <w:sdtEndPr>
      <w:rPr>
        <w:noProof/>
      </w:rPr>
    </w:sdtEndPr>
    <w:sdtContent>
      <w:p w:rsidR="00DA3A35" w:rsidRDefault="00DA3A35">
        <w:pPr>
          <w:pStyle w:val="Footer"/>
          <w:jc w:val="center"/>
        </w:pPr>
        <w:r>
          <w:fldChar w:fldCharType="begin"/>
        </w:r>
        <w:r>
          <w:instrText xml:space="preserve"> PAGE   \* MERGEFORMAT </w:instrText>
        </w:r>
        <w:r>
          <w:fldChar w:fldCharType="separate"/>
        </w:r>
        <w:r>
          <w:rPr>
            <w:noProof/>
          </w:rPr>
          <w:t>- 1 -</w:t>
        </w:r>
        <w:r>
          <w:rPr>
            <w:noProof/>
          </w:rPr>
          <w:fldChar w:fldCharType="end"/>
        </w:r>
      </w:p>
    </w:sdtContent>
  </w:sdt>
  <w:p w:rsidR="00DA3A35" w:rsidRDefault="00DA3A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957438"/>
      <w:docPartObj>
        <w:docPartGallery w:val="Page Numbers (Bottom of Page)"/>
        <w:docPartUnique/>
      </w:docPartObj>
    </w:sdtPr>
    <w:sdtEndPr>
      <w:rPr>
        <w:noProof/>
      </w:rPr>
    </w:sdtEndPr>
    <w:sdtContent>
      <w:p w:rsidR="00DA3A35" w:rsidRDefault="00DA3A35" w:rsidP="005D02A7">
        <w:pPr>
          <w:pStyle w:val="Footer"/>
          <w:jc w:val="center"/>
        </w:pPr>
        <w:r>
          <w:fldChar w:fldCharType="begin"/>
        </w:r>
        <w:r>
          <w:instrText xml:space="preserve"> PAGE   \* MERGEFORMAT </w:instrText>
        </w:r>
        <w:r>
          <w:fldChar w:fldCharType="separate"/>
        </w:r>
        <w:r w:rsidR="00632B23">
          <w:rPr>
            <w:noProof/>
          </w:rPr>
          <w:t>54</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35" w:rsidRDefault="00DA3A35">
    <w:pPr>
      <w:pStyle w:val="Footer"/>
      <w:jc w:val="center"/>
    </w:pPr>
  </w:p>
  <w:p w:rsidR="00DA3A35" w:rsidRPr="009B4D92" w:rsidRDefault="00DA3A35" w:rsidP="009B4D92">
    <w:pPr>
      <w:pStyle w:val="Footer"/>
      <w:rPr>
        <w:rStyle w:val="PageNumber"/>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846505"/>
      <w:docPartObj>
        <w:docPartGallery w:val="Page Numbers (Bottom of Page)"/>
        <w:docPartUnique/>
      </w:docPartObj>
    </w:sdtPr>
    <w:sdtEndPr/>
    <w:sdtContent>
      <w:p w:rsidR="00DA3A35" w:rsidRDefault="00DA3A35">
        <w:pPr>
          <w:pStyle w:val="Footer"/>
          <w:jc w:val="center"/>
        </w:pPr>
        <w:r>
          <w:fldChar w:fldCharType="begin"/>
        </w:r>
        <w:r>
          <w:instrText xml:space="preserve"> PAGE   \* MERGEFORMAT </w:instrText>
        </w:r>
        <w:r>
          <w:fldChar w:fldCharType="separate"/>
        </w:r>
        <w:r>
          <w:rPr>
            <w:noProof/>
          </w:rPr>
          <w:t>51</w:t>
        </w:r>
        <w:r>
          <w:rPr>
            <w:noProof/>
          </w:rPr>
          <w:fldChar w:fldCharType="end"/>
        </w:r>
      </w:p>
    </w:sdtContent>
  </w:sdt>
  <w:p w:rsidR="00DA3A35" w:rsidRPr="00A24988" w:rsidRDefault="00DA3A35" w:rsidP="00A24988">
    <w:pPr>
      <w:pStyle w:val="Footer"/>
      <w:rPr>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846506"/>
      <w:docPartObj>
        <w:docPartGallery w:val="Page Numbers (Bottom of Page)"/>
        <w:docPartUnique/>
      </w:docPartObj>
    </w:sdtPr>
    <w:sdtEndPr/>
    <w:sdtContent>
      <w:p w:rsidR="00DA3A35" w:rsidRDefault="00DA3A35">
        <w:pPr>
          <w:pStyle w:val="Footer"/>
          <w:jc w:val="center"/>
        </w:pPr>
        <w:r>
          <w:fldChar w:fldCharType="begin"/>
        </w:r>
        <w:r>
          <w:instrText xml:space="preserve"> PAGE   \* MERGEFORMAT </w:instrText>
        </w:r>
        <w:r>
          <w:fldChar w:fldCharType="separate"/>
        </w:r>
        <w:r w:rsidR="00632B23">
          <w:rPr>
            <w:noProof/>
          </w:rPr>
          <w:t>56</w:t>
        </w:r>
        <w:r>
          <w:rPr>
            <w:noProof/>
          </w:rPr>
          <w:fldChar w:fldCharType="end"/>
        </w:r>
      </w:p>
    </w:sdtContent>
  </w:sdt>
  <w:p w:rsidR="00DA3A35" w:rsidRPr="009B4D92" w:rsidRDefault="00DA3A35" w:rsidP="009B4D92">
    <w:pPr>
      <w:pStyle w:val="Footer"/>
      <w:rPr>
        <w:rStyle w:val="PageNumbe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A35" w:rsidRDefault="00DA3A35">
      <w:r>
        <w:separator/>
      </w:r>
    </w:p>
  </w:footnote>
  <w:footnote w:type="continuationSeparator" w:id="0">
    <w:p w:rsidR="00DA3A35" w:rsidRDefault="00DA3A35">
      <w:r>
        <w:continuationSeparator/>
      </w:r>
    </w:p>
  </w:footnote>
  <w:footnote w:id="1">
    <w:p w:rsidR="00DA3A35" w:rsidRPr="008265E1" w:rsidRDefault="00DA3A35" w:rsidP="006B08DB">
      <w:pPr>
        <w:pStyle w:val="FootnoteText"/>
        <w:rPr>
          <w:rFonts w:cstheme="minorHAnsi"/>
          <w:color w:val="4F81BD" w:themeColor="accent1"/>
        </w:rPr>
      </w:pPr>
      <w:r w:rsidRPr="008546BC">
        <w:rPr>
          <w:rStyle w:val="FootnoteReference"/>
          <w:rFonts w:cstheme="minorHAnsi"/>
        </w:rPr>
        <w:footnoteRef/>
      </w:r>
      <w:r w:rsidRPr="008546BC">
        <w:rPr>
          <w:rFonts w:cstheme="minorHAnsi"/>
        </w:rPr>
        <w:t xml:space="preserve"> The FLO enrolment also targets support for young mothers who have had their education interrupted through the complexities of a teenage pregnancy. In addition, and assessed on a case by case basis, where there are exceptional circumstances a FLO enrolment may be continued in conjunction with the relevant Adult Education Provisions.   In these cases, the ages of students may exceed 19 years of age</w:t>
      </w:r>
      <w:r w:rsidRPr="008265E1">
        <w:rPr>
          <w:rFonts w:cstheme="minorHAnsi"/>
          <w:color w:val="4F81BD" w:themeColor="accent1"/>
        </w:rPr>
        <w:t>.</w:t>
      </w:r>
    </w:p>
  </w:footnote>
  <w:footnote w:id="2">
    <w:p w:rsidR="00DA3A35" w:rsidRPr="005B080E" w:rsidRDefault="00DA3A35" w:rsidP="006B08DB">
      <w:pPr>
        <w:pStyle w:val="FootnoteText"/>
        <w:rPr>
          <w:rFonts w:cstheme="minorHAnsi"/>
        </w:rPr>
      </w:pPr>
      <w:r w:rsidRPr="005B080E">
        <w:rPr>
          <w:rStyle w:val="FootnoteReference"/>
          <w:rFonts w:cstheme="minorHAnsi"/>
        </w:rPr>
        <w:footnoteRef/>
      </w:r>
      <w:r w:rsidRPr="005B080E">
        <w:rPr>
          <w:rFonts w:cstheme="minorHAnsi"/>
        </w:rPr>
        <w:t xml:space="preserve"> </w:t>
      </w:r>
      <w:proofErr w:type="spellStart"/>
      <w:r w:rsidRPr="005B080E">
        <w:rPr>
          <w:rFonts w:cstheme="minorHAnsi"/>
        </w:rPr>
        <w:t>ICAN</w:t>
      </w:r>
      <w:proofErr w:type="spellEnd"/>
      <w:r w:rsidRPr="005B080E">
        <w:rPr>
          <w:rFonts w:cstheme="minorHAnsi"/>
        </w:rPr>
        <w:t xml:space="preserve"> students are identified for a FLO enrolment at the point of referral on a scale of FLO level 1-4. </w:t>
      </w:r>
    </w:p>
    <w:p w:rsidR="00DA3A35" w:rsidRPr="005B080E" w:rsidRDefault="00DA3A35" w:rsidP="006B08DB">
      <w:pPr>
        <w:pStyle w:val="FootnoteText"/>
      </w:pPr>
      <w:r>
        <w:rPr>
          <w:rFonts w:cstheme="minorHAnsi"/>
        </w:rPr>
        <w:t xml:space="preserve">FLO level </w:t>
      </w:r>
      <w:r w:rsidRPr="005B080E">
        <w:rPr>
          <w:rFonts w:cstheme="minorHAnsi"/>
        </w:rPr>
        <w:t>4 students are students who are completely disengaged from schooling and are school ‘</w:t>
      </w:r>
      <w:proofErr w:type="spellStart"/>
      <w:r w:rsidRPr="005B080E">
        <w:rPr>
          <w:rFonts w:cstheme="minorHAnsi"/>
        </w:rPr>
        <w:t>refusers</w:t>
      </w:r>
      <w:proofErr w:type="spellEnd"/>
      <w:r w:rsidRPr="005B080E">
        <w:rPr>
          <w:rFonts w:cstheme="minorHAnsi"/>
        </w:rPr>
        <w:t>’ with chronic truancy issues and have significant barriers in student health and wellbeing. They may have also been involved with the juvenile justice system and can have extremely low levels of literacy and numeracy that prevent them undertaking conventional learning.</w:t>
      </w:r>
    </w:p>
  </w:footnote>
  <w:footnote w:id="3">
    <w:p w:rsidR="00DA3A35" w:rsidRPr="008265E1" w:rsidRDefault="00DA3A35" w:rsidP="006B08DB">
      <w:pPr>
        <w:pStyle w:val="FootnoteText"/>
        <w:rPr>
          <w:rFonts w:cstheme="minorHAnsi"/>
          <w:color w:val="4F81BD" w:themeColor="accent1"/>
        </w:rPr>
      </w:pPr>
      <w:r w:rsidRPr="005B080E">
        <w:rPr>
          <w:rStyle w:val="FootnoteReference"/>
          <w:rFonts w:cstheme="minorHAnsi"/>
        </w:rPr>
        <w:footnoteRef/>
      </w:r>
      <w:r w:rsidRPr="005B080E">
        <w:rPr>
          <w:rFonts w:cstheme="minorHAnsi"/>
        </w:rPr>
        <w:t xml:space="preserve"> Non-validated data source from </w:t>
      </w:r>
      <w:r w:rsidRPr="00EB3019">
        <w:rPr>
          <w:rFonts w:cstheme="minorHAnsi"/>
        </w:rPr>
        <w:t>secondary schools</w:t>
      </w:r>
    </w:p>
  </w:footnote>
  <w:footnote w:id="4">
    <w:p w:rsidR="00DA3A35" w:rsidRDefault="00DA3A35" w:rsidP="001B165D">
      <w:pPr>
        <w:pStyle w:val="FootnoteText"/>
      </w:pPr>
      <w:r w:rsidRPr="00D11724">
        <w:rPr>
          <w:rStyle w:val="FootnoteReference"/>
          <w:rFonts w:cstheme="minorHAnsi"/>
        </w:rPr>
        <w:footnoteRef/>
      </w:r>
      <w:r w:rsidRPr="00D11724">
        <w:rPr>
          <w:rFonts w:cstheme="minorHAnsi"/>
        </w:rPr>
        <w:t xml:space="preserve">  </w:t>
      </w:r>
      <w:proofErr w:type="spellStart"/>
      <w:r w:rsidRPr="00D11724">
        <w:rPr>
          <w:rFonts w:cstheme="minorHAnsi"/>
        </w:rPr>
        <w:t>ORIGO</w:t>
      </w:r>
      <w:proofErr w:type="spellEnd"/>
      <w:r w:rsidRPr="00D11724">
        <w:rPr>
          <w:rFonts w:cstheme="minorHAnsi"/>
        </w:rPr>
        <w:t xml:space="preserve"> Education provides mathematical resources and professional learning to educators.</w:t>
      </w:r>
    </w:p>
  </w:footnote>
  <w:footnote w:id="5">
    <w:p w:rsidR="00DA3A35" w:rsidRDefault="00DA3A35" w:rsidP="001B165D">
      <w:pPr>
        <w:pStyle w:val="FootnoteText"/>
      </w:pPr>
      <w:r w:rsidRPr="00D11724">
        <w:rPr>
          <w:rStyle w:val="FootnoteReference"/>
          <w:rFonts w:cstheme="minorHAnsi"/>
        </w:rPr>
        <w:footnoteRef/>
      </w:r>
      <w:r w:rsidRPr="00D11724">
        <w:rPr>
          <w:rFonts w:cstheme="minorHAnsi"/>
        </w:rPr>
        <w:t xml:space="preserve">  </w:t>
      </w:r>
      <w:r w:rsidRPr="009D1B84">
        <w:rPr>
          <w:rFonts w:cstheme="minorHAnsi"/>
        </w:rPr>
        <w:t xml:space="preserve">  </w:t>
      </w:r>
      <w:r>
        <w:rPr>
          <w:rFonts w:cstheme="minorHAnsi"/>
        </w:rPr>
        <w:t xml:space="preserve">Sourced </w:t>
      </w:r>
      <w:r w:rsidRPr="009D1B84">
        <w:rPr>
          <w:rFonts w:cstheme="minorHAnsi"/>
        </w:rPr>
        <w:t>http://www.piriewps.sa.edu.au/docs/ppwps2012annualreport.pdf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35" w:rsidRDefault="00DA3A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35" w:rsidRDefault="00DA3A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35" w:rsidRDefault="00632B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13.8pt;height:205.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35" w:rsidRDefault="00DA3A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89E8960"/>
    <w:lvl w:ilvl="0">
      <w:start w:val="1"/>
      <w:numFmt w:val="bullet"/>
      <w:pStyle w:val="NoteLevel11"/>
      <w:lvlText w:val=""/>
      <w:lvlJc w:val="left"/>
      <w:pPr>
        <w:tabs>
          <w:tab w:val="num" w:pos="720"/>
        </w:tabs>
        <w:ind w:left="720" w:firstLine="0"/>
      </w:pPr>
      <w:rPr>
        <w:rFonts w:ascii="Symbol" w:hAnsi="Symbol" w:hint="default"/>
      </w:rPr>
    </w:lvl>
    <w:lvl w:ilvl="1">
      <w:start w:val="1"/>
      <w:numFmt w:val="bullet"/>
      <w:pStyle w:val="NoteLevel21"/>
      <w:lvlText w:val=""/>
      <w:lvlJc w:val="left"/>
      <w:pPr>
        <w:tabs>
          <w:tab w:val="num" w:pos="1571"/>
        </w:tabs>
        <w:ind w:left="1931" w:hanging="360"/>
      </w:pPr>
      <w:rPr>
        <w:rFonts w:ascii="Symbol" w:hAnsi="Symbol" w:hint="default"/>
      </w:rPr>
    </w:lvl>
    <w:lvl w:ilvl="2">
      <w:start w:val="1"/>
      <w:numFmt w:val="bullet"/>
      <w:pStyle w:val="NoteLevel31"/>
      <w:lvlText w:val="o"/>
      <w:lvlJc w:val="left"/>
      <w:pPr>
        <w:tabs>
          <w:tab w:val="num" w:pos="2160"/>
        </w:tabs>
        <w:ind w:left="2520" w:hanging="360"/>
      </w:pPr>
      <w:rPr>
        <w:rFonts w:ascii="Courier New" w:hAnsi="Courier New" w:hint="default"/>
      </w:rPr>
    </w:lvl>
    <w:lvl w:ilvl="3">
      <w:start w:val="1"/>
      <w:numFmt w:val="bullet"/>
      <w:pStyle w:val="NoteLevel41"/>
      <w:lvlText w:val=""/>
      <w:lvlJc w:val="left"/>
      <w:pPr>
        <w:tabs>
          <w:tab w:val="num" w:pos="2880"/>
        </w:tabs>
        <w:ind w:left="3240" w:hanging="360"/>
      </w:pPr>
      <w:rPr>
        <w:rFonts w:ascii="Wingdings" w:hAnsi="Wingdings" w:hint="default"/>
      </w:rPr>
    </w:lvl>
    <w:lvl w:ilvl="4">
      <w:start w:val="1"/>
      <w:numFmt w:val="bullet"/>
      <w:pStyle w:val="NoteLevel51"/>
      <w:lvlText w:val=""/>
      <w:lvlJc w:val="left"/>
      <w:pPr>
        <w:tabs>
          <w:tab w:val="num" w:pos="3600"/>
        </w:tabs>
        <w:ind w:left="3960" w:hanging="360"/>
      </w:pPr>
      <w:rPr>
        <w:rFonts w:ascii="Wingdings" w:hAnsi="Wingdings" w:hint="default"/>
      </w:rPr>
    </w:lvl>
    <w:lvl w:ilvl="5">
      <w:start w:val="1"/>
      <w:numFmt w:val="bullet"/>
      <w:pStyle w:val="NoteLevel61"/>
      <w:lvlText w:val=""/>
      <w:lvlJc w:val="left"/>
      <w:pPr>
        <w:tabs>
          <w:tab w:val="num" w:pos="4320"/>
        </w:tabs>
        <w:ind w:left="4680" w:hanging="360"/>
      </w:pPr>
      <w:rPr>
        <w:rFonts w:ascii="Symbol" w:hAnsi="Symbol" w:hint="default"/>
      </w:rPr>
    </w:lvl>
    <w:lvl w:ilvl="6">
      <w:start w:val="1"/>
      <w:numFmt w:val="bullet"/>
      <w:pStyle w:val="NoteLevel71"/>
      <w:lvlText w:val="o"/>
      <w:lvlJc w:val="left"/>
      <w:pPr>
        <w:tabs>
          <w:tab w:val="num" w:pos="5040"/>
        </w:tabs>
        <w:ind w:left="5400" w:hanging="360"/>
      </w:pPr>
      <w:rPr>
        <w:rFonts w:ascii="Courier New" w:hAnsi="Courier New" w:hint="default"/>
      </w:rPr>
    </w:lvl>
    <w:lvl w:ilvl="7">
      <w:start w:val="1"/>
      <w:numFmt w:val="bullet"/>
      <w:pStyle w:val="NoteLevel81"/>
      <w:lvlText w:val=""/>
      <w:lvlJc w:val="left"/>
      <w:pPr>
        <w:tabs>
          <w:tab w:val="num" w:pos="5760"/>
        </w:tabs>
        <w:ind w:left="6120" w:hanging="360"/>
      </w:pPr>
      <w:rPr>
        <w:rFonts w:ascii="Wingdings" w:hAnsi="Wingdings" w:hint="default"/>
      </w:rPr>
    </w:lvl>
    <w:lvl w:ilvl="8">
      <w:start w:val="1"/>
      <w:numFmt w:val="bullet"/>
      <w:pStyle w:val="NoteLevel91"/>
      <w:lvlText w:val=""/>
      <w:lvlJc w:val="left"/>
      <w:pPr>
        <w:tabs>
          <w:tab w:val="num" w:pos="6480"/>
        </w:tabs>
        <w:ind w:left="6840" w:hanging="360"/>
      </w:pPr>
      <w:rPr>
        <w:rFonts w:ascii="Wingdings" w:hAnsi="Wingdings" w:hint="default"/>
      </w:rPr>
    </w:lvl>
  </w:abstractNum>
  <w:abstractNum w:abstractNumId="1">
    <w:nsid w:val="0A3D703A"/>
    <w:multiLevelType w:val="hybridMultilevel"/>
    <w:tmpl w:val="C4241F62"/>
    <w:lvl w:ilvl="0" w:tplc="DD7446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4C1D03"/>
    <w:multiLevelType w:val="multilevel"/>
    <w:tmpl w:val="04F8EBD8"/>
    <w:lvl w:ilvl="0">
      <w:start w:val="1"/>
      <w:numFmt w:val="bullet"/>
      <w:lvlText w:val=""/>
      <w:lvlJc w:val="left"/>
      <w:pPr>
        <w:tabs>
          <w:tab w:val="num" w:pos="720"/>
        </w:tabs>
        <w:ind w:left="720" w:firstLine="0"/>
      </w:pPr>
      <w:rPr>
        <w:rFonts w:ascii="Symbol" w:hAnsi="Symbol" w:hint="default"/>
      </w:rPr>
    </w:lvl>
    <w:lvl w:ilvl="1">
      <w:start w:val="1"/>
      <w:numFmt w:val="bullet"/>
      <w:lvlText w:val=""/>
      <w:lvlJc w:val="left"/>
      <w:pPr>
        <w:tabs>
          <w:tab w:val="num" w:pos="1571"/>
        </w:tabs>
        <w:ind w:left="1931" w:hanging="360"/>
      </w:pPr>
      <w:rPr>
        <w:rFonts w:ascii="Symbol" w:hAnsi="Symbol" w:hint="default"/>
      </w:rPr>
    </w:lvl>
    <w:lvl w:ilvl="2">
      <w:start w:val="1"/>
      <w:numFmt w:val="bullet"/>
      <w:lvlText w:val="o"/>
      <w:lvlJc w:val="left"/>
      <w:pPr>
        <w:tabs>
          <w:tab w:val="num" w:pos="2160"/>
        </w:tabs>
        <w:ind w:left="2520" w:hanging="360"/>
      </w:pPr>
      <w:rPr>
        <w:rFonts w:ascii="Courier New" w:hAnsi="Courier New" w:hint="default"/>
      </w:rPr>
    </w:lvl>
    <w:lvl w:ilvl="3">
      <w:start w:val="1"/>
      <w:numFmt w:val="bullet"/>
      <w:lvlText w:val=""/>
      <w:lvlJc w:val="left"/>
      <w:pPr>
        <w:tabs>
          <w:tab w:val="num" w:pos="2880"/>
        </w:tabs>
        <w:ind w:left="3240" w:hanging="360"/>
      </w:pPr>
      <w:rPr>
        <w:rFonts w:ascii="Wingdings" w:hAnsi="Wingdings" w:hint="default"/>
      </w:rPr>
    </w:lvl>
    <w:lvl w:ilvl="4">
      <w:start w:val="1"/>
      <w:numFmt w:val="bullet"/>
      <w:lvlText w:val=""/>
      <w:lvlJc w:val="left"/>
      <w:pPr>
        <w:tabs>
          <w:tab w:val="num" w:pos="3600"/>
        </w:tabs>
        <w:ind w:left="3960" w:hanging="360"/>
      </w:pPr>
      <w:rPr>
        <w:rFonts w:ascii="Wingdings" w:hAnsi="Wingdings" w:hint="default"/>
      </w:rPr>
    </w:lvl>
    <w:lvl w:ilvl="5">
      <w:start w:val="1"/>
      <w:numFmt w:val="bullet"/>
      <w:lvlText w:val=""/>
      <w:lvlJc w:val="left"/>
      <w:pPr>
        <w:tabs>
          <w:tab w:val="num" w:pos="4320"/>
        </w:tabs>
        <w:ind w:left="4680" w:hanging="360"/>
      </w:pPr>
      <w:rPr>
        <w:rFonts w:ascii="Symbol" w:hAnsi="Symbol" w:hint="default"/>
      </w:rPr>
    </w:lvl>
    <w:lvl w:ilvl="6">
      <w:start w:val="1"/>
      <w:numFmt w:val="bullet"/>
      <w:lvlText w:val="o"/>
      <w:lvlJc w:val="left"/>
      <w:pPr>
        <w:tabs>
          <w:tab w:val="num" w:pos="5040"/>
        </w:tabs>
        <w:ind w:left="5400" w:hanging="360"/>
      </w:pPr>
      <w:rPr>
        <w:rFonts w:ascii="Courier New" w:hAnsi="Courier New" w:hint="default"/>
      </w:rPr>
    </w:lvl>
    <w:lvl w:ilvl="7">
      <w:start w:val="1"/>
      <w:numFmt w:val="bullet"/>
      <w:lvlText w:val=""/>
      <w:lvlJc w:val="left"/>
      <w:pPr>
        <w:tabs>
          <w:tab w:val="num" w:pos="5760"/>
        </w:tabs>
        <w:ind w:left="6120" w:hanging="360"/>
      </w:pPr>
      <w:rPr>
        <w:rFonts w:ascii="Wingdings" w:hAnsi="Wingdings" w:hint="default"/>
      </w:rPr>
    </w:lvl>
    <w:lvl w:ilvl="8">
      <w:start w:val="1"/>
      <w:numFmt w:val="bullet"/>
      <w:lvlText w:val=""/>
      <w:lvlJc w:val="left"/>
      <w:pPr>
        <w:tabs>
          <w:tab w:val="num" w:pos="6480"/>
        </w:tabs>
        <w:ind w:left="6840" w:hanging="360"/>
      </w:pPr>
      <w:rPr>
        <w:rFonts w:ascii="Wingdings" w:hAnsi="Wingdings" w:hint="default"/>
      </w:rPr>
    </w:lvl>
  </w:abstractNum>
  <w:abstractNum w:abstractNumId="3">
    <w:nsid w:val="12673655"/>
    <w:multiLevelType w:val="hybridMultilevel"/>
    <w:tmpl w:val="1F16E63C"/>
    <w:lvl w:ilvl="0" w:tplc="000F0409">
      <w:start w:val="1"/>
      <w:numFmt w:val="decimal"/>
      <w:lvlText w:val="%1."/>
      <w:lvlJc w:val="left"/>
      <w:pPr>
        <w:tabs>
          <w:tab w:val="num" w:pos="360"/>
        </w:tabs>
        <w:ind w:left="360" w:hanging="360"/>
      </w:pPr>
    </w:lvl>
    <w:lvl w:ilvl="1" w:tplc="00190409" w:tentative="1">
      <w:start w:val="1"/>
      <w:numFmt w:val="lowerLetter"/>
      <w:pStyle w:val="ScheduleListSubHeading"/>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nsid w:val="1CDF55F2"/>
    <w:multiLevelType w:val="multilevel"/>
    <w:tmpl w:val="74E04F98"/>
    <w:lvl w:ilvl="0">
      <w:start w:val="1"/>
      <w:numFmt w:val="decimal"/>
      <w:lvlText w:val="%1."/>
      <w:lvlJc w:val="left"/>
      <w:pPr>
        <w:tabs>
          <w:tab w:val="num" w:pos="720"/>
        </w:tabs>
        <w:ind w:left="720" w:firstLine="0"/>
      </w:pPr>
      <w:rPr>
        <w:rFonts w:hint="default"/>
      </w:rPr>
    </w:lvl>
    <w:lvl w:ilvl="1">
      <w:start w:val="1"/>
      <w:numFmt w:val="bullet"/>
      <w:lvlText w:val=""/>
      <w:lvlJc w:val="left"/>
      <w:pPr>
        <w:tabs>
          <w:tab w:val="num" w:pos="1571"/>
        </w:tabs>
        <w:ind w:left="1931" w:hanging="360"/>
      </w:pPr>
      <w:rPr>
        <w:rFonts w:ascii="Symbol" w:hAnsi="Symbol" w:hint="default"/>
      </w:rPr>
    </w:lvl>
    <w:lvl w:ilvl="2">
      <w:start w:val="1"/>
      <w:numFmt w:val="bullet"/>
      <w:lvlText w:val="o"/>
      <w:lvlJc w:val="left"/>
      <w:pPr>
        <w:tabs>
          <w:tab w:val="num" w:pos="2160"/>
        </w:tabs>
        <w:ind w:left="2520" w:hanging="360"/>
      </w:pPr>
      <w:rPr>
        <w:rFonts w:ascii="Courier New" w:hAnsi="Courier New" w:hint="default"/>
      </w:rPr>
    </w:lvl>
    <w:lvl w:ilvl="3">
      <w:start w:val="1"/>
      <w:numFmt w:val="bullet"/>
      <w:lvlText w:val=""/>
      <w:lvlJc w:val="left"/>
      <w:pPr>
        <w:tabs>
          <w:tab w:val="num" w:pos="2880"/>
        </w:tabs>
        <w:ind w:left="3240" w:hanging="360"/>
      </w:pPr>
      <w:rPr>
        <w:rFonts w:ascii="Wingdings" w:hAnsi="Wingdings" w:hint="default"/>
      </w:rPr>
    </w:lvl>
    <w:lvl w:ilvl="4">
      <w:start w:val="1"/>
      <w:numFmt w:val="bullet"/>
      <w:lvlText w:val=""/>
      <w:lvlJc w:val="left"/>
      <w:pPr>
        <w:tabs>
          <w:tab w:val="num" w:pos="3600"/>
        </w:tabs>
        <w:ind w:left="3960" w:hanging="360"/>
      </w:pPr>
      <w:rPr>
        <w:rFonts w:ascii="Wingdings" w:hAnsi="Wingdings" w:hint="default"/>
      </w:rPr>
    </w:lvl>
    <w:lvl w:ilvl="5">
      <w:start w:val="1"/>
      <w:numFmt w:val="bullet"/>
      <w:lvlText w:val=""/>
      <w:lvlJc w:val="left"/>
      <w:pPr>
        <w:tabs>
          <w:tab w:val="num" w:pos="4320"/>
        </w:tabs>
        <w:ind w:left="4680" w:hanging="360"/>
      </w:pPr>
      <w:rPr>
        <w:rFonts w:ascii="Symbol" w:hAnsi="Symbol" w:hint="default"/>
      </w:rPr>
    </w:lvl>
    <w:lvl w:ilvl="6">
      <w:start w:val="1"/>
      <w:numFmt w:val="bullet"/>
      <w:lvlText w:val="o"/>
      <w:lvlJc w:val="left"/>
      <w:pPr>
        <w:tabs>
          <w:tab w:val="num" w:pos="5040"/>
        </w:tabs>
        <w:ind w:left="5400" w:hanging="360"/>
      </w:pPr>
      <w:rPr>
        <w:rFonts w:ascii="Courier New" w:hAnsi="Courier New" w:hint="default"/>
      </w:rPr>
    </w:lvl>
    <w:lvl w:ilvl="7">
      <w:start w:val="1"/>
      <w:numFmt w:val="bullet"/>
      <w:lvlText w:val=""/>
      <w:lvlJc w:val="left"/>
      <w:pPr>
        <w:tabs>
          <w:tab w:val="num" w:pos="5760"/>
        </w:tabs>
        <w:ind w:left="6120" w:hanging="360"/>
      </w:pPr>
      <w:rPr>
        <w:rFonts w:ascii="Wingdings" w:hAnsi="Wingdings" w:hint="default"/>
      </w:rPr>
    </w:lvl>
    <w:lvl w:ilvl="8">
      <w:start w:val="1"/>
      <w:numFmt w:val="bullet"/>
      <w:lvlText w:val=""/>
      <w:lvlJc w:val="left"/>
      <w:pPr>
        <w:tabs>
          <w:tab w:val="num" w:pos="6480"/>
        </w:tabs>
        <w:ind w:left="6840" w:hanging="360"/>
      </w:pPr>
      <w:rPr>
        <w:rFonts w:ascii="Wingdings" w:hAnsi="Wingdings" w:hint="default"/>
      </w:rPr>
    </w:lvl>
  </w:abstractNum>
  <w:abstractNum w:abstractNumId="5">
    <w:nsid w:val="28992BB0"/>
    <w:multiLevelType w:val="hybridMultilevel"/>
    <w:tmpl w:val="D02A941A"/>
    <w:lvl w:ilvl="0" w:tplc="7A523A28">
      <w:start w:val="1"/>
      <w:numFmt w:val="bullet"/>
      <w:pStyle w:val="CLLOlistbullet3"/>
      <w:lvlText w:val=""/>
      <w:lvlJc w:val="left"/>
      <w:pPr>
        <w:tabs>
          <w:tab w:val="num" w:pos="284"/>
        </w:tabs>
        <w:ind w:left="284" w:hanging="284"/>
      </w:pPr>
      <w:rPr>
        <w:rFonts w:ascii="Symbol" w:hAnsi="Symbol" w:cs="Symbol" w:hint="default"/>
      </w:rPr>
    </w:lvl>
    <w:lvl w:ilvl="1" w:tplc="75E67D9A">
      <w:start w:val="1"/>
      <w:numFmt w:val="bullet"/>
      <w:lvlText w:val=""/>
      <w:lvlJc w:val="left"/>
      <w:pPr>
        <w:tabs>
          <w:tab w:val="num" w:pos="1440"/>
        </w:tabs>
        <w:ind w:left="1440" w:hanging="360"/>
      </w:pPr>
      <w:rPr>
        <w:rFonts w:ascii="Symbol" w:hAnsi="Symbol" w:cs="Symbol"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6">
    <w:nsid w:val="28AD3B73"/>
    <w:multiLevelType w:val="hybridMultilevel"/>
    <w:tmpl w:val="D848BC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B620E3B"/>
    <w:multiLevelType w:val="hybridMultilevel"/>
    <w:tmpl w:val="24FACF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1FC60EE"/>
    <w:multiLevelType w:val="multilevel"/>
    <w:tmpl w:val="E10C4DCA"/>
    <w:lvl w:ilvl="0">
      <w:start w:val="1"/>
      <w:numFmt w:val="bullet"/>
      <w:lvlText w:val=""/>
      <w:lvlJc w:val="left"/>
      <w:pPr>
        <w:tabs>
          <w:tab w:val="num" w:pos="720"/>
        </w:tabs>
        <w:ind w:left="720" w:firstLine="0"/>
      </w:pPr>
      <w:rPr>
        <w:rFonts w:ascii="Symbol" w:hAnsi="Symbol" w:hint="default"/>
      </w:rPr>
    </w:lvl>
    <w:lvl w:ilvl="1">
      <w:start w:val="1"/>
      <w:numFmt w:val="bullet"/>
      <w:lvlText w:val=""/>
      <w:lvlJc w:val="left"/>
      <w:pPr>
        <w:tabs>
          <w:tab w:val="num" w:pos="1571"/>
        </w:tabs>
        <w:ind w:left="1931" w:hanging="360"/>
      </w:pPr>
      <w:rPr>
        <w:rFonts w:ascii="Symbol" w:hAnsi="Symbol" w:hint="default"/>
      </w:rPr>
    </w:lvl>
    <w:lvl w:ilvl="2">
      <w:start w:val="1"/>
      <w:numFmt w:val="bullet"/>
      <w:lvlText w:val="o"/>
      <w:lvlJc w:val="left"/>
      <w:pPr>
        <w:tabs>
          <w:tab w:val="num" w:pos="2160"/>
        </w:tabs>
        <w:ind w:left="2520" w:hanging="360"/>
      </w:pPr>
      <w:rPr>
        <w:rFonts w:ascii="Courier New" w:hAnsi="Courier New" w:hint="default"/>
      </w:rPr>
    </w:lvl>
    <w:lvl w:ilvl="3">
      <w:start w:val="1"/>
      <w:numFmt w:val="bullet"/>
      <w:lvlText w:val=""/>
      <w:lvlJc w:val="left"/>
      <w:pPr>
        <w:tabs>
          <w:tab w:val="num" w:pos="2880"/>
        </w:tabs>
        <w:ind w:left="3240" w:hanging="360"/>
      </w:pPr>
      <w:rPr>
        <w:rFonts w:ascii="Wingdings" w:hAnsi="Wingdings" w:hint="default"/>
      </w:rPr>
    </w:lvl>
    <w:lvl w:ilvl="4">
      <w:start w:val="1"/>
      <w:numFmt w:val="bullet"/>
      <w:lvlText w:val=""/>
      <w:lvlJc w:val="left"/>
      <w:pPr>
        <w:tabs>
          <w:tab w:val="num" w:pos="3600"/>
        </w:tabs>
        <w:ind w:left="3960" w:hanging="360"/>
      </w:pPr>
      <w:rPr>
        <w:rFonts w:ascii="Wingdings" w:hAnsi="Wingdings" w:hint="default"/>
      </w:rPr>
    </w:lvl>
    <w:lvl w:ilvl="5">
      <w:start w:val="1"/>
      <w:numFmt w:val="bullet"/>
      <w:lvlText w:val=""/>
      <w:lvlJc w:val="left"/>
      <w:pPr>
        <w:tabs>
          <w:tab w:val="num" w:pos="4320"/>
        </w:tabs>
        <w:ind w:left="4680" w:hanging="360"/>
      </w:pPr>
      <w:rPr>
        <w:rFonts w:ascii="Symbol" w:hAnsi="Symbol" w:hint="default"/>
      </w:rPr>
    </w:lvl>
    <w:lvl w:ilvl="6">
      <w:start w:val="1"/>
      <w:numFmt w:val="bullet"/>
      <w:lvlText w:val="o"/>
      <w:lvlJc w:val="left"/>
      <w:pPr>
        <w:tabs>
          <w:tab w:val="num" w:pos="5040"/>
        </w:tabs>
        <w:ind w:left="5400" w:hanging="360"/>
      </w:pPr>
      <w:rPr>
        <w:rFonts w:ascii="Courier New" w:hAnsi="Courier New" w:hint="default"/>
      </w:rPr>
    </w:lvl>
    <w:lvl w:ilvl="7">
      <w:start w:val="1"/>
      <w:numFmt w:val="bullet"/>
      <w:lvlText w:val=""/>
      <w:lvlJc w:val="left"/>
      <w:pPr>
        <w:tabs>
          <w:tab w:val="num" w:pos="5760"/>
        </w:tabs>
        <w:ind w:left="6120" w:hanging="360"/>
      </w:pPr>
      <w:rPr>
        <w:rFonts w:ascii="Wingdings" w:hAnsi="Wingdings" w:hint="default"/>
      </w:rPr>
    </w:lvl>
    <w:lvl w:ilvl="8">
      <w:start w:val="1"/>
      <w:numFmt w:val="bullet"/>
      <w:lvlText w:val=""/>
      <w:lvlJc w:val="left"/>
      <w:pPr>
        <w:tabs>
          <w:tab w:val="num" w:pos="6480"/>
        </w:tabs>
        <w:ind w:left="6840" w:hanging="360"/>
      </w:pPr>
      <w:rPr>
        <w:rFonts w:ascii="Wingdings" w:hAnsi="Wingdings" w:hint="default"/>
      </w:rPr>
    </w:lvl>
  </w:abstractNum>
  <w:abstractNum w:abstractNumId="9">
    <w:nsid w:val="3F9C0291"/>
    <w:multiLevelType w:val="hybridMultilevel"/>
    <w:tmpl w:val="638206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E055B1C"/>
    <w:multiLevelType w:val="multilevel"/>
    <w:tmpl w:val="1874966A"/>
    <w:lvl w:ilvl="0">
      <w:start w:val="1"/>
      <w:numFmt w:val="decimal"/>
      <w:lvlText w:val="%1."/>
      <w:lvlJc w:val="left"/>
      <w:pPr>
        <w:tabs>
          <w:tab w:val="num" w:pos="720"/>
        </w:tabs>
        <w:ind w:left="720" w:firstLine="0"/>
      </w:pPr>
      <w:rPr>
        <w:rFonts w:hint="default"/>
      </w:rPr>
    </w:lvl>
    <w:lvl w:ilvl="1">
      <w:start w:val="1"/>
      <w:numFmt w:val="bullet"/>
      <w:lvlText w:val=""/>
      <w:lvlJc w:val="left"/>
      <w:pPr>
        <w:tabs>
          <w:tab w:val="num" w:pos="1571"/>
        </w:tabs>
        <w:ind w:left="1931" w:hanging="360"/>
      </w:pPr>
      <w:rPr>
        <w:rFonts w:ascii="Symbol" w:hAnsi="Symbol" w:hint="default"/>
      </w:rPr>
    </w:lvl>
    <w:lvl w:ilvl="2">
      <w:start w:val="1"/>
      <w:numFmt w:val="bullet"/>
      <w:lvlText w:val="o"/>
      <w:lvlJc w:val="left"/>
      <w:pPr>
        <w:tabs>
          <w:tab w:val="num" w:pos="2160"/>
        </w:tabs>
        <w:ind w:left="2520" w:hanging="360"/>
      </w:pPr>
      <w:rPr>
        <w:rFonts w:ascii="Courier New" w:hAnsi="Courier New" w:hint="default"/>
      </w:rPr>
    </w:lvl>
    <w:lvl w:ilvl="3">
      <w:start w:val="1"/>
      <w:numFmt w:val="bullet"/>
      <w:lvlText w:val=""/>
      <w:lvlJc w:val="left"/>
      <w:pPr>
        <w:tabs>
          <w:tab w:val="num" w:pos="2880"/>
        </w:tabs>
        <w:ind w:left="3240" w:hanging="360"/>
      </w:pPr>
      <w:rPr>
        <w:rFonts w:ascii="Wingdings" w:hAnsi="Wingdings" w:hint="default"/>
      </w:rPr>
    </w:lvl>
    <w:lvl w:ilvl="4">
      <w:start w:val="1"/>
      <w:numFmt w:val="bullet"/>
      <w:lvlText w:val=""/>
      <w:lvlJc w:val="left"/>
      <w:pPr>
        <w:tabs>
          <w:tab w:val="num" w:pos="3600"/>
        </w:tabs>
        <w:ind w:left="3960" w:hanging="360"/>
      </w:pPr>
      <w:rPr>
        <w:rFonts w:ascii="Wingdings" w:hAnsi="Wingdings" w:hint="default"/>
      </w:rPr>
    </w:lvl>
    <w:lvl w:ilvl="5">
      <w:start w:val="1"/>
      <w:numFmt w:val="bullet"/>
      <w:lvlText w:val=""/>
      <w:lvlJc w:val="left"/>
      <w:pPr>
        <w:tabs>
          <w:tab w:val="num" w:pos="4320"/>
        </w:tabs>
        <w:ind w:left="4680" w:hanging="360"/>
      </w:pPr>
      <w:rPr>
        <w:rFonts w:ascii="Symbol" w:hAnsi="Symbol" w:hint="default"/>
      </w:rPr>
    </w:lvl>
    <w:lvl w:ilvl="6">
      <w:start w:val="1"/>
      <w:numFmt w:val="bullet"/>
      <w:lvlText w:val="o"/>
      <w:lvlJc w:val="left"/>
      <w:pPr>
        <w:tabs>
          <w:tab w:val="num" w:pos="5040"/>
        </w:tabs>
        <w:ind w:left="5400" w:hanging="360"/>
      </w:pPr>
      <w:rPr>
        <w:rFonts w:ascii="Courier New" w:hAnsi="Courier New" w:hint="default"/>
      </w:rPr>
    </w:lvl>
    <w:lvl w:ilvl="7">
      <w:start w:val="1"/>
      <w:numFmt w:val="bullet"/>
      <w:lvlText w:val=""/>
      <w:lvlJc w:val="left"/>
      <w:pPr>
        <w:tabs>
          <w:tab w:val="num" w:pos="5760"/>
        </w:tabs>
        <w:ind w:left="6120" w:hanging="360"/>
      </w:pPr>
      <w:rPr>
        <w:rFonts w:ascii="Wingdings" w:hAnsi="Wingdings" w:hint="default"/>
      </w:rPr>
    </w:lvl>
    <w:lvl w:ilvl="8">
      <w:start w:val="1"/>
      <w:numFmt w:val="bullet"/>
      <w:lvlText w:val=""/>
      <w:lvlJc w:val="left"/>
      <w:pPr>
        <w:tabs>
          <w:tab w:val="num" w:pos="6480"/>
        </w:tabs>
        <w:ind w:left="6840" w:hanging="360"/>
      </w:pPr>
      <w:rPr>
        <w:rFonts w:ascii="Wingdings" w:hAnsi="Wingdings" w:hint="default"/>
      </w:rPr>
    </w:lvl>
  </w:abstractNum>
  <w:abstractNum w:abstractNumId="11">
    <w:nsid w:val="4E780836"/>
    <w:multiLevelType w:val="multilevel"/>
    <w:tmpl w:val="04F8EBD8"/>
    <w:lvl w:ilvl="0">
      <w:start w:val="1"/>
      <w:numFmt w:val="bullet"/>
      <w:lvlText w:val=""/>
      <w:lvlJc w:val="left"/>
      <w:pPr>
        <w:tabs>
          <w:tab w:val="num" w:pos="720"/>
        </w:tabs>
        <w:ind w:left="720" w:firstLine="0"/>
      </w:pPr>
      <w:rPr>
        <w:rFonts w:ascii="Symbol" w:hAnsi="Symbol" w:hint="default"/>
      </w:rPr>
    </w:lvl>
    <w:lvl w:ilvl="1">
      <w:start w:val="1"/>
      <w:numFmt w:val="bullet"/>
      <w:lvlText w:val=""/>
      <w:lvlJc w:val="left"/>
      <w:pPr>
        <w:tabs>
          <w:tab w:val="num" w:pos="1571"/>
        </w:tabs>
        <w:ind w:left="1931" w:hanging="360"/>
      </w:pPr>
      <w:rPr>
        <w:rFonts w:ascii="Symbol" w:hAnsi="Symbol" w:hint="default"/>
      </w:rPr>
    </w:lvl>
    <w:lvl w:ilvl="2">
      <w:start w:val="1"/>
      <w:numFmt w:val="bullet"/>
      <w:lvlText w:val="o"/>
      <w:lvlJc w:val="left"/>
      <w:pPr>
        <w:tabs>
          <w:tab w:val="num" w:pos="2160"/>
        </w:tabs>
        <w:ind w:left="2520" w:hanging="360"/>
      </w:pPr>
      <w:rPr>
        <w:rFonts w:ascii="Courier New" w:hAnsi="Courier New" w:hint="default"/>
      </w:rPr>
    </w:lvl>
    <w:lvl w:ilvl="3">
      <w:start w:val="1"/>
      <w:numFmt w:val="bullet"/>
      <w:lvlText w:val=""/>
      <w:lvlJc w:val="left"/>
      <w:pPr>
        <w:tabs>
          <w:tab w:val="num" w:pos="2880"/>
        </w:tabs>
        <w:ind w:left="3240" w:hanging="360"/>
      </w:pPr>
      <w:rPr>
        <w:rFonts w:ascii="Wingdings" w:hAnsi="Wingdings" w:hint="default"/>
      </w:rPr>
    </w:lvl>
    <w:lvl w:ilvl="4">
      <w:start w:val="1"/>
      <w:numFmt w:val="bullet"/>
      <w:lvlText w:val=""/>
      <w:lvlJc w:val="left"/>
      <w:pPr>
        <w:tabs>
          <w:tab w:val="num" w:pos="3600"/>
        </w:tabs>
        <w:ind w:left="3960" w:hanging="360"/>
      </w:pPr>
      <w:rPr>
        <w:rFonts w:ascii="Wingdings" w:hAnsi="Wingdings" w:hint="default"/>
      </w:rPr>
    </w:lvl>
    <w:lvl w:ilvl="5">
      <w:start w:val="1"/>
      <w:numFmt w:val="bullet"/>
      <w:lvlText w:val=""/>
      <w:lvlJc w:val="left"/>
      <w:pPr>
        <w:tabs>
          <w:tab w:val="num" w:pos="4320"/>
        </w:tabs>
        <w:ind w:left="4680" w:hanging="360"/>
      </w:pPr>
      <w:rPr>
        <w:rFonts w:ascii="Symbol" w:hAnsi="Symbol" w:hint="default"/>
      </w:rPr>
    </w:lvl>
    <w:lvl w:ilvl="6">
      <w:start w:val="1"/>
      <w:numFmt w:val="bullet"/>
      <w:lvlText w:val="o"/>
      <w:lvlJc w:val="left"/>
      <w:pPr>
        <w:tabs>
          <w:tab w:val="num" w:pos="5040"/>
        </w:tabs>
        <w:ind w:left="5400" w:hanging="360"/>
      </w:pPr>
      <w:rPr>
        <w:rFonts w:ascii="Courier New" w:hAnsi="Courier New" w:hint="default"/>
      </w:rPr>
    </w:lvl>
    <w:lvl w:ilvl="7">
      <w:start w:val="1"/>
      <w:numFmt w:val="bullet"/>
      <w:lvlText w:val=""/>
      <w:lvlJc w:val="left"/>
      <w:pPr>
        <w:tabs>
          <w:tab w:val="num" w:pos="5760"/>
        </w:tabs>
        <w:ind w:left="6120" w:hanging="360"/>
      </w:pPr>
      <w:rPr>
        <w:rFonts w:ascii="Wingdings" w:hAnsi="Wingdings" w:hint="default"/>
      </w:rPr>
    </w:lvl>
    <w:lvl w:ilvl="8">
      <w:start w:val="1"/>
      <w:numFmt w:val="bullet"/>
      <w:lvlText w:val=""/>
      <w:lvlJc w:val="left"/>
      <w:pPr>
        <w:tabs>
          <w:tab w:val="num" w:pos="6480"/>
        </w:tabs>
        <w:ind w:left="6840" w:hanging="360"/>
      </w:pPr>
      <w:rPr>
        <w:rFonts w:ascii="Wingdings" w:hAnsi="Wingdings" w:hint="default"/>
      </w:rPr>
    </w:lvl>
  </w:abstractNum>
  <w:abstractNum w:abstractNumId="12">
    <w:nsid w:val="4FE84CEC"/>
    <w:multiLevelType w:val="hybridMultilevel"/>
    <w:tmpl w:val="A0E62B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0D0031A"/>
    <w:multiLevelType w:val="multilevel"/>
    <w:tmpl w:val="74E04F98"/>
    <w:lvl w:ilvl="0">
      <w:start w:val="1"/>
      <w:numFmt w:val="decimal"/>
      <w:lvlText w:val="%1."/>
      <w:lvlJc w:val="left"/>
      <w:pPr>
        <w:tabs>
          <w:tab w:val="num" w:pos="720"/>
        </w:tabs>
        <w:ind w:left="720" w:firstLine="0"/>
      </w:pPr>
      <w:rPr>
        <w:rFonts w:hint="default"/>
      </w:rPr>
    </w:lvl>
    <w:lvl w:ilvl="1">
      <w:start w:val="1"/>
      <w:numFmt w:val="bullet"/>
      <w:lvlText w:val=""/>
      <w:lvlJc w:val="left"/>
      <w:pPr>
        <w:tabs>
          <w:tab w:val="num" w:pos="1571"/>
        </w:tabs>
        <w:ind w:left="1931" w:hanging="360"/>
      </w:pPr>
      <w:rPr>
        <w:rFonts w:ascii="Symbol" w:hAnsi="Symbol" w:hint="default"/>
      </w:rPr>
    </w:lvl>
    <w:lvl w:ilvl="2">
      <w:start w:val="1"/>
      <w:numFmt w:val="bullet"/>
      <w:lvlText w:val="o"/>
      <w:lvlJc w:val="left"/>
      <w:pPr>
        <w:tabs>
          <w:tab w:val="num" w:pos="2160"/>
        </w:tabs>
        <w:ind w:left="2520" w:hanging="360"/>
      </w:pPr>
      <w:rPr>
        <w:rFonts w:ascii="Courier New" w:hAnsi="Courier New" w:hint="default"/>
      </w:rPr>
    </w:lvl>
    <w:lvl w:ilvl="3">
      <w:start w:val="1"/>
      <w:numFmt w:val="bullet"/>
      <w:lvlText w:val=""/>
      <w:lvlJc w:val="left"/>
      <w:pPr>
        <w:tabs>
          <w:tab w:val="num" w:pos="2880"/>
        </w:tabs>
        <w:ind w:left="3240" w:hanging="360"/>
      </w:pPr>
      <w:rPr>
        <w:rFonts w:ascii="Wingdings" w:hAnsi="Wingdings" w:hint="default"/>
      </w:rPr>
    </w:lvl>
    <w:lvl w:ilvl="4">
      <w:start w:val="1"/>
      <w:numFmt w:val="bullet"/>
      <w:lvlText w:val=""/>
      <w:lvlJc w:val="left"/>
      <w:pPr>
        <w:tabs>
          <w:tab w:val="num" w:pos="3600"/>
        </w:tabs>
        <w:ind w:left="3960" w:hanging="360"/>
      </w:pPr>
      <w:rPr>
        <w:rFonts w:ascii="Wingdings" w:hAnsi="Wingdings" w:hint="default"/>
      </w:rPr>
    </w:lvl>
    <w:lvl w:ilvl="5">
      <w:start w:val="1"/>
      <w:numFmt w:val="bullet"/>
      <w:lvlText w:val=""/>
      <w:lvlJc w:val="left"/>
      <w:pPr>
        <w:tabs>
          <w:tab w:val="num" w:pos="4320"/>
        </w:tabs>
        <w:ind w:left="4680" w:hanging="360"/>
      </w:pPr>
      <w:rPr>
        <w:rFonts w:ascii="Symbol" w:hAnsi="Symbol" w:hint="default"/>
      </w:rPr>
    </w:lvl>
    <w:lvl w:ilvl="6">
      <w:start w:val="1"/>
      <w:numFmt w:val="bullet"/>
      <w:lvlText w:val="o"/>
      <w:lvlJc w:val="left"/>
      <w:pPr>
        <w:tabs>
          <w:tab w:val="num" w:pos="5040"/>
        </w:tabs>
        <w:ind w:left="5400" w:hanging="360"/>
      </w:pPr>
      <w:rPr>
        <w:rFonts w:ascii="Courier New" w:hAnsi="Courier New" w:hint="default"/>
      </w:rPr>
    </w:lvl>
    <w:lvl w:ilvl="7">
      <w:start w:val="1"/>
      <w:numFmt w:val="bullet"/>
      <w:lvlText w:val=""/>
      <w:lvlJc w:val="left"/>
      <w:pPr>
        <w:tabs>
          <w:tab w:val="num" w:pos="5760"/>
        </w:tabs>
        <w:ind w:left="6120" w:hanging="360"/>
      </w:pPr>
      <w:rPr>
        <w:rFonts w:ascii="Wingdings" w:hAnsi="Wingdings" w:hint="default"/>
      </w:rPr>
    </w:lvl>
    <w:lvl w:ilvl="8">
      <w:start w:val="1"/>
      <w:numFmt w:val="bullet"/>
      <w:lvlText w:val=""/>
      <w:lvlJc w:val="left"/>
      <w:pPr>
        <w:tabs>
          <w:tab w:val="num" w:pos="6480"/>
        </w:tabs>
        <w:ind w:left="6840" w:hanging="360"/>
      </w:pPr>
      <w:rPr>
        <w:rFonts w:ascii="Wingdings" w:hAnsi="Wingdings" w:hint="default"/>
      </w:rPr>
    </w:lvl>
  </w:abstractNum>
  <w:abstractNum w:abstractNumId="14">
    <w:nsid w:val="55CE0768"/>
    <w:multiLevelType w:val="hybridMultilevel"/>
    <w:tmpl w:val="955436C4"/>
    <w:lvl w:ilvl="0" w:tplc="3814ABD4">
      <w:start w:val="1"/>
      <w:numFmt w:val="decimal"/>
      <w:pStyle w:val="Normalnumbered"/>
      <w:lvlText w:val="%1."/>
      <w:lvlJc w:val="left"/>
      <w:pPr>
        <w:tabs>
          <w:tab w:val="num" w:pos="567"/>
        </w:tabs>
        <w:ind w:left="567" w:hanging="567"/>
      </w:pPr>
      <w:rPr>
        <w:rFonts w:cs="Times New Roman" w:hint="default"/>
        <w:color w:val="000080"/>
        <w:sz w:val="20"/>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87F5B3F"/>
    <w:multiLevelType w:val="multilevel"/>
    <w:tmpl w:val="9DB2605E"/>
    <w:lvl w:ilvl="0">
      <w:start w:val="1"/>
      <w:numFmt w:val="lowerLetter"/>
      <w:lvlText w:val="%1)"/>
      <w:lvlJc w:val="left"/>
      <w:pPr>
        <w:tabs>
          <w:tab w:val="num" w:pos="720"/>
        </w:tabs>
        <w:ind w:left="720" w:firstLine="0"/>
      </w:pPr>
      <w:rPr>
        <w:rFonts w:hint="default"/>
      </w:rPr>
    </w:lvl>
    <w:lvl w:ilvl="1">
      <w:start w:val="1"/>
      <w:numFmt w:val="bullet"/>
      <w:lvlText w:val=""/>
      <w:lvlJc w:val="left"/>
      <w:pPr>
        <w:tabs>
          <w:tab w:val="num" w:pos="1571"/>
        </w:tabs>
        <w:ind w:left="1931" w:hanging="360"/>
      </w:pPr>
      <w:rPr>
        <w:rFonts w:ascii="Symbol" w:hAnsi="Symbol" w:hint="default"/>
      </w:rPr>
    </w:lvl>
    <w:lvl w:ilvl="2">
      <w:start w:val="1"/>
      <w:numFmt w:val="bullet"/>
      <w:lvlText w:val="o"/>
      <w:lvlJc w:val="left"/>
      <w:pPr>
        <w:tabs>
          <w:tab w:val="num" w:pos="2160"/>
        </w:tabs>
        <w:ind w:left="2520" w:hanging="360"/>
      </w:pPr>
      <w:rPr>
        <w:rFonts w:ascii="Courier New" w:hAnsi="Courier New" w:hint="default"/>
      </w:rPr>
    </w:lvl>
    <w:lvl w:ilvl="3">
      <w:start w:val="1"/>
      <w:numFmt w:val="bullet"/>
      <w:lvlText w:val=""/>
      <w:lvlJc w:val="left"/>
      <w:pPr>
        <w:tabs>
          <w:tab w:val="num" w:pos="2880"/>
        </w:tabs>
        <w:ind w:left="3240" w:hanging="360"/>
      </w:pPr>
      <w:rPr>
        <w:rFonts w:ascii="Wingdings" w:hAnsi="Wingdings" w:hint="default"/>
      </w:rPr>
    </w:lvl>
    <w:lvl w:ilvl="4">
      <w:start w:val="1"/>
      <w:numFmt w:val="bullet"/>
      <w:lvlText w:val=""/>
      <w:lvlJc w:val="left"/>
      <w:pPr>
        <w:tabs>
          <w:tab w:val="num" w:pos="3600"/>
        </w:tabs>
        <w:ind w:left="3960" w:hanging="360"/>
      </w:pPr>
      <w:rPr>
        <w:rFonts w:ascii="Wingdings" w:hAnsi="Wingdings" w:hint="default"/>
      </w:rPr>
    </w:lvl>
    <w:lvl w:ilvl="5">
      <w:start w:val="1"/>
      <w:numFmt w:val="bullet"/>
      <w:lvlText w:val=""/>
      <w:lvlJc w:val="left"/>
      <w:pPr>
        <w:tabs>
          <w:tab w:val="num" w:pos="4320"/>
        </w:tabs>
        <w:ind w:left="4680" w:hanging="360"/>
      </w:pPr>
      <w:rPr>
        <w:rFonts w:ascii="Symbol" w:hAnsi="Symbol" w:hint="default"/>
      </w:rPr>
    </w:lvl>
    <w:lvl w:ilvl="6">
      <w:start w:val="1"/>
      <w:numFmt w:val="bullet"/>
      <w:lvlText w:val="o"/>
      <w:lvlJc w:val="left"/>
      <w:pPr>
        <w:tabs>
          <w:tab w:val="num" w:pos="5040"/>
        </w:tabs>
        <w:ind w:left="5400" w:hanging="360"/>
      </w:pPr>
      <w:rPr>
        <w:rFonts w:ascii="Courier New" w:hAnsi="Courier New" w:hint="default"/>
      </w:rPr>
    </w:lvl>
    <w:lvl w:ilvl="7">
      <w:start w:val="1"/>
      <w:numFmt w:val="bullet"/>
      <w:lvlText w:val=""/>
      <w:lvlJc w:val="left"/>
      <w:pPr>
        <w:tabs>
          <w:tab w:val="num" w:pos="5760"/>
        </w:tabs>
        <w:ind w:left="6120" w:hanging="360"/>
      </w:pPr>
      <w:rPr>
        <w:rFonts w:ascii="Wingdings" w:hAnsi="Wingdings" w:hint="default"/>
      </w:rPr>
    </w:lvl>
    <w:lvl w:ilvl="8">
      <w:start w:val="1"/>
      <w:numFmt w:val="bullet"/>
      <w:lvlText w:val=""/>
      <w:lvlJc w:val="left"/>
      <w:pPr>
        <w:tabs>
          <w:tab w:val="num" w:pos="6480"/>
        </w:tabs>
        <w:ind w:left="6840" w:hanging="360"/>
      </w:pPr>
      <w:rPr>
        <w:rFonts w:ascii="Wingdings" w:hAnsi="Wingdings" w:hint="default"/>
      </w:rPr>
    </w:lvl>
  </w:abstractNum>
  <w:abstractNum w:abstractNumId="16">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17">
    <w:nsid w:val="5E634EA6"/>
    <w:multiLevelType w:val="multilevel"/>
    <w:tmpl w:val="E10C4DCA"/>
    <w:lvl w:ilvl="0">
      <w:start w:val="1"/>
      <w:numFmt w:val="bullet"/>
      <w:lvlText w:val=""/>
      <w:lvlJc w:val="left"/>
      <w:pPr>
        <w:tabs>
          <w:tab w:val="num" w:pos="720"/>
        </w:tabs>
        <w:ind w:left="720" w:firstLine="0"/>
      </w:pPr>
      <w:rPr>
        <w:rFonts w:ascii="Symbol" w:hAnsi="Symbol" w:hint="default"/>
      </w:rPr>
    </w:lvl>
    <w:lvl w:ilvl="1">
      <w:start w:val="1"/>
      <w:numFmt w:val="bullet"/>
      <w:lvlText w:val=""/>
      <w:lvlJc w:val="left"/>
      <w:pPr>
        <w:tabs>
          <w:tab w:val="num" w:pos="1571"/>
        </w:tabs>
        <w:ind w:left="1931" w:hanging="360"/>
      </w:pPr>
      <w:rPr>
        <w:rFonts w:ascii="Symbol" w:hAnsi="Symbol" w:hint="default"/>
      </w:rPr>
    </w:lvl>
    <w:lvl w:ilvl="2">
      <w:start w:val="1"/>
      <w:numFmt w:val="bullet"/>
      <w:lvlText w:val="o"/>
      <w:lvlJc w:val="left"/>
      <w:pPr>
        <w:tabs>
          <w:tab w:val="num" w:pos="2160"/>
        </w:tabs>
        <w:ind w:left="2520" w:hanging="360"/>
      </w:pPr>
      <w:rPr>
        <w:rFonts w:ascii="Courier New" w:hAnsi="Courier New" w:hint="default"/>
      </w:rPr>
    </w:lvl>
    <w:lvl w:ilvl="3">
      <w:start w:val="1"/>
      <w:numFmt w:val="bullet"/>
      <w:lvlText w:val=""/>
      <w:lvlJc w:val="left"/>
      <w:pPr>
        <w:tabs>
          <w:tab w:val="num" w:pos="2880"/>
        </w:tabs>
        <w:ind w:left="3240" w:hanging="360"/>
      </w:pPr>
      <w:rPr>
        <w:rFonts w:ascii="Wingdings" w:hAnsi="Wingdings" w:hint="default"/>
      </w:rPr>
    </w:lvl>
    <w:lvl w:ilvl="4">
      <w:start w:val="1"/>
      <w:numFmt w:val="bullet"/>
      <w:lvlText w:val=""/>
      <w:lvlJc w:val="left"/>
      <w:pPr>
        <w:tabs>
          <w:tab w:val="num" w:pos="3600"/>
        </w:tabs>
        <w:ind w:left="3960" w:hanging="360"/>
      </w:pPr>
      <w:rPr>
        <w:rFonts w:ascii="Wingdings" w:hAnsi="Wingdings" w:hint="default"/>
      </w:rPr>
    </w:lvl>
    <w:lvl w:ilvl="5">
      <w:start w:val="1"/>
      <w:numFmt w:val="bullet"/>
      <w:lvlText w:val=""/>
      <w:lvlJc w:val="left"/>
      <w:pPr>
        <w:tabs>
          <w:tab w:val="num" w:pos="4320"/>
        </w:tabs>
        <w:ind w:left="4680" w:hanging="360"/>
      </w:pPr>
      <w:rPr>
        <w:rFonts w:ascii="Symbol" w:hAnsi="Symbol" w:hint="default"/>
      </w:rPr>
    </w:lvl>
    <w:lvl w:ilvl="6">
      <w:start w:val="1"/>
      <w:numFmt w:val="bullet"/>
      <w:lvlText w:val="o"/>
      <w:lvlJc w:val="left"/>
      <w:pPr>
        <w:tabs>
          <w:tab w:val="num" w:pos="5040"/>
        </w:tabs>
        <w:ind w:left="5400" w:hanging="360"/>
      </w:pPr>
      <w:rPr>
        <w:rFonts w:ascii="Courier New" w:hAnsi="Courier New" w:hint="default"/>
      </w:rPr>
    </w:lvl>
    <w:lvl w:ilvl="7">
      <w:start w:val="1"/>
      <w:numFmt w:val="bullet"/>
      <w:lvlText w:val=""/>
      <w:lvlJc w:val="left"/>
      <w:pPr>
        <w:tabs>
          <w:tab w:val="num" w:pos="5760"/>
        </w:tabs>
        <w:ind w:left="6120" w:hanging="360"/>
      </w:pPr>
      <w:rPr>
        <w:rFonts w:ascii="Wingdings" w:hAnsi="Wingdings" w:hint="default"/>
      </w:rPr>
    </w:lvl>
    <w:lvl w:ilvl="8">
      <w:start w:val="1"/>
      <w:numFmt w:val="bullet"/>
      <w:lvlText w:val=""/>
      <w:lvlJc w:val="left"/>
      <w:pPr>
        <w:tabs>
          <w:tab w:val="num" w:pos="6480"/>
        </w:tabs>
        <w:ind w:left="6840" w:hanging="360"/>
      </w:pPr>
      <w:rPr>
        <w:rFonts w:ascii="Wingdings" w:hAnsi="Wingdings" w:hint="default"/>
      </w:rPr>
    </w:lvl>
  </w:abstractNum>
  <w:abstractNum w:abstractNumId="18">
    <w:nsid w:val="629A67B2"/>
    <w:multiLevelType w:val="multilevel"/>
    <w:tmpl w:val="04F8EBD8"/>
    <w:lvl w:ilvl="0">
      <w:start w:val="1"/>
      <w:numFmt w:val="bullet"/>
      <w:lvlText w:val=""/>
      <w:lvlJc w:val="left"/>
      <w:pPr>
        <w:tabs>
          <w:tab w:val="num" w:pos="720"/>
        </w:tabs>
        <w:ind w:left="720" w:firstLine="0"/>
      </w:pPr>
      <w:rPr>
        <w:rFonts w:ascii="Symbol" w:hAnsi="Symbol" w:hint="default"/>
      </w:rPr>
    </w:lvl>
    <w:lvl w:ilvl="1">
      <w:start w:val="1"/>
      <w:numFmt w:val="bullet"/>
      <w:lvlText w:val=""/>
      <w:lvlJc w:val="left"/>
      <w:pPr>
        <w:tabs>
          <w:tab w:val="num" w:pos="1571"/>
        </w:tabs>
        <w:ind w:left="1931" w:hanging="360"/>
      </w:pPr>
      <w:rPr>
        <w:rFonts w:ascii="Symbol" w:hAnsi="Symbol" w:hint="default"/>
      </w:rPr>
    </w:lvl>
    <w:lvl w:ilvl="2">
      <w:start w:val="1"/>
      <w:numFmt w:val="bullet"/>
      <w:lvlText w:val="o"/>
      <w:lvlJc w:val="left"/>
      <w:pPr>
        <w:tabs>
          <w:tab w:val="num" w:pos="2160"/>
        </w:tabs>
        <w:ind w:left="2520" w:hanging="360"/>
      </w:pPr>
      <w:rPr>
        <w:rFonts w:ascii="Courier New" w:hAnsi="Courier New" w:hint="default"/>
      </w:rPr>
    </w:lvl>
    <w:lvl w:ilvl="3">
      <w:start w:val="1"/>
      <w:numFmt w:val="bullet"/>
      <w:lvlText w:val=""/>
      <w:lvlJc w:val="left"/>
      <w:pPr>
        <w:tabs>
          <w:tab w:val="num" w:pos="2880"/>
        </w:tabs>
        <w:ind w:left="3240" w:hanging="360"/>
      </w:pPr>
      <w:rPr>
        <w:rFonts w:ascii="Wingdings" w:hAnsi="Wingdings" w:hint="default"/>
      </w:rPr>
    </w:lvl>
    <w:lvl w:ilvl="4">
      <w:start w:val="1"/>
      <w:numFmt w:val="bullet"/>
      <w:lvlText w:val=""/>
      <w:lvlJc w:val="left"/>
      <w:pPr>
        <w:tabs>
          <w:tab w:val="num" w:pos="3600"/>
        </w:tabs>
        <w:ind w:left="3960" w:hanging="360"/>
      </w:pPr>
      <w:rPr>
        <w:rFonts w:ascii="Wingdings" w:hAnsi="Wingdings" w:hint="default"/>
      </w:rPr>
    </w:lvl>
    <w:lvl w:ilvl="5">
      <w:start w:val="1"/>
      <w:numFmt w:val="bullet"/>
      <w:lvlText w:val=""/>
      <w:lvlJc w:val="left"/>
      <w:pPr>
        <w:tabs>
          <w:tab w:val="num" w:pos="4320"/>
        </w:tabs>
        <w:ind w:left="4680" w:hanging="360"/>
      </w:pPr>
      <w:rPr>
        <w:rFonts w:ascii="Symbol" w:hAnsi="Symbol" w:hint="default"/>
      </w:rPr>
    </w:lvl>
    <w:lvl w:ilvl="6">
      <w:start w:val="1"/>
      <w:numFmt w:val="bullet"/>
      <w:lvlText w:val="o"/>
      <w:lvlJc w:val="left"/>
      <w:pPr>
        <w:tabs>
          <w:tab w:val="num" w:pos="5040"/>
        </w:tabs>
        <w:ind w:left="5400" w:hanging="360"/>
      </w:pPr>
      <w:rPr>
        <w:rFonts w:ascii="Courier New" w:hAnsi="Courier New" w:hint="default"/>
      </w:rPr>
    </w:lvl>
    <w:lvl w:ilvl="7">
      <w:start w:val="1"/>
      <w:numFmt w:val="bullet"/>
      <w:lvlText w:val=""/>
      <w:lvlJc w:val="left"/>
      <w:pPr>
        <w:tabs>
          <w:tab w:val="num" w:pos="5760"/>
        </w:tabs>
        <w:ind w:left="6120" w:hanging="360"/>
      </w:pPr>
      <w:rPr>
        <w:rFonts w:ascii="Wingdings" w:hAnsi="Wingdings" w:hint="default"/>
      </w:rPr>
    </w:lvl>
    <w:lvl w:ilvl="8">
      <w:start w:val="1"/>
      <w:numFmt w:val="bullet"/>
      <w:lvlText w:val=""/>
      <w:lvlJc w:val="left"/>
      <w:pPr>
        <w:tabs>
          <w:tab w:val="num" w:pos="6480"/>
        </w:tabs>
        <w:ind w:left="6840" w:hanging="360"/>
      </w:pPr>
      <w:rPr>
        <w:rFonts w:ascii="Wingdings" w:hAnsi="Wingdings" w:hint="default"/>
      </w:rPr>
    </w:lvl>
  </w:abstractNum>
  <w:abstractNum w:abstractNumId="19">
    <w:nsid w:val="6AA2052E"/>
    <w:multiLevelType w:val="multilevel"/>
    <w:tmpl w:val="04F8EBD8"/>
    <w:lvl w:ilvl="0">
      <w:start w:val="1"/>
      <w:numFmt w:val="bullet"/>
      <w:lvlText w:val=""/>
      <w:lvlJc w:val="left"/>
      <w:pPr>
        <w:tabs>
          <w:tab w:val="num" w:pos="720"/>
        </w:tabs>
        <w:ind w:left="720" w:firstLine="0"/>
      </w:pPr>
      <w:rPr>
        <w:rFonts w:ascii="Symbol" w:hAnsi="Symbol" w:hint="default"/>
      </w:rPr>
    </w:lvl>
    <w:lvl w:ilvl="1">
      <w:start w:val="1"/>
      <w:numFmt w:val="bullet"/>
      <w:lvlText w:val=""/>
      <w:lvlJc w:val="left"/>
      <w:pPr>
        <w:tabs>
          <w:tab w:val="num" w:pos="1571"/>
        </w:tabs>
        <w:ind w:left="1931" w:hanging="360"/>
      </w:pPr>
      <w:rPr>
        <w:rFonts w:ascii="Symbol" w:hAnsi="Symbol" w:hint="default"/>
      </w:rPr>
    </w:lvl>
    <w:lvl w:ilvl="2">
      <w:start w:val="1"/>
      <w:numFmt w:val="bullet"/>
      <w:lvlText w:val="o"/>
      <w:lvlJc w:val="left"/>
      <w:pPr>
        <w:tabs>
          <w:tab w:val="num" w:pos="2160"/>
        </w:tabs>
        <w:ind w:left="2520" w:hanging="360"/>
      </w:pPr>
      <w:rPr>
        <w:rFonts w:ascii="Courier New" w:hAnsi="Courier New" w:hint="default"/>
      </w:rPr>
    </w:lvl>
    <w:lvl w:ilvl="3">
      <w:start w:val="1"/>
      <w:numFmt w:val="bullet"/>
      <w:lvlText w:val=""/>
      <w:lvlJc w:val="left"/>
      <w:pPr>
        <w:tabs>
          <w:tab w:val="num" w:pos="2880"/>
        </w:tabs>
        <w:ind w:left="3240" w:hanging="360"/>
      </w:pPr>
      <w:rPr>
        <w:rFonts w:ascii="Wingdings" w:hAnsi="Wingdings" w:hint="default"/>
      </w:rPr>
    </w:lvl>
    <w:lvl w:ilvl="4">
      <w:start w:val="1"/>
      <w:numFmt w:val="bullet"/>
      <w:lvlText w:val=""/>
      <w:lvlJc w:val="left"/>
      <w:pPr>
        <w:tabs>
          <w:tab w:val="num" w:pos="3600"/>
        </w:tabs>
        <w:ind w:left="3960" w:hanging="360"/>
      </w:pPr>
      <w:rPr>
        <w:rFonts w:ascii="Wingdings" w:hAnsi="Wingdings" w:hint="default"/>
      </w:rPr>
    </w:lvl>
    <w:lvl w:ilvl="5">
      <w:start w:val="1"/>
      <w:numFmt w:val="bullet"/>
      <w:lvlText w:val=""/>
      <w:lvlJc w:val="left"/>
      <w:pPr>
        <w:tabs>
          <w:tab w:val="num" w:pos="4320"/>
        </w:tabs>
        <w:ind w:left="4680" w:hanging="360"/>
      </w:pPr>
      <w:rPr>
        <w:rFonts w:ascii="Symbol" w:hAnsi="Symbol" w:hint="default"/>
      </w:rPr>
    </w:lvl>
    <w:lvl w:ilvl="6">
      <w:start w:val="1"/>
      <w:numFmt w:val="bullet"/>
      <w:lvlText w:val="o"/>
      <w:lvlJc w:val="left"/>
      <w:pPr>
        <w:tabs>
          <w:tab w:val="num" w:pos="5040"/>
        </w:tabs>
        <w:ind w:left="5400" w:hanging="360"/>
      </w:pPr>
      <w:rPr>
        <w:rFonts w:ascii="Courier New" w:hAnsi="Courier New" w:hint="default"/>
      </w:rPr>
    </w:lvl>
    <w:lvl w:ilvl="7">
      <w:start w:val="1"/>
      <w:numFmt w:val="bullet"/>
      <w:lvlText w:val=""/>
      <w:lvlJc w:val="left"/>
      <w:pPr>
        <w:tabs>
          <w:tab w:val="num" w:pos="5760"/>
        </w:tabs>
        <w:ind w:left="6120" w:hanging="360"/>
      </w:pPr>
      <w:rPr>
        <w:rFonts w:ascii="Wingdings" w:hAnsi="Wingdings" w:hint="default"/>
      </w:rPr>
    </w:lvl>
    <w:lvl w:ilvl="8">
      <w:start w:val="1"/>
      <w:numFmt w:val="bullet"/>
      <w:lvlText w:val=""/>
      <w:lvlJc w:val="left"/>
      <w:pPr>
        <w:tabs>
          <w:tab w:val="num" w:pos="6480"/>
        </w:tabs>
        <w:ind w:left="6840" w:hanging="360"/>
      </w:pPr>
      <w:rPr>
        <w:rFonts w:ascii="Wingdings" w:hAnsi="Wingdings" w:hint="default"/>
      </w:rPr>
    </w:lvl>
  </w:abstractNum>
  <w:num w:numId="1">
    <w:abstractNumId w:val="3"/>
  </w:num>
  <w:num w:numId="2">
    <w:abstractNumId w:val="16"/>
  </w:num>
  <w:num w:numId="3">
    <w:abstractNumId w:val="14"/>
  </w:num>
  <w:num w:numId="4">
    <w:abstractNumId w:val="5"/>
  </w:num>
  <w:num w:numId="5">
    <w:abstractNumId w:val="0"/>
  </w:num>
  <w:num w:numId="6">
    <w:abstractNumId w:val="6"/>
  </w:num>
  <w:num w:numId="7">
    <w:abstractNumId w:val="18"/>
  </w:num>
  <w:num w:numId="8">
    <w:abstractNumId w:val="7"/>
  </w:num>
  <w:num w:numId="9">
    <w:abstractNumId w:val="12"/>
  </w:num>
  <w:num w:numId="10">
    <w:abstractNumId w:val="9"/>
  </w:num>
  <w:num w:numId="11">
    <w:abstractNumId w:val="15"/>
  </w:num>
  <w:num w:numId="12">
    <w:abstractNumId w:val="10"/>
  </w:num>
  <w:num w:numId="13">
    <w:abstractNumId w:val="8"/>
  </w:num>
  <w:num w:numId="14">
    <w:abstractNumId w:val="17"/>
  </w:num>
  <w:num w:numId="15">
    <w:abstractNumId w:val="13"/>
  </w:num>
  <w:num w:numId="16">
    <w:abstractNumId w:val="4"/>
  </w:num>
  <w:num w:numId="17">
    <w:abstractNumId w:val="2"/>
  </w:num>
  <w:num w:numId="18">
    <w:abstractNumId w:val="19"/>
  </w:num>
  <w:num w:numId="19">
    <w:abstractNumId w:val="11"/>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01B8"/>
    <w:rsid w:val="00001166"/>
    <w:rsid w:val="00003742"/>
    <w:rsid w:val="0000614D"/>
    <w:rsid w:val="000078E0"/>
    <w:rsid w:val="00007A46"/>
    <w:rsid w:val="00011740"/>
    <w:rsid w:val="00011B40"/>
    <w:rsid w:val="000159CD"/>
    <w:rsid w:val="00020EFE"/>
    <w:rsid w:val="00021E43"/>
    <w:rsid w:val="00022794"/>
    <w:rsid w:val="000259A5"/>
    <w:rsid w:val="000260F2"/>
    <w:rsid w:val="00032459"/>
    <w:rsid w:val="00032A7A"/>
    <w:rsid w:val="000341B9"/>
    <w:rsid w:val="0003563F"/>
    <w:rsid w:val="00037548"/>
    <w:rsid w:val="00041EE4"/>
    <w:rsid w:val="00046086"/>
    <w:rsid w:val="00046D34"/>
    <w:rsid w:val="0004720B"/>
    <w:rsid w:val="000476A6"/>
    <w:rsid w:val="00050518"/>
    <w:rsid w:val="00052750"/>
    <w:rsid w:val="00053382"/>
    <w:rsid w:val="00053BFC"/>
    <w:rsid w:val="0005425E"/>
    <w:rsid w:val="000606E9"/>
    <w:rsid w:val="000611BD"/>
    <w:rsid w:val="00062D70"/>
    <w:rsid w:val="00065D17"/>
    <w:rsid w:val="000663FD"/>
    <w:rsid w:val="00070658"/>
    <w:rsid w:val="00072E39"/>
    <w:rsid w:val="00076F0C"/>
    <w:rsid w:val="00082FD1"/>
    <w:rsid w:val="0008422C"/>
    <w:rsid w:val="0008435E"/>
    <w:rsid w:val="000948ED"/>
    <w:rsid w:val="000968B9"/>
    <w:rsid w:val="00096DAA"/>
    <w:rsid w:val="000A0BA4"/>
    <w:rsid w:val="000A38D5"/>
    <w:rsid w:val="000A6B1F"/>
    <w:rsid w:val="000B0341"/>
    <w:rsid w:val="000B1746"/>
    <w:rsid w:val="000B4205"/>
    <w:rsid w:val="000B4218"/>
    <w:rsid w:val="000B4DBF"/>
    <w:rsid w:val="000B666F"/>
    <w:rsid w:val="000C0705"/>
    <w:rsid w:val="000C267E"/>
    <w:rsid w:val="000C36E1"/>
    <w:rsid w:val="000C5C94"/>
    <w:rsid w:val="000C6C35"/>
    <w:rsid w:val="000D3D3F"/>
    <w:rsid w:val="000D5428"/>
    <w:rsid w:val="000D76BD"/>
    <w:rsid w:val="000E2712"/>
    <w:rsid w:val="000E4992"/>
    <w:rsid w:val="000E7B1C"/>
    <w:rsid w:val="000F20CC"/>
    <w:rsid w:val="000F4AE1"/>
    <w:rsid w:val="000F4B1E"/>
    <w:rsid w:val="000F5927"/>
    <w:rsid w:val="001001DA"/>
    <w:rsid w:val="00100D50"/>
    <w:rsid w:val="001010C7"/>
    <w:rsid w:val="0010157C"/>
    <w:rsid w:val="0010225A"/>
    <w:rsid w:val="001053FF"/>
    <w:rsid w:val="001056E8"/>
    <w:rsid w:val="00107748"/>
    <w:rsid w:val="001116FB"/>
    <w:rsid w:val="00112047"/>
    <w:rsid w:val="00114315"/>
    <w:rsid w:val="0011520A"/>
    <w:rsid w:val="001221BF"/>
    <w:rsid w:val="001234DF"/>
    <w:rsid w:val="001235E7"/>
    <w:rsid w:val="00124316"/>
    <w:rsid w:val="001255D6"/>
    <w:rsid w:val="00126AA1"/>
    <w:rsid w:val="001276ED"/>
    <w:rsid w:val="001308B6"/>
    <w:rsid w:val="00133C5D"/>
    <w:rsid w:val="00134247"/>
    <w:rsid w:val="001352DB"/>
    <w:rsid w:val="00135C86"/>
    <w:rsid w:val="00136CA7"/>
    <w:rsid w:val="00137208"/>
    <w:rsid w:val="0014381A"/>
    <w:rsid w:val="00146DC0"/>
    <w:rsid w:val="00147311"/>
    <w:rsid w:val="001549F4"/>
    <w:rsid w:val="00156401"/>
    <w:rsid w:val="0016438E"/>
    <w:rsid w:val="00165A3A"/>
    <w:rsid w:val="00166E4F"/>
    <w:rsid w:val="00167C96"/>
    <w:rsid w:val="00170672"/>
    <w:rsid w:val="0017376E"/>
    <w:rsid w:val="00173CE4"/>
    <w:rsid w:val="00173E9D"/>
    <w:rsid w:val="00175FAB"/>
    <w:rsid w:val="00176F44"/>
    <w:rsid w:val="0017719F"/>
    <w:rsid w:val="00181B3A"/>
    <w:rsid w:val="0018223A"/>
    <w:rsid w:val="001829D5"/>
    <w:rsid w:val="00184365"/>
    <w:rsid w:val="001918E0"/>
    <w:rsid w:val="001937F9"/>
    <w:rsid w:val="00194117"/>
    <w:rsid w:val="0019723C"/>
    <w:rsid w:val="00197B7A"/>
    <w:rsid w:val="00197BA2"/>
    <w:rsid w:val="001A015B"/>
    <w:rsid w:val="001A0779"/>
    <w:rsid w:val="001A1C03"/>
    <w:rsid w:val="001A3A96"/>
    <w:rsid w:val="001A45A4"/>
    <w:rsid w:val="001B0098"/>
    <w:rsid w:val="001B165D"/>
    <w:rsid w:val="001B25CB"/>
    <w:rsid w:val="001B3C1F"/>
    <w:rsid w:val="001B4F4A"/>
    <w:rsid w:val="001C31ED"/>
    <w:rsid w:val="001C5693"/>
    <w:rsid w:val="001C5DA4"/>
    <w:rsid w:val="001C5F06"/>
    <w:rsid w:val="001C7BBF"/>
    <w:rsid w:val="001D52BC"/>
    <w:rsid w:val="001E323F"/>
    <w:rsid w:val="001E5B26"/>
    <w:rsid w:val="001E6835"/>
    <w:rsid w:val="001E794D"/>
    <w:rsid w:val="001F0547"/>
    <w:rsid w:val="001F06C0"/>
    <w:rsid w:val="001F4905"/>
    <w:rsid w:val="001F59EF"/>
    <w:rsid w:val="0020352A"/>
    <w:rsid w:val="00204022"/>
    <w:rsid w:val="00204CB5"/>
    <w:rsid w:val="00206370"/>
    <w:rsid w:val="00206A04"/>
    <w:rsid w:val="002117E9"/>
    <w:rsid w:val="00213DDB"/>
    <w:rsid w:val="002158B1"/>
    <w:rsid w:val="00220670"/>
    <w:rsid w:val="0022246A"/>
    <w:rsid w:val="00222B8B"/>
    <w:rsid w:val="00223679"/>
    <w:rsid w:val="00223AF5"/>
    <w:rsid w:val="00223C17"/>
    <w:rsid w:val="002270A4"/>
    <w:rsid w:val="00236496"/>
    <w:rsid w:val="002367CA"/>
    <w:rsid w:val="00237035"/>
    <w:rsid w:val="00237E88"/>
    <w:rsid w:val="002400BC"/>
    <w:rsid w:val="0024083E"/>
    <w:rsid w:val="00242A0B"/>
    <w:rsid w:val="0024478B"/>
    <w:rsid w:val="00247ECD"/>
    <w:rsid w:val="00250EC1"/>
    <w:rsid w:val="00251E6F"/>
    <w:rsid w:val="00256707"/>
    <w:rsid w:val="002601CE"/>
    <w:rsid w:val="0026095D"/>
    <w:rsid w:val="002647FE"/>
    <w:rsid w:val="00267D7E"/>
    <w:rsid w:val="00271AAD"/>
    <w:rsid w:val="002742AF"/>
    <w:rsid w:val="00276982"/>
    <w:rsid w:val="00276CD7"/>
    <w:rsid w:val="002777FD"/>
    <w:rsid w:val="00277B1C"/>
    <w:rsid w:val="00282472"/>
    <w:rsid w:val="0028623A"/>
    <w:rsid w:val="00286CA6"/>
    <w:rsid w:val="00293E21"/>
    <w:rsid w:val="00295237"/>
    <w:rsid w:val="002A01DC"/>
    <w:rsid w:val="002A3388"/>
    <w:rsid w:val="002B0E83"/>
    <w:rsid w:val="002B1C3E"/>
    <w:rsid w:val="002B33E6"/>
    <w:rsid w:val="002B5A8B"/>
    <w:rsid w:val="002B7F88"/>
    <w:rsid w:val="002C1ACA"/>
    <w:rsid w:val="002C27ED"/>
    <w:rsid w:val="002C39B5"/>
    <w:rsid w:val="002C41C0"/>
    <w:rsid w:val="002C515B"/>
    <w:rsid w:val="002C607B"/>
    <w:rsid w:val="002C6906"/>
    <w:rsid w:val="002C7C41"/>
    <w:rsid w:val="002D4117"/>
    <w:rsid w:val="002E0D93"/>
    <w:rsid w:val="002E68A3"/>
    <w:rsid w:val="002F04E9"/>
    <w:rsid w:val="002F50A5"/>
    <w:rsid w:val="002F5797"/>
    <w:rsid w:val="002F5CA1"/>
    <w:rsid w:val="00300213"/>
    <w:rsid w:val="0030551C"/>
    <w:rsid w:val="0030758F"/>
    <w:rsid w:val="003101F8"/>
    <w:rsid w:val="00316966"/>
    <w:rsid w:val="003323D7"/>
    <w:rsid w:val="00332D8C"/>
    <w:rsid w:val="00334947"/>
    <w:rsid w:val="00335ACD"/>
    <w:rsid w:val="0033776D"/>
    <w:rsid w:val="00337DB3"/>
    <w:rsid w:val="003434DB"/>
    <w:rsid w:val="00350749"/>
    <w:rsid w:val="00351FAB"/>
    <w:rsid w:val="00354423"/>
    <w:rsid w:val="0036168F"/>
    <w:rsid w:val="00367542"/>
    <w:rsid w:val="0037042F"/>
    <w:rsid w:val="00374135"/>
    <w:rsid w:val="00375B4F"/>
    <w:rsid w:val="003777B3"/>
    <w:rsid w:val="00381B9E"/>
    <w:rsid w:val="003831A3"/>
    <w:rsid w:val="00385C42"/>
    <w:rsid w:val="00387C56"/>
    <w:rsid w:val="00390483"/>
    <w:rsid w:val="003912E3"/>
    <w:rsid w:val="00392E08"/>
    <w:rsid w:val="00397640"/>
    <w:rsid w:val="003A13B9"/>
    <w:rsid w:val="003A5486"/>
    <w:rsid w:val="003B0A05"/>
    <w:rsid w:val="003B1FBB"/>
    <w:rsid w:val="003B2EBC"/>
    <w:rsid w:val="003B3F58"/>
    <w:rsid w:val="003B47FE"/>
    <w:rsid w:val="003C0743"/>
    <w:rsid w:val="003C0A67"/>
    <w:rsid w:val="003C40A7"/>
    <w:rsid w:val="003C4519"/>
    <w:rsid w:val="003C64B6"/>
    <w:rsid w:val="003C64D4"/>
    <w:rsid w:val="003C72CA"/>
    <w:rsid w:val="003C732A"/>
    <w:rsid w:val="003C7711"/>
    <w:rsid w:val="003C7CBB"/>
    <w:rsid w:val="003D03B4"/>
    <w:rsid w:val="003D1C30"/>
    <w:rsid w:val="003D2673"/>
    <w:rsid w:val="003D3C1F"/>
    <w:rsid w:val="003E1B9A"/>
    <w:rsid w:val="003E1FC0"/>
    <w:rsid w:val="003E614F"/>
    <w:rsid w:val="003F05D5"/>
    <w:rsid w:val="003F1031"/>
    <w:rsid w:val="003F2640"/>
    <w:rsid w:val="003F2A3D"/>
    <w:rsid w:val="003F7366"/>
    <w:rsid w:val="004039E8"/>
    <w:rsid w:val="004047AE"/>
    <w:rsid w:val="00404D5E"/>
    <w:rsid w:val="00410207"/>
    <w:rsid w:val="00411112"/>
    <w:rsid w:val="00414682"/>
    <w:rsid w:val="0041544B"/>
    <w:rsid w:val="0042166B"/>
    <w:rsid w:val="00423B9C"/>
    <w:rsid w:val="00425F33"/>
    <w:rsid w:val="00427E1D"/>
    <w:rsid w:val="004311D8"/>
    <w:rsid w:val="0043223A"/>
    <w:rsid w:val="0043658C"/>
    <w:rsid w:val="004401CF"/>
    <w:rsid w:val="00440270"/>
    <w:rsid w:val="0044495C"/>
    <w:rsid w:val="00444D56"/>
    <w:rsid w:val="00447C7D"/>
    <w:rsid w:val="00447F38"/>
    <w:rsid w:val="00451A25"/>
    <w:rsid w:val="00454D9B"/>
    <w:rsid w:val="004550BD"/>
    <w:rsid w:val="004552FC"/>
    <w:rsid w:val="00457362"/>
    <w:rsid w:val="0046082B"/>
    <w:rsid w:val="004621C6"/>
    <w:rsid w:val="0046241E"/>
    <w:rsid w:val="00463701"/>
    <w:rsid w:val="004647A4"/>
    <w:rsid w:val="0047144F"/>
    <w:rsid w:val="00475C9D"/>
    <w:rsid w:val="00475E90"/>
    <w:rsid w:val="0047619B"/>
    <w:rsid w:val="00476556"/>
    <w:rsid w:val="0047677F"/>
    <w:rsid w:val="00480026"/>
    <w:rsid w:val="00480A5B"/>
    <w:rsid w:val="00481A26"/>
    <w:rsid w:val="0048526A"/>
    <w:rsid w:val="00486671"/>
    <w:rsid w:val="004900E2"/>
    <w:rsid w:val="00492A35"/>
    <w:rsid w:val="00494295"/>
    <w:rsid w:val="004960F0"/>
    <w:rsid w:val="004A2161"/>
    <w:rsid w:val="004A25E3"/>
    <w:rsid w:val="004A4CDC"/>
    <w:rsid w:val="004B58C0"/>
    <w:rsid w:val="004B7B5F"/>
    <w:rsid w:val="004C2900"/>
    <w:rsid w:val="004C465D"/>
    <w:rsid w:val="004C6E08"/>
    <w:rsid w:val="004D0F92"/>
    <w:rsid w:val="004D21BF"/>
    <w:rsid w:val="004D247E"/>
    <w:rsid w:val="004D5A9E"/>
    <w:rsid w:val="004E0A0C"/>
    <w:rsid w:val="004E0E6E"/>
    <w:rsid w:val="004E2D79"/>
    <w:rsid w:val="004F1A83"/>
    <w:rsid w:val="004F1DA0"/>
    <w:rsid w:val="004F22A2"/>
    <w:rsid w:val="004F3C8A"/>
    <w:rsid w:val="004F6B5B"/>
    <w:rsid w:val="004F788B"/>
    <w:rsid w:val="005017A1"/>
    <w:rsid w:val="00501F83"/>
    <w:rsid w:val="005023B1"/>
    <w:rsid w:val="00504930"/>
    <w:rsid w:val="00506D05"/>
    <w:rsid w:val="00510429"/>
    <w:rsid w:val="005164AE"/>
    <w:rsid w:val="00521E9E"/>
    <w:rsid w:val="00523F46"/>
    <w:rsid w:val="0052587B"/>
    <w:rsid w:val="00526614"/>
    <w:rsid w:val="005270AC"/>
    <w:rsid w:val="005311E0"/>
    <w:rsid w:val="0053140A"/>
    <w:rsid w:val="00533264"/>
    <w:rsid w:val="005354D3"/>
    <w:rsid w:val="00537F70"/>
    <w:rsid w:val="00541918"/>
    <w:rsid w:val="00541A8B"/>
    <w:rsid w:val="00543AF7"/>
    <w:rsid w:val="00545126"/>
    <w:rsid w:val="0054682D"/>
    <w:rsid w:val="00551830"/>
    <w:rsid w:val="005519E4"/>
    <w:rsid w:val="00553467"/>
    <w:rsid w:val="005537F5"/>
    <w:rsid w:val="005544F9"/>
    <w:rsid w:val="00555BF4"/>
    <w:rsid w:val="00556BDD"/>
    <w:rsid w:val="00556C3A"/>
    <w:rsid w:val="005572CD"/>
    <w:rsid w:val="00562565"/>
    <w:rsid w:val="00563CF2"/>
    <w:rsid w:val="00565B3F"/>
    <w:rsid w:val="00566199"/>
    <w:rsid w:val="005662BF"/>
    <w:rsid w:val="005713CA"/>
    <w:rsid w:val="00572151"/>
    <w:rsid w:val="00575623"/>
    <w:rsid w:val="005761CD"/>
    <w:rsid w:val="00577481"/>
    <w:rsid w:val="005810D2"/>
    <w:rsid w:val="00581D41"/>
    <w:rsid w:val="00584776"/>
    <w:rsid w:val="00593665"/>
    <w:rsid w:val="005A004F"/>
    <w:rsid w:val="005A00FE"/>
    <w:rsid w:val="005A02CD"/>
    <w:rsid w:val="005A124F"/>
    <w:rsid w:val="005A59BF"/>
    <w:rsid w:val="005A6053"/>
    <w:rsid w:val="005A75B1"/>
    <w:rsid w:val="005A795F"/>
    <w:rsid w:val="005A7C22"/>
    <w:rsid w:val="005B083A"/>
    <w:rsid w:val="005B29F0"/>
    <w:rsid w:val="005B59F4"/>
    <w:rsid w:val="005B7D4F"/>
    <w:rsid w:val="005C1018"/>
    <w:rsid w:val="005C2BA2"/>
    <w:rsid w:val="005C3B24"/>
    <w:rsid w:val="005C607E"/>
    <w:rsid w:val="005C66A6"/>
    <w:rsid w:val="005D02A7"/>
    <w:rsid w:val="005D3943"/>
    <w:rsid w:val="005D5888"/>
    <w:rsid w:val="005D67BB"/>
    <w:rsid w:val="005E0031"/>
    <w:rsid w:val="005E0D2C"/>
    <w:rsid w:val="005E1E6D"/>
    <w:rsid w:val="005E351B"/>
    <w:rsid w:val="005E58B3"/>
    <w:rsid w:val="005E7558"/>
    <w:rsid w:val="005F347A"/>
    <w:rsid w:val="005F3EA4"/>
    <w:rsid w:val="005F4691"/>
    <w:rsid w:val="005F4DE9"/>
    <w:rsid w:val="005F6846"/>
    <w:rsid w:val="005F7248"/>
    <w:rsid w:val="005F7F8B"/>
    <w:rsid w:val="0060241F"/>
    <w:rsid w:val="006041CA"/>
    <w:rsid w:val="00605A49"/>
    <w:rsid w:val="006075A4"/>
    <w:rsid w:val="00610F91"/>
    <w:rsid w:val="006125DE"/>
    <w:rsid w:val="0062064D"/>
    <w:rsid w:val="0062177F"/>
    <w:rsid w:val="0062203A"/>
    <w:rsid w:val="00622269"/>
    <w:rsid w:val="00623811"/>
    <w:rsid w:val="00624D14"/>
    <w:rsid w:val="00632B23"/>
    <w:rsid w:val="00633073"/>
    <w:rsid w:val="00635C0E"/>
    <w:rsid w:val="00635CFB"/>
    <w:rsid w:val="006362A7"/>
    <w:rsid w:val="00642659"/>
    <w:rsid w:val="006450A7"/>
    <w:rsid w:val="00653A91"/>
    <w:rsid w:val="00653D94"/>
    <w:rsid w:val="00654CCA"/>
    <w:rsid w:val="00654FB3"/>
    <w:rsid w:val="00660B4B"/>
    <w:rsid w:val="00660C34"/>
    <w:rsid w:val="00661607"/>
    <w:rsid w:val="00661E5C"/>
    <w:rsid w:val="00664FBA"/>
    <w:rsid w:val="006653BB"/>
    <w:rsid w:val="00665B19"/>
    <w:rsid w:val="00667504"/>
    <w:rsid w:val="00675BE9"/>
    <w:rsid w:val="006761DF"/>
    <w:rsid w:val="00682E61"/>
    <w:rsid w:val="0069074E"/>
    <w:rsid w:val="006A5C2A"/>
    <w:rsid w:val="006A5D04"/>
    <w:rsid w:val="006B08DB"/>
    <w:rsid w:val="006B55B8"/>
    <w:rsid w:val="006B632E"/>
    <w:rsid w:val="006C1254"/>
    <w:rsid w:val="006C1700"/>
    <w:rsid w:val="006C391B"/>
    <w:rsid w:val="006C3FAF"/>
    <w:rsid w:val="006C671A"/>
    <w:rsid w:val="006D1BB0"/>
    <w:rsid w:val="006E7A41"/>
    <w:rsid w:val="006F16E4"/>
    <w:rsid w:val="006F27A0"/>
    <w:rsid w:val="006F32A9"/>
    <w:rsid w:val="006F3D3C"/>
    <w:rsid w:val="006F4968"/>
    <w:rsid w:val="00700CF6"/>
    <w:rsid w:val="0070174D"/>
    <w:rsid w:val="007042E3"/>
    <w:rsid w:val="00705742"/>
    <w:rsid w:val="007075FF"/>
    <w:rsid w:val="007128AE"/>
    <w:rsid w:val="00714F5A"/>
    <w:rsid w:val="00715673"/>
    <w:rsid w:val="007161BF"/>
    <w:rsid w:val="007166CE"/>
    <w:rsid w:val="00721020"/>
    <w:rsid w:val="00726119"/>
    <w:rsid w:val="007275CD"/>
    <w:rsid w:val="0072782A"/>
    <w:rsid w:val="00732ADB"/>
    <w:rsid w:val="00734E54"/>
    <w:rsid w:val="0073635A"/>
    <w:rsid w:val="007372D5"/>
    <w:rsid w:val="0074017F"/>
    <w:rsid w:val="00745648"/>
    <w:rsid w:val="0074677E"/>
    <w:rsid w:val="007468CC"/>
    <w:rsid w:val="00746CCF"/>
    <w:rsid w:val="007548F1"/>
    <w:rsid w:val="00756C88"/>
    <w:rsid w:val="00760E13"/>
    <w:rsid w:val="00766477"/>
    <w:rsid w:val="007708B0"/>
    <w:rsid w:val="00770E0F"/>
    <w:rsid w:val="00771C21"/>
    <w:rsid w:val="00771F4D"/>
    <w:rsid w:val="007722F4"/>
    <w:rsid w:val="00772480"/>
    <w:rsid w:val="00775E3F"/>
    <w:rsid w:val="00777915"/>
    <w:rsid w:val="0078757F"/>
    <w:rsid w:val="00787784"/>
    <w:rsid w:val="00787E61"/>
    <w:rsid w:val="007920A4"/>
    <w:rsid w:val="00792C7A"/>
    <w:rsid w:val="00794341"/>
    <w:rsid w:val="007947B7"/>
    <w:rsid w:val="007963F8"/>
    <w:rsid w:val="00797E8E"/>
    <w:rsid w:val="007A2DEB"/>
    <w:rsid w:val="007A446E"/>
    <w:rsid w:val="007A7817"/>
    <w:rsid w:val="007B19B5"/>
    <w:rsid w:val="007B2395"/>
    <w:rsid w:val="007B3A85"/>
    <w:rsid w:val="007C5E21"/>
    <w:rsid w:val="007C5E55"/>
    <w:rsid w:val="007C6F12"/>
    <w:rsid w:val="007D3B7E"/>
    <w:rsid w:val="007D3ECD"/>
    <w:rsid w:val="007D44EB"/>
    <w:rsid w:val="007D499F"/>
    <w:rsid w:val="007D713C"/>
    <w:rsid w:val="007E1162"/>
    <w:rsid w:val="007E6E83"/>
    <w:rsid w:val="007F0339"/>
    <w:rsid w:val="007F1009"/>
    <w:rsid w:val="007F25F5"/>
    <w:rsid w:val="007F6EEF"/>
    <w:rsid w:val="0080266E"/>
    <w:rsid w:val="008064D8"/>
    <w:rsid w:val="00810E15"/>
    <w:rsid w:val="0081387C"/>
    <w:rsid w:val="00813D9A"/>
    <w:rsid w:val="00816854"/>
    <w:rsid w:val="00820714"/>
    <w:rsid w:val="00820945"/>
    <w:rsid w:val="008216E3"/>
    <w:rsid w:val="00822563"/>
    <w:rsid w:val="00826E40"/>
    <w:rsid w:val="0083263A"/>
    <w:rsid w:val="00832B45"/>
    <w:rsid w:val="00834BF1"/>
    <w:rsid w:val="00835CD9"/>
    <w:rsid w:val="00840D49"/>
    <w:rsid w:val="0084269B"/>
    <w:rsid w:val="008429B0"/>
    <w:rsid w:val="0084423F"/>
    <w:rsid w:val="00844313"/>
    <w:rsid w:val="00845330"/>
    <w:rsid w:val="00846EB0"/>
    <w:rsid w:val="00847CF8"/>
    <w:rsid w:val="00850329"/>
    <w:rsid w:val="00851D58"/>
    <w:rsid w:val="00852CCA"/>
    <w:rsid w:val="00854204"/>
    <w:rsid w:val="00857C6C"/>
    <w:rsid w:val="00857E78"/>
    <w:rsid w:val="00857F2B"/>
    <w:rsid w:val="008601BD"/>
    <w:rsid w:val="008603C8"/>
    <w:rsid w:val="008619A8"/>
    <w:rsid w:val="00861FB1"/>
    <w:rsid w:val="008634C1"/>
    <w:rsid w:val="00865F0C"/>
    <w:rsid w:val="00866034"/>
    <w:rsid w:val="008668BC"/>
    <w:rsid w:val="0086739A"/>
    <w:rsid w:val="008677A0"/>
    <w:rsid w:val="00882F62"/>
    <w:rsid w:val="00883B8B"/>
    <w:rsid w:val="0088785C"/>
    <w:rsid w:val="00895E19"/>
    <w:rsid w:val="008A38E6"/>
    <w:rsid w:val="008A67CD"/>
    <w:rsid w:val="008A6926"/>
    <w:rsid w:val="008B014A"/>
    <w:rsid w:val="008B03AF"/>
    <w:rsid w:val="008B27BB"/>
    <w:rsid w:val="008B27CB"/>
    <w:rsid w:val="008B5B7E"/>
    <w:rsid w:val="008B6870"/>
    <w:rsid w:val="008C023F"/>
    <w:rsid w:val="008C4480"/>
    <w:rsid w:val="008C4DBA"/>
    <w:rsid w:val="008C571F"/>
    <w:rsid w:val="008C6BEE"/>
    <w:rsid w:val="008D2473"/>
    <w:rsid w:val="008D45D8"/>
    <w:rsid w:val="008D65D4"/>
    <w:rsid w:val="008D7293"/>
    <w:rsid w:val="008D7ED5"/>
    <w:rsid w:val="008E3F3A"/>
    <w:rsid w:val="008E5855"/>
    <w:rsid w:val="008E5CFE"/>
    <w:rsid w:val="008F07F7"/>
    <w:rsid w:val="008F4B48"/>
    <w:rsid w:val="008F6FAE"/>
    <w:rsid w:val="00901D45"/>
    <w:rsid w:val="00902C60"/>
    <w:rsid w:val="00904FF6"/>
    <w:rsid w:val="009051A5"/>
    <w:rsid w:val="009062CD"/>
    <w:rsid w:val="0091027B"/>
    <w:rsid w:val="00911161"/>
    <w:rsid w:val="00912864"/>
    <w:rsid w:val="00914DF6"/>
    <w:rsid w:val="00915668"/>
    <w:rsid w:val="0091590A"/>
    <w:rsid w:val="00915FE2"/>
    <w:rsid w:val="00916B59"/>
    <w:rsid w:val="0091744C"/>
    <w:rsid w:val="009202B1"/>
    <w:rsid w:val="009205F6"/>
    <w:rsid w:val="00920ED7"/>
    <w:rsid w:val="00920F20"/>
    <w:rsid w:val="00923C68"/>
    <w:rsid w:val="00934FAC"/>
    <w:rsid w:val="009407BD"/>
    <w:rsid w:val="009461CE"/>
    <w:rsid w:val="00950B9C"/>
    <w:rsid w:val="00951BF5"/>
    <w:rsid w:val="009536C6"/>
    <w:rsid w:val="009541C9"/>
    <w:rsid w:val="009565DF"/>
    <w:rsid w:val="00960C9A"/>
    <w:rsid w:val="009630BF"/>
    <w:rsid w:val="0096353A"/>
    <w:rsid w:val="009639D5"/>
    <w:rsid w:val="00966667"/>
    <w:rsid w:val="009673F0"/>
    <w:rsid w:val="0097062B"/>
    <w:rsid w:val="00971E1A"/>
    <w:rsid w:val="00972B3D"/>
    <w:rsid w:val="00981141"/>
    <w:rsid w:val="00982EF5"/>
    <w:rsid w:val="00983552"/>
    <w:rsid w:val="00983866"/>
    <w:rsid w:val="0098459F"/>
    <w:rsid w:val="00985A56"/>
    <w:rsid w:val="00985E1F"/>
    <w:rsid w:val="0098778C"/>
    <w:rsid w:val="00990CED"/>
    <w:rsid w:val="00992D75"/>
    <w:rsid w:val="00995880"/>
    <w:rsid w:val="009970EE"/>
    <w:rsid w:val="009A7A68"/>
    <w:rsid w:val="009A7CD2"/>
    <w:rsid w:val="009B169E"/>
    <w:rsid w:val="009B3FE2"/>
    <w:rsid w:val="009B4D92"/>
    <w:rsid w:val="009B706A"/>
    <w:rsid w:val="009B75FF"/>
    <w:rsid w:val="009C2658"/>
    <w:rsid w:val="009C27D5"/>
    <w:rsid w:val="009C5B67"/>
    <w:rsid w:val="009C6122"/>
    <w:rsid w:val="009C633E"/>
    <w:rsid w:val="009C7886"/>
    <w:rsid w:val="009C7F3F"/>
    <w:rsid w:val="009D1603"/>
    <w:rsid w:val="009D2C51"/>
    <w:rsid w:val="009D3840"/>
    <w:rsid w:val="009D3DBD"/>
    <w:rsid w:val="009D66AA"/>
    <w:rsid w:val="009E273E"/>
    <w:rsid w:val="009E313A"/>
    <w:rsid w:val="009E5411"/>
    <w:rsid w:val="009E6E65"/>
    <w:rsid w:val="009E7853"/>
    <w:rsid w:val="009F1B40"/>
    <w:rsid w:val="009F28C8"/>
    <w:rsid w:val="009F6155"/>
    <w:rsid w:val="00A01307"/>
    <w:rsid w:val="00A04520"/>
    <w:rsid w:val="00A06AF9"/>
    <w:rsid w:val="00A07147"/>
    <w:rsid w:val="00A07B12"/>
    <w:rsid w:val="00A11963"/>
    <w:rsid w:val="00A1279D"/>
    <w:rsid w:val="00A15289"/>
    <w:rsid w:val="00A16011"/>
    <w:rsid w:val="00A166E9"/>
    <w:rsid w:val="00A17EB7"/>
    <w:rsid w:val="00A203FD"/>
    <w:rsid w:val="00A20F46"/>
    <w:rsid w:val="00A21197"/>
    <w:rsid w:val="00A23750"/>
    <w:rsid w:val="00A24036"/>
    <w:rsid w:val="00A24988"/>
    <w:rsid w:val="00A266FB"/>
    <w:rsid w:val="00A2699E"/>
    <w:rsid w:val="00A27489"/>
    <w:rsid w:val="00A27C90"/>
    <w:rsid w:val="00A27FD7"/>
    <w:rsid w:val="00A32FC8"/>
    <w:rsid w:val="00A34F0D"/>
    <w:rsid w:val="00A35AEA"/>
    <w:rsid w:val="00A41828"/>
    <w:rsid w:val="00A45F4D"/>
    <w:rsid w:val="00A5564D"/>
    <w:rsid w:val="00A5633B"/>
    <w:rsid w:val="00A56509"/>
    <w:rsid w:val="00A565AA"/>
    <w:rsid w:val="00A63756"/>
    <w:rsid w:val="00A6409A"/>
    <w:rsid w:val="00A66BDD"/>
    <w:rsid w:val="00A71AC5"/>
    <w:rsid w:val="00A8329F"/>
    <w:rsid w:val="00A850A1"/>
    <w:rsid w:val="00A86EC9"/>
    <w:rsid w:val="00A9053A"/>
    <w:rsid w:val="00A942A0"/>
    <w:rsid w:val="00A942C1"/>
    <w:rsid w:val="00A94BD9"/>
    <w:rsid w:val="00A95D78"/>
    <w:rsid w:val="00A97F2E"/>
    <w:rsid w:val="00AA1740"/>
    <w:rsid w:val="00AA1FE6"/>
    <w:rsid w:val="00AA439C"/>
    <w:rsid w:val="00AA493D"/>
    <w:rsid w:val="00AA540F"/>
    <w:rsid w:val="00AA67F2"/>
    <w:rsid w:val="00AB3266"/>
    <w:rsid w:val="00AB3357"/>
    <w:rsid w:val="00AB35A4"/>
    <w:rsid w:val="00AC0E3B"/>
    <w:rsid w:val="00AC1A2D"/>
    <w:rsid w:val="00AC2926"/>
    <w:rsid w:val="00AC75F7"/>
    <w:rsid w:val="00AC7648"/>
    <w:rsid w:val="00AC77F8"/>
    <w:rsid w:val="00AD1802"/>
    <w:rsid w:val="00AD61E6"/>
    <w:rsid w:val="00AD6F84"/>
    <w:rsid w:val="00AE05F8"/>
    <w:rsid w:val="00AE078E"/>
    <w:rsid w:val="00AE1891"/>
    <w:rsid w:val="00AE6D45"/>
    <w:rsid w:val="00AF140D"/>
    <w:rsid w:val="00AF72E6"/>
    <w:rsid w:val="00AF7C95"/>
    <w:rsid w:val="00B03FC5"/>
    <w:rsid w:val="00B0690C"/>
    <w:rsid w:val="00B077F3"/>
    <w:rsid w:val="00B07AAB"/>
    <w:rsid w:val="00B113A6"/>
    <w:rsid w:val="00B11B89"/>
    <w:rsid w:val="00B13DE0"/>
    <w:rsid w:val="00B140FD"/>
    <w:rsid w:val="00B235C7"/>
    <w:rsid w:val="00B25AAE"/>
    <w:rsid w:val="00B277A1"/>
    <w:rsid w:val="00B30247"/>
    <w:rsid w:val="00B30C4B"/>
    <w:rsid w:val="00B30F24"/>
    <w:rsid w:val="00B327E0"/>
    <w:rsid w:val="00B33861"/>
    <w:rsid w:val="00B35400"/>
    <w:rsid w:val="00B3597B"/>
    <w:rsid w:val="00B41387"/>
    <w:rsid w:val="00B43C2C"/>
    <w:rsid w:val="00B46859"/>
    <w:rsid w:val="00B46D25"/>
    <w:rsid w:val="00B4770E"/>
    <w:rsid w:val="00B554F0"/>
    <w:rsid w:val="00B55F32"/>
    <w:rsid w:val="00B61AD8"/>
    <w:rsid w:val="00B6362C"/>
    <w:rsid w:val="00B637A7"/>
    <w:rsid w:val="00B63C13"/>
    <w:rsid w:val="00B67247"/>
    <w:rsid w:val="00B702A6"/>
    <w:rsid w:val="00B71D51"/>
    <w:rsid w:val="00B761A4"/>
    <w:rsid w:val="00B76ED7"/>
    <w:rsid w:val="00B77A05"/>
    <w:rsid w:val="00B81AD0"/>
    <w:rsid w:val="00B833C5"/>
    <w:rsid w:val="00B8527D"/>
    <w:rsid w:val="00B86E25"/>
    <w:rsid w:val="00B928E0"/>
    <w:rsid w:val="00B94C4E"/>
    <w:rsid w:val="00B94EA2"/>
    <w:rsid w:val="00B96BC8"/>
    <w:rsid w:val="00BA2828"/>
    <w:rsid w:val="00BA3649"/>
    <w:rsid w:val="00BA3B7D"/>
    <w:rsid w:val="00BA4067"/>
    <w:rsid w:val="00BA6D54"/>
    <w:rsid w:val="00BA7198"/>
    <w:rsid w:val="00BB0BBD"/>
    <w:rsid w:val="00BB1E6D"/>
    <w:rsid w:val="00BB7BDB"/>
    <w:rsid w:val="00BC16C0"/>
    <w:rsid w:val="00BC2405"/>
    <w:rsid w:val="00BC3958"/>
    <w:rsid w:val="00BC4488"/>
    <w:rsid w:val="00BD015B"/>
    <w:rsid w:val="00BD4B32"/>
    <w:rsid w:val="00BD79AE"/>
    <w:rsid w:val="00BE26EF"/>
    <w:rsid w:val="00BE343C"/>
    <w:rsid w:val="00BF21FA"/>
    <w:rsid w:val="00BF230E"/>
    <w:rsid w:val="00BF37CC"/>
    <w:rsid w:val="00BF412F"/>
    <w:rsid w:val="00BF52A1"/>
    <w:rsid w:val="00C006F8"/>
    <w:rsid w:val="00C02013"/>
    <w:rsid w:val="00C0287E"/>
    <w:rsid w:val="00C035D3"/>
    <w:rsid w:val="00C03973"/>
    <w:rsid w:val="00C07F22"/>
    <w:rsid w:val="00C1320F"/>
    <w:rsid w:val="00C15C14"/>
    <w:rsid w:val="00C16A13"/>
    <w:rsid w:val="00C17664"/>
    <w:rsid w:val="00C20620"/>
    <w:rsid w:val="00C22990"/>
    <w:rsid w:val="00C2300B"/>
    <w:rsid w:val="00C27C1D"/>
    <w:rsid w:val="00C27DBD"/>
    <w:rsid w:val="00C347AD"/>
    <w:rsid w:val="00C34E35"/>
    <w:rsid w:val="00C3562A"/>
    <w:rsid w:val="00C359BB"/>
    <w:rsid w:val="00C3769F"/>
    <w:rsid w:val="00C406C2"/>
    <w:rsid w:val="00C41112"/>
    <w:rsid w:val="00C426B9"/>
    <w:rsid w:val="00C42F99"/>
    <w:rsid w:val="00C4351C"/>
    <w:rsid w:val="00C443C2"/>
    <w:rsid w:val="00C46003"/>
    <w:rsid w:val="00C47D11"/>
    <w:rsid w:val="00C5155D"/>
    <w:rsid w:val="00C54CD1"/>
    <w:rsid w:val="00C56D49"/>
    <w:rsid w:val="00C63E89"/>
    <w:rsid w:val="00C70AD6"/>
    <w:rsid w:val="00C70C0F"/>
    <w:rsid w:val="00C72BE9"/>
    <w:rsid w:val="00C778AF"/>
    <w:rsid w:val="00C77C89"/>
    <w:rsid w:val="00C84067"/>
    <w:rsid w:val="00C848C2"/>
    <w:rsid w:val="00C85446"/>
    <w:rsid w:val="00C860D3"/>
    <w:rsid w:val="00C87BD6"/>
    <w:rsid w:val="00C929CB"/>
    <w:rsid w:val="00C9346D"/>
    <w:rsid w:val="00C9448D"/>
    <w:rsid w:val="00C9477C"/>
    <w:rsid w:val="00C9683E"/>
    <w:rsid w:val="00CA257B"/>
    <w:rsid w:val="00CA2B81"/>
    <w:rsid w:val="00CA3456"/>
    <w:rsid w:val="00CA394A"/>
    <w:rsid w:val="00CB06A4"/>
    <w:rsid w:val="00CB0733"/>
    <w:rsid w:val="00CB0FDB"/>
    <w:rsid w:val="00CB3BA9"/>
    <w:rsid w:val="00CB3DC9"/>
    <w:rsid w:val="00CB7932"/>
    <w:rsid w:val="00CC1BB3"/>
    <w:rsid w:val="00CC29AB"/>
    <w:rsid w:val="00CC480F"/>
    <w:rsid w:val="00CC58ED"/>
    <w:rsid w:val="00CD03EF"/>
    <w:rsid w:val="00CD5423"/>
    <w:rsid w:val="00CD5FCE"/>
    <w:rsid w:val="00CE2732"/>
    <w:rsid w:val="00CE3B55"/>
    <w:rsid w:val="00CE5210"/>
    <w:rsid w:val="00CF074E"/>
    <w:rsid w:val="00CF0F57"/>
    <w:rsid w:val="00CF2AE5"/>
    <w:rsid w:val="00CF3603"/>
    <w:rsid w:val="00CF4A94"/>
    <w:rsid w:val="00D000B7"/>
    <w:rsid w:val="00D00DAD"/>
    <w:rsid w:val="00D0164A"/>
    <w:rsid w:val="00D0179B"/>
    <w:rsid w:val="00D01A0C"/>
    <w:rsid w:val="00D01FEB"/>
    <w:rsid w:val="00D03AF8"/>
    <w:rsid w:val="00D03D66"/>
    <w:rsid w:val="00D05840"/>
    <w:rsid w:val="00D07AED"/>
    <w:rsid w:val="00D10ADE"/>
    <w:rsid w:val="00D20126"/>
    <w:rsid w:val="00D257FE"/>
    <w:rsid w:val="00D26095"/>
    <w:rsid w:val="00D264E4"/>
    <w:rsid w:val="00D33353"/>
    <w:rsid w:val="00D33CB2"/>
    <w:rsid w:val="00D33FFC"/>
    <w:rsid w:val="00D34877"/>
    <w:rsid w:val="00D36828"/>
    <w:rsid w:val="00D43B69"/>
    <w:rsid w:val="00D46C7E"/>
    <w:rsid w:val="00D55ECD"/>
    <w:rsid w:val="00D563FC"/>
    <w:rsid w:val="00D62E2C"/>
    <w:rsid w:val="00D641CA"/>
    <w:rsid w:val="00D64F8A"/>
    <w:rsid w:val="00D66D7A"/>
    <w:rsid w:val="00D70286"/>
    <w:rsid w:val="00D73B42"/>
    <w:rsid w:val="00D80244"/>
    <w:rsid w:val="00D822F0"/>
    <w:rsid w:val="00D85468"/>
    <w:rsid w:val="00D859F6"/>
    <w:rsid w:val="00D85D62"/>
    <w:rsid w:val="00D87FF0"/>
    <w:rsid w:val="00D92645"/>
    <w:rsid w:val="00D94601"/>
    <w:rsid w:val="00D94D6A"/>
    <w:rsid w:val="00D95334"/>
    <w:rsid w:val="00D95C7B"/>
    <w:rsid w:val="00DA3A35"/>
    <w:rsid w:val="00DB119D"/>
    <w:rsid w:val="00DB2F88"/>
    <w:rsid w:val="00DB4625"/>
    <w:rsid w:val="00DB4CA9"/>
    <w:rsid w:val="00DB61EF"/>
    <w:rsid w:val="00DB6802"/>
    <w:rsid w:val="00DC02A9"/>
    <w:rsid w:val="00DC0C1B"/>
    <w:rsid w:val="00DC113B"/>
    <w:rsid w:val="00DC141E"/>
    <w:rsid w:val="00DC160A"/>
    <w:rsid w:val="00DC2BBA"/>
    <w:rsid w:val="00DC380D"/>
    <w:rsid w:val="00DD2407"/>
    <w:rsid w:val="00DD246F"/>
    <w:rsid w:val="00DD2689"/>
    <w:rsid w:val="00DD291E"/>
    <w:rsid w:val="00DD2D58"/>
    <w:rsid w:val="00DD3244"/>
    <w:rsid w:val="00DD3D45"/>
    <w:rsid w:val="00DD43C1"/>
    <w:rsid w:val="00DD5128"/>
    <w:rsid w:val="00DD69D3"/>
    <w:rsid w:val="00DD6CFE"/>
    <w:rsid w:val="00DE2349"/>
    <w:rsid w:val="00DE2736"/>
    <w:rsid w:val="00DE446B"/>
    <w:rsid w:val="00DE60CD"/>
    <w:rsid w:val="00DE7992"/>
    <w:rsid w:val="00DF045C"/>
    <w:rsid w:val="00DF5BBE"/>
    <w:rsid w:val="00DF61EA"/>
    <w:rsid w:val="00DF67F2"/>
    <w:rsid w:val="00DF7CAF"/>
    <w:rsid w:val="00E002DA"/>
    <w:rsid w:val="00E00629"/>
    <w:rsid w:val="00E03DBD"/>
    <w:rsid w:val="00E04686"/>
    <w:rsid w:val="00E04961"/>
    <w:rsid w:val="00E04B80"/>
    <w:rsid w:val="00E056B8"/>
    <w:rsid w:val="00E05A51"/>
    <w:rsid w:val="00E12FE9"/>
    <w:rsid w:val="00E13AE5"/>
    <w:rsid w:val="00E14B21"/>
    <w:rsid w:val="00E14FBE"/>
    <w:rsid w:val="00E16CC9"/>
    <w:rsid w:val="00E23CB7"/>
    <w:rsid w:val="00E274A6"/>
    <w:rsid w:val="00E30F3D"/>
    <w:rsid w:val="00E342B3"/>
    <w:rsid w:val="00E35AE2"/>
    <w:rsid w:val="00E45117"/>
    <w:rsid w:val="00E45E09"/>
    <w:rsid w:val="00E47608"/>
    <w:rsid w:val="00E51AF0"/>
    <w:rsid w:val="00E548B0"/>
    <w:rsid w:val="00E55544"/>
    <w:rsid w:val="00E5588F"/>
    <w:rsid w:val="00E565B4"/>
    <w:rsid w:val="00E57684"/>
    <w:rsid w:val="00E60371"/>
    <w:rsid w:val="00E60452"/>
    <w:rsid w:val="00E60549"/>
    <w:rsid w:val="00E64C1D"/>
    <w:rsid w:val="00E650E5"/>
    <w:rsid w:val="00E67FA0"/>
    <w:rsid w:val="00E70300"/>
    <w:rsid w:val="00E709D5"/>
    <w:rsid w:val="00E74602"/>
    <w:rsid w:val="00E81075"/>
    <w:rsid w:val="00E81721"/>
    <w:rsid w:val="00E81A8F"/>
    <w:rsid w:val="00E82A8B"/>
    <w:rsid w:val="00E844CD"/>
    <w:rsid w:val="00E85BED"/>
    <w:rsid w:val="00E97365"/>
    <w:rsid w:val="00E97D08"/>
    <w:rsid w:val="00EA0E15"/>
    <w:rsid w:val="00EA100D"/>
    <w:rsid w:val="00EA3DE4"/>
    <w:rsid w:val="00EA6933"/>
    <w:rsid w:val="00EB2EE5"/>
    <w:rsid w:val="00EC0183"/>
    <w:rsid w:val="00EC2259"/>
    <w:rsid w:val="00EC42FD"/>
    <w:rsid w:val="00ED402A"/>
    <w:rsid w:val="00EE254C"/>
    <w:rsid w:val="00EE2EE3"/>
    <w:rsid w:val="00EE69FF"/>
    <w:rsid w:val="00EF1208"/>
    <w:rsid w:val="00EF710E"/>
    <w:rsid w:val="00F10702"/>
    <w:rsid w:val="00F134B8"/>
    <w:rsid w:val="00F13683"/>
    <w:rsid w:val="00F14C68"/>
    <w:rsid w:val="00F1513E"/>
    <w:rsid w:val="00F20E0C"/>
    <w:rsid w:val="00F22AB1"/>
    <w:rsid w:val="00F230F5"/>
    <w:rsid w:val="00F32198"/>
    <w:rsid w:val="00F41DE6"/>
    <w:rsid w:val="00F5019F"/>
    <w:rsid w:val="00F51968"/>
    <w:rsid w:val="00F55AA2"/>
    <w:rsid w:val="00F55E6B"/>
    <w:rsid w:val="00F55F7D"/>
    <w:rsid w:val="00F62FD7"/>
    <w:rsid w:val="00F66D68"/>
    <w:rsid w:val="00F73AE2"/>
    <w:rsid w:val="00F7461F"/>
    <w:rsid w:val="00F75D80"/>
    <w:rsid w:val="00F805D6"/>
    <w:rsid w:val="00F82CC9"/>
    <w:rsid w:val="00F86B30"/>
    <w:rsid w:val="00F9344D"/>
    <w:rsid w:val="00F96A00"/>
    <w:rsid w:val="00F96FB9"/>
    <w:rsid w:val="00FA141D"/>
    <w:rsid w:val="00FA2164"/>
    <w:rsid w:val="00FA5146"/>
    <w:rsid w:val="00FA76B2"/>
    <w:rsid w:val="00FA7CDA"/>
    <w:rsid w:val="00FB4E76"/>
    <w:rsid w:val="00FB54CE"/>
    <w:rsid w:val="00FC0BB4"/>
    <w:rsid w:val="00FC3B32"/>
    <w:rsid w:val="00FC7916"/>
    <w:rsid w:val="00FD40BA"/>
    <w:rsid w:val="00FD419E"/>
    <w:rsid w:val="00FD495C"/>
    <w:rsid w:val="00FD6853"/>
    <w:rsid w:val="00FE06BB"/>
    <w:rsid w:val="00FE1C56"/>
    <w:rsid w:val="00FE475A"/>
    <w:rsid w:val="00FE4763"/>
    <w:rsid w:val="00FE65C6"/>
    <w:rsid w:val="00FF3074"/>
    <w:rsid w:val="00FF3B2E"/>
    <w:rsid w:val="00FF45CD"/>
    <w:rsid w:val="00FF4906"/>
    <w:rsid w:val="00FF7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28E0"/>
    <w:rPr>
      <w:rFonts w:asciiTheme="minorHAnsi" w:hAnsiTheme="minorHAnsi"/>
      <w:sz w:val="22"/>
      <w:lang w:eastAsia="en-US"/>
    </w:rPr>
  </w:style>
  <w:style w:type="paragraph" w:styleId="Heading1">
    <w:name w:val="heading 1"/>
    <w:basedOn w:val="Normal"/>
    <w:next w:val="Normal"/>
    <w:link w:val="Heading1Char"/>
    <w:qFormat/>
    <w:rsid w:val="00F14C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nhideWhenUsed/>
    <w:qFormat/>
    <w:rsid w:val="008B27CB"/>
    <w:pPr>
      <w:keepNext/>
      <w:keepLines/>
      <w:spacing w:before="360"/>
      <w:outlineLvl w:val="1"/>
    </w:pPr>
    <w:rPr>
      <w:rFonts w:ascii="Arial" w:eastAsiaTheme="majorEastAsia" w:hAnsi="Arial" w:cstheme="majorBidi"/>
      <w:b/>
      <w:bCs/>
      <w:noProof/>
      <w:color w:val="0070C0"/>
      <w:szCs w:val="32"/>
      <w:lang w:eastAsia="en-AU"/>
    </w:rPr>
  </w:style>
  <w:style w:type="paragraph" w:styleId="Heading3">
    <w:name w:val="heading 3"/>
    <w:basedOn w:val="Normal"/>
    <w:next w:val="Normal"/>
    <w:autoRedefine/>
    <w:qFormat/>
    <w:rsid w:val="00DB2F88"/>
    <w:pPr>
      <w:keepNext/>
      <w:widowControl w:val="0"/>
      <w:spacing w:before="360"/>
      <w:jc w:val="both"/>
      <w:outlineLvl w:val="2"/>
    </w:pPr>
    <w:rPr>
      <w:rFonts w:ascii="Arial" w:hAnsi="Arial" w:cs="Arial"/>
      <w:b/>
      <w:bCs/>
      <w:i/>
      <w:color w:val="0070C0"/>
      <w:szCs w:val="26"/>
    </w:rPr>
  </w:style>
  <w:style w:type="paragraph" w:styleId="Heading4">
    <w:name w:val="heading 4"/>
    <w:basedOn w:val="Normal"/>
    <w:next w:val="Normal"/>
    <w:link w:val="Heading4Char"/>
    <w:autoRedefine/>
    <w:unhideWhenUsed/>
    <w:qFormat/>
    <w:rsid w:val="000159CD"/>
    <w:pPr>
      <w:keepNext/>
      <w:keepLines/>
      <w:spacing w:before="360"/>
      <w:outlineLvl w:val="3"/>
    </w:pPr>
    <w:rPr>
      <w:rFonts w:ascii="Arial" w:eastAsiaTheme="majorEastAsia" w:hAnsi="Arial" w:cstheme="majorBidi"/>
      <w:b/>
      <w:bCs/>
      <w:i/>
      <w:iCs/>
      <w:color w:val="4F81BD" w:themeColor="accent1"/>
    </w:rPr>
  </w:style>
  <w:style w:type="paragraph" w:styleId="Heading5">
    <w:name w:val="heading 5"/>
    <w:basedOn w:val="Normal"/>
    <w:next w:val="Normal"/>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14C68"/>
    <w:rPr>
      <w:rFonts w:ascii="Arial" w:hAnsi="Arial" w:cs="Arial"/>
      <w:b/>
      <w:bCs/>
      <w:kern w:val="32"/>
      <w:sz w:val="32"/>
      <w:szCs w:val="32"/>
      <w:lang w:val="en-AU" w:eastAsia="en-US" w:bidi="ar-SA"/>
    </w:rPr>
  </w:style>
  <w:style w:type="character" w:customStyle="1" w:styleId="Heading2Char">
    <w:name w:val="Heading 2 Char"/>
    <w:basedOn w:val="DefaultParagraphFont"/>
    <w:link w:val="Heading2"/>
    <w:rsid w:val="008B27CB"/>
    <w:rPr>
      <w:rFonts w:ascii="Arial" w:eastAsiaTheme="majorEastAsia" w:hAnsi="Arial" w:cstheme="majorBidi"/>
      <w:b/>
      <w:bCs/>
      <w:noProof/>
      <w:color w:val="0070C0"/>
      <w:sz w:val="22"/>
      <w:szCs w:val="32"/>
    </w:rPr>
  </w:style>
  <w:style w:type="character" w:customStyle="1" w:styleId="Heading4Char">
    <w:name w:val="Heading 4 Char"/>
    <w:basedOn w:val="DefaultParagraphFont"/>
    <w:link w:val="Heading4"/>
    <w:rsid w:val="000159CD"/>
    <w:rPr>
      <w:rFonts w:ascii="Arial" w:eastAsiaTheme="majorEastAsia" w:hAnsi="Arial" w:cstheme="majorBidi"/>
      <w:b/>
      <w:bCs/>
      <w:i/>
      <w:iCs/>
      <w:color w:val="4F81BD" w:themeColor="accent1"/>
      <w:sz w:val="24"/>
      <w:lang w:eastAsia="en-US"/>
    </w:rPr>
  </w:style>
  <w:style w:type="character" w:styleId="PageNumber">
    <w:name w:val="page number"/>
    <w:basedOn w:val="DefaultParagraphFont"/>
    <w:rsid w:val="00C22990"/>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rsid w:val="00E14FBE"/>
    <w:rPr>
      <w:sz w:val="24"/>
      <w:lang w:eastAsia="en-US"/>
    </w:rPr>
  </w:style>
  <w:style w:type="paragraph" w:styleId="Header">
    <w:name w:val="header"/>
    <w:basedOn w:val="Normal"/>
    <w:rsid w:val="00C22990"/>
    <w:pPr>
      <w:tabs>
        <w:tab w:val="center" w:pos="4320"/>
        <w:tab w:val="right" w:pos="8640"/>
      </w:tabs>
    </w:pPr>
  </w:style>
  <w:style w:type="paragraph" w:customStyle="1" w:styleId="Text">
    <w:name w:val="Text"/>
    <w:aliases w:val="t"/>
    <w:basedOn w:val="Normal"/>
    <w:rsid w:val="00C22990"/>
    <w:pPr>
      <w:spacing w:after="200"/>
    </w:pPr>
    <w:rPr>
      <w:rFonts w:ascii="Arial" w:hAnsi="Arial"/>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eastAsia="Times" w:hAnsi="Arial"/>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qFormat/>
    <w:rsid w:val="00C22990"/>
    <w:rPr>
      <w:rFonts w:cs="Times New Roman"/>
      <w:i/>
      <w:iCs/>
    </w:rPr>
  </w:style>
  <w:style w:type="paragraph" w:styleId="BalloonText">
    <w:name w:val="Balloon Text"/>
    <w:basedOn w:val="Normal"/>
    <w:semiHidden/>
    <w:rsid w:val="000948ED"/>
    <w:rPr>
      <w:rFonts w:ascii="Tahoma" w:hAnsi="Tahoma" w:cs="Tahoma"/>
      <w:sz w:val="16"/>
      <w:szCs w:val="16"/>
    </w:rPr>
  </w:style>
  <w:style w:type="paragraph" w:styleId="DocumentMap">
    <w:name w:val="Document Map"/>
    <w:basedOn w:val="Normal"/>
    <w:semiHidden/>
    <w:rsid w:val="005023B1"/>
    <w:pPr>
      <w:shd w:val="clear" w:color="auto" w:fill="000080"/>
    </w:pPr>
    <w:rPr>
      <w:rFonts w:ascii="Tahoma" w:hAnsi="Tahoma" w:cs="Tahoma"/>
      <w:sz w:val="20"/>
    </w:rPr>
  </w:style>
  <w:style w:type="table" w:styleId="TableGrid">
    <w:name w:val="Table Grid"/>
    <w:basedOn w:val="TableNormal"/>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Recommendation"/>
    <w:basedOn w:val="Normal"/>
    <w:link w:val="ListParagraphChar"/>
    <w:uiPriority w:val="34"/>
    <w:qFormat/>
    <w:rsid w:val="000E7B1C"/>
    <w:pPr>
      <w:widowControl w:val="0"/>
      <w:spacing w:before="120" w:after="120"/>
      <w:ind w:left="720"/>
      <w:contextualSpacing/>
      <w:jc w:val="both"/>
    </w:pPr>
    <w:rPr>
      <w:rFonts w:ascii="Calibri" w:eastAsia="Calibri" w:hAnsi="Calibri"/>
      <w:szCs w:val="22"/>
    </w:rPr>
  </w:style>
  <w:style w:type="character" w:customStyle="1" w:styleId="ListParagraphChar">
    <w:name w:val="List Paragraph Char"/>
    <w:aliases w:val="Recommendation Char"/>
    <w:link w:val="ListParagraph"/>
    <w:uiPriority w:val="34"/>
    <w:locked/>
    <w:rsid w:val="00E45117"/>
    <w:rPr>
      <w:rFonts w:ascii="Calibri" w:eastAsia="Calibri" w:hAnsi="Calibri"/>
      <w:sz w:val="22"/>
      <w:szCs w:val="22"/>
      <w:lang w:eastAsia="en-US"/>
    </w:rPr>
  </w:style>
  <w:style w:type="paragraph" w:customStyle="1" w:styleId="Default">
    <w:name w:val="Default"/>
    <w:rsid w:val="00F14C68"/>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rsid w:val="00F14C68"/>
    <w:rPr>
      <w:rFonts w:ascii="Arial" w:hAnsi="Arial" w:cs="Arial"/>
      <w:szCs w:val="22"/>
    </w:rPr>
  </w:style>
  <w:style w:type="paragraph" w:customStyle="1" w:styleId="AlphaParagraph">
    <w:name w:val="Alpha Paragraph"/>
    <w:basedOn w:val="Normal"/>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semiHidden/>
    <w:rsid w:val="00351FAB"/>
    <w:rPr>
      <w:sz w:val="16"/>
      <w:szCs w:val="16"/>
    </w:rPr>
  </w:style>
  <w:style w:type="paragraph" w:styleId="CommentText">
    <w:name w:val="annotation text"/>
    <w:basedOn w:val="Normal"/>
    <w:semiHidden/>
    <w:rsid w:val="00351FAB"/>
    <w:rPr>
      <w:sz w:val="20"/>
    </w:rPr>
  </w:style>
  <w:style w:type="paragraph" w:styleId="CommentSubject">
    <w:name w:val="annotation subject"/>
    <w:basedOn w:val="CommentText"/>
    <w:next w:val="CommentText"/>
    <w:semiHidden/>
    <w:rsid w:val="00351FAB"/>
    <w:rPr>
      <w:b/>
      <w:bCs/>
    </w:rPr>
  </w:style>
  <w:style w:type="paragraph" w:customStyle="1" w:styleId="ScheduleListSubHeading">
    <w:name w:val="ScheduleListSubHeading"/>
    <w:basedOn w:val="Normal"/>
    <w:rsid w:val="006F27A0"/>
    <w:pPr>
      <w:numPr>
        <w:ilvl w:val="1"/>
        <w:numId w:val="1"/>
      </w:numPr>
      <w:spacing w:after="240" w:line="260" w:lineRule="exact"/>
      <w:jc w:val="both"/>
    </w:pPr>
    <w:rPr>
      <w:rFonts w:ascii="Corbel" w:hAnsi="Corbel"/>
      <w:b/>
      <w:color w:val="000000"/>
      <w:sz w:val="23"/>
      <w:lang w:eastAsia="en-AU"/>
    </w:rPr>
  </w:style>
  <w:style w:type="paragraph" w:styleId="BodyText">
    <w:name w:val="Body Text"/>
    <w:basedOn w:val="Normal"/>
    <w:link w:val="BodyTextChar"/>
    <w:rsid w:val="00E45117"/>
    <w:pPr>
      <w:jc w:val="both"/>
    </w:pPr>
    <w:rPr>
      <w:rFonts w:eastAsia="Beijing"/>
      <w:sz w:val="20"/>
    </w:rPr>
  </w:style>
  <w:style w:type="character" w:customStyle="1" w:styleId="BodyTextChar">
    <w:name w:val="Body Text Char"/>
    <w:basedOn w:val="DefaultParagraphFont"/>
    <w:link w:val="BodyText"/>
    <w:rsid w:val="00E45117"/>
    <w:rPr>
      <w:rFonts w:eastAsia="Beijing"/>
      <w:lang w:eastAsia="en-US"/>
    </w:rPr>
  </w:style>
  <w:style w:type="paragraph" w:customStyle="1" w:styleId="RRBodyText">
    <w:name w:val="RR Body Text"/>
    <w:basedOn w:val="Normal"/>
    <w:rsid w:val="00832B45"/>
    <w:pPr>
      <w:spacing w:before="120" w:line="240" w:lineRule="atLeast"/>
      <w:jc w:val="both"/>
    </w:pPr>
    <w:rPr>
      <w:rFonts w:ascii="Arial" w:hAnsi="Arial" w:cs="Arial"/>
      <w:bCs/>
      <w:lang w:eastAsia="en-AU"/>
    </w:rPr>
  </w:style>
  <w:style w:type="paragraph" w:customStyle="1" w:styleId="Pa1">
    <w:name w:val="Pa1"/>
    <w:basedOn w:val="Normal"/>
    <w:next w:val="Normal"/>
    <w:uiPriority w:val="99"/>
    <w:rsid w:val="00832B45"/>
    <w:pPr>
      <w:autoSpaceDE w:val="0"/>
      <w:autoSpaceDN w:val="0"/>
      <w:adjustRightInd w:val="0"/>
      <w:spacing w:line="241" w:lineRule="atLeast"/>
    </w:pPr>
    <w:rPr>
      <w:rFonts w:ascii="Arial" w:eastAsiaTheme="minorHAnsi" w:hAnsi="Arial" w:cs="Arial"/>
      <w:szCs w:val="24"/>
    </w:rPr>
  </w:style>
  <w:style w:type="character" w:customStyle="1" w:styleId="A11">
    <w:name w:val="A11"/>
    <w:uiPriority w:val="99"/>
    <w:rsid w:val="00832B45"/>
    <w:rPr>
      <w:color w:val="221E1F"/>
      <w:sz w:val="16"/>
      <w:szCs w:val="16"/>
    </w:rPr>
  </w:style>
  <w:style w:type="character" w:styleId="PlaceholderText">
    <w:name w:val="Placeholder Text"/>
    <w:basedOn w:val="DefaultParagraphFont"/>
    <w:uiPriority w:val="99"/>
    <w:semiHidden/>
    <w:rsid w:val="00832B45"/>
    <w:rPr>
      <w:color w:val="808080"/>
    </w:rPr>
  </w:style>
  <w:style w:type="paragraph" w:customStyle="1" w:styleId="Normal1">
    <w:name w:val="Normal1"/>
    <w:rsid w:val="00832B45"/>
    <w:rPr>
      <w:color w:val="000000"/>
      <w:sz w:val="24"/>
      <w:szCs w:val="22"/>
    </w:rPr>
  </w:style>
  <w:style w:type="paragraph" w:customStyle="1" w:styleId="Casestudy">
    <w:name w:val="Case study"/>
    <w:basedOn w:val="Normal"/>
    <w:qFormat/>
    <w:rsid w:val="00832B45"/>
    <w:pPr>
      <w:spacing w:after="120"/>
      <w:ind w:left="284" w:right="288"/>
    </w:pPr>
    <w:rPr>
      <w:rFonts w:ascii="Arial" w:eastAsiaTheme="minorHAnsi" w:hAnsi="Arial" w:cs="Arial"/>
      <w:i/>
      <w:szCs w:val="22"/>
      <w:lang w:val="en-US"/>
    </w:rPr>
  </w:style>
  <w:style w:type="paragraph" w:styleId="TOCHeading">
    <w:name w:val="TOC Heading"/>
    <w:basedOn w:val="Heading1"/>
    <w:next w:val="Normal"/>
    <w:uiPriority w:val="39"/>
    <w:semiHidden/>
    <w:unhideWhenUsed/>
    <w:qFormat/>
    <w:rsid w:val="00C27C1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qFormat/>
    <w:rsid w:val="00C27C1D"/>
    <w:pPr>
      <w:spacing w:after="100"/>
      <w:ind w:left="480"/>
    </w:pPr>
  </w:style>
  <w:style w:type="paragraph" w:styleId="TOC2">
    <w:name w:val="toc 2"/>
    <w:basedOn w:val="Normal"/>
    <w:next w:val="Normal"/>
    <w:autoRedefine/>
    <w:uiPriority w:val="39"/>
    <w:qFormat/>
    <w:rsid w:val="00C27C1D"/>
    <w:pPr>
      <w:spacing w:after="100"/>
      <w:ind w:left="240"/>
    </w:pPr>
  </w:style>
  <w:style w:type="paragraph" w:styleId="TOC1">
    <w:name w:val="toc 1"/>
    <w:basedOn w:val="Normal"/>
    <w:next w:val="Normal"/>
    <w:autoRedefine/>
    <w:uiPriority w:val="39"/>
    <w:qFormat/>
    <w:rsid w:val="00D66D7A"/>
    <w:pPr>
      <w:spacing w:after="100"/>
    </w:pPr>
  </w:style>
  <w:style w:type="paragraph" w:customStyle="1" w:styleId="Body1">
    <w:name w:val="Body 1"/>
    <w:autoRedefine/>
    <w:rsid w:val="001E323F"/>
    <w:pPr>
      <w:outlineLvl w:val="0"/>
    </w:pPr>
    <w:rPr>
      <w:rFonts w:eastAsia="ヒラギノ角ゴ Pro W3"/>
      <w:color w:val="000000"/>
      <w:sz w:val="24"/>
      <w:lang w:val="en-US" w:eastAsia="zh-CN"/>
    </w:rPr>
  </w:style>
  <w:style w:type="paragraph" w:customStyle="1" w:styleId="Normalnumbered">
    <w:name w:val="Normal numbered"/>
    <w:basedOn w:val="Normal"/>
    <w:link w:val="NormalnumberedChar"/>
    <w:rsid w:val="001E323F"/>
    <w:pPr>
      <w:numPr>
        <w:numId w:val="3"/>
      </w:numPr>
      <w:spacing w:after="240" w:line="260" w:lineRule="exact"/>
      <w:jc w:val="both"/>
    </w:pPr>
    <w:rPr>
      <w:rFonts w:ascii="Corbel" w:hAnsi="Corbel"/>
      <w:color w:val="000000"/>
      <w:sz w:val="23"/>
      <w:lang w:eastAsia="zh-CN"/>
    </w:rPr>
  </w:style>
  <w:style w:type="character" w:customStyle="1" w:styleId="NormalnumberedChar">
    <w:name w:val="Normal numbered Char"/>
    <w:link w:val="Normalnumbered"/>
    <w:locked/>
    <w:rsid w:val="001E323F"/>
    <w:rPr>
      <w:rFonts w:ascii="Corbel" w:hAnsi="Corbel"/>
      <w:color w:val="000000"/>
      <w:sz w:val="23"/>
      <w:lang w:eastAsia="zh-CN"/>
    </w:rPr>
  </w:style>
  <w:style w:type="paragraph" w:customStyle="1" w:styleId="SingleParagraph">
    <w:name w:val="Single Paragraph"/>
    <w:basedOn w:val="Normal"/>
    <w:rsid w:val="00B8527D"/>
    <w:pPr>
      <w:spacing w:line="260" w:lineRule="exact"/>
      <w:jc w:val="both"/>
    </w:pPr>
    <w:rPr>
      <w:rFonts w:ascii="Corbel" w:hAnsi="Corbel"/>
      <w:color w:val="000000"/>
      <w:sz w:val="23"/>
      <w:lang w:eastAsia="en-AU"/>
    </w:rPr>
  </w:style>
  <w:style w:type="paragraph" w:customStyle="1" w:styleId="CLLOlistbullet3">
    <w:name w:val="CLLO list bullet 3"/>
    <w:basedOn w:val="Normal"/>
    <w:link w:val="CLLOlistbullet3Char"/>
    <w:uiPriority w:val="99"/>
    <w:rsid w:val="00003742"/>
    <w:pPr>
      <w:widowControl w:val="0"/>
      <w:numPr>
        <w:numId w:val="4"/>
      </w:numPr>
      <w:autoSpaceDE w:val="0"/>
      <w:autoSpaceDN w:val="0"/>
    </w:pPr>
    <w:rPr>
      <w:sz w:val="20"/>
    </w:rPr>
  </w:style>
  <w:style w:type="character" w:customStyle="1" w:styleId="CLLOlistbullet3Char">
    <w:name w:val="CLLO list bullet 3 Char"/>
    <w:link w:val="CLLOlistbullet3"/>
    <w:uiPriority w:val="99"/>
    <w:locked/>
    <w:rsid w:val="00003742"/>
    <w:rPr>
      <w:rFonts w:asciiTheme="minorHAnsi" w:hAnsiTheme="minorHAnsi"/>
      <w:lang w:eastAsia="en-US"/>
    </w:rPr>
  </w:style>
  <w:style w:type="paragraph" w:customStyle="1" w:styleId="FrontPage">
    <w:name w:val="Front Page"/>
    <w:basedOn w:val="Normal"/>
    <w:next w:val="TOC1"/>
    <w:rsid w:val="00250EC1"/>
    <w:pPr>
      <w:spacing w:before="120" w:after="120" w:line="264" w:lineRule="auto"/>
      <w:jc w:val="center"/>
    </w:pPr>
    <w:rPr>
      <w:rFonts w:ascii="Arial" w:hAnsi="Arial"/>
      <w:b/>
      <w:bCs/>
      <w:color w:val="000000"/>
      <w:sz w:val="48"/>
    </w:rPr>
  </w:style>
  <w:style w:type="table" w:styleId="TableContemporary">
    <w:name w:val="Table Contemporary"/>
    <w:basedOn w:val="TableNormal"/>
    <w:rsid w:val="0028623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Milestoneparagraph">
    <w:name w:val="Milestone paragraph"/>
    <w:basedOn w:val="Normal"/>
    <w:link w:val="MilestoneparagraphCharChar"/>
    <w:rsid w:val="006B08DB"/>
    <w:pPr>
      <w:spacing w:after="80" w:line="264" w:lineRule="auto"/>
    </w:pPr>
    <w:rPr>
      <w:rFonts w:ascii="Arial" w:hAnsi="Arial"/>
      <w:sz w:val="20"/>
      <w:szCs w:val="16"/>
    </w:rPr>
  </w:style>
  <w:style w:type="character" w:customStyle="1" w:styleId="MilestoneparagraphCharChar">
    <w:name w:val="Milestone paragraph Char Char"/>
    <w:link w:val="Milestoneparagraph"/>
    <w:rsid w:val="006B08DB"/>
    <w:rPr>
      <w:rFonts w:ascii="Arial" w:hAnsi="Arial"/>
      <w:szCs w:val="16"/>
      <w:lang w:eastAsia="en-US"/>
    </w:rPr>
  </w:style>
  <w:style w:type="paragraph" w:customStyle="1" w:styleId="Milestonebulletpoint">
    <w:name w:val="Milestone bullet point"/>
    <w:basedOn w:val="Milestoneparagraph"/>
    <w:rsid w:val="006B08DB"/>
    <w:pPr>
      <w:spacing w:after="40" w:line="240" w:lineRule="auto"/>
    </w:pPr>
    <w:rPr>
      <w:rFonts w:cs="Arial"/>
      <w:szCs w:val="20"/>
    </w:rPr>
  </w:style>
  <w:style w:type="character" w:customStyle="1" w:styleId="MilestoneheadingChar">
    <w:name w:val="Milestone heading Char"/>
    <w:link w:val="Milestoneheading"/>
    <w:rsid w:val="006B08DB"/>
    <w:rPr>
      <w:rFonts w:ascii="Arial" w:hAnsi="Arial"/>
      <w:b/>
      <w:szCs w:val="16"/>
      <w:lang w:val="en-US"/>
    </w:rPr>
  </w:style>
  <w:style w:type="paragraph" w:customStyle="1" w:styleId="Milestoneheading">
    <w:name w:val="Milestone heading"/>
    <w:basedOn w:val="Milestoneparagraph"/>
    <w:next w:val="Milestoneparagraph"/>
    <w:link w:val="MilestoneheadingChar"/>
    <w:rsid w:val="006B08DB"/>
    <w:pPr>
      <w:spacing w:before="80"/>
    </w:pPr>
    <w:rPr>
      <w:b/>
      <w:lang w:val="en-US" w:eastAsia="en-AU"/>
    </w:rPr>
  </w:style>
  <w:style w:type="paragraph" w:customStyle="1" w:styleId="NoteLevel11">
    <w:name w:val="Note Level 11"/>
    <w:basedOn w:val="Normal"/>
    <w:uiPriority w:val="99"/>
    <w:unhideWhenUsed/>
    <w:rsid w:val="006B08DB"/>
    <w:pPr>
      <w:keepNext/>
      <w:numPr>
        <w:numId w:val="5"/>
      </w:numPr>
      <w:contextualSpacing/>
      <w:outlineLvl w:val="0"/>
    </w:pPr>
    <w:rPr>
      <w:rFonts w:ascii="Verdana" w:hAnsi="Verdana"/>
      <w:szCs w:val="24"/>
      <w:lang w:val="en-US"/>
    </w:rPr>
  </w:style>
  <w:style w:type="paragraph" w:customStyle="1" w:styleId="NoteLevel21">
    <w:name w:val="Note Level 21"/>
    <w:basedOn w:val="Normal"/>
    <w:uiPriority w:val="99"/>
    <w:unhideWhenUsed/>
    <w:rsid w:val="006B08DB"/>
    <w:pPr>
      <w:keepNext/>
      <w:numPr>
        <w:ilvl w:val="1"/>
        <w:numId w:val="5"/>
      </w:numPr>
      <w:contextualSpacing/>
      <w:outlineLvl w:val="1"/>
    </w:pPr>
    <w:rPr>
      <w:rFonts w:ascii="Verdana" w:hAnsi="Verdana"/>
      <w:szCs w:val="24"/>
      <w:lang w:val="en-US"/>
    </w:rPr>
  </w:style>
  <w:style w:type="paragraph" w:customStyle="1" w:styleId="NoteLevel31">
    <w:name w:val="Note Level 31"/>
    <w:basedOn w:val="Normal"/>
    <w:uiPriority w:val="99"/>
    <w:unhideWhenUsed/>
    <w:rsid w:val="006B08DB"/>
    <w:pPr>
      <w:keepNext/>
      <w:numPr>
        <w:ilvl w:val="2"/>
        <w:numId w:val="5"/>
      </w:numPr>
      <w:contextualSpacing/>
      <w:outlineLvl w:val="2"/>
    </w:pPr>
    <w:rPr>
      <w:rFonts w:ascii="Verdana" w:hAnsi="Verdana"/>
      <w:szCs w:val="24"/>
      <w:lang w:val="en-US"/>
    </w:rPr>
  </w:style>
  <w:style w:type="paragraph" w:customStyle="1" w:styleId="NoteLevel41">
    <w:name w:val="Note Level 41"/>
    <w:basedOn w:val="Normal"/>
    <w:uiPriority w:val="99"/>
    <w:semiHidden/>
    <w:unhideWhenUsed/>
    <w:rsid w:val="006B08DB"/>
    <w:pPr>
      <w:keepNext/>
      <w:numPr>
        <w:ilvl w:val="3"/>
        <w:numId w:val="5"/>
      </w:numPr>
      <w:contextualSpacing/>
      <w:outlineLvl w:val="3"/>
    </w:pPr>
    <w:rPr>
      <w:rFonts w:ascii="Verdana" w:hAnsi="Verdana"/>
      <w:szCs w:val="24"/>
      <w:lang w:val="en-US"/>
    </w:rPr>
  </w:style>
  <w:style w:type="paragraph" w:customStyle="1" w:styleId="NoteLevel51">
    <w:name w:val="Note Level 51"/>
    <w:basedOn w:val="Normal"/>
    <w:uiPriority w:val="99"/>
    <w:semiHidden/>
    <w:unhideWhenUsed/>
    <w:rsid w:val="006B08DB"/>
    <w:pPr>
      <w:keepNext/>
      <w:numPr>
        <w:ilvl w:val="4"/>
        <w:numId w:val="5"/>
      </w:numPr>
      <w:contextualSpacing/>
      <w:outlineLvl w:val="4"/>
    </w:pPr>
    <w:rPr>
      <w:rFonts w:ascii="Verdana" w:hAnsi="Verdana"/>
      <w:szCs w:val="24"/>
      <w:lang w:val="en-US"/>
    </w:rPr>
  </w:style>
  <w:style w:type="paragraph" w:customStyle="1" w:styleId="NoteLevel61">
    <w:name w:val="Note Level 61"/>
    <w:basedOn w:val="Normal"/>
    <w:uiPriority w:val="99"/>
    <w:semiHidden/>
    <w:unhideWhenUsed/>
    <w:rsid w:val="006B08DB"/>
    <w:pPr>
      <w:keepNext/>
      <w:numPr>
        <w:ilvl w:val="5"/>
        <w:numId w:val="5"/>
      </w:numPr>
      <w:contextualSpacing/>
      <w:outlineLvl w:val="5"/>
    </w:pPr>
    <w:rPr>
      <w:rFonts w:ascii="Verdana" w:hAnsi="Verdana"/>
      <w:szCs w:val="24"/>
      <w:lang w:val="en-US"/>
    </w:rPr>
  </w:style>
  <w:style w:type="paragraph" w:customStyle="1" w:styleId="NoteLevel71">
    <w:name w:val="Note Level 71"/>
    <w:basedOn w:val="Normal"/>
    <w:uiPriority w:val="99"/>
    <w:semiHidden/>
    <w:unhideWhenUsed/>
    <w:rsid w:val="006B08DB"/>
    <w:pPr>
      <w:keepNext/>
      <w:numPr>
        <w:ilvl w:val="6"/>
        <w:numId w:val="5"/>
      </w:numPr>
      <w:contextualSpacing/>
      <w:outlineLvl w:val="6"/>
    </w:pPr>
    <w:rPr>
      <w:rFonts w:ascii="Verdana" w:hAnsi="Verdana"/>
      <w:szCs w:val="24"/>
      <w:lang w:val="en-US"/>
    </w:rPr>
  </w:style>
  <w:style w:type="paragraph" w:customStyle="1" w:styleId="NoteLevel81">
    <w:name w:val="Note Level 81"/>
    <w:basedOn w:val="Normal"/>
    <w:uiPriority w:val="99"/>
    <w:semiHidden/>
    <w:unhideWhenUsed/>
    <w:rsid w:val="006B08DB"/>
    <w:pPr>
      <w:keepNext/>
      <w:numPr>
        <w:ilvl w:val="7"/>
        <w:numId w:val="5"/>
      </w:numPr>
      <w:contextualSpacing/>
      <w:outlineLvl w:val="7"/>
    </w:pPr>
    <w:rPr>
      <w:rFonts w:ascii="Verdana" w:hAnsi="Verdana"/>
      <w:szCs w:val="24"/>
      <w:lang w:val="en-US"/>
    </w:rPr>
  </w:style>
  <w:style w:type="paragraph" w:customStyle="1" w:styleId="NoteLevel91">
    <w:name w:val="Note Level 91"/>
    <w:basedOn w:val="Normal"/>
    <w:uiPriority w:val="99"/>
    <w:semiHidden/>
    <w:unhideWhenUsed/>
    <w:rsid w:val="006B08DB"/>
    <w:pPr>
      <w:keepNext/>
      <w:numPr>
        <w:ilvl w:val="8"/>
        <w:numId w:val="5"/>
      </w:numPr>
      <w:contextualSpacing/>
      <w:outlineLvl w:val="8"/>
    </w:pPr>
    <w:rPr>
      <w:rFonts w:ascii="Verdana" w:hAnsi="Verdana"/>
      <w:szCs w:val="24"/>
      <w:lang w:val="en-US"/>
    </w:rPr>
  </w:style>
  <w:style w:type="table" w:styleId="LightList-Accent1">
    <w:name w:val="Light List Accent 1"/>
    <w:basedOn w:val="TableNormal"/>
    <w:uiPriority w:val="61"/>
    <w:rsid w:val="006B08D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basedOn w:val="DefaultParagraphFont"/>
    <w:uiPriority w:val="99"/>
    <w:rsid w:val="006B08DB"/>
    <w:rPr>
      <w:vertAlign w:val="superscript"/>
    </w:rPr>
  </w:style>
  <w:style w:type="paragraph" w:styleId="FootnoteText">
    <w:name w:val="footnote text"/>
    <w:basedOn w:val="Normal"/>
    <w:link w:val="FootnoteTextChar"/>
    <w:rsid w:val="006B08DB"/>
    <w:rPr>
      <w:sz w:val="20"/>
    </w:rPr>
  </w:style>
  <w:style w:type="character" w:customStyle="1" w:styleId="FootnoteTextChar">
    <w:name w:val="Footnote Text Char"/>
    <w:basedOn w:val="DefaultParagraphFont"/>
    <w:link w:val="FootnoteText"/>
    <w:rsid w:val="006B08DB"/>
    <w:rPr>
      <w:lang w:eastAsia="en-US"/>
    </w:rPr>
  </w:style>
  <w:style w:type="paragraph" w:customStyle="1" w:styleId="BelowHeading">
    <w:name w:val="Below Heading"/>
    <w:basedOn w:val="Normal"/>
    <w:next w:val="Normal"/>
    <w:rsid w:val="001B165D"/>
    <w:pPr>
      <w:spacing w:before="120" w:after="40"/>
    </w:pPr>
    <w:rPr>
      <w:rFonts w:ascii="Arial" w:hAnsi="Arial"/>
      <w:szCs w:val="16"/>
      <w:lang w:val="en-US"/>
    </w:rPr>
  </w:style>
  <w:style w:type="paragraph" w:styleId="PlainText">
    <w:name w:val="Plain Text"/>
    <w:basedOn w:val="Normal"/>
    <w:link w:val="PlainTextChar"/>
    <w:uiPriority w:val="99"/>
    <w:unhideWhenUsed/>
    <w:rsid w:val="001B165D"/>
    <w:rPr>
      <w:rFonts w:ascii="Calibri" w:eastAsiaTheme="minorHAnsi" w:hAnsi="Calibri" w:cstheme="minorBidi"/>
      <w:szCs w:val="21"/>
    </w:rPr>
  </w:style>
  <w:style w:type="character" w:customStyle="1" w:styleId="PlainTextChar">
    <w:name w:val="Plain Text Char"/>
    <w:basedOn w:val="DefaultParagraphFont"/>
    <w:link w:val="PlainText"/>
    <w:uiPriority w:val="99"/>
    <w:rsid w:val="001B165D"/>
    <w:rPr>
      <w:rFonts w:ascii="Calibri" w:eastAsiaTheme="minorHAnsi" w:hAnsi="Calibri" w:cstheme="minorBidi"/>
      <w:sz w:val="22"/>
      <w:szCs w:val="21"/>
      <w:lang w:eastAsia="en-US"/>
    </w:rPr>
  </w:style>
  <w:style w:type="paragraph" w:styleId="EndnoteText">
    <w:name w:val="endnote text"/>
    <w:basedOn w:val="Normal"/>
    <w:link w:val="EndnoteTextChar"/>
    <w:rsid w:val="001B165D"/>
    <w:rPr>
      <w:sz w:val="20"/>
    </w:rPr>
  </w:style>
  <w:style w:type="character" w:customStyle="1" w:styleId="EndnoteTextChar">
    <w:name w:val="Endnote Text Char"/>
    <w:basedOn w:val="DefaultParagraphFont"/>
    <w:link w:val="EndnoteText"/>
    <w:rsid w:val="001B165D"/>
    <w:rPr>
      <w:lang w:eastAsia="en-US"/>
    </w:rPr>
  </w:style>
  <w:style w:type="character" w:styleId="EndnoteReference">
    <w:name w:val="endnote reference"/>
    <w:basedOn w:val="DefaultParagraphFont"/>
    <w:rsid w:val="001B165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28E0"/>
    <w:rPr>
      <w:rFonts w:asciiTheme="minorHAnsi" w:hAnsiTheme="minorHAnsi"/>
      <w:sz w:val="22"/>
      <w:lang w:eastAsia="en-US"/>
    </w:rPr>
  </w:style>
  <w:style w:type="paragraph" w:styleId="Heading1">
    <w:name w:val="heading 1"/>
    <w:basedOn w:val="Normal"/>
    <w:next w:val="Normal"/>
    <w:link w:val="Heading1Char"/>
    <w:qFormat/>
    <w:rsid w:val="00F14C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nhideWhenUsed/>
    <w:qFormat/>
    <w:rsid w:val="008B27CB"/>
    <w:pPr>
      <w:keepNext/>
      <w:keepLines/>
      <w:spacing w:before="360"/>
      <w:outlineLvl w:val="1"/>
    </w:pPr>
    <w:rPr>
      <w:rFonts w:ascii="Arial" w:eastAsiaTheme="majorEastAsia" w:hAnsi="Arial" w:cstheme="majorBidi"/>
      <w:b/>
      <w:bCs/>
      <w:noProof/>
      <w:color w:val="0070C0"/>
      <w:szCs w:val="32"/>
      <w:lang w:eastAsia="en-AU"/>
    </w:rPr>
  </w:style>
  <w:style w:type="paragraph" w:styleId="Heading3">
    <w:name w:val="heading 3"/>
    <w:basedOn w:val="Normal"/>
    <w:next w:val="Normal"/>
    <w:autoRedefine/>
    <w:qFormat/>
    <w:rsid w:val="00DB2F88"/>
    <w:pPr>
      <w:keepNext/>
      <w:widowControl w:val="0"/>
      <w:spacing w:before="360"/>
      <w:jc w:val="both"/>
      <w:outlineLvl w:val="2"/>
    </w:pPr>
    <w:rPr>
      <w:rFonts w:ascii="Arial" w:hAnsi="Arial" w:cs="Arial"/>
      <w:b/>
      <w:bCs/>
      <w:i/>
      <w:color w:val="0070C0"/>
      <w:szCs w:val="26"/>
    </w:rPr>
  </w:style>
  <w:style w:type="paragraph" w:styleId="Heading4">
    <w:name w:val="heading 4"/>
    <w:basedOn w:val="Normal"/>
    <w:next w:val="Normal"/>
    <w:link w:val="Heading4Char"/>
    <w:autoRedefine/>
    <w:unhideWhenUsed/>
    <w:qFormat/>
    <w:rsid w:val="000159CD"/>
    <w:pPr>
      <w:keepNext/>
      <w:keepLines/>
      <w:spacing w:before="360"/>
      <w:outlineLvl w:val="3"/>
    </w:pPr>
    <w:rPr>
      <w:rFonts w:ascii="Arial" w:eastAsiaTheme="majorEastAsia" w:hAnsi="Arial" w:cstheme="majorBidi"/>
      <w:b/>
      <w:bCs/>
      <w:i/>
      <w:iCs/>
      <w:color w:val="4F81BD" w:themeColor="accent1"/>
    </w:rPr>
  </w:style>
  <w:style w:type="paragraph" w:styleId="Heading5">
    <w:name w:val="heading 5"/>
    <w:basedOn w:val="Normal"/>
    <w:next w:val="Normal"/>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14C68"/>
    <w:rPr>
      <w:rFonts w:ascii="Arial" w:hAnsi="Arial" w:cs="Arial"/>
      <w:b/>
      <w:bCs/>
      <w:kern w:val="32"/>
      <w:sz w:val="32"/>
      <w:szCs w:val="32"/>
      <w:lang w:val="en-AU" w:eastAsia="en-US" w:bidi="ar-SA"/>
    </w:rPr>
  </w:style>
  <w:style w:type="character" w:customStyle="1" w:styleId="Heading2Char">
    <w:name w:val="Heading 2 Char"/>
    <w:basedOn w:val="DefaultParagraphFont"/>
    <w:link w:val="Heading2"/>
    <w:rsid w:val="008B27CB"/>
    <w:rPr>
      <w:rFonts w:ascii="Arial" w:eastAsiaTheme="majorEastAsia" w:hAnsi="Arial" w:cstheme="majorBidi"/>
      <w:b/>
      <w:bCs/>
      <w:noProof/>
      <w:color w:val="0070C0"/>
      <w:sz w:val="22"/>
      <w:szCs w:val="32"/>
    </w:rPr>
  </w:style>
  <w:style w:type="character" w:customStyle="1" w:styleId="Heading4Char">
    <w:name w:val="Heading 4 Char"/>
    <w:basedOn w:val="DefaultParagraphFont"/>
    <w:link w:val="Heading4"/>
    <w:rsid w:val="000159CD"/>
    <w:rPr>
      <w:rFonts w:ascii="Arial" w:eastAsiaTheme="majorEastAsia" w:hAnsi="Arial" w:cstheme="majorBidi"/>
      <w:b/>
      <w:bCs/>
      <w:i/>
      <w:iCs/>
      <w:color w:val="4F81BD" w:themeColor="accent1"/>
      <w:sz w:val="24"/>
      <w:lang w:eastAsia="en-US"/>
    </w:rPr>
  </w:style>
  <w:style w:type="character" w:styleId="PageNumber">
    <w:name w:val="page number"/>
    <w:basedOn w:val="DefaultParagraphFont"/>
    <w:rsid w:val="00C22990"/>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rsid w:val="00E14FBE"/>
    <w:rPr>
      <w:sz w:val="24"/>
      <w:lang w:eastAsia="en-US"/>
    </w:rPr>
  </w:style>
  <w:style w:type="paragraph" w:styleId="Header">
    <w:name w:val="header"/>
    <w:basedOn w:val="Normal"/>
    <w:rsid w:val="00C22990"/>
    <w:pPr>
      <w:tabs>
        <w:tab w:val="center" w:pos="4320"/>
        <w:tab w:val="right" w:pos="8640"/>
      </w:tabs>
    </w:pPr>
  </w:style>
  <w:style w:type="paragraph" w:customStyle="1" w:styleId="Text">
    <w:name w:val="Text"/>
    <w:aliases w:val="t"/>
    <w:basedOn w:val="Normal"/>
    <w:rsid w:val="00C22990"/>
    <w:pPr>
      <w:spacing w:after="200"/>
    </w:pPr>
    <w:rPr>
      <w:rFonts w:ascii="Arial" w:hAnsi="Arial"/>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eastAsia="Times" w:hAnsi="Arial"/>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qFormat/>
    <w:rsid w:val="00C22990"/>
    <w:rPr>
      <w:rFonts w:cs="Times New Roman"/>
      <w:i/>
      <w:iCs/>
    </w:rPr>
  </w:style>
  <w:style w:type="paragraph" w:styleId="BalloonText">
    <w:name w:val="Balloon Text"/>
    <w:basedOn w:val="Normal"/>
    <w:semiHidden/>
    <w:rsid w:val="000948ED"/>
    <w:rPr>
      <w:rFonts w:ascii="Tahoma" w:hAnsi="Tahoma" w:cs="Tahoma"/>
      <w:sz w:val="16"/>
      <w:szCs w:val="16"/>
    </w:rPr>
  </w:style>
  <w:style w:type="paragraph" w:styleId="DocumentMap">
    <w:name w:val="Document Map"/>
    <w:basedOn w:val="Normal"/>
    <w:semiHidden/>
    <w:rsid w:val="005023B1"/>
    <w:pPr>
      <w:shd w:val="clear" w:color="auto" w:fill="000080"/>
    </w:pPr>
    <w:rPr>
      <w:rFonts w:ascii="Tahoma" w:hAnsi="Tahoma" w:cs="Tahoma"/>
      <w:sz w:val="20"/>
    </w:rPr>
  </w:style>
  <w:style w:type="table" w:styleId="TableGrid">
    <w:name w:val="Table Grid"/>
    <w:basedOn w:val="TableNormal"/>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Recommendation"/>
    <w:basedOn w:val="Normal"/>
    <w:link w:val="ListParagraphChar"/>
    <w:uiPriority w:val="34"/>
    <w:qFormat/>
    <w:rsid w:val="000E7B1C"/>
    <w:pPr>
      <w:widowControl w:val="0"/>
      <w:spacing w:before="120" w:after="120"/>
      <w:ind w:left="720"/>
      <w:contextualSpacing/>
      <w:jc w:val="both"/>
    </w:pPr>
    <w:rPr>
      <w:rFonts w:ascii="Calibri" w:eastAsia="Calibri" w:hAnsi="Calibri"/>
      <w:szCs w:val="22"/>
    </w:rPr>
  </w:style>
  <w:style w:type="character" w:customStyle="1" w:styleId="ListParagraphChar">
    <w:name w:val="List Paragraph Char"/>
    <w:aliases w:val="Recommendation Char"/>
    <w:link w:val="ListParagraph"/>
    <w:uiPriority w:val="34"/>
    <w:locked/>
    <w:rsid w:val="00E45117"/>
    <w:rPr>
      <w:rFonts w:ascii="Calibri" w:eastAsia="Calibri" w:hAnsi="Calibri"/>
      <w:sz w:val="22"/>
      <w:szCs w:val="22"/>
      <w:lang w:eastAsia="en-US"/>
    </w:rPr>
  </w:style>
  <w:style w:type="paragraph" w:customStyle="1" w:styleId="Default">
    <w:name w:val="Default"/>
    <w:rsid w:val="00F14C68"/>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rsid w:val="00F14C68"/>
    <w:rPr>
      <w:rFonts w:ascii="Arial" w:hAnsi="Arial" w:cs="Arial"/>
      <w:szCs w:val="22"/>
    </w:rPr>
  </w:style>
  <w:style w:type="paragraph" w:customStyle="1" w:styleId="AlphaParagraph">
    <w:name w:val="Alpha Paragraph"/>
    <w:basedOn w:val="Normal"/>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semiHidden/>
    <w:rsid w:val="00351FAB"/>
    <w:rPr>
      <w:sz w:val="16"/>
      <w:szCs w:val="16"/>
    </w:rPr>
  </w:style>
  <w:style w:type="paragraph" w:styleId="CommentText">
    <w:name w:val="annotation text"/>
    <w:basedOn w:val="Normal"/>
    <w:semiHidden/>
    <w:rsid w:val="00351FAB"/>
    <w:rPr>
      <w:sz w:val="20"/>
    </w:rPr>
  </w:style>
  <w:style w:type="paragraph" w:styleId="CommentSubject">
    <w:name w:val="annotation subject"/>
    <w:basedOn w:val="CommentText"/>
    <w:next w:val="CommentText"/>
    <w:semiHidden/>
    <w:rsid w:val="00351FAB"/>
    <w:rPr>
      <w:b/>
      <w:bCs/>
    </w:rPr>
  </w:style>
  <w:style w:type="paragraph" w:customStyle="1" w:styleId="ScheduleListSubHeading">
    <w:name w:val="ScheduleListSubHeading"/>
    <w:basedOn w:val="Normal"/>
    <w:rsid w:val="006F27A0"/>
    <w:pPr>
      <w:numPr>
        <w:ilvl w:val="1"/>
        <w:numId w:val="1"/>
      </w:numPr>
      <w:spacing w:after="240" w:line="260" w:lineRule="exact"/>
      <w:jc w:val="both"/>
    </w:pPr>
    <w:rPr>
      <w:rFonts w:ascii="Corbel" w:hAnsi="Corbel"/>
      <w:b/>
      <w:color w:val="000000"/>
      <w:sz w:val="23"/>
      <w:lang w:eastAsia="en-AU"/>
    </w:rPr>
  </w:style>
  <w:style w:type="paragraph" w:styleId="BodyText">
    <w:name w:val="Body Text"/>
    <w:basedOn w:val="Normal"/>
    <w:link w:val="BodyTextChar"/>
    <w:rsid w:val="00E45117"/>
    <w:pPr>
      <w:jc w:val="both"/>
    </w:pPr>
    <w:rPr>
      <w:rFonts w:eastAsia="Beijing"/>
      <w:sz w:val="20"/>
    </w:rPr>
  </w:style>
  <w:style w:type="character" w:customStyle="1" w:styleId="BodyTextChar">
    <w:name w:val="Body Text Char"/>
    <w:basedOn w:val="DefaultParagraphFont"/>
    <w:link w:val="BodyText"/>
    <w:rsid w:val="00E45117"/>
    <w:rPr>
      <w:rFonts w:eastAsia="Beijing"/>
      <w:lang w:eastAsia="en-US"/>
    </w:rPr>
  </w:style>
  <w:style w:type="paragraph" w:customStyle="1" w:styleId="RRBodyText">
    <w:name w:val="RR Body Text"/>
    <w:basedOn w:val="Normal"/>
    <w:rsid w:val="00832B45"/>
    <w:pPr>
      <w:spacing w:before="120" w:line="240" w:lineRule="atLeast"/>
      <w:jc w:val="both"/>
    </w:pPr>
    <w:rPr>
      <w:rFonts w:ascii="Arial" w:hAnsi="Arial" w:cs="Arial"/>
      <w:bCs/>
      <w:lang w:eastAsia="en-AU"/>
    </w:rPr>
  </w:style>
  <w:style w:type="paragraph" w:customStyle="1" w:styleId="Pa1">
    <w:name w:val="Pa1"/>
    <w:basedOn w:val="Normal"/>
    <w:next w:val="Normal"/>
    <w:uiPriority w:val="99"/>
    <w:rsid w:val="00832B45"/>
    <w:pPr>
      <w:autoSpaceDE w:val="0"/>
      <w:autoSpaceDN w:val="0"/>
      <w:adjustRightInd w:val="0"/>
      <w:spacing w:line="241" w:lineRule="atLeast"/>
    </w:pPr>
    <w:rPr>
      <w:rFonts w:ascii="Arial" w:eastAsiaTheme="minorHAnsi" w:hAnsi="Arial" w:cs="Arial"/>
      <w:szCs w:val="24"/>
    </w:rPr>
  </w:style>
  <w:style w:type="character" w:customStyle="1" w:styleId="A11">
    <w:name w:val="A11"/>
    <w:uiPriority w:val="99"/>
    <w:rsid w:val="00832B45"/>
    <w:rPr>
      <w:color w:val="221E1F"/>
      <w:sz w:val="16"/>
      <w:szCs w:val="16"/>
    </w:rPr>
  </w:style>
  <w:style w:type="character" w:styleId="PlaceholderText">
    <w:name w:val="Placeholder Text"/>
    <w:basedOn w:val="DefaultParagraphFont"/>
    <w:uiPriority w:val="99"/>
    <w:semiHidden/>
    <w:rsid w:val="00832B45"/>
    <w:rPr>
      <w:color w:val="808080"/>
    </w:rPr>
  </w:style>
  <w:style w:type="paragraph" w:customStyle="1" w:styleId="Normal1">
    <w:name w:val="Normal1"/>
    <w:rsid w:val="00832B45"/>
    <w:rPr>
      <w:color w:val="000000"/>
      <w:sz w:val="24"/>
      <w:szCs w:val="22"/>
    </w:rPr>
  </w:style>
  <w:style w:type="paragraph" w:customStyle="1" w:styleId="Casestudy">
    <w:name w:val="Case study"/>
    <w:basedOn w:val="Normal"/>
    <w:qFormat/>
    <w:rsid w:val="00832B45"/>
    <w:pPr>
      <w:spacing w:after="120"/>
      <w:ind w:left="284" w:right="288"/>
    </w:pPr>
    <w:rPr>
      <w:rFonts w:ascii="Arial" w:eastAsiaTheme="minorHAnsi" w:hAnsi="Arial" w:cs="Arial"/>
      <w:i/>
      <w:szCs w:val="22"/>
      <w:lang w:val="en-US"/>
    </w:rPr>
  </w:style>
  <w:style w:type="paragraph" w:styleId="TOCHeading">
    <w:name w:val="TOC Heading"/>
    <w:basedOn w:val="Heading1"/>
    <w:next w:val="Normal"/>
    <w:uiPriority w:val="39"/>
    <w:semiHidden/>
    <w:unhideWhenUsed/>
    <w:qFormat/>
    <w:rsid w:val="00C27C1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qFormat/>
    <w:rsid w:val="00C27C1D"/>
    <w:pPr>
      <w:spacing w:after="100"/>
      <w:ind w:left="480"/>
    </w:pPr>
  </w:style>
  <w:style w:type="paragraph" w:styleId="TOC2">
    <w:name w:val="toc 2"/>
    <w:basedOn w:val="Normal"/>
    <w:next w:val="Normal"/>
    <w:autoRedefine/>
    <w:uiPriority w:val="39"/>
    <w:qFormat/>
    <w:rsid w:val="00C27C1D"/>
    <w:pPr>
      <w:spacing w:after="100"/>
      <w:ind w:left="240"/>
    </w:pPr>
  </w:style>
  <w:style w:type="paragraph" w:styleId="TOC1">
    <w:name w:val="toc 1"/>
    <w:basedOn w:val="Normal"/>
    <w:next w:val="Normal"/>
    <w:autoRedefine/>
    <w:uiPriority w:val="39"/>
    <w:qFormat/>
    <w:rsid w:val="00D66D7A"/>
    <w:pPr>
      <w:spacing w:after="100"/>
    </w:pPr>
  </w:style>
  <w:style w:type="paragraph" w:customStyle="1" w:styleId="Body1">
    <w:name w:val="Body 1"/>
    <w:autoRedefine/>
    <w:rsid w:val="001E323F"/>
    <w:pPr>
      <w:outlineLvl w:val="0"/>
    </w:pPr>
    <w:rPr>
      <w:rFonts w:eastAsia="ヒラギノ角ゴ Pro W3"/>
      <w:color w:val="000000"/>
      <w:sz w:val="24"/>
      <w:lang w:val="en-US" w:eastAsia="zh-CN"/>
    </w:rPr>
  </w:style>
  <w:style w:type="paragraph" w:customStyle="1" w:styleId="Normalnumbered">
    <w:name w:val="Normal numbered"/>
    <w:basedOn w:val="Normal"/>
    <w:link w:val="NormalnumberedChar"/>
    <w:rsid w:val="001E323F"/>
    <w:pPr>
      <w:numPr>
        <w:numId w:val="3"/>
      </w:numPr>
      <w:spacing w:after="240" w:line="260" w:lineRule="exact"/>
      <w:jc w:val="both"/>
    </w:pPr>
    <w:rPr>
      <w:rFonts w:ascii="Corbel" w:hAnsi="Corbel"/>
      <w:color w:val="000000"/>
      <w:sz w:val="23"/>
      <w:lang w:eastAsia="zh-CN"/>
    </w:rPr>
  </w:style>
  <w:style w:type="character" w:customStyle="1" w:styleId="NormalnumberedChar">
    <w:name w:val="Normal numbered Char"/>
    <w:link w:val="Normalnumbered"/>
    <w:locked/>
    <w:rsid w:val="001E323F"/>
    <w:rPr>
      <w:rFonts w:ascii="Corbel" w:hAnsi="Corbel"/>
      <w:color w:val="000000"/>
      <w:sz w:val="23"/>
      <w:lang w:eastAsia="zh-CN"/>
    </w:rPr>
  </w:style>
  <w:style w:type="paragraph" w:customStyle="1" w:styleId="SingleParagraph">
    <w:name w:val="Single Paragraph"/>
    <w:basedOn w:val="Normal"/>
    <w:rsid w:val="00B8527D"/>
    <w:pPr>
      <w:spacing w:line="260" w:lineRule="exact"/>
      <w:jc w:val="both"/>
    </w:pPr>
    <w:rPr>
      <w:rFonts w:ascii="Corbel" w:hAnsi="Corbel"/>
      <w:color w:val="000000"/>
      <w:sz w:val="23"/>
      <w:lang w:eastAsia="en-AU"/>
    </w:rPr>
  </w:style>
  <w:style w:type="paragraph" w:customStyle="1" w:styleId="CLLOlistbullet3">
    <w:name w:val="CLLO list bullet 3"/>
    <w:basedOn w:val="Normal"/>
    <w:link w:val="CLLOlistbullet3Char"/>
    <w:uiPriority w:val="99"/>
    <w:rsid w:val="00003742"/>
    <w:pPr>
      <w:widowControl w:val="0"/>
      <w:numPr>
        <w:numId w:val="4"/>
      </w:numPr>
      <w:autoSpaceDE w:val="0"/>
      <w:autoSpaceDN w:val="0"/>
    </w:pPr>
    <w:rPr>
      <w:sz w:val="20"/>
    </w:rPr>
  </w:style>
  <w:style w:type="character" w:customStyle="1" w:styleId="CLLOlistbullet3Char">
    <w:name w:val="CLLO list bullet 3 Char"/>
    <w:link w:val="CLLOlistbullet3"/>
    <w:uiPriority w:val="99"/>
    <w:locked/>
    <w:rsid w:val="00003742"/>
    <w:rPr>
      <w:rFonts w:asciiTheme="minorHAnsi" w:hAnsiTheme="minorHAnsi"/>
      <w:lang w:eastAsia="en-US"/>
    </w:rPr>
  </w:style>
  <w:style w:type="paragraph" w:customStyle="1" w:styleId="FrontPage">
    <w:name w:val="Front Page"/>
    <w:basedOn w:val="Normal"/>
    <w:next w:val="TOC1"/>
    <w:rsid w:val="00250EC1"/>
    <w:pPr>
      <w:spacing w:before="120" w:after="120" w:line="264" w:lineRule="auto"/>
      <w:jc w:val="center"/>
    </w:pPr>
    <w:rPr>
      <w:rFonts w:ascii="Arial" w:hAnsi="Arial"/>
      <w:b/>
      <w:bCs/>
      <w:color w:val="000000"/>
      <w:sz w:val="48"/>
    </w:rPr>
  </w:style>
  <w:style w:type="table" w:styleId="TableContemporary">
    <w:name w:val="Table Contemporary"/>
    <w:basedOn w:val="TableNormal"/>
    <w:rsid w:val="0028623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Milestoneparagraph">
    <w:name w:val="Milestone paragraph"/>
    <w:basedOn w:val="Normal"/>
    <w:link w:val="MilestoneparagraphCharChar"/>
    <w:rsid w:val="006B08DB"/>
    <w:pPr>
      <w:spacing w:after="80" w:line="264" w:lineRule="auto"/>
    </w:pPr>
    <w:rPr>
      <w:rFonts w:ascii="Arial" w:hAnsi="Arial"/>
      <w:sz w:val="20"/>
      <w:szCs w:val="16"/>
    </w:rPr>
  </w:style>
  <w:style w:type="character" w:customStyle="1" w:styleId="MilestoneparagraphCharChar">
    <w:name w:val="Milestone paragraph Char Char"/>
    <w:link w:val="Milestoneparagraph"/>
    <w:rsid w:val="006B08DB"/>
    <w:rPr>
      <w:rFonts w:ascii="Arial" w:hAnsi="Arial"/>
      <w:szCs w:val="16"/>
      <w:lang w:eastAsia="en-US"/>
    </w:rPr>
  </w:style>
  <w:style w:type="paragraph" w:customStyle="1" w:styleId="Milestonebulletpoint">
    <w:name w:val="Milestone bullet point"/>
    <w:basedOn w:val="Milestoneparagraph"/>
    <w:rsid w:val="006B08DB"/>
    <w:pPr>
      <w:spacing w:after="40" w:line="240" w:lineRule="auto"/>
    </w:pPr>
    <w:rPr>
      <w:rFonts w:cs="Arial"/>
      <w:szCs w:val="20"/>
    </w:rPr>
  </w:style>
  <w:style w:type="character" w:customStyle="1" w:styleId="MilestoneheadingChar">
    <w:name w:val="Milestone heading Char"/>
    <w:link w:val="Milestoneheading"/>
    <w:rsid w:val="006B08DB"/>
    <w:rPr>
      <w:rFonts w:ascii="Arial" w:hAnsi="Arial"/>
      <w:b/>
      <w:szCs w:val="16"/>
      <w:lang w:val="en-US"/>
    </w:rPr>
  </w:style>
  <w:style w:type="paragraph" w:customStyle="1" w:styleId="Milestoneheading">
    <w:name w:val="Milestone heading"/>
    <w:basedOn w:val="Milestoneparagraph"/>
    <w:next w:val="Milestoneparagraph"/>
    <w:link w:val="MilestoneheadingChar"/>
    <w:rsid w:val="006B08DB"/>
    <w:pPr>
      <w:spacing w:before="80"/>
    </w:pPr>
    <w:rPr>
      <w:b/>
      <w:lang w:val="en-US" w:eastAsia="en-AU"/>
    </w:rPr>
  </w:style>
  <w:style w:type="paragraph" w:customStyle="1" w:styleId="NoteLevel11">
    <w:name w:val="Note Level 11"/>
    <w:basedOn w:val="Normal"/>
    <w:uiPriority w:val="99"/>
    <w:unhideWhenUsed/>
    <w:rsid w:val="006B08DB"/>
    <w:pPr>
      <w:keepNext/>
      <w:numPr>
        <w:numId w:val="5"/>
      </w:numPr>
      <w:contextualSpacing/>
      <w:outlineLvl w:val="0"/>
    </w:pPr>
    <w:rPr>
      <w:rFonts w:ascii="Verdana" w:hAnsi="Verdana"/>
      <w:szCs w:val="24"/>
      <w:lang w:val="en-US"/>
    </w:rPr>
  </w:style>
  <w:style w:type="paragraph" w:customStyle="1" w:styleId="NoteLevel21">
    <w:name w:val="Note Level 21"/>
    <w:basedOn w:val="Normal"/>
    <w:uiPriority w:val="99"/>
    <w:unhideWhenUsed/>
    <w:rsid w:val="006B08DB"/>
    <w:pPr>
      <w:keepNext/>
      <w:numPr>
        <w:ilvl w:val="1"/>
        <w:numId w:val="5"/>
      </w:numPr>
      <w:contextualSpacing/>
      <w:outlineLvl w:val="1"/>
    </w:pPr>
    <w:rPr>
      <w:rFonts w:ascii="Verdana" w:hAnsi="Verdana"/>
      <w:szCs w:val="24"/>
      <w:lang w:val="en-US"/>
    </w:rPr>
  </w:style>
  <w:style w:type="paragraph" w:customStyle="1" w:styleId="NoteLevel31">
    <w:name w:val="Note Level 31"/>
    <w:basedOn w:val="Normal"/>
    <w:uiPriority w:val="99"/>
    <w:unhideWhenUsed/>
    <w:rsid w:val="006B08DB"/>
    <w:pPr>
      <w:keepNext/>
      <w:numPr>
        <w:ilvl w:val="2"/>
        <w:numId w:val="5"/>
      </w:numPr>
      <w:contextualSpacing/>
      <w:outlineLvl w:val="2"/>
    </w:pPr>
    <w:rPr>
      <w:rFonts w:ascii="Verdana" w:hAnsi="Verdana"/>
      <w:szCs w:val="24"/>
      <w:lang w:val="en-US"/>
    </w:rPr>
  </w:style>
  <w:style w:type="paragraph" w:customStyle="1" w:styleId="NoteLevel41">
    <w:name w:val="Note Level 41"/>
    <w:basedOn w:val="Normal"/>
    <w:uiPriority w:val="99"/>
    <w:semiHidden/>
    <w:unhideWhenUsed/>
    <w:rsid w:val="006B08DB"/>
    <w:pPr>
      <w:keepNext/>
      <w:numPr>
        <w:ilvl w:val="3"/>
        <w:numId w:val="5"/>
      </w:numPr>
      <w:contextualSpacing/>
      <w:outlineLvl w:val="3"/>
    </w:pPr>
    <w:rPr>
      <w:rFonts w:ascii="Verdana" w:hAnsi="Verdana"/>
      <w:szCs w:val="24"/>
      <w:lang w:val="en-US"/>
    </w:rPr>
  </w:style>
  <w:style w:type="paragraph" w:customStyle="1" w:styleId="NoteLevel51">
    <w:name w:val="Note Level 51"/>
    <w:basedOn w:val="Normal"/>
    <w:uiPriority w:val="99"/>
    <w:semiHidden/>
    <w:unhideWhenUsed/>
    <w:rsid w:val="006B08DB"/>
    <w:pPr>
      <w:keepNext/>
      <w:numPr>
        <w:ilvl w:val="4"/>
        <w:numId w:val="5"/>
      </w:numPr>
      <w:contextualSpacing/>
      <w:outlineLvl w:val="4"/>
    </w:pPr>
    <w:rPr>
      <w:rFonts w:ascii="Verdana" w:hAnsi="Verdana"/>
      <w:szCs w:val="24"/>
      <w:lang w:val="en-US"/>
    </w:rPr>
  </w:style>
  <w:style w:type="paragraph" w:customStyle="1" w:styleId="NoteLevel61">
    <w:name w:val="Note Level 61"/>
    <w:basedOn w:val="Normal"/>
    <w:uiPriority w:val="99"/>
    <w:semiHidden/>
    <w:unhideWhenUsed/>
    <w:rsid w:val="006B08DB"/>
    <w:pPr>
      <w:keepNext/>
      <w:numPr>
        <w:ilvl w:val="5"/>
        <w:numId w:val="5"/>
      </w:numPr>
      <w:contextualSpacing/>
      <w:outlineLvl w:val="5"/>
    </w:pPr>
    <w:rPr>
      <w:rFonts w:ascii="Verdana" w:hAnsi="Verdana"/>
      <w:szCs w:val="24"/>
      <w:lang w:val="en-US"/>
    </w:rPr>
  </w:style>
  <w:style w:type="paragraph" w:customStyle="1" w:styleId="NoteLevel71">
    <w:name w:val="Note Level 71"/>
    <w:basedOn w:val="Normal"/>
    <w:uiPriority w:val="99"/>
    <w:semiHidden/>
    <w:unhideWhenUsed/>
    <w:rsid w:val="006B08DB"/>
    <w:pPr>
      <w:keepNext/>
      <w:numPr>
        <w:ilvl w:val="6"/>
        <w:numId w:val="5"/>
      </w:numPr>
      <w:contextualSpacing/>
      <w:outlineLvl w:val="6"/>
    </w:pPr>
    <w:rPr>
      <w:rFonts w:ascii="Verdana" w:hAnsi="Verdana"/>
      <w:szCs w:val="24"/>
      <w:lang w:val="en-US"/>
    </w:rPr>
  </w:style>
  <w:style w:type="paragraph" w:customStyle="1" w:styleId="NoteLevel81">
    <w:name w:val="Note Level 81"/>
    <w:basedOn w:val="Normal"/>
    <w:uiPriority w:val="99"/>
    <w:semiHidden/>
    <w:unhideWhenUsed/>
    <w:rsid w:val="006B08DB"/>
    <w:pPr>
      <w:keepNext/>
      <w:numPr>
        <w:ilvl w:val="7"/>
        <w:numId w:val="5"/>
      </w:numPr>
      <w:contextualSpacing/>
      <w:outlineLvl w:val="7"/>
    </w:pPr>
    <w:rPr>
      <w:rFonts w:ascii="Verdana" w:hAnsi="Verdana"/>
      <w:szCs w:val="24"/>
      <w:lang w:val="en-US"/>
    </w:rPr>
  </w:style>
  <w:style w:type="paragraph" w:customStyle="1" w:styleId="NoteLevel91">
    <w:name w:val="Note Level 91"/>
    <w:basedOn w:val="Normal"/>
    <w:uiPriority w:val="99"/>
    <w:semiHidden/>
    <w:unhideWhenUsed/>
    <w:rsid w:val="006B08DB"/>
    <w:pPr>
      <w:keepNext/>
      <w:numPr>
        <w:ilvl w:val="8"/>
        <w:numId w:val="5"/>
      </w:numPr>
      <w:contextualSpacing/>
      <w:outlineLvl w:val="8"/>
    </w:pPr>
    <w:rPr>
      <w:rFonts w:ascii="Verdana" w:hAnsi="Verdana"/>
      <w:szCs w:val="24"/>
      <w:lang w:val="en-US"/>
    </w:rPr>
  </w:style>
  <w:style w:type="table" w:styleId="LightList-Accent1">
    <w:name w:val="Light List Accent 1"/>
    <w:basedOn w:val="TableNormal"/>
    <w:uiPriority w:val="61"/>
    <w:rsid w:val="006B08D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basedOn w:val="DefaultParagraphFont"/>
    <w:uiPriority w:val="99"/>
    <w:rsid w:val="006B08DB"/>
    <w:rPr>
      <w:vertAlign w:val="superscript"/>
    </w:rPr>
  </w:style>
  <w:style w:type="paragraph" w:styleId="FootnoteText">
    <w:name w:val="footnote text"/>
    <w:basedOn w:val="Normal"/>
    <w:link w:val="FootnoteTextChar"/>
    <w:rsid w:val="006B08DB"/>
    <w:rPr>
      <w:sz w:val="20"/>
    </w:rPr>
  </w:style>
  <w:style w:type="character" w:customStyle="1" w:styleId="FootnoteTextChar">
    <w:name w:val="Footnote Text Char"/>
    <w:basedOn w:val="DefaultParagraphFont"/>
    <w:link w:val="FootnoteText"/>
    <w:rsid w:val="006B08DB"/>
    <w:rPr>
      <w:lang w:eastAsia="en-US"/>
    </w:rPr>
  </w:style>
  <w:style w:type="paragraph" w:customStyle="1" w:styleId="BelowHeading">
    <w:name w:val="Below Heading"/>
    <w:basedOn w:val="Normal"/>
    <w:next w:val="Normal"/>
    <w:rsid w:val="001B165D"/>
    <w:pPr>
      <w:spacing w:before="120" w:after="40"/>
    </w:pPr>
    <w:rPr>
      <w:rFonts w:ascii="Arial" w:hAnsi="Arial"/>
      <w:szCs w:val="16"/>
      <w:lang w:val="en-US"/>
    </w:rPr>
  </w:style>
  <w:style w:type="paragraph" w:styleId="PlainText">
    <w:name w:val="Plain Text"/>
    <w:basedOn w:val="Normal"/>
    <w:link w:val="PlainTextChar"/>
    <w:uiPriority w:val="99"/>
    <w:unhideWhenUsed/>
    <w:rsid w:val="001B165D"/>
    <w:rPr>
      <w:rFonts w:ascii="Calibri" w:eastAsiaTheme="minorHAnsi" w:hAnsi="Calibri" w:cstheme="minorBidi"/>
      <w:szCs w:val="21"/>
    </w:rPr>
  </w:style>
  <w:style w:type="character" w:customStyle="1" w:styleId="PlainTextChar">
    <w:name w:val="Plain Text Char"/>
    <w:basedOn w:val="DefaultParagraphFont"/>
    <w:link w:val="PlainText"/>
    <w:uiPriority w:val="99"/>
    <w:rsid w:val="001B165D"/>
    <w:rPr>
      <w:rFonts w:ascii="Calibri" w:eastAsiaTheme="minorHAnsi" w:hAnsi="Calibri" w:cstheme="minorBidi"/>
      <w:sz w:val="22"/>
      <w:szCs w:val="21"/>
      <w:lang w:eastAsia="en-US"/>
    </w:rPr>
  </w:style>
  <w:style w:type="paragraph" w:styleId="EndnoteText">
    <w:name w:val="endnote text"/>
    <w:basedOn w:val="Normal"/>
    <w:link w:val="EndnoteTextChar"/>
    <w:rsid w:val="001B165D"/>
    <w:rPr>
      <w:sz w:val="20"/>
    </w:rPr>
  </w:style>
  <w:style w:type="character" w:customStyle="1" w:styleId="EndnoteTextChar">
    <w:name w:val="Endnote Text Char"/>
    <w:basedOn w:val="DefaultParagraphFont"/>
    <w:link w:val="EndnoteText"/>
    <w:rsid w:val="001B165D"/>
    <w:rPr>
      <w:lang w:eastAsia="en-US"/>
    </w:rPr>
  </w:style>
  <w:style w:type="character" w:styleId="EndnoteReference">
    <w:name w:val="endnote reference"/>
    <w:basedOn w:val="DefaultParagraphFont"/>
    <w:rsid w:val="001B16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95392">
      <w:bodyDiv w:val="1"/>
      <w:marLeft w:val="0"/>
      <w:marRight w:val="0"/>
      <w:marTop w:val="0"/>
      <w:marBottom w:val="0"/>
      <w:divBdr>
        <w:top w:val="none" w:sz="0" w:space="0" w:color="auto"/>
        <w:left w:val="none" w:sz="0" w:space="0" w:color="auto"/>
        <w:bottom w:val="none" w:sz="0" w:space="0" w:color="auto"/>
        <w:right w:val="none" w:sz="0" w:space="0" w:color="auto"/>
      </w:divBdr>
    </w:div>
    <w:div w:id="414204527">
      <w:bodyDiv w:val="1"/>
      <w:marLeft w:val="0"/>
      <w:marRight w:val="0"/>
      <w:marTop w:val="0"/>
      <w:marBottom w:val="0"/>
      <w:divBdr>
        <w:top w:val="none" w:sz="0" w:space="0" w:color="auto"/>
        <w:left w:val="none" w:sz="0" w:space="0" w:color="auto"/>
        <w:bottom w:val="none" w:sz="0" w:space="0" w:color="auto"/>
        <w:right w:val="none" w:sz="0" w:space="0" w:color="auto"/>
      </w:divBdr>
    </w:div>
    <w:div w:id="553855907">
      <w:bodyDiv w:val="1"/>
      <w:marLeft w:val="0"/>
      <w:marRight w:val="0"/>
      <w:marTop w:val="0"/>
      <w:marBottom w:val="0"/>
      <w:divBdr>
        <w:top w:val="none" w:sz="0" w:space="0" w:color="auto"/>
        <w:left w:val="none" w:sz="0" w:space="0" w:color="auto"/>
        <w:bottom w:val="none" w:sz="0" w:space="0" w:color="auto"/>
        <w:right w:val="none" w:sz="0" w:space="0" w:color="auto"/>
      </w:divBdr>
    </w:div>
    <w:div w:id="806631155">
      <w:bodyDiv w:val="1"/>
      <w:marLeft w:val="0"/>
      <w:marRight w:val="0"/>
      <w:marTop w:val="0"/>
      <w:marBottom w:val="0"/>
      <w:divBdr>
        <w:top w:val="none" w:sz="0" w:space="0" w:color="auto"/>
        <w:left w:val="none" w:sz="0" w:space="0" w:color="auto"/>
        <w:bottom w:val="none" w:sz="0" w:space="0" w:color="auto"/>
        <w:right w:val="none" w:sz="0" w:space="0" w:color="auto"/>
      </w:divBdr>
    </w:div>
    <w:div w:id="832837864">
      <w:bodyDiv w:val="1"/>
      <w:marLeft w:val="0"/>
      <w:marRight w:val="0"/>
      <w:marTop w:val="0"/>
      <w:marBottom w:val="0"/>
      <w:divBdr>
        <w:top w:val="none" w:sz="0" w:space="0" w:color="auto"/>
        <w:left w:val="none" w:sz="0" w:space="0" w:color="auto"/>
        <w:bottom w:val="none" w:sz="0" w:space="0" w:color="auto"/>
        <w:right w:val="none" w:sz="0" w:space="0" w:color="auto"/>
      </w:divBdr>
    </w:div>
    <w:div w:id="921111955">
      <w:bodyDiv w:val="1"/>
      <w:marLeft w:val="0"/>
      <w:marRight w:val="0"/>
      <w:marTop w:val="0"/>
      <w:marBottom w:val="0"/>
      <w:divBdr>
        <w:top w:val="none" w:sz="0" w:space="0" w:color="auto"/>
        <w:left w:val="none" w:sz="0" w:space="0" w:color="auto"/>
        <w:bottom w:val="none" w:sz="0" w:space="0" w:color="auto"/>
        <w:right w:val="none" w:sz="0" w:space="0" w:color="auto"/>
      </w:divBdr>
    </w:div>
    <w:div w:id="1161655432">
      <w:bodyDiv w:val="1"/>
      <w:marLeft w:val="0"/>
      <w:marRight w:val="0"/>
      <w:marTop w:val="0"/>
      <w:marBottom w:val="0"/>
      <w:divBdr>
        <w:top w:val="none" w:sz="0" w:space="0" w:color="auto"/>
        <w:left w:val="none" w:sz="0" w:space="0" w:color="auto"/>
        <w:bottom w:val="none" w:sz="0" w:space="0" w:color="auto"/>
        <w:right w:val="none" w:sz="0" w:space="0" w:color="auto"/>
      </w:divBdr>
    </w:div>
    <w:div w:id="1338581164">
      <w:bodyDiv w:val="1"/>
      <w:marLeft w:val="0"/>
      <w:marRight w:val="0"/>
      <w:marTop w:val="0"/>
      <w:marBottom w:val="0"/>
      <w:divBdr>
        <w:top w:val="none" w:sz="0" w:space="0" w:color="auto"/>
        <w:left w:val="none" w:sz="0" w:space="0" w:color="auto"/>
        <w:bottom w:val="none" w:sz="0" w:space="0" w:color="auto"/>
        <w:right w:val="none" w:sz="0" w:space="0" w:color="auto"/>
      </w:divBdr>
    </w:div>
    <w:div w:id="1346708882">
      <w:bodyDiv w:val="1"/>
      <w:marLeft w:val="0"/>
      <w:marRight w:val="0"/>
      <w:marTop w:val="0"/>
      <w:marBottom w:val="0"/>
      <w:divBdr>
        <w:top w:val="none" w:sz="0" w:space="0" w:color="auto"/>
        <w:left w:val="none" w:sz="0" w:space="0" w:color="auto"/>
        <w:bottom w:val="none" w:sz="0" w:space="0" w:color="auto"/>
        <w:right w:val="none" w:sz="0" w:space="0" w:color="auto"/>
      </w:divBdr>
    </w:div>
    <w:div w:id="1461916132">
      <w:bodyDiv w:val="1"/>
      <w:marLeft w:val="0"/>
      <w:marRight w:val="0"/>
      <w:marTop w:val="0"/>
      <w:marBottom w:val="0"/>
      <w:divBdr>
        <w:top w:val="none" w:sz="0" w:space="0" w:color="auto"/>
        <w:left w:val="none" w:sz="0" w:space="0" w:color="auto"/>
        <w:bottom w:val="none" w:sz="0" w:space="0" w:color="auto"/>
        <w:right w:val="none" w:sz="0" w:space="0" w:color="auto"/>
      </w:divBdr>
    </w:div>
    <w:div w:id="1522233291">
      <w:bodyDiv w:val="1"/>
      <w:marLeft w:val="0"/>
      <w:marRight w:val="0"/>
      <w:marTop w:val="0"/>
      <w:marBottom w:val="0"/>
      <w:divBdr>
        <w:top w:val="none" w:sz="0" w:space="0" w:color="auto"/>
        <w:left w:val="none" w:sz="0" w:space="0" w:color="auto"/>
        <w:bottom w:val="none" w:sz="0" w:space="0" w:color="auto"/>
        <w:right w:val="none" w:sz="0" w:space="0" w:color="auto"/>
      </w:divBdr>
    </w:div>
    <w:div w:id="1537697278">
      <w:bodyDiv w:val="1"/>
      <w:marLeft w:val="0"/>
      <w:marRight w:val="0"/>
      <w:marTop w:val="0"/>
      <w:marBottom w:val="0"/>
      <w:divBdr>
        <w:top w:val="none" w:sz="0" w:space="0" w:color="auto"/>
        <w:left w:val="none" w:sz="0" w:space="0" w:color="auto"/>
        <w:bottom w:val="none" w:sz="0" w:space="0" w:color="auto"/>
        <w:right w:val="none" w:sz="0" w:space="0" w:color="auto"/>
      </w:divBdr>
    </w:div>
    <w:div w:id="1677153965">
      <w:bodyDiv w:val="1"/>
      <w:marLeft w:val="0"/>
      <w:marRight w:val="0"/>
      <w:marTop w:val="0"/>
      <w:marBottom w:val="0"/>
      <w:divBdr>
        <w:top w:val="none" w:sz="0" w:space="0" w:color="auto"/>
        <w:left w:val="none" w:sz="0" w:space="0" w:color="auto"/>
        <w:bottom w:val="none" w:sz="0" w:space="0" w:color="auto"/>
        <w:right w:val="none" w:sz="0" w:space="0" w:color="auto"/>
      </w:divBdr>
    </w:div>
    <w:div w:id="1708406836">
      <w:bodyDiv w:val="1"/>
      <w:marLeft w:val="0"/>
      <w:marRight w:val="0"/>
      <w:marTop w:val="0"/>
      <w:marBottom w:val="0"/>
      <w:divBdr>
        <w:top w:val="none" w:sz="0" w:space="0" w:color="auto"/>
        <w:left w:val="none" w:sz="0" w:space="0" w:color="auto"/>
        <w:bottom w:val="none" w:sz="0" w:space="0" w:color="auto"/>
        <w:right w:val="none" w:sz="0" w:space="0" w:color="auto"/>
      </w:divBdr>
    </w:div>
    <w:div w:id="1801219512">
      <w:bodyDiv w:val="1"/>
      <w:marLeft w:val="0"/>
      <w:marRight w:val="0"/>
      <w:marTop w:val="0"/>
      <w:marBottom w:val="0"/>
      <w:divBdr>
        <w:top w:val="none" w:sz="0" w:space="0" w:color="auto"/>
        <w:left w:val="none" w:sz="0" w:space="0" w:color="auto"/>
        <w:bottom w:val="none" w:sz="0" w:space="0" w:color="auto"/>
        <w:right w:val="none" w:sz="0" w:space="0" w:color="auto"/>
      </w:divBdr>
    </w:div>
    <w:div w:id="1897546319">
      <w:bodyDiv w:val="1"/>
      <w:marLeft w:val="0"/>
      <w:marRight w:val="0"/>
      <w:marTop w:val="0"/>
      <w:marBottom w:val="0"/>
      <w:divBdr>
        <w:top w:val="none" w:sz="0" w:space="0" w:color="auto"/>
        <w:left w:val="none" w:sz="0" w:space="0" w:color="auto"/>
        <w:bottom w:val="none" w:sz="0" w:space="0" w:color="auto"/>
        <w:right w:val="none" w:sz="0" w:space="0" w:color="auto"/>
      </w:divBdr>
    </w:div>
    <w:div w:id="2050300348">
      <w:bodyDiv w:val="1"/>
      <w:marLeft w:val="0"/>
      <w:marRight w:val="0"/>
      <w:marTop w:val="0"/>
      <w:marBottom w:val="0"/>
      <w:divBdr>
        <w:top w:val="none" w:sz="0" w:space="0" w:color="auto"/>
        <w:left w:val="none" w:sz="0" w:space="0" w:color="auto"/>
        <w:bottom w:val="none" w:sz="0" w:space="0" w:color="auto"/>
        <w:right w:val="none" w:sz="0" w:space="0" w:color="auto"/>
      </w:divBdr>
    </w:div>
    <w:div w:id="20803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smartschoolnatpart.sa.edu.au/"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http://www.earlyyears.sa.edu.au/pages/Programs" TargetMode="External"/><Relationship Id="rId23" Type="http://schemas.openxmlformats.org/officeDocument/2006/relationships/hyperlink" Target="http://www.sace.sa.edu.au/documents/10336/bec28ef8-2f90-46f0-a9e5-c8ed9b18abe4" TargetMode="External"/><Relationship Id="rId28"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footer" Target="foot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header" Target="header4.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DECSGLA02\Groups\Policy\National%20Partnerships\Data%20Related\CMAD%20Data%20Analysis\2012%20Annual%20Report%20Section%207%20&amp;%208\Section%206%20-%20Progress%20Report\2012%20ITS%20Behaviour%20and%20SACE_230713%20DONOT%20DISTRIBUTE.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5"/>
    </mc:Choice>
    <mc:Fallback>
      <c:style val="3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776094241483498E-2"/>
          <c:y val="2.4288635562345801E-2"/>
          <c:w val="0.91007682133727996"/>
          <c:h val="0.780150899048067"/>
        </c:manualLayout>
      </c:layout>
      <c:barChart>
        <c:barDir val="col"/>
        <c:grouping val="clustered"/>
        <c:varyColors val="0"/>
        <c:ser>
          <c:idx val="0"/>
          <c:order val="0"/>
          <c:tx>
            <c:strRef>
              <c:f>analysis!$A$114</c:f>
              <c:strCache>
                <c:ptCount val="1"/>
                <c:pt idx="0">
                  <c:v>2009</c:v>
                </c:pt>
              </c:strCache>
            </c:strRef>
          </c:tx>
          <c:spPr>
            <a:solidFill>
              <a:schemeClr val="accent1"/>
            </a:solidFill>
          </c:spPr>
          <c:invertIfNegative val="0"/>
          <c:dPt>
            <c:idx val="0"/>
            <c:invertIfNegative val="0"/>
            <c:bubble3D val="0"/>
            <c:spPr>
              <a:solidFill>
                <a:schemeClr val="accent2"/>
              </a:solidFill>
            </c:spPr>
          </c:dPt>
          <c:cat>
            <c:strRef>
              <c:f>analysis!$B$113:$D$113</c:f>
              <c:strCache>
                <c:ptCount val="3"/>
                <c:pt idx="0">
                  <c:v>2010 CMaD NP</c:v>
                </c:pt>
                <c:pt idx="1">
                  <c:v>2011 CMaD NP</c:v>
                </c:pt>
                <c:pt idx="2">
                  <c:v>2012 CMaD NP</c:v>
                </c:pt>
              </c:strCache>
            </c:strRef>
          </c:cat>
          <c:val>
            <c:numRef>
              <c:f>analysis!$B$114:$D$114</c:f>
              <c:numCache>
                <c:formatCode>0.0%</c:formatCode>
                <c:ptCount val="3"/>
                <c:pt idx="0">
                  <c:v>0.103746397694524</c:v>
                </c:pt>
                <c:pt idx="1">
                  <c:v>0.14694948611414799</c:v>
                </c:pt>
                <c:pt idx="2">
                  <c:v>0.125210366879838</c:v>
                </c:pt>
              </c:numCache>
            </c:numRef>
          </c:val>
        </c:ser>
        <c:ser>
          <c:idx val="1"/>
          <c:order val="1"/>
          <c:tx>
            <c:strRef>
              <c:f>analysis!$A$115</c:f>
              <c:strCache>
                <c:ptCount val="1"/>
                <c:pt idx="0">
                  <c:v>2010</c:v>
                </c:pt>
              </c:strCache>
            </c:strRef>
          </c:tx>
          <c:invertIfNegative val="0"/>
          <c:dPt>
            <c:idx val="1"/>
            <c:invertIfNegative val="0"/>
            <c:bubble3D val="0"/>
            <c:spPr>
              <a:solidFill>
                <a:schemeClr val="accent2"/>
              </a:solidFill>
            </c:spPr>
          </c:dPt>
          <c:cat>
            <c:strRef>
              <c:f>analysis!$B$113:$D$113</c:f>
              <c:strCache>
                <c:ptCount val="3"/>
                <c:pt idx="0">
                  <c:v>2010 CMaD NP</c:v>
                </c:pt>
                <c:pt idx="1">
                  <c:v>2011 CMaD NP</c:v>
                </c:pt>
                <c:pt idx="2">
                  <c:v>2012 CMaD NP</c:v>
                </c:pt>
              </c:strCache>
            </c:strRef>
          </c:cat>
          <c:val>
            <c:numRef>
              <c:f>analysis!$B$115:$D$115</c:f>
              <c:numCache>
                <c:formatCode>0.0%</c:formatCode>
                <c:ptCount val="3"/>
                <c:pt idx="0">
                  <c:v>4.21797222949961E-2</c:v>
                </c:pt>
                <c:pt idx="1">
                  <c:v>0.10080909687295</c:v>
                </c:pt>
                <c:pt idx="2">
                  <c:v>0.148434870414002</c:v>
                </c:pt>
              </c:numCache>
            </c:numRef>
          </c:val>
        </c:ser>
        <c:ser>
          <c:idx val="2"/>
          <c:order val="2"/>
          <c:tx>
            <c:strRef>
              <c:f>analysis!$A$116</c:f>
              <c:strCache>
                <c:ptCount val="1"/>
                <c:pt idx="0">
                  <c:v>2011</c:v>
                </c:pt>
              </c:strCache>
            </c:strRef>
          </c:tx>
          <c:invertIfNegative val="0"/>
          <c:dPt>
            <c:idx val="2"/>
            <c:invertIfNegative val="0"/>
            <c:bubble3D val="0"/>
            <c:spPr>
              <a:solidFill>
                <a:schemeClr val="accent2"/>
              </a:solidFill>
              <a:ln>
                <a:solidFill>
                  <a:schemeClr val="accent1"/>
                </a:solidFill>
              </a:ln>
            </c:spPr>
          </c:dPt>
          <c:cat>
            <c:strRef>
              <c:f>analysis!$B$113:$D$113</c:f>
              <c:strCache>
                <c:ptCount val="3"/>
                <c:pt idx="0">
                  <c:v>2010 CMaD NP</c:v>
                </c:pt>
                <c:pt idx="1">
                  <c:v>2011 CMaD NP</c:v>
                </c:pt>
                <c:pt idx="2">
                  <c:v>2012 CMaD NP</c:v>
                </c:pt>
              </c:strCache>
            </c:strRef>
          </c:cat>
          <c:val>
            <c:numRef>
              <c:f>analysis!$B$116:$D$116</c:f>
              <c:numCache>
                <c:formatCode>0.0%</c:formatCode>
                <c:ptCount val="3"/>
                <c:pt idx="0">
                  <c:v>9.1695048467382908E-3</c:v>
                </c:pt>
                <c:pt idx="1">
                  <c:v>3.2363874917996902E-2</c:v>
                </c:pt>
                <c:pt idx="2">
                  <c:v>9.0541905082464E-2</c:v>
                </c:pt>
              </c:numCache>
            </c:numRef>
          </c:val>
        </c:ser>
        <c:ser>
          <c:idx val="3"/>
          <c:order val="3"/>
          <c:tx>
            <c:strRef>
              <c:f>analysis!$A$117</c:f>
              <c:strCache>
                <c:ptCount val="1"/>
                <c:pt idx="0">
                  <c:v>2012</c:v>
                </c:pt>
              </c:strCache>
            </c:strRef>
          </c:tx>
          <c:invertIfNegative val="0"/>
          <c:dLbls>
            <c:txPr>
              <a:bodyPr/>
              <a:lstStyle/>
              <a:p>
                <a:pPr>
                  <a:defRPr b="1"/>
                </a:pPr>
                <a:endParaRPr lang="en-US"/>
              </a:p>
            </c:txPr>
            <c:showLegendKey val="0"/>
            <c:showVal val="1"/>
            <c:showCatName val="0"/>
            <c:showSerName val="0"/>
            <c:showPercent val="0"/>
            <c:showBubbleSize val="0"/>
            <c:showLeaderLines val="0"/>
          </c:dLbls>
          <c:cat>
            <c:strRef>
              <c:f>analysis!$B$113:$D$113</c:f>
              <c:strCache>
                <c:ptCount val="3"/>
                <c:pt idx="0">
                  <c:v>2010 CMaD NP</c:v>
                </c:pt>
                <c:pt idx="1">
                  <c:v>2011 CMaD NP</c:v>
                </c:pt>
                <c:pt idx="2">
                  <c:v>2012 CMaD NP</c:v>
                </c:pt>
              </c:strCache>
            </c:strRef>
          </c:cat>
          <c:val>
            <c:numRef>
              <c:f>analysis!$B$117:$D$117</c:f>
              <c:numCache>
                <c:formatCode>0.0%</c:formatCode>
                <c:ptCount val="3"/>
                <c:pt idx="1">
                  <c:v>1.0715066695823301E-2</c:v>
                </c:pt>
                <c:pt idx="2">
                  <c:v>3.9380679905755597E-2</c:v>
                </c:pt>
              </c:numCache>
            </c:numRef>
          </c:val>
        </c:ser>
        <c:dLbls>
          <c:showLegendKey val="0"/>
          <c:showVal val="1"/>
          <c:showCatName val="0"/>
          <c:showSerName val="0"/>
          <c:showPercent val="0"/>
          <c:showBubbleSize val="0"/>
        </c:dLbls>
        <c:gapWidth val="75"/>
        <c:axId val="43111552"/>
        <c:axId val="47422080"/>
      </c:barChart>
      <c:catAx>
        <c:axId val="43111552"/>
        <c:scaling>
          <c:orientation val="minMax"/>
        </c:scaling>
        <c:delete val="0"/>
        <c:axPos val="b"/>
        <c:numFmt formatCode="General" sourceLinked="1"/>
        <c:majorTickMark val="none"/>
        <c:minorTickMark val="none"/>
        <c:tickLblPos val="nextTo"/>
        <c:crossAx val="47422080"/>
        <c:crosses val="autoZero"/>
        <c:auto val="1"/>
        <c:lblAlgn val="ctr"/>
        <c:lblOffset val="100"/>
        <c:noMultiLvlLbl val="0"/>
      </c:catAx>
      <c:valAx>
        <c:axId val="47422080"/>
        <c:scaling>
          <c:orientation val="minMax"/>
        </c:scaling>
        <c:delete val="0"/>
        <c:axPos val="l"/>
        <c:numFmt formatCode="0.0%" sourceLinked="1"/>
        <c:majorTickMark val="none"/>
        <c:minorTickMark val="none"/>
        <c:tickLblPos val="nextTo"/>
        <c:crossAx val="43111552"/>
        <c:crosses val="autoZero"/>
        <c:crossBetween val="between"/>
      </c:valAx>
    </c:plotArea>
    <c:legend>
      <c:legendPos val="b"/>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071DA-5D8D-4866-BB43-F4BD16CF5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8EB0D8B4.dotm</Template>
  <TotalTime>515</TotalTime>
  <Pages>77</Pages>
  <Words>25703</Words>
  <Characters>149571</Characters>
  <Application>Microsoft Office Word</Application>
  <DocSecurity>0</DocSecurity>
  <Lines>1246</Lines>
  <Paragraphs>349</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174925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Simone Bowers</dc:creator>
  <cp:lastModifiedBy>Marianne Sibley</cp:lastModifiedBy>
  <cp:revision>10</cp:revision>
  <cp:lastPrinted>2013-10-09T01:55:00Z</cp:lastPrinted>
  <dcterms:created xsi:type="dcterms:W3CDTF">2014-01-31T03:38:00Z</dcterms:created>
  <dcterms:modified xsi:type="dcterms:W3CDTF">2014-02-11T00:18:00Z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1488332494</vt:i4>
  </property>
  <property fmtid="{D5CDD505-2E9C-101B-9397-08002B2CF9AE}" pid="3" name="_ReviewCycleID">
    <vt:i4>1488332494</vt:i4>
  </property>
  <property fmtid="{D5CDD505-2E9C-101B-9397-08002B2CF9AE}" pid="4" name="_NewReviewCycle">
    <vt:lpwstr/>
  </property>
  <property fmtid="{D5CDD505-2E9C-101B-9397-08002B2CF9AE}" pid="5" name="_EmailEntryID">
    <vt:lpwstr>00000000AA4EE83DAE1F4448A26AD470226C56F40700E30BFDDACC47B64CA8D0D9DBCF65BE24000000200CA700005CCE0561C89AB2418C63E70A00CF70900037EE0802080000</vt:lpwstr>
  </property>
  <property fmtid="{D5CDD505-2E9C-101B-9397-08002B2CF9AE}" pid="6" name="_EmailStoreID">
    <vt:lpwstr>0000000038A1BB1005E5101AA1BB08002B2A56C200006D737073742E646C6C00000000004E495441F9BFB80100AA0037D96E000000004A003A005C004D00610069006C005C00530053004E00500020005200650070006F007200740069006E0067002E007000730074000000</vt:lpwstr>
  </property>
  <property fmtid="{D5CDD505-2E9C-101B-9397-08002B2CF9AE}" pid="7" name="_EmailStoreID0">
    <vt:lpwstr>0000000038A1BB1005E5101AA1BB08002B2A56C20000454D534D44422E444C4C00000000000000001B55FA20AA6611CD9BC800AA002FC45A0C000000465745584E3036365636002F6F3D4865726D65732F6F753D45786368616E67652041646D696E6973747261746976652047726F7570202846594449424F4846323353504</vt:lpwstr>
  </property>
  <property fmtid="{D5CDD505-2E9C-101B-9397-08002B2CF9AE}" pid="8" name="_EmailStoreID1">
    <vt:lpwstr>44C54292F636E3D526563697069656E74732F636E3D53473030363300</vt:lpwstr>
  </property>
  <property fmtid="{D5CDD505-2E9C-101B-9397-08002B2CF9AE}" pid="9" name="_ReviewingToolsShownOnce">
    <vt:lpwstr/>
  </property>
</Properties>
</file>