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4EEC" w14:textId="74C691E8" w:rsidR="00107DD5" w:rsidRDefault="00221D8F" w:rsidP="00CA4815">
      <w:r w:rsidRPr="00CA4815"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 wp14:anchorId="4A1B45CD" wp14:editId="0B3541EC">
            <wp:simplePos x="0" y="0"/>
            <wp:positionH relativeFrom="column">
              <wp:posOffset>-914400</wp:posOffset>
            </wp:positionH>
            <wp:positionV relativeFrom="paragraph">
              <wp:posOffset>-777875</wp:posOffset>
            </wp:positionV>
            <wp:extent cx="7560000" cy="1832400"/>
            <wp:effectExtent l="0" t="0" r="317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83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DD5">
        <w:rPr>
          <w:noProof/>
        </w:rPr>
        <w:drawing>
          <wp:inline distT="0" distB="0" distL="0" distR="0" wp14:anchorId="4911BBB9" wp14:editId="6186BE28">
            <wp:extent cx="2269172" cy="554400"/>
            <wp:effectExtent l="0" t="0" r="0" b="0"/>
            <wp:docPr id="3" name="Graphic 3" descr="Australian Government Department of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Australian Government Department of Educatio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172" cy="5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66DE0" w14:textId="4B7C72D7" w:rsidR="00221D8F" w:rsidRDefault="001B44C2" w:rsidP="00893A34">
      <w:pPr>
        <w:pStyle w:val="Heading1"/>
      </w:pPr>
      <w:bookmarkStart w:id="0" w:name="_Toc126923146"/>
      <w:bookmarkStart w:id="1" w:name="_Toc126923157"/>
      <w:r>
        <w:t>2026 NRI Roadmap Update September 2026</w:t>
      </w:r>
      <w:bookmarkEnd w:id="0"/>
      <w:bookmarkEnd w:id="1"/>
    </w:p>
    <w:p w14:paraId="5D7E5373" w14:textId="4172F466" w:rsidR="0061334C" w:rsidRDefault="0061334C" w:rsidP="0061334C">
      <w:pPr>
        <w:pStyle w:val="Subtitle"/>
      </w:pPr>
      <w:r>
        <w:t>September 2026</w:t>
      </w:r>
    </w:p>
    <w:p w14:paraId="52545C03" w14:textId="30D60525" w:rsidR="0061334C" w:rsidRPr="00CB41B9" w:rsidRDefault="004B08F9" w:rsidP="0061334C">
      <w:r>
        <w:t xml:space="preserve">September saw work </w:t>
      </w:r>
      <w:r w:rsidR="005B6DC4" w:rsidRPr="005B6DC4">
        <w:t xml:space="preserve">on the </w:t>
      </w:r>
      <w:hyperlink r:id="rId11" w:tgtFrame="_blank" w:history="1">
        <w:r w:rsidR="005B6DC4" w:rsidRPr="005B6DC4">
          <w:rPr>
            <w:rStyle w:val="Hyperlink"/>
          </w:rPr>
          <w:t>2026 National Research Infrastructure (NRI) Roadmap</w:t>
        </w:r>
      </w:hyperlink>
      <w:r w:rsidR="005B6DC4" w:rsidRPr="005B6DC4">
        <w:t xml:space="preserve"> has reached an exciting new milestone with the release of the </w:t>
      </w:r>
      <w:hyperlink r:id="rId12" w:tgtFrame="_blank" w:history="1">
        <w:r w:rsidR="005B6DC4" w:rsidRPr="005B6DC4">
          <w:rPr>
            <w:rStyle w:val="Hyperlink"/>
          </w:rPr>
          <w:t>2026 NRI Roadmap Exposure Draft</w:t>
        </w:r>
      </w:hyperlink>
      <w:r w:rsidR="005B6DC4" w:rsidRPr="005B6DC4">
        <w:t xml:space="preserve"> and accompanying </w:t>
      </w:r>
      <w:hyperlink r:id="rId13" w:tgtFrame="_blank" w:history="1">
        <w:r w:rsidR="005B6DC4" w:rsidRPr="005B6DC4">
          <w:rPr>
            <w:rStyle w:val="Hyperlink"/>
          </w:rPr>
          <w:t>consultation survey</w:t>
        </w:r>
      </w:hyperlink>
      <w:r w:rsidR="005B6DC4" w:rsidRPr="005B6DC4">
        <w:t>. The Exposure Draft reflects the significant work undertaken to date and provides an important opportunity for stakeholders to help shape the future direction of Australia's national research infrastructure system.</w:t>
      </w:r>
    </w:p>
    <w:p w14:paraId="095AB4E3" w14:textId="77777777" w:rsidR="0061334C" w:rsidRPr="001B44C2" w:rsidRDefault="0061334C" w:rsidP="001B44C2">
      <w:pPr>
        <w:pStyle w:val="Heading2"/>
      </w:pPr>
      <w:r w:rsidRPr="001B44C2">
        <w:t>Ongoing consultations</w:t>
      </w:r>
    </w:p>
    <w:p w14:paraId="77DA1B1D" w14:textId="77777777" w:rsidR="0061334C" w:rsidRDefault="0061334C" w:rsidP="0061334C">
      <w:pPr>
        <w:rPr>
          <w:rFonts w:cstheme="minorHAnsi"/>
        </w:rPr>
      </w:pPr>
      <w:r w:rsidRPr="00CB41B9">
        <w:rPr>
          <w:rFonts w:cstheme="minorHAnsi"/>
        </w:rPr>
        <w:t xml:space="preserve">Consultations have continued throughout this period to support the development of the </w:t>
      </w:r>
      <w:proofErr w:type="gramStart"/>
      <w:r w:rsidRPr="00CB41B9">
        <w:rPr>
          <w:rFonts w:cstheme="minorHAnsi"/>
        </w:rPr>
        <w:t>Roadmap</w:t>
      </w:r>
      <w:proofErr w:type="gramEnd"/>
      <w:r w:rsidRPr="00CB41B9">
        <w:rPr>
          <w:rFonts w:cstheme="minorHAnsi"/>
        </w:rPr>
        <w:t xml:space="preserve">. </w:t>
      </w:r>
      <w:r>
        <w:rPr>
          <w:rFonts w:cstheme="minorHAnsi"/>
        </w:rPr>
        <w:t xml:space="preserve">A meeting of the </w:t>
      </w:r>
      <w:hyperlink r:id="rId14" w:history="1">
        <w:r w:rsidRPr="00854A95">
          <w:rPr>
            <w:rStyle w:val="Hyperlink"/>
            <w:rFonts w:cstheme="minorHAnsi"/>
          </w:rPr>
          <w:t>NRI Advisory Group</w:t>
        </w:r>
      </w:hyperlink>
      <w:r>
        <w:rPr>
          <w:rFonts w:cstheme="minorHAnsi"/>
        </w:rPr>
        <w:t xml:space="preserve"> (NRIAG) was held on 9 September, and t</w:t>
      </w:r>
      <w:r w:rsidRPr="00CB41B9">
        <w:rPr>
          <w:rFonts w:cstheme="minorHAnsi"/>
        </w:rPr>
        <w:t>he NRI Roadmap Expert Working Group</w:t>
      </w:r>
      <w:r>
        <w:rPr>
          <w:rFonts w:cstheme="minorHAnsi"/>
        </w:rPr>
        <w:t xml:space="preserve"> (EWG)</w:t>
      </w:r>
      <w:r w:rsidRPr="00CB41B9">
        <w:rPr>
          <w:rFonts w:cstheme="minorHAnsi"/>
        </w:rPr>
        <w:t xml:space="preserve"> has met regularly to oversee the</w:t>
      </w:r>
      <w:r w:rsidRPr="00A97F0C">
        <w:rPr>
          <w:rFonts w:cstheme="minorHAnsi"/>
        </w:rPr>
        <w:t xml:space="preserve"> </w:t>
      </w:r>
      <w:r w:rsidRPr="00CB41B9">
        <w:rPr>
          <w:rFonts w:cstheme="minorHAnsi"/>
        </w:rPr>
        <w:t xml:space="preserve">development </w:t>
      </w:r>
      <w:r>
        <w:rPr>
          <w:rFonts w:cstheme="minorHAnsi"/>
        </w:rPr>
        <w:t xml:space="preserve">of the </w:t>
      </w:r>
      <w:proofErr w:type="gramStart"/>
      <w:r w:rsidRPr="00CB41B9">
        <w:rPr>
          <w:rFonts w:cstheme="minorHAnsi"/>
        </w:rPr>
        <w:t>Roadmap</w:t>
      </w:r>
      <w:proofErr w:type="gramEnd"/>
      <w:r w:rsidRPr="00CB41B9">
        <w:rPr>
          <w:rFonts w:cstheme="minorHAnsi"/>
        </w:rPr>
        <w:t>, consider feedback and provide advice on key issues.</w:t>
      </w:r>
    </w:p>
    <w:p w14:paraId="054F1FA6" w14:textId="77777777" w:rsidR="0061334C" w:rsidRPr="009A0243" w:rsidRDefault="0061334C" w:rsidP="0061334C">
      <w:pPr>
        <w:rPr>
          <w:rFonts w:cstheme="minorHAnsi"/>
        </w:rPr>
      </w:pPr>
      <w:r w:rsidRPr="009A0243">
        <w:rPr>
          <w:rFonts w:cstheme="minorHAnsi"/>
        </w:rPr>
        <w:t xml:space="preserve">An Interdepartmental Committee and State and Territory Government Roundtable have </w:t>
      </w:r>
      <w:r>
        <w:rPr>
          <w:rFonts w:cstheme="minorHAnsi"/>
        </w:rPr>
        <w:t xml:space="preserve">also </w:t>
      </w:r>
      <w:r w:rsidRPr="009A0243">
        <w:rPr>
          <w:rFonts w:cstheme="minorHAnsi"/>
        </w:rPr>
        <w:t>continued to engage with departmental representatives, providing valuable insights into shared priorities and opportunities for collaboration.</w:t>
      </w:r>
    </w:p>
    <w:p w14:paraId="477DDD60" w14:textId="77777777" w:rsidR="0061334C" w:rsidRPr="001B44C2" w:rsidRDefault="0061334C" w:rsidP="001B44C2">
      <w:pPr>
        <w:pStyle w:val="Heading2"/>
      </w:pPr>
      <w:r w:rsidRPr="001B44C2">
        <w:t>Exposure Draft</w:t>
      </w:r>
    </w:p>
    <w:p w14:paraId="42A27CF3" w14:textId="39C69251" w:rsidR="0061334C" w:rsidRPr="00323649" w:rsidRDefault="0061334C" w:rsidP="0061334C">
      <w:pPr>
        <w:rPr>
          <w:rFonts w:cstheme="minorHAnsi"/>
        </w:rPr>
      </w:pPr>
      <w:r w:rsidRPr="00CB41B9">
        <w:rPr>
          <w:rFonts w:cstheme="minorHAnsi"/>
        </w:rPr>
        <w:t xml:space="preserve">Development of the Roadmap reached a key milestone with </w:t>
      </w:r>
      <w:r>
        <w:rPr>
          <w:rFonts w:cstheme="minorHAnsi"/>
        </w:rPr>
        <w:t xml:space="preserve">the </w:t>
      </w:r>
      <w:hyperlink r:id="rId15" w:history="1">
        <w:r w:rsidRPr="000B49BF">
          <w:rPr>
            <w:rStyle w:val="Hyperlink"/>
            <w:rFonts w:cstheme="minorHAnsi"/>
          </w:rPr>
          <w:t>release</w:t>
        </w:r>
      </w:hyperlink>
      <w:r>
        <w:rPr>
          <w:rFonts w:cstheme="minorHAnsi"/>
        </w:rPr>
        <w:t xml:space="preserve"> of the 2026 NRI Roadmap Exposure Draft</w:t>
      </w:r>
      <w:r w:rsidRPr="00CB41B9">
        <w:rPr>
          <w:rFonts w:cstheme="minorHAnsi"/>
        </w:rPr>
        <w:t xml:space="preserve"> </w:t>
      </w:r>
      <w:r>
        <w:rPr>
          <w:rFonts w:cstheme="minorHAnsi"/>
        </w:rPr>
        <w:t xml:space="preserve">on Monday 28 </w:t>
      </w:r>
      <w:r w:rsidRPr="00854A95">
        <w:rPr>
          <w:rFonts w:cstheme="minorHAnsi"/>
        </w:rPr>
        <w:t>September 2026.</w:t>
      </w:r>
    </w:p>
    <w:p w14:paraId="6EA03E48" w14:textId="26703C3A" w:rsidR="0061334C" w:rsidRPr="00323649" w:rsidRDefault="0061334C" w:rsidP="0061334C">
      <w:pPr>
        <w:rPr>
          <w:rFonts w:cstheme="minorHAnsi"/>
        </w:rPr>
      </w:pPr>
      <w:r>
        <w:rPr>
          <w:rFonts w:cstheme="minorHAnsi"/>
        </w:rPr>
        <w:t>T</w:t>
      </w:r>
      <w:r w:rsidRPr="00323649">
        <w:rPr>
          <w:rFonts w:cstheme="minorHAnsi"/>
        </w:rPr>
        <w:t xml:space="preserve">he Exposure Draft provides a preliminary view of the final Roadmap, bringing together the advice and insights gathered through consultations undertaken to date. Its release marked the beginning of a 4-week public consultation period, with feedback invited through an </w:t>
      </w:r>
      <w:hyperlink r:id="rId16" w:history="1">
        <w:r w:rsidRPr="00282EC4">
          <w:rPr>
            <w:rStyle w:val="Hyperlink"/>
            <w:rFonts w:cstheme="minorHAnsi"/>
          </w:rPr>
          <w:t>online survey</w:t>
        </w:r>
      </w:hyperlink>
      <w:r w:rsidRPr="00323649">
        <w:rPr>
          <w:rFonts w:cstheme="minorHAnsi"/>
        </w:rPr>
        <w:t>.</w:t>
      </w:r>
    </w:p>
    <w:p w14:paraId="14823F5A" w14:textId="5AA92EEA" w:rsidR="0061334C" w:rsidRDefault="0061334C" w:rsidP="0061334C">
      <w:pPr>
        <w:rPr>
          <w:rFonts w:cstheme="minorHAnsi"/>
        </w:rPr>
      </w:pPr>
      <w:r w:rsidRPr="00323649">
        <w:rPr>
          <w:rFonts w:cstheme="minorHAnsi"/>
        </w:rPr>
        <w:t xml:space="preserve">As part of this process, the </w:t>
      </w:r>
      <w:r w:rsidR="00706D65">
        <w:rPr>
          <w:rFonts w:cstheme="minorHAnsi"/>
        </w:rPr>
        <w:t>EWG</w:t>
      </w:r>
      <w:r w:rsidRPr="00560559">
        <w:rPr>
          <w:rFonts w:cstheme="minorHAnsi"/>
        </w:rPr>
        <w:t xml:space="preserve"> hosted</w:t>
      </w:r>
      <w:r w:rsidRPr="00323649">
        <w:rPr>
          <w:rFonts w:cstheme="minorHAnsi"/>
        </w:rPr>
        <w:t xml:space="preserve"> </w:t>
      </w:r>
      <w:r>
        <w:rPr>
          <w:rFonts w:cstheme="minorHAnsi"/>
        </w:rPr>
        <w:t xml:space="preserve">a </w:t>
      </w:r>
      <w:r w:rsidRPr="00323649">
        <w:rPr>
          <w:rFonts w:cstheme="minorHAnsi"/>
        </w:rPr>
        <w:t>virtual Town</w:t>
      </w:r>
      <w:r>
        <w:rPr>
          <w:rFonts w:cstheme="minorHAnsi"/>
        </w:rPr>
        <w:t>h</w:t>
      </w:r>
      <w:r w:rsidRPr="00323649">
        <w:rPr>
          <w:rFonts w:cstheme="minorHAnsi"/>
        </w:rPr>
        <w:t xml:space="preserve">all webinar on </w:t>
      </w:r>
      <w:r w:rsidRPr="00854A95">
        <w:rPr>
          <w:rFonts w:cstheme="minorHAnsi"/>
        </w:rPr>
        <w:t>28 September 2026</w:t>
      </w:r>
      <w:r w:rsidRPr="00323649">
        <w:rPr>
          <w:rFonts w:cstheme="minorHAnsi"/>
        </w:rPr>
        <w:t xml:space="preserve"> to present the Exposure Draft</w:t>
      </w:r>
      <w:r>
        <w:rPr>
          <w:rFonts w:cstheme="minorHAnsi"/>
        </w:rPr>
        <w:t xml:space="preserve"> and</w:t>
      </w:r>
      <w:r w:rsidRPr="00323649">
        <w:rPr>
          <w:rFonts w:cstheme="minorHAnsi"/>
        </w:rPr>
        <w:t xml:space="preserve"> provide context on its development. </w:t>
      </w:r>
      <w:r>
        <w:rPr>
          <w:rFonts w:cstheme="minorHAnsi"/>
        </w:rPr>
        <w:t>A</w:t>
      </w:r>
      <w:r w:rsidRPr="00323649">
        <w:rPr>
          <w:rFonts w:cstheme="minorHAnsi"/>
        </w:rPr>
        <w:t xml:space="preserve"> second Town</w:t>
      </w:r>
      <w:r>
        <w:rPr>
          <w:rFonts w:cstheme="minorHAnsi"/>
        </w:rPr>
        <w:t>h</w:t>
      </w:r>
      <w:r w:rsidRPr="00323649">
        <w:rPr>
          <w:rFonts w:cstheme="minorHAnsi"/>
        </w:rPr>
        <w:t xml:space="preserve">all will be held at </w:t>
      </w:r>
      <w:hyperlink r:id="rId17" w:history="1">
        <w:r w:rsidRPr="000A65BA">
          <w:rPr>
            <w:rStyle w:val="Hyperlink"/>
            <w:rFonts w:cstheme="minorHAnsi"/>
          </w:rPr>
          <w:t>12:30pm AEDT on 6 October 2026</w:t>
        </w:r>
      </w:hyperlink>
      <w:r>
        <w:rPr>
          <w:rFonts w:cstheme="minorHAnsi"/>
        </w:rPr>
        <w:t xml:space="preserve"> and will cover the same material</w:t>
      </w:r>
      <w:r w:rsidRPr="00323649">
        <w:rPr>
          <w:rFonts w:cstheme="minorHAnsi"/>
        </w:rPr>
        <w:t>.</w:t>
      </w:r>
    </w:p>
    <w:p w14:paraId="63C52873" w14:textId="5D8850CE" w:rsidR="0061334C" w:rsidRDefault="00E14E25" w:rsidP="0061334C">
      <w:r>
        <w:t xml:space="preserve">Stakeholders </w:t>
      </w:r>
      <w:r w:rsidR="0061334C" w:rsidRPr="52C306E6">
        <w:t xml:space="preserve">can access the consultation materials and provide feedback via the </w:t>
      </w:r>
      <w:hyperlink r:id="rId18">
        <w:r w:rsidR="0061334C" w:rsidRPr="52C306E6">
          <w:rPr>
            <w:rStyle w:val="Hyperlink"/>
          </w:rPr>
          <w:t>consultation platform</w:t>
        </w:r>
      </w:hyperlink>
      <w:r w:rsidR="0061334C" w:rsidRPr="52C306E6">
        <w:t xml:space="preserve">. A </w:t>
      </w:r>
      <w:hyperlink r:id="rId19">
        <w:r w:rsidR="0061334C" w:rsidRPr="52C306E6">
          <w:rPr>
            <w:rStyle w:val="Hyperlink"/>
          </w:rPr>
          <w:t>preview</w:t>
        </w:r>
      </w:hyperlink>
      <w:r w:rsidR="0061334C" w:rsidRPr="52C306E6">
        <w:t xml:space="preserve"> of the Exposure Draft consultation survey is available, allowing an opportunity to review the consultation questions before preparation of responses. </w:t>
      </w:r>
    </w:p>
    <w:p w14:paraId="3BAB365C" w14:textId="5209B58B" w:rsidR="00E41C9F" w:rsidRPr="0061334C" w:rsidRDefault="0061334C" w:rsidP="0061334C">
      <w:pPr>
        <w:rPr>
          <w:rFonts w:cstheme="minorHAnsi"/>
        </w:rPr>
      </w:pPr>
      <w:r w:rsidRPr="00CB41B9">
        <w:rPr>
          <w:rFonts w:cstheme="minorHAnsi"/>
        </w:rPr>
        <w:lastRenderedPageBreak/>
        <w:t>Responses received through the consultation process will be considered by the EWG and used to inform the final 2026 NRI Roadmap</w:t>
      </w:r>
      <w:r>
        <w:rPr>
          <w:rFonts w:cstheme="minorHAnsi"/>
        </w:rPr>
        <w:t>,</w:t>
      </w:r>
      <w:r w:rsidRPr="00CB41B9">
        <w:rPr>
          <w:rFonts w:cstheme="minorHAnsi"/>
        </w:rPr>
        <w:t xml:space="preserve"> ahead of its submission to </w:t>
      </w:r>
      <w:r>
        <w:rPr>
          <w:rFonts w:cstheme="minorHAnsi"/>
        </w:rPr>
        <w:t>G</w:t>
      </w:r>
      <w:r w:rsidRPr="00CB41B9">
        <w:rPr>
          <w:rFonts w:cstheme="minorHAnsi"/>
        </w:rPr>
        <w:t>overnment by the end of 2026.</w:t>
      </w:r>
    </w:p>
    <w:sectPr w:rsidR="00E41C9F" w:rsidRPr="0061334C" w:rsidSect="00D86284">
      <w:footerReference w:type="default" r:id="rId20"/>
      <w:pgSz w:w="11906" w:h="16838"/>
      <w:pgMar w:top="1223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8DC90" w14:textId="77777777" w:rsidR="00AC0227" w:rsidRDefault="00AC0227" w:rsidP="000A6228">
      <w:pPr>
        <w:spacing w:after="0" w:line="240" w:lineRule="auto"/>
      </w:pPr>
      <w:r>
        <w:separator/>
      </w:r>
    </w:p>
  </w:endnote>
  <w:endnote w:type="continuationSeparator" w:id="0">
    <w:p w14:paraId="5A909D05" w14:textId="77777777" w:rsidR="00AC0227" w:rsidRDefault="00AC0227" w:rsidP="000A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4C76" w14:textId="32C5A28D" w:rsidR="00D86284" w:rsidRDefault="00D86284">
    <w:pPr>
      <w:pStyle w:val="Foot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2F9C1CE" wp14:editId="7BB61E7E">
          <wp:simplePos x="5425440" y="9593580"/>
          <wp:positionH relativeFrom="page">
            <wp:align>right</wp:align>
          </wp:positionH>
          <wp:positionV relativeFrom="page">
            <wp:align>bottom</wp:align>
          </wp:positionV>
          <wp:extent cx="1213485" cy="647700"/>
          <wp:effectExtent l="0" t="0" r="571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859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5682" w14:textId="77777777" w:rsidR="00AC0227" w:rsidRDefault="00AC0227" w:rsidP="000A6228">
      <w:pPr>
        <w:spacing w:after="0" w:line="240" w:lineRule="auto"/>
      </w:pPr>
      <w:r>
        <w:separator/>
      </w:r>
    </w:p>
  </w:footnote>
  <w:footnote w:type="continuationSeparator" w:id="0">
    <w:p w14:paraId="59480FFF" w14:textId="77777777" w:rsidR="00AC0227" w:rsidRDefault="00AC0227" w:rsidP="000A6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0F2C46B4"/>
    <w:multiLevelType w:val="multilevel"/>
    <w:tmpl w:val="4690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79560429">
    <w:abstractNumId w:val="12"/>
  </w:num>
  <w:num w:numId="2" w16cid:durableId="1141925489">
    <w:abstractNumId w:val="5"/>
  </w:num>
  <w:num w:numId="3" w16cid:durableId="1430395506">
    <w:abstractNumId w:val="4"/>
  </w:num>
  <w:num w:numId="4" w16cid:durableId="1762024761">
    <w:abstractNumId w:val="3"/>
  </w:num>
  <w:num w:numId="5" w16cid:durableId="861433996">
    <w:abstractNumId w:val="14"/>
  </w:num>
  <w:num w:numId="6" w16cid:durableId="120733662">
    <w:abstractNumId w:val="2"/>
  </w:num>
  <w:num w:numId="7" w16cid:durableId="2022584168">
    <w:abstractNumId w:val="1"/>
  </w:num>
  <w:num w:numId="8" w16cid:durableId="534267804">
    <w:abstractNumId w:val="0"/>
  </w:num>
  <w:num w:numId="9" w16cid:durableId="1265042610">
    <w:abstractNumId w:val="13"/>
  </w:num>
  <w:num w:numId="10" w16cid:durableId="1943879001">
    <w:abstractNumId w:val="7"/>
  </w:num>
  <w:num w:numId="11" w16cid:durableId="419833051">
    <w:abstractNumId w:val="17"/>
  </w:num>
  <w:num w:numId="12" w16cid:durableId="1758015391">
    <w:abstractNumId w:val="11"/>
  </w:num>
  <w:num w:numId="13" w16cid:durableId="13956604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572246">
    <w:abstractNumId w:val="9"/>
  </w:num>
  <w:num w:numId="15" w16cid:durableId="928125744">
    <w:abstractNumId w:val="6"/>
  </w:num>
  <w:num w:numId="16" w16cid:durableId="1172835113">
    <w:abstractNumId w:val="18"/>
  </w:num>
  <w:num w:numId="17" w16cid:durableId="1022434231">
    <w:abstractNumId w:val="15"/>
  </w:num>
  <w:num w:numId="18" w16cid:durableId="618417265">
    <w:abstractNumId w:val="8"/>
  </w:num>
  <w:num w:numId="19" w16cid:durableId="271010807">
    <w:abstractNumId w:val="16"/>
  </w:num>
  <w:num w:numId="20" w16cid:durableId="15600509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20"/>
  <w:defaultTableStyle w:val="EDU-Basic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03CEF"/>
    <w:rsid w:val="00012366"/>
    <w:rsid w:val="00015855"/>
    <w:rsid w:val="00020CE5"/>
    <w:rsid w:val="00021F49"/>
    <w:rsid w:val="00021FBE"/>
    <w:rsid w:val="00023DBC"/>
    <w:rsid w:val="0003076D"/>
    <w:rsid w:val="000377B5"/>
    <w:rsid w:val="00044395"/>
    <w:rsid w:val="00051FE0"/>
    <w:rsid w:val="000521D7"/>
    <w:rsid w:val="00055230"/>
    <w:rsid w:val="00060CE6"/>
    <w:rsid w:val="00060F9C"/>
    <w:rsid w:val="000633B0"/>
    <w:rsid w:val="00067E6B"/>
    <w:rsid w:val="00072587"/>
    <w:rsid w:val="00073B63"/>
    <w:rsid w:val="000770E3"/>
    <w:rsid w:val="00085580"/>
    <w:rsid w:val="0009095D"/>
    <w:rsid w:val="0009287F"/>
    <w:rsid w:val="00095B80"/>
    <w:rsid w:val="000A0B58"/>
    <w:rsid w:val="000A386D"/>
    <w:rsid w:val="000A5A37"/>
    <w:rsid w:val="000A6228"/>
    <w:rsid w:val="000A65BA"/>
    <w:rsid w:val="000B0105"/>
    <w:rsid w:val="000B0F9B"/>
    <w:rsid w:val="000B31D7"/>
    <w:rsid w:val="000B49BF"/>
    <w:rsid w:val="000B5D40"/>
    <w:rsid w:val="000B7EC6"/>
    <w:rsid w:val="000C2793"/>
    <w:rsid w:val="000C5271"/>
    <w:rsid w:val="000C6FE7"/>
    <w:rsid w:val="000D1851"/>
    <w:rsid w:val="000E0C18"/>
    <w:rsid w:val="000E1795"/>
    <w:rsid w:val="000E7C13"/>
    <w:rsid w:val="000F6C45"/>
    <w:rsid w:val="001054C4"/>
    <w:rsid w:val="00107D87"/>
    <w:rsid w:val="00107DD5"/>
    <w:rsid w:val="001111E5"/>
    <w:rsid w:val="0011283C"/>
    <w:rsid w:val="0012343A"/>
    <w:rsid w:val="00133B8D"/>
    <w:rsid w:val="0013611E"/>
    <w:rsid w:val="001379E6"/>
    <w:rsid w:val="0014109E"/>
    <w:rsid w:val="00144B4D"/>
    <w:rsid w:val="00145D1D"/>
    <w:rsid w:val="001515BF"/>
    <w:rsid w:val="00151887"/>
    <w:rsid w:val="00151A0C"/>
    <w:rsid w:val="00152B20"/>
    <w:rsid w:val="001641D2"/>
    <w:rsid w:val="00165580"/>
    <w:rsid w:val="001702A6"/>
    <w:rsid w:val="0017134D"/>
    <w:rsid w:val="0017149E"/>
    <w:rsid w:val="00171AA3"/>
    <w:rsid w:val="00172E34"/>
    <w:rsid w:val="00181EA0"/>
    <w:rsid w:val="00185050"/>
    <w:rsid w:val="00187079"/>
    <w:rsid w:val="001876EF"/>
    <w:rsid w:val="00192EBE"/>
    <w:rsid w:val="00193335"/>
    <w:rsid w:val="00197E4F"/>
    <w:rsid w:val="001A5958"/>
    <w:rsid w:val="001A78A9"/>
    <w:rsid w:val="001B1B6E"/>
    <w:rsid w:val="001B1E49"/>
    <w:rsid w:val="001B44C2"/>
    <w:rsid w:val="001B4C74"/>
    <w:rsid w:val="001C1523"/>
    <w:rsid w:val="001C1D4B"/>
    <w:rsid w:val="001C3786"/>
    <w:rsid w:val="001C48E5"/>
    <w:rsid w:val="001C60E3"/>
    <w:rsid w:val="001D1E08"/>
    <w:rsid w:val="001D58BE"/>
    <w:rsid w:val="001E156E"/>
    <w:rsid w:val="001E5BCA"/>
    <w:rsid w:val="001E6E3D"/>
    <w:rsid w:val="001E7C5C"/>
    <w:rsid w:val="001F7B85"/>
    <w:rsid w:val="001F7F59"/>
    <w:rsid w:val="00202541"/>
    <w:rsid w:val="0020332F"/>
    <w:rsid w:val="00205468"/>
    <w:rsid w:val="00210163"/>
    <w:rsid w:val="00211B6F"/>
    <w:rsid w:val="0021203C"/>
    <w:rsid w:val="00212179"/>
    <w:rsid w:val="002208F0"/>
    <w:rsid w:val="00221D8F"/>
    <w:rsid w:val="002234F0"/>
    <w:rsid w:val="002246C7"/>
    <w:rsid w:val="002268F5"/>
    <w:rsid w:val="002272DB"/>
    <w:rsid w:val="0023259D"/>
    <w:rsid w:val="00233C5C"/>
    <w:rsid w:val="00235752"/>
    <w:rsid w:val="002364DD"/>
    <w:rsid w:val="00247999"/>
    <w:rsid w:val="0025224D"/>
    <w:rsid w:val="00254239"/>
    <w:rsid w:val="002569D2"/>
    <w:rsid w:val="002658B7"/>
    <w:rsid w:val="00267FF4"/>
    <w:rsid w:val="00272362"/>
    <w:rsid w:val="00276047"/>
    <w:rsid w:val="00277C7E"/>
    <w:rsid w:val="00282EC4"/>
    <w:rsid w:val="002A3F7D"/>
    <w:rsid w:val="002A4458"/>
    <w:rsid w:val="002A5386"/>
    <w:rsid w:val="002B48EB"/>
    <w:rsid w:val="002B5141"/>
    <w:rsid w:val="002C3599"/>
    <w:rsid w:val="002D589A"/>
    <w:rsid w:val="002D72A1"/>
    <w:rsid w:val="002E16DB"/>
    <w:rsid w:val="002E3174"/>
    <w:rsid w:val="002E406E"/>
    <w:rsid w:val="002E491A"/>
    <w:rsid w:val="00322213"/>
    <w:rsid w:val="00322D25"/>
    <w:rsid w:val="00323649"/>
    <w:rsid w:val="00331B58"/>
    <w:rsid w:val="0033497B"/>
    <w:rsid w:val="00336E30"/>
    <w:rsid w:val="0035714A"/>
    <w:rsid w:val="00361F92"/>
    <w:rsid w:val="00365A96"/>
    <w:rsid w:val="003708CD"/>
    <w:rsid w:val="00370B30"/>
    <w:rsid w:val="003760A8"/>
    <w:rsid w:val="0037698A"/>
    <w:rsid w:val="0039389F"/>
    <w:rsid w:val="00394CE6"/>
    <w:rsid w:val="003A5D4A"/>
    <w:rsid w:val="003B284B"/>
    <w:rsid w:val="003B4067"/>
    <w:rsid w:val="003B6581"/>
    <w:rsid w:val="003B735D"/>
    <w:rsid w:val="003C0619"/>
    <w:rsid w:val="003C1832"/>
    <w:rsid w:val="003C75BC"/>
    <w:rsid w:val="003D0600"/>
    <w:rsid w:val="003D0A72"/>
    <w:rsid w:val="003D4333"/>
    <w:rsid w:val="003D4354"/>
    <w:rsid w:val="003D659B"/>
    <w:rsid w:val="003E0558"/>
    <w:rsid w:val="003E05D9"/>
    <w:rsid w:val="003F14CF"/>
    <w:rsid w:val="003F41BF"/>
    <w:rsid w:val="003F79C0"/>
    <w:rsid w:val="00401303"/>
    <w:rsid w:val="0040155D"/>
    <w:rsid w:val="00402467"/>
    <w:rsid w:val="00405191"/>
    <w:rsid w:val="0041713E"/>
    <w:rsid w:val="00421884"/>
    <w:rsid w:val="00421A60"/>
    <w:rsid w:val="00421D3F"/>
    <w:rsid w:val="00422A4A"/>
    <w:rsid w:val="00423785"/>
    <w:rsid w:val="004253A9"/>
    <w:rsid w:val="00431A04"/>
    <w:rsid w:val="00431BF5"/>
    <w:rsid w:val="00441C27"/>
    <w:rsid w:val="00450F5C"/>
    <w:rsid w:val="00451B67"/>
    <w:rsid w:val="00452D26"/>
    <w:rsid w:val="00452EFE"/>
    <w:rsid w:val="00463FC6"/>
    <w:rsid w:val="00482BDD"/>
    <w:rsid w:val="00482C5B"/>
    <w:rsid w:val="0048619F"/>
    <w:rsid w:val="00491BA1"/>
    <w:rsid w:val="00491F2E"/>
    <w:rsid w:val="004920F5"/>
    <w:rsid w:val="004934E3"/>
    <w:rsid w:val="004949C3"/>
    <w:rsid w:val="004A06CD"/>
    <w:rsid w:val="004A199E"/>
    <w:rsid w:val="004A2977"/>
    <w:rsid w:val="004A4B6F"/>
    <w:rsid w:val="004A4CF9"/>
    <w:rsid w:val="004A5382"/>
    <w:rsid w:val="004B08F9"/>
    <w:rsid w:val="004B3F1D"/>
    <w:rsid w:val="004B58A4"/>
    <w:rsid w:val="004B5C35"/>
    <w:rsid w:val="004B664D"/>
    <w:rsid w:val="004C7BEC"/>
    <w:rsid w:val="004D06B9"/>
    <w:rsid w:val="004D09BE"/>
    <w:rsid w:val="004D2965"/>
    <w:rsid w:val="004D2D9D"/>
    <w:rsid w:val="004D76F5"/>
    <w:rsid w:val="004F59B7"/>
    <w:rsid w:val="00502EAA"/>
    <w:rsid w:val="00514B9E"/>
    <w:rsid w:val="00527AC5"/>
    <w:rsid w:val="00542022"/>
    <w:rsid w:val="005558EF"/>
    <w:rsid w:val="00587278"/>
    <w:rsid w:val="00591F57"/>
    <w:rsid w:val="0059304D"/>
    <w:rsid w:val="0059554E"/>
    <w:rsid w:val="005A408A"/>
    <w:rsid w:val="005A75C9"/>
    <w:rsid w:val="005B187D"/>
    <w:rsid w:val="005B6DC4"/>
    <w:rsid w:val="005D6629"/>
    <w:rsid w:val="005D6AB9"/>
    <w:rsid w:val="005E6142"/>
    <w:rsid w:val="005E76C2"/>
    <w:rsid w:val="005F0264"/>
    <w:rsid w:val="005F1DCD"/>
    <w:rsid w:val="005F273D"/>
    <w:rsid w:val="005F35D6"/>
    <w:rsid w:val="005F4A82"/>
    <w:rsid w:val="005F6188"/>
    <w:rsid w:val="005F7EFF"/>
    <w:rsid w:val="0060171D"/>
    <w:rsid w:val="00611793"/>
    <w:rsid w:val="0061334C"/>
    <w:rsid w:val="00615F7B"/>
    <w:rsid w:val="0062036D"/>
    <w:rsid w:val="006232DC"/>
    <w:rsid w:val="00623519"/>
    <w:rsid w:val="0063094F"/>
    <w:rsid w:val="00631115"/>
    <w:rsid w:val="0063155C"/>
    <w:rsid w:val="00631712"/>
    <w:rsid w:val="0063454D"/>
    <w:rsid w:val="006347C3"/>
    <w:rsid w:val="00634A76"/>
    <w:rsid w:val="00634E6D"/>
    <w:rsid w:val="006372B8"/>
    <w:rsid w:val="0064502F"/>
    <w:rsid w:val="00650B0B"/>
    <w:rsid w:val="00651A09"/>
    <w:rsid w:val="0065619E"/>
    <w:rsid w:val="00661456"/>
    <w:rsid w:val="006638A4"/>
    <w:rsid w:val="00664854"/>
    <w:rsid w:val="00666C3E"/>
    <w:rsid w:val="00667F6D"/>
    <w:rsid w:val="00670868"/>
    <w:rsid w:val="006728AF"/>
    <w:rsid w:val="00692E7E"/>
    <w:rsid w:val="006A745F"/>
    <w:rsid w:val="006B1755"/>
    <w:rsid w:val="006C0C49"/>
    <w:rsid w:val="006C383F"/>
    <w:rsid w:val="006C6F3C"/>
    <w:rsid w:val="006D00CC"/>
    <w:rsid w:val="006D014E"/>
    <w:rsid w:val="006D1A6E"/>
    <w:rsid w:val="006D3650"/>
    <w:rsid w:val="006D67F3"/>
    <w:rsid w:val="006D6AEE"/>
    <w:rsid w:val="006D7604"/>
    <w:rsid w:val="006D79FB"/>
    <w:rsid w:val="006E0CF0"/>
    <w:rsid w:val="006E0FF8"/>
    <w:rsid w:val="006F1FFF"/>
    <w:rsid w:val="006F4E17"/>
    <w:rsid w:val="006F598C"/>
    <w:rsid w:val="006F688C"/>
    <w:rsid w:val="006F6D10"/>
    <w:rsid w:val="00705E32"/>
    <w:rsid w:val="00706D65"/>
    <w:rsid w:val="00711984"/>
    <w:rsid w:val="00712B94"/>
    <w:rsid w:val="00720D47"/>
    <w:rsid w:val="007242B6"/>
    <w:rsid w:val="00724950"/>
    <w:rsid w:val="00732EB4"/>
    <w:rsid w:val="00736101"/>
    <w:rsid w:val="00747681"/>
    <w:rsid w:val="00754244"/>
    <w:rsid w:val="0076087F"/>
    <w:rsid w:val="00760925"/>
    <w:rsid w:val="00762815"/>
    <w:rsid w:val="00767C68"/>
    <w:rsid w:val="00773279"/>
    <w:rsid w:val="00785FB4"/>
    <w:rsid w:val="00790CB3"/>
    <w:rsid w:val="00791912"/>
    <w:rsid w:val="007956D7"/>
    <w:rsid w:val="007A59FF"/>
    <w:rsid w:val="007B2902"/>
    <w:rsid w:val="007B2CA1"/>
    <w:rsid w:val="007B5382"/>
    <w:rsid w:val="007C0D52"/>
    <w:rsid w:val="007C585E"/>
    <w:rsid w:val="007C5A41"/>
    <w:rsid w:val="007C64AD"/>
    <w:rsid w:val="007D0ABC"/>
    <w:rsid w:val="007D270D"/>
    <w:rsid w:val="007E02A1"/>
    <w:rsid w:val="007E3C31"/>
    <w:rsid w:val="007E4D7D"/>
    <w:rsid w:val="00800333"/>
    <w:rsid w:val="00802286"/>
    <w:rsid w:val="008042F5"/>
    <w:rsid w:val="00805EAC"/>
    <w:rsid w:val="00817419"/>
    <w:rsid w:val="0082085E"/>
    <w:rsid w:val="00825F66"/>
    <w:rsid w:val="00826C69"/>
    <w:rsid w:val="00827B91"/>
    <w:rsid w:val="00850481"/>
    <w:rsid w:val="00850545"/>
    <w:rsid w:val="0085437A"/>
    <w:rsid w:val="00854A95"/>
    <w:rsid w:val="00861BF6"/>
    <w:rsid w:val="00862BAC"/>
    <w:rsid w:val="00863A00"/>
    <w:rsid w:val="00877108"/>
    <w:rsid w:val="00886959"/>
    <w:rsid w:val="00887CBC"/>
    <w:rsid w:val="00892C79"/>
    <w:rsid w:val="00893A34"/>
    <w:rsid w:val="008A36E1"/>
    <w:rsid w:val="008A37A7"/>
    <w:rsid w:val="008A7AB4"/>
    <w:rsid w:val="008B0551"/>
    <w:rsid w:val="008B0736"/>
    <w:rsid w:val="008B2169"/>
    <w:rsid w:val="008B6D55"/>
    <w:rsid w:val="008C2E41"/>
    <w:rsid w:val="008C430A"/>
    <w:rsid w:val="008C4E31"/>
    <w:rsid w:val="008C68F7"/>
    <w:rsid w:val="008C79D3"/>
    <w:rsid w:val="008E2C8C"/>
    <w:rsid w:val="008E3A3B"/>
    <w:rsid w:val="008F3A6A"/>
    <w:rsid w:val="008F3CFD"/>
    <w:rsid w:val="008F60F4"/>
    <w:rsid w:val="008F6770"/>
    <w:rsid w:val="00902B80"/>
    <w:rsid w:val="00902EB3"/>
    <w:rsid w:val="0090425A"/>
    <w:rsid w:val="00904B03"/>
    <w:rsid w:val="00906E01"/>
    <w:rsid w:val="009072F8"/>
    <w:rsid w:val="00912A8E"/>
    <w:rsid w:val="009207C7"/>
    <w:rsid w:val="00925E07"/>
    <w:rsid w:val="00926A34"/>
    <w:rsid w:val="009300E8"/>
    <w:rsid w:val="00933023"/>
    <w:rsid w:val="0093491D"/>
    <w:rsid w:val="00944A31"/>
    <w:rsid w:val="00950B06"/>
    <w:rsid w:val="0095143B"/>
    <w:rsid w:val="0095697C"/>
    <w:rsid w:val="00966B00"/>
    <w:rsid w:val="00970069"/>
    <w:rsid w:val="0097040B"/>
    <w:rsid w:val="009721EB"/>
    <w:rsid w:val="00990A3C"/>
    <w:rsid w:val="009922E8"/>
    <w:rsid w:val="0099421C"/>
    <w:rsid w:val="00994CE7"/>
    <w:rsid w:val="009A0243"/>
    <w:rsid w:val="009A65AA"/>
    <w:rsid w:val="009A7379"/>
    <w:rsid w:val="009B2CD1"/>
    <w:rsid w:val="009B3840"/>
    <w:rsid w:val="009B5D83"/>
    <w:rsid w:val="009B706E"/>
    <w:rsid w:val="009C36A4"/>
    <w:rsid w:val="009C423A"/>
    <w:rsid w:val="009C5D60"/>
    <w:rsid w:val="009D3E85"/>
    <w:rsid w:val="009D42A2"/>
    <w:rsid w:val="009D4E11"/>
    <w:rsid w:val="009E22FC"/>
    <w:rsid w:val="009E5C5E"/>
    <w:rsid w:val="009E79ED"/>
    <w:rsid w:val="00A00EDD"/>
    <w:rsid w:val="00A01456"/>
    <w:rsid w:val="00A06D57"/>
    <w:rsid w:val="00A07596"/>
    <w:rsid w:val="00A1166A"/>
    <w:rsid w:val="00A12823"/>
    <w:rsid w:val="00A1402C"/>
    <w:rsid w:val="00A16D8D"/>
    <w:rsid w:val="00A17A08"/>
    <w:rsid w:val="00A21226"/>
    <w:rsid w:val="00A22730"/>
    <w:rsid w:val="00A26914"/>
    <w:rsid w:val="00A27365"/>
    <w:rsid w:val="00A32F91"/>
    <w:rsid w:val="00A4312A"/>
    <w:rsid w:val="00A4441E"/>
    <w:rsid w:val="00A46EBB"/>
    <w:rsid w:val="00A505AA"/>
    <w:rsid w:val="00A51EA5"/>
    <w:rsid w:val="00A54E13"/>
    <w:rsid w:val="00A60673"/>
    <w:rsid w:val="00A61A27"/>
    <w:rsid w:val="00A62FC3"/>
    <w:rsid w:val="00A644D1"/>
    <w:rsid w:val="00A67EBF"/>
    <w:rsid w:val="00A80D68"/>
    <w:rsid w:val="00A813B3"/>
    <w:rsid w:val="00A822AE"/>
    <w:rsid w:val="00A854C5"/>
    <w:rsid w:val="00AA14FF"/>
    <w:rsid w:val="00AA2BA0"/>
    <w:rsid w:val="00AA40C1"/>
    <w:rsid w:val="00AC0227"/>
    <w:rsid w:val="00AC1872"/>
    <w:rsid w:val="00AC21EE"/>
    <w:rsid w:val="00AC3E40"/>
    <w:rsid w:val="00AD01EC"/>
    <w:rsid w:val="00AD075A"/>
    <w:rsid w:val="00AD096D"/>
    <w:rsid w:val="00AD5600"/>
    <w:rsid w:val="00AD631F"/>
    <w:rsid w:val="00AE10FA"/>
    <w:rsid w:val="00AE1BCA"/>
    <w:rsid w:val="00AE21FF"/>
    <w:rsid w:val="00AE253C"/>
    <w:rsid w:val="00AE5981"/>
    <w:rsid w:val="00AF1F18"/>
    <w:rsid w:val="00AF30C2"/>
    <w:rsid w:val="00AF542A"/>
    <w:rsid w:val="00B01B3B"/>
    <w:rsid w:val="00B03D85"/>
    <w:rsid w:val="00B0726E"/>
    <w:rsid w:val="00B07843"/>
    <w:rsid w:val="00B219D1"/>
    <w:rsid w:val="00B2743E"/>
    <w:rsid w:val="00B365D9"/>
    <w:rsid w:val="00B457CF"/>
    <w:rsid w:val="00B5365F"/>
    <w:rsid w:val="00B65EBD"/>
    <w:rsid w:val="00B72125"/>
    <w:rsid w:val="00B73226"/>
    <w:rsid w:val="00B7512C"/>
    <w:rsid w:val="00B81EC5"/>
    <w:rsid w:val="00B81FA4"/>
    <w:rsid w:val="00B8794C"/>
    <w:rsid w:val="00B91387"/>
    <w:rsid w:val="00B92526"/>
    <w:rsid w:val="00B93934"/>
    <w:rsid w:val="00B95EF4"/>
    <w:rsid w:val="00B96683"/>
    <w:rsid w:val="00BA4D0E"/>
    <w:rsid w:val="00BA5DEB"/>
    <w:rsid w:val="00BB6509"/>
    <w:rsid w:val="00BC162C"/>
    <w:rsid w:val="00BC1A8F"/>
    <w:rsid w:val="00BC248C"/>
    <w:rsid w:val="00BC358E"/>
    <w:rsid w:val="00BC36F7"/>
    <w:rsid w:val="00BC5F39"/>
    <w:rsid w:val="00BD3AB5"/>
    <w:rsid w:val="00BE3136"/>
    <w:rsid w:val="00BF2AE4"/>
    <w:rsid w:val="00BF3CE2"/>
    <w:rsid w:val="00BF48E2"/>
    <w:rsid w:val="00BF65F9"/>
    <w:rsid w:val="00BF7998"/>
    <w:rsid w:val="00C01EC0"/>
    <w:rsid w:val="00C069E6"/>
    <w:rsid w:val="00C145CC"/>
    <w:rsid w:val="00C20A69"/>
    <w:rsid w:val="00C20FEF"/>
    <w:rsid w:val="00C244EE"/>
    <w:rsid w:val="00C32590"/>
    <w:rsid w:val="00C34E04"/>
    <w:rsid w:val="00C3744F"/>
    <w:rsid w:val="00C42B05"/>
    <w:rsid w:val="00C56905"/>
    <w:rsid w:val="00C66103"/>
    <w:rsid w:val="00C72224"/>
    <w:rsid w:val="00C73A7D"/>
    <w:rsid w:val="00C75706"/>
    <w:rsid w:val="00C804E4"/>
    <w:rsid w:val="00C81896"/>
    <w:rsid w:val="00C90614"/>
    <w:rsid w:val="00C91A38"/>
    <w:rsid w:val="00C9318B"/>
    <w:rsid w:val="00C97684"/>
    <w:rsid w:val="00CA2262"/>
    <w:rsid w:val="00CA3602"/>
    <w:rsid w:val="00CA4815"/>
    <w:rsid w:val="00CB3FE2"/>
    <w:rsid w:val="00CB41B9"/>
    <w:rsid w:val="00CB472D"/>
    <w:rsid w:val="00CB5F49"/>
    <w:rsid w:val="00CC08DB"/>
    <w:rsid w:val="00CD0027"/>
    <w:rsid w:val="00CD0896"/>
    <w:rsid w:val="00CD1BCF"/>
    <w:rsid w:val="00CD3AD9"/>
    <w:rsid w:val="00CF5E45"/>
    <w:rsid w:val="00CF6562"/>
    <w:rsid w:val="00D008AB"/>
    <w:rsid w:val="00D11E07"/>
    <w:rsid w:val="00D136B6"/>
    <w:rsid w:val="00D16C6C"/>
    <w:rsid w:val="00D20B86"/>
    <w:rsid w:val="00D22D4B"/>
    <w:rsid w:val="00D235B5"/>
    <w:rsid w:val="00D23ABC"/>
    <w:rsid w:val="00D264AB"/>
    <w:rsid w:val="00D30B7C"/>
    <w:rsid w:val="00D32F0F"/>
    <w:rsid w:val="00D3460B"/>
    <w:rsid w:val="00D37A55"/>
    <w:rsid w:val="00D5688A"/>
    <w:rsid w:val="00D65F18"/>
    <w:rsid w:val="00D7558A"/>
    <w:rsid w:val="00D775DD"/>
    <w:rsid w:val="00D845AB"/>
    <w:rsid w:val="00D85C91"/>
    <w:rsid w:val="00D86284"/>
    <w:rsid w:val="00D95893"/>
    <w:rsid w:val="00D974E6"/>
    <w:rsid w:val="00DA0306"/>
    <w:rsid w:val="00DA7641"/>
    <w:rsid w:val="00DA7995"/>
    <w:rsid w:val="00DC162B"/>
    <w:rsid w:val="00DC2A7B"/>
    <w:rsid w:val="00DC5980"/>
    <w:rsid w:val="00DD2B46"/>
    <w:rsid w:val="00DD5B68"/>
    <w:rsid w:val="00DE1333"/>
    <w:rsid w:val="00DF0030"/>
    <w:rsid w:val="00DF0E99"/>
    <w:rsid w:val="00DF13C6"/>
    <w:rsid w:val="00DF4C9D"/>
    <w:rsid w:val="00E03FC2"/>
    <w:rsid w:val="00E04644"/>
    <w:rsid w:val="00E06ED6"/>
    <w:rsid w:val="00E12F06"/>
    <w:rsid w:val="00E13D47"/>
    <w:rsid w:val="00E14E25"/>
    <w:rsid w:val="00E156EF"/>
    <w:rsid w:val="00E16FE4"/>
    <w:rsid w:val="00E23DDA"/>
    <w:rsid w:val="00E40604"/>
    <w:rsid w:val="00E41C9F"/>
    <w:rsid w:val="00E51471"/>
    <w:rsid w:val="00E51625"/>
    <w:rsid w:val="00E529E5"/>
    <w:rsid w:val="00E52D2A"/>
    <w:rsid w:val="00E5359F"/>
    <w:rsid w:val="00E5399C"/>
    <w:rsid w:val="00E56DD0"/>
    <w:rsid w:val="00E57684"/>
    <w:rsid w:val="00E700D4"/>
    <w:rsid w:val="00E714E6"/>
    <w:rsid w:val="00E716C6"/>
    <w:rsid w:val="00E72A5A"/>
    <w:rsid w:val="00E73F56"/>
    <w:rsid w:val="00E74DDA"/>
    <w:rsid w:val="00E84AF6"/>
    <w:rsid w:val="00E84FE2"/>
    <w:rsid w:val="00E9270A"/>
    <w:rsid w:val="00E93201"/>
    <w:rsid w:val="00E954C5"/>
    <w:rsid w:val="00EA4A67"/>
    <w:rsid w:val="00EA7E4A"/>
    <w:rsid w:val="00EB2E35"/>
    <w:rsid w:val="00EB4C2F"/>
    <w:rsid w:val="00EB5DD8"/>
    <w:rsid w:val="00EC12D1"/>
    <w:rsid w:val="00EC3BE4"/>
    <w:rsid w:val="00EC3C81"/>
    <w:rsid w:val="00EC4BC1"/>
    <w:rsid w:val="00EC61EA"/>
    <w:rsid w:val="00EC7BAC"/>
    <w:rsid w:val="00ED0DDF"/>
    <w:rsid w:val="00ED2CB4"/>
    <w:rsid w:val="00ED540F"/>
    <w:rsid w:val="00ED6080"/>
    <w:rsid w:val="00EE3B1C"/>
    <w:rsid w:val="00EF40E2"/>
    <w:rsid w:val="00EF7204"/>
    <w:rsid w:val="00F05287"/>
    <w:rsid w:val="00F1000D"/>
    <w:rsid w:val="00F13D68"/>
    <w:rsid w:val="00F15451"/>
    <w:rsid w:val="00F22039"/>
    <w:rsid w:val="00F311A4"/>
    <w:rsid w:val="00F40CA4"/>
    <w:rsid w:val="00F40FCD"/>
    <w:rsid w:val="00F55EC5"/>
    <w:rsid w:val="00F627B3"/>
    <w:rsid w:val="00F7696F"/>
    <w:rsid w:val="00F806A9"/>
    <w:rsid w:val="00F8230E"/>
    <w:rsid w:val="00F82C2C"/>
    <w:rsid w:val="00F83F78"/>
    <w:rsid w:val="00F85913"/>
    <w:rsid w:val="00F925C0"/>
    <w:rsid w:val="00F9528B"/>
    <w:rsid w:val="00FA2582"/>
    <w:rsid w:val="00FA6FC1"/>
    <w:rsid w:val="00FB11D9"/>
    <w:rsid w:val="00FC3CA5"/>
    <w:rsid w:val="00FD167D"/>
    <w:rsid w:val="00FD4D6E"/>
    <w:rsid w:val="00FD6383"/>
    <w:rsid w:val="00FE7D37"/>
    <w:rsid w:val="00FF2C91"/>
    <w:rsid w:val="00FF5BC8"/>
    <w:rsid w:val="52C3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727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D10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7AB4"/>
    <w:pPr>
      <w:keepNext/>
      <w:keepLines/>
      <w:spacing w:before="1440" w:after="0" w:line="640" w:lineRule="exact"/>
      <w:outlineLvl w:val="0"/>
    </w:pPr>
    <w:rPr>
      <w:rFonts w:ascii="Calibri" w:eastAsiaTheme="majorEastAsia" w:hAnsi="Calibri" w:cstheme="majorBidi"/>
      <w:b/>
      <w:color w:val="5F636A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C2"/>
    <w:pPr>
      <w:outlineLvl w:val="1"/>
    </w:pPr>
    <w:rPr>
      <w:rFonts w:cstheme="minorHAnsi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E5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6383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63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D63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5F636A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107D87"/>
    <w:rPr>
      <w:color w:val="7F459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AF1F18"/>
    <w:pPr>
      <w:tabs>
        <w:tab w:val="center" w:pos="4513"/>
        <w:tab w:val="right" w:pos="9026"/>
      </w:tabs>
      <w:spacing w:after="0" w:line="240" w:lineRule="auto"/>
      <w:jc w:val="right"/>
    </w:pPr>
    <w:rPr>
      <w:color w:val="5F636A"/>
    </w:rPr>
  </w:style>
  <w:style w:type="character" w:customStyle="1" w:styleId="FooterChar">
    <w:name w:val="Footer Char"/>
    <w:basedOn w:val="DefaultParagraphFont"/>
    <w:link w:val="Footer"/>
    <w:uiPriority w:val="99"/>
    <w:rsid w:val="00AF1F18"/>
    <w:rPr>
      <w:color w:val="5F636A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A7AB4"/>
    <w:rPr>
      <w:rFonts w:ascii="Calibri" w:eastAsiaTheme="majorEastAsia" w:hAnsi="Calibri" w:cstheme="majorBidi"/>
      <w:b/>
      <w:color w:val="5F636A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44C2"/>
    <w:rPr>
      <w:rFonts w:cstheme="minorHAnsi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E529E5"/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D6383"/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FD6383"/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D631F"/>
    <w:rPr>
      <w:rFonts w:asciiTheme="majorHAnsi" w:eastAsiaTheme="majorEastAsia" w:hAnsiTheme="majorHAnsi" w:cstheme="majorBidi"/>
      <w:b/>
      <w:color w:val="5F636A"/>
    </w:rPr>
  </w:style>
  <w:style w:type="paragraph" w:styleId="Caption">
    <w:name w:val="caption"/>
    <w:basedOn w:val="Normal"/>
    <w:next w:val="Normal"/>
    <w:uiPriority w:val="35"/>
    <w:qFormat/>
    <w:rsid w:val="00EB4C2F"/>
    <w:pPr>
      <w:spacing w:after="120" w:line="240" w:lineRule="auto"/>
    </w:pPr>
    <w:rPr>
      <w:b/>
      <w:iCs/>
      <w:color w:val="00254A" w:themeColor="text2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83"/>
    <w:pPr>
      <w:numPr>
        <w:ilvl w:val="1"/>
      </w:numPr>
      <w:spacing w:before="120" w:after="140"/>
    </w:pPr>
    <w:rPr>
      <w:rFonts w:eastAsiaTheme="minorEastAsia"/>
      <w:color w:val="008599" w:themeColor="accent1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FD6383"/>
    <w:rPr>
      <w:rFonts w:eastAsiaTheme="minorEastAsia"/>
      <w:color w:val="008599" w:themeColor="accent1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9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9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9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9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5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5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16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5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14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235752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color w:val="FFFFFF" w:themeColor="background1"/>
      </w:rPr>
      <w:tblPr/>
      <w:tcPr>
        <w:shd w:val="clear" w:color="auto" w:fill="5F636A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paragraph" w:styleId="Revision">
    <w:name w:val="Revision"/>
    <w:hidden/>
    <w:uiPriority w:val="99"/>
    <w:semiHidden/>
    <w:rsid w:val="00D30B7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60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8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8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87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21226"/>
    <w:rPr>
      <w:color w:val="CE372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onsultations.education.gov.au/2026-nri-roadmap-exposure-draft" TargetMode="External"/><Relationship Id="rId18" Type="http://schemas.openxmlformats.org/officeDocument/2006/relationships/hyperlink" Target="https://consultations.education.gov.au/2026-nri-roadmap-exposure-draf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education.gov.au/national-research-infrastructure/resources/2026-nri-roadmap-exposure-draft" TargetMode="External"/><Relationship Id="rId17" Type="http://schemas.openxmlformats.org/officeDocument/2006/relationships/hyperlink" Target="https://consultations.education.gov.au/2026-nri-roadmap-exposure-draft/townhall-webinar?page=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onsultations.education.gov.au/2026-nri-roadmap-exposure-draf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ducation.gov.au/national-research-infrastructure/2026-national-research-infrastructure-roadma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ducation.gov.au/newsroom/articles/help-shape-future-australias-national-research-infrastructure" TargetMode="External"/><Relationship Id="rId10" Type="http://schemas.openxmlformats.org/officeDocument/2006/relationships/image" Target="media/image3.svg"/><Relationship Id="rId19" Type="http://schemas.openxmlformats.org/officeDocument/2006/relationships/hyperlink" Target="https://www.education.gov.au/national-research-infrastructure/resources/2026-nri-roadmap-exposure-draft-survey-previe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education.gov.au/national-research-infrastructure/advisory-group/terms-reference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5DC5-C421-4482-92F9-C7F0AB6B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2716</Characters>
  <Application>Microsoft Office Word</Application>
  <DocSecurity>0</DocSecurity>
  <Lines>90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Links>
    <vt:vector size="54" baseType="variant">
      <vt:variant>
        <vt:i4>6750252</vt:i4>
      </vt:variant>
      <vt:variant>
        <vt:i4>24</vt:i4>
      </vt:variant>
      <vt:variant>
        <vt:i4>0</vt:i4>
      </vt:variant>
      <vt:variant>
        <vt:i4>5</vt:i4>
      </vt:variant>
      <vt:variant>
        <vt:lpwstr>https://www.education.gov.au/national-research-infrastructure/resources/2026-nri-roadmap-exposure-draft-survey-preview</vt:lpwstr>
      </vt:variant>
      <vt:variant>
        <vt:lpwstr/>
      </vt:variant>
      <vt:variant>
        <vt:i4>7077935</vt:i4>
      </vt:variant>
      <vt:variant>
        <vt:i4>21</vt:i4>
      </vt:variant>
      <vt:variant>
        <vt:i4>0</vt:i4>
      </vt:variant>
      <vt:variant>
        <vt:i4>5</vt:i4>
      </vt:variant>
      <vt:variant>
        <vt:lpwstr>https://consultations.education.gov.au/2026-nri-roadmap-exposure-draft</vt:lpwstr>
      </vt:variant>
      <vt:variant>
        <vt:lpwstr/>
      </vt:variant>
      <vt:variant>
        <vt:i4>2228271</vt:i4>
      </vt:variant>
      <vt:variant>
        <vt:i4>18</vt:i4>
      </vt:variant>
      <vt:variant>
        <vt:i4>0</vt:i4>
      </vt:variant>
      <vt:variant>
        <vt:i4>5</vt:i4>
      </vt:variant>
      <vt:variant>
        <vt:lpwstr>https://consultations.education.gov.au/2026-nri-roadmap-exposure-draft/townhall-webinar?page=2</vt:lpwstr>
      </vt:variant>
      <vt:variant>
        <vt:lpwstr/>
      </vt:variant>
      <vt:variant>
        <vt:i4>7077935</vt:i4>
      </vt:variant>
      <vt:variant>
        <vt:i4>15</vt:i4>
      </vt:variant>
      <vt:variant>
        <vt:i4>0</vt:i4>
      </vt:variant>
      <vt:variant>
        <vt:i4>5</vt:i4>
      </vt:variant>
      <vt:variant>
        <vt:lpwstr>https://consultations.education.gov.au/2026-nri-roadmap-exposure-draft</vt:lpwstr>
      </vt:variant>
      <vt:variant>
        <vt:lpwstr/>
      </vt:variant>
      <vt:variant>
        <vt:i4>1179742</vt:i4>
      </vt:variant>
      <vt:variant>
        <vt:i4>12</vt:i4>
      </vt:variant>
      <vt:variant>
        <vt:i4>0</vt:i4>
      </vt:variant>
      <vt:variant>
        <vt:i4>5</vt:i4>
      </vt:variant>
      <vt:variant>
        <vt:lpwstr>https://www.education.gov.au/newsroom/articles/help-shape-future-australias-national-research-infrastructure</vt:lpwstr>
      </vt:variant>
      <vt:variant>
        <vt:lpwstr/>
      </vt:variant>
      <vt:variant>
        <vt:i4>5242899</vt:i4>
      </vt:variant>
      <vt:variant>
        <vt:i4>9</vt:i4>
      </vt:variant>
      <vt:variant>
        <vt:i4>0</vt:i4>
      </vt:variant>
      <vt:variant>
        <vt:i4>5</vt:i4>
      </vt:variant>
      <vt:variant>
        <vt:lpwstr>https://www.education.gov.au/national-research-infrastructure/advisory-group/terms-reference</vt:lpwstr>
      </vt:variant>
      <vt:variant>
        <vt:lpwstr/>
      </vt:variant>
      <vt:variant>
        <vt:i4>7077935</vt:i4>
      </vt:variant>
      <vt:variant>
        <vt:i4>6</vt:i4>
      </vt:variant>
      <vt:variant>
        <vt:i4>0</vt:i4>
      </vt:variant>
      <vt:variant>
        <vt:i4>5</vt:i4>
      </vt:variant>
      <vt:variant>
        <vt:lpwstr>https://consultations.education.gov.au/2026-nri-roadmap-exposure-draft</vt:lpwstr>
      </vt:variant>
      <vt:variant>
        <vt:lpwstr/>
      </vt:variant>
      <vt:variant>
        <vt:i4>3866736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https://www.education.gov.au/national-research-infrastructure/resources/2026-nri-roadmap-exposure-draft</vt:lpwstr>
      </vt:variant>
      <vt:variant>
        <vt:lpwstr/>
      </vt:variant>
      <vt:variant>
        <vt:i4>2097210</vt:i4>
      </vt:variant>
      <vt:variant>
        <vt:i4>0</vt:i4>
      </vt:variant>
      <vt:variant>
        <vt:i4>0</vt:i4>
      </vt:variant>
      <vt:variant>
        <vt:i4>5</vt:i4>
      </vt:variant>
      <vt:variant>
        <vt:lpwstr>https://www.education.gov.au/national-research-infrastructure/2026-national-research-infrastructure-roadmap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NRI Roadmap Update September 2026</dc:title>
  <dc:subject/>
  <dc:creator/>
  <cp:keywords/>
  <dc:description/>
  <cp:lastModifiedBy/>
  <cp:revision>1</cp:revision>
  <dcterms:created xsi:type="dcterms:W3CDTF">2026-09-29T06:26:00Z</dcterms:created>
  <dcterms:modified xsi:type="dcterms:W3CDTF">2026-09-29T06:28:00Z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2026-09-29T06:28:34Z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190e45e5-fcae-4156-a1c6-609a0d9bf499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