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22283" w14:textId="77777777" w:rsidR="00107DD5" w:rsidRPr="00D971A8" w:rsidRDefault="00221D8F" w:rsidP="00CA4815">
      <w:r w:rsidRPr="00D971A8">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sidRPr="00D971A8">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5E72BD27" w14:textId="2BABE0CC" w:rsidR="00221D8F" w:rsidRPr="00D971A8" w:rsidRDefault="0067449B" w:rsidP="00893A34">
      <w:pPr>
        <w:pStyle w:val="Heading1"/>
      </w:pPr>
      <w:bookmarkStart w:id="0" w:name="_Toc126923146"/>
      <w:bookmarkStart w:id="1" w:name="_Toc126923157"/>
      <w:r w:rsidRPr="00D971A8">
        <w:rPr>
          <w:bCs/>
        </w:rPr>
        <w:t>Agent Commissions Data Collection</w:t>
      </w:r>
      <w:bookmarkEnd w:id="0"/>
      <w:bookmarkEnd w:id="1"/>
    </w:p>
    <w:p w14:paraId="72CF5888" w14:textId="07119736" w:rsidR="0017134D" w:rsidRPr="00D971A8" w:rsidRDefault="0067449B" w:rsidP="00EB4C2F">
      <w:pPr>
        <w:pStyle w:val="Subtitle"/>
        <w:rPr>
          <w:b/>
          <w:bCs/>
        </w:rPr>
      </w:pPr>
      <w:r w:rsidRPr="00D971A8">
        <w:rPr>
          <w:b/>
          <w:bCs/>
        </w:rPr>
        <w:t>Finance Officer Factsheet</w:t>
      </w:r>
    </w:p>
    <w:p w14:paraId="186B5675" w14:textId="77777777" w:rsidR="00E539AE" w:rsidRPr="00D971A8" w:rsidRDefault="0067449B" w:rsidP="00E539AE">
      <w:pPr>
        <w:pStyle w:val="Heading3"/>
        <w:rPr>
          <w:bCs/>
        </w:rPr>
      </w:pPr>
      <w:r w:rsidRPr="00D971A8">
        <w:rPr>
          <w:bCs/>
        </w:rPr>
        <w:t>Purpose</w:t>
      </w:r>
    </w:p>
    <w:p w14:paraId="70AB9FBD" w14:textId="0E114A80" w:rsidR="0067449B" w:rsidRPr="00D971A8" w:rsidRDefault="00E539AE" w:rsidP="00E539AE">
      <w:r w:rsidRPr="00D971A8">
        <w:t>This factsheet provides practical guidance for finance officers supporting CRICOS registered providers to complete the 2026 Agent Commissions Data Collection.</w:t>
      </w:r>
    </w:p>
    <w:p w14:paraId="3484F4F6" w14:textId="7F9A3E57" w:rsidR="004E6262" w:rsidRDefault="004E6262" w:rsidP="00E539AE">
      <w:r w:rsidRPr="00D971A8">
        <w:t>The guidance is general in nature and does not constitute accounting or legal advice. Providers should consider their own circumstances and seek professional advice where appropriate.</w:t>
      </w:r>
    </w:p>
    <w:p w14:paraId="52A36FB6" w14:textId="08F3B85D" w:rsidR="00E07871" w:rsidRDefault="00E07871" w:rsidP="00E07871">
      <w:pPr>
        <w:pStyle w:val="Heading3"/>
        <w:rPr>
          <w:bCs/>
        </w:rPr>
      </w:pPr>
      <w:r>
        <w:rPr>
          <w:bCs/>
        </w:rPr>
        <w:t>How to use this factsheet</w:t>
      </w:r>
    </w:p>
    <w:p w14:paraId="4A3B5856" w14:textId="77777777" w:rsidR="00E07871" w:rsidRPr="00E07871" w:rsidRDefault="00E07871" w:rsidP="00403337">
      <w:pPr>
        <w:spacing w:after="0" w:line="240" w:lineRule="auto"/>
      </w:pPr>
      <w:r w:rsidRPr="00E07871">
        <w:t>This factsheet provides guidance on the financial and accounting considerations relevant to preparing the collection. It should be read together with:</w:t>
      </w:r>
    </w:p>
    <w:p w14:paraId="61B8B78D" w14:textId="77777777" w:rsidR="00E07871" w:rsidRPr="00E07871" w:rsidRDefault="00E07871" w:rsidP="00403337">
      <w:pPr>
        <w:numPr>
          <w:ilvl w:val="0"/>
          <w:numId w:val="40"/>
        </w:numPr>
        <w:spacing w:after="0" w:line="240" w:lineRule="auto"/>
      </w:pPr>
      <w:r w:rsidRPr="00E07871">
        <w:t>the Secretary’s written request, which specifies the information required, reporting period and due date</w:t>
      </w:r>
    </w:p>
    <w:p w14:paraId="06669409" w14:textId="57C4D0A3" w:rsidR="00E07871" w:rsidRPr="00E07871" w:rsidRDefault="00E07871" w:rsidP="00403337">
      <w:pPr>
        <w:numPr>
          <w:ilvl w:val="0"/>
          <w:numId w:val="40"/>
        </w:numPr>
        <w:spacing w:after="0" w:line="240" w:lineRule="auto"/>
      </w:pPr>
      <w:r w:rsidRPr="00E07871">
        <w:t>the Principal Executive Officer Fact</w:t>
      </w:r>
      <w:r w:rsidR="00403337">
        <w:t>s</w:t>
      </w:r>
      <w:r w:rsidRPr="00E07871">
        <w:t>heet, which outlines governance and assurance considerations</w:t>
      </w:r>
    </w:p>
    <w:p w14:paraId="2849E1C1" w14:textId="77777777" w:rsidR="00E07871" w:rsidRPr="00E07871" w:rsidRDefault="00E07871" w:rsidP="00403337">
      <w:pPr>
        <w:numPr>
          <w:ilvl w:val="0"/>
          <w:numId w:val="40"/>
        </w:numPr>
        <w:spacing w:after="0" w:line="240" w:lineRule="auto"/>
      </w:pPr>
      <w:r w:rsidRPr="00E07871">
        <w:t>the PRISMS Guidance, which explains how to complete the template and submit the response.</w:t>
      </w:r>
    </w:p>
    <w:p w14:paraId="63928966" w14:textId="222AB48D" w:rsidR="00D67E48" w:rsidRPr="00D971A8" w:rsidRDefault="00D67E48" w:rsidP="00D67E48">
      <w:pPr>
        <w:pStyle w:val="Heading3"/>
        <w:rPr>
          <w:bCs/>
        </w:rPr>
      </w:pPr>
      <w:r w:rsidRPr="00D971A8">
        <w:rPr>
          <w:bCs/>
        </w:rPr>
        <w:t>Background: What is this and why is Finance involved?</w:t>
      </w:r>
    </w:p>
    <w:p w14:paraId="1778D4D4" w14:textId="659091B7" w:rsidR="003F4E33" w:rsidRPr="003F4E33" w:rsidRDefault="00D67E48" w:rsidP="003F4E33">
      <w:pPr>
        <w:spacing w:after="160"/>
      </w:pPr>
      <w:r>
        <w:t xml:space="preserve">The </w:t>
      </w:r>
      <w:hyperlink r:id="rId11">
        <w:r w:rsidRPr="17100C9D">
          <w:rPr>
            <w:rStyle w:val="Hyperlink"/>
            <w:i/>
            <w:iCs/>
          </w:rPr>
          <w:t>Education Services for Overseas Students Act 2000</w:t>
        </w:r>
      </w:hyperlink>
      <w:r>
        <w:t xml:space="preserve"> (ESOS Act) </w:t>
      </w:r>
      <w:r w:rsidR="00C83B89">
        <w:t xml:space="preserve">sets out the legal framework governing delivery of education to international students in Australia on a student </w:t>
      </w:r>
      <w:r w:rsidR="005030B7">
        <w:t>visa</w:t>
      </w:r>
      <w:r>
        <w:t xml:space="preserve">. Under section 21B of the ESOS Act, the Secretary of the Department of Education </w:t>
      </w:r>
      <w:r w:rsidR="00C834B4">
        <w:t>(the department)</w:t>
      </w:r>
      <w:r>
        <w:t xml:space="preserve"> may require CRICOS registered providers to give information about commissions paid or provided to education agents</w:t>
      </w:r>
      <w:r w:rsidR="00E52DE3">
        <w:t xml:space="preserve"> in connection with the recruitment of accepted students</w:t>
      </w:r>
      <w:r>
        <w:t>.</w:t>
      </w:r>
      <w:r w:rsidR="00412FCA">
        <w:t xml:space="preserve"> </w:t>
      </w:r>
      <w:r w:rsidRPr="00D971A8">
        <w:t xml:space="preserve">Providers </w:t>
      </w:r>
      <w:r w:rsidR="00E07871">
        <w:t xml:space="preserve">are required to </w:t>
      </w:r>
      <w:r w:rsidR="003F4E33">
        <w:t xml:space="preserve">submit the requested </w:t>
      </w:r>
      <w:r w:rsidRPr="00D971A8">
        <w:t xml:space="preserve">information </w:t>
      </w:r>
      <w:r w:rsidR="003F4E33">
        <w:t xml:space="preserve">within the timeframe specified in the </w:t>
      </w:r>
      <w:r w:rsidR="003F4E33" w:rsidRPr="003F4E33">
        <w:t>Secretary's request and should ensure that information provided is complete, accurate and supported by appropriate records</w:t>
      </w:r>
      <w:r w:rsidR="003F4E33">
        <w:t>.</w:t>
      </w:r>
    </w:p>
    <w:p w14:paraId="43A6E870" w14:textId="77777777" w:rsidR="00D67E48" w:rsidRPr="00D971A8" w:rsidRDefault="00D67E48" w:rsidP="00D67E48">
      <w:pPr>
        <w:spacing w:after="160"/>
      </w:pPr>
      <w:r w:rsidRPr="00D971A8">
        <w:t>For each agent business, providers are asked to report:</w:t>
      </w:r>
    </w:p>
    <w:p w14:paraId="752FF5B0" w14:textId="5D2FFFD0" w:rsidR="00D67E48" w:rsidRPr="00D971A8" w:rsidRDefault="00A311EC" w:rsidP="00B4254C">
      <w:pPr>
        <w:pStyle w:val="ListBullet"/>
        <w:numPr>
          <w:ilvl w:val="0"/>
          <w:numId w:val="27"/>
        </w:numPr>
        <w:tabs>
          <w:tab w:val="clear" w:pos="720"/>
        </w:tabs>
        <w:ind w:left="284" w:hanging="284"/>
      </w:pPr>
      <w:r>
        <w:t>n</w:t>
      </w:r>
      <w:r w:rsidR="00D67E48">
        <w:t xml:space="preserve">umber of </w:t>
      </w:r>
      <w:r w:rsidR="531DC929">
        <w:t>a</w:t>
      </w:r>
      <w:r w:rsidR="00D67E48">
        <w:t xml:space="preserve">ccepted </w:t>
      </w:r>
      <w:r w:rsidR="4BB1602A">
        <w:t>s</w:t>
      </w:r>
      <w:r w:rsidR="00D67E48">
        <w:t>tudents: students accepted or enrolled who require a student visa and for whom a related commission was paid or incurred in the reporting period</w:t>
      </w:r>
    </w:p>
    <w:p w14:paraId="4BF15B72" w14:textId="103902D7" w:rsidR="00D67E48" w:rsidRPr="00D971A8" w:rsidRDefault="00A311EC" w:rsidP="00B4254C">
      <w:pPr>
        <w:pStyle w:val="ListBullet"/>
        <w:numPr>
          <w:ilvl w:val="0"/>
          <w:numId w:val="27"/>
        </w:numPr>
        <w:tabs>
          <w:tab w:val="clear" w:pos="720"/>
        </w:tabs>
        <w:ind w:left="284" w:hanging="284"/>
      </w:pPr>
      <w:r>
        <w:t>d</w:t>
      </w:r>
      <w:r w:rsidR="00D67E48">
        <w:t xml:space="preserve">irect commissions paid or incurred: monetary amounts attributable to </w:t>
      </w:r>
      <w:r w:rsidR="1A292C90">
        <w:t>the number of accepted students</w:t>
      </w:r>
    </w:p>
    <w:p w14:paraId="054DFDA8" w14:textId="024C6854" w:rsidR="00D67E48" w:rsidRPr="00D971A8" w:rsidRDefault="00A311EC" w:rsidP="00B4254C">
      <w:pPr>
        <w:pStyle w:val="ListBullet"/>
        <w:numPr>
          <w:ilvl w:val="0"/>
          <w:numId w:val="27"/>
        </w:numPr>
        <w:tabs>
          <w:tab w:val="clear" w:pos="720"/>
        </w:tabs>
        <w:ind w:left="284" w:hanging="284"/>
      </w:pPr>
      <w:r>
        <w:lastRenderedPageBreak/>
        <w:t>i</w:t>
      </w:r>
      <w:r w:rsidR="00D67E48">
        <w:t xml:space="preserve">ndirect commissions paid or incurred: monetary amounts that are not attributable to </w:t>
      </w:r>
      <w:r w:rsidR="1D82E7DC">
        <w:t>the number of accepted students</w:t>
      </w:r>
    </w:p>
    <w:p w14:paraId="1C08D652" w14:textId="0AAA0F7E" w:rsidR="00D67E48" w:rsidRPr="00D971A8" w:rsidRDefault="00A311EC" w:rsidP="00B4254C">
      <w:pPr>
        <w:pStyle w:val="ListBullet"/>
        <w:numPr>
          <w:ilvl w:val="0"/>
          <w:numId w:val="27"/>
        </w:numPr>
        <w:tabs>
          <w:tab w:val="clear" w:pos="720"/>
        </w:tabs>
        <w:ind w:left="284" w:hanging="284"/>
      </w:pPr>
      <w:r>
        <w:t>n</w:t>
      </w:r>
      <w:r w:rsidR="00D67E48" w:rsidRPr="00D971A8">
        <w:t>on-monetary benefits: a short text description of non-cash benefits provided to an education agent or associate.</w:t>
      </w:r>
    </w:p>
    <w:p w14:paraId="2AAE43A4" w14:textId="0DDCD5BB" w:rsidR="005778DB" w:rsidRDefault="005778DB" w:rsidP="00D67E48">
      <w:pPr>
        <w:spacing w:after="160"/>
      </w:pPr>
      <w:r>
        <w:t xml:space="preserve">The Secretary’s written request for education agent commission information will specify </w:t>
      </w:r>
      <w:r w:rsidR="00C834B4">
        <w:t>the date</w:t>
      </w:r>
      <w:r>
        <w:t xml:space="preserve"> </w:t>
      </w:r>
      <w:r w:rsidR="001B5B51">
        <w:t>providers must submit the information.</w:t>
      </w:r>
      <w:r w:rsidR="00DC2A74">
        <w:t xml:space="preserve"> </w:t>
      </w:r>
    </w:p>
    <w:p w14:paraId="4AF54A8F" w14:textId="6C003216" w:rsidR="003C5757" w:rsidRPr="003C5757" w:rsidRDefault="00467ABD" w:rsidP="003C5757">
      <w:pPr>
        <w:spacing w:after="160"/>
      </w:pPr>
      <w:r w:rsidRPr="00D971A8">
        <w:t>The ESOS Act and related collection terms may not align precisely with concepts used in Australian Accounting Standards Board (AASB) standards.</w:t>
      </w:r>
      <w:r w:rsidR="003C5757">
        <w:t xml:space="preserve"> </w:t>
      </w:r>
      <w:r w:rsidR="003C5757" w:rsidRPr="003C5757">
        <w:t>For the purposes of this collection, providers should apply the statutory definitions and guidance provided by the department.</w:t>
      </w:r>
    </w:p>
    <w:p w14:paraId="1A12DBC9" w14:textId="777027AC" w:rsidR="00D67E48" w:rsidRDefault="469FB9C8" w:rsidP="00D67E48">
      <w:pPr>
        <w:spacing w:after="160"/>
      </w:pPr>
      <w:r>
        <w:t>The involvement of f</w:t>
      </w:r>
      <w:r w:rsidR="00D67E48">
        <w:t>inance officer</w:t>
      </w:r>
      <w:r w:rsidR="139F0C7B">
        <w:t>s</w:t>
      </w:r>
      <w:r w:rsidR="00D67E48">
        <w:t xml:space="preserve"> is important because relevant data may be held in accounts payable, general ledger and contract management systems, as well as in student management systems.</w:t>
      </w:r>
    </w:p>
    <w:p w14:paraId="60A603F2" w14:textId="77777777" w:rsidR="003C5757" w:rsidRPr="003C5757" w:rsidRDefault="003C5757" w:rsidP="003C5757">
      <w:pPr>
        <w:spacing w:after="160"/>
      </w:pPr>
      <w:r w:rsidRPr="003C5757">
        <w:rPr>
          <w:b/>
          <w:bCs/>
        </w:rPr>
        <w:t>Important</w:t>
      </w:r>
      <w:r w:rsidRPr="00403337">
        <w:t>:</w:t>
      </w:r>
      <w:r w:rsidRPr="003C5757">
        <w:t xml:space="preserve"> This collection is undertaken under section 21B of the ESOS Act. Providers should take reasonable steps to ensure information supplied to the department is complete and accurate. The ESOS Act includes provisions relating to non-compliance with a request for information and the provision of false or misleading information.</w:t>
      </w:r>
    </w:p>
    <w:p w14:paraId="3D10E9DF" w14:textId="45107D87" w:rsidR="00E46838" w:rsidRPr="00D971A8" w:rsidRDefault="00E46838" w:rsidP="00E46838">
      <w:pPr>
        <w:pStyle w:val="Heading3"/>
        <w:rPr>
          <w:rFonts w:eastAsia="Aptos"/>
        </w:rPr>
      </w:pPr>
      <w:proofErr w:type="gramStart"/>
      <w:r w:rsidRPr="00D971A8">
        <w:rPr>
          <w:rFonts w:eastAsia="Aptos"/>
        </w:rPr>
        <w:t xml:space="preserve">At a </w:t>
      </w:r>
      <w:r w:rsidR="000D06B0" w:rsidRPr="00D971A8">
        <w:rPr>
          <w:rFonts w:eastAsia="Aptos"/>
        </w:rPr>
        <w:t>g</w:t>
      </w:r>
      <w:r w:rsidRPr="00D971A8">
        <w:rPr>
          <w:rFonts w:eastAsia="Aptos"/>
        </w:rPr>
        <w:t>lance</w:t>
      </w:r>
      <w:proofErr w:type="gramEnd"/>
      <w:r w:rsidRPr="00D971A8">
        <w:rPr>
          <w:rFonts w:eastAsia="Aptos"/>
        </w:rPr>
        <w:t xml:space="preserve">: Key </w:t>
      </w:r>
      <w:r w:rsidR="004F5F13" w:rsidRPr="00D971A8">
        <w:rPr>
          <w:rFonts w:eastAsia="Aptos"/>
        </w:rPr>
        <w:t>a</w:t>
      </w:r>
      <w:r w:rsidRPr="00D971A8">
        <w:rPr>
          <w:rFonts w:eastAsia="Aptos"/>
        </w:rPr>
        <w:t xml:space="preserve">ccounting </w:t>
      </w:r>
      <w:r w:rsidR="004F5F13" w:rsidRPr="00D971A8">
        <w:rPr>
          <w:rFonts w:eastAsia="Aptos"/>
        </w:rPr>
        <w:t>p</w:t>
      </w:r>
      <w:r w:rsidRPr="00D971A8">
        <w:rPr>
          <w:rFonts w:eastAsia="Aptos"/>
        </w:rPr>
        <w:t>ositions</w:t>
      </w:r>
    </w:p>
    <w:tbl>
      <w:tblPr>
        <w:tblStyle w:val="EDU-Basic"/>
        <w:tblW w:w="0" w:type="auto"/>
        <w:tblLook w:val="04A0" w:firstRow="1" w:lastRow="0" w:firstColumn="1" w:lastColumn="0" w:noHBand="0" w:noVBand="1"/>
      </w:tblPr>
      <w:tblGrid>
        <w:gridCol w:w="3005"/>
        <w:gridCol w:w="3005"/>
        <w:gridCol w:w="3006"/>
      </w:tblGrid>
      <w:tr w:rsidR="00E46838" w:rsidRPr="00D971A8" w14:paraId="40CCDC30" w14:textId="77777777" w:rsidTr="7ACEF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524B8F4E" w14:textId="5766D72E" w:rsidR="00E46838" w:rsidRPr="00912806" w:rsidRDefault="00C1498A" w:rsidP="00E46838">
            <w:pPr>
              <w:spacing w:after="160"/>
              <w:rPr>
                <w:rFonts w:eastAsia="Aptos" w:cstheme="minorHAnsi"/>
                <w:b/>
                <w:bCs/>
                <w:kern w:val="2"/>
                <w14:ligatures w14:val="standardContextual"/>
              </w:rPr>
            </w:pPr>
            <w:r w:rsidRPr="00912806">
              <w:rPr>
                <w:rFonts w:eastAsia="Aptos" w:cstheme="minorHAnsi"/>
                <w:b/>
                <w:bCs/>
                <w:kern w:val="2"/>
                <w14:ligatures w14:val="standardContextual"/>
              </w:rPr>
              <w:t>Topic</w:t>
            </w:r>
          </w:p>
        </w:tc>
        <w:tc>
          <w:tcPr>
            <w:tcW w:w="3005" w:type="dxa"/>
          </w:tcPr>
          <w:p w14:paraId="37C577B5" w14:textId="40BC8A5D" w:rsidR="00E46838" w:rsidRPr="00912806" w:rsidRDefault="00E46838" w:rsidP="00E46838">
            <w:pPr>
              <w:spacing w:after="160"/>
              <w:cnfStyle w:val="100000000000" w:firstRow="1" w:lastRow="0" w:firstColumn="0" w:lastColumn="0" w:oddVBand="0" w:evenVBand="0" w:oddHBand="0" w:evenHBand="0" w:firstRowFirstColumn="0" w:firstRowLastColumn="0" w:lastRowFirstColumn="0" w:lastRowLastColumn="0"/>
              <w:rPr>
                <w:rFonts w:eastAsia="Aptos" w:cstheme="minorHAnsi"/>
                <w:b/>
                <w:bCs/>
                <w:kern w:val="2"/>
                <w14:ligatures w14:val="standardContextual"/>
              </w:rPr>
            </w:pPr>
            <w:r w:rsidRPr="00912806">
              <w:rPr>
                <w:rFonts w:eastAsia="Aptos" w:cstheme="minorHAnsi"/>
                <w:b/>
                <w:bCs/>
                <w:kern w:val="2"/>
                <w14:ligatures w14:val="standardContextual"/>
              </w:rPr>
              <w:t>Position</w:t>
            </w:r>
          </w:p>
        </w:tc>
        <w:tc>
          <w:tcPr>
            <w:tcW w:w="3006" w:type="dxa"/>
          </w:tcPr>
          <w:p w14:paraId="2D8E2276" w14:textId="2B1A378A" w:rsidR="00E46838" w:rsidRPr="00912806" w:rsidRDefault="00E46838" w:rsidP="00E46838">
            <w:pPr>
              <w:spacing w:after="160"/>
              <w:cnfStyle w:val="100000000000" w:firstRow="1" w:lastRow="0" w:firstColumn="0" w:lastColumn="0" w:oddVBand="0" w:evenVBand="0" w:oddHBand="0" w:evenHBand="0" w:firstRowFirstColumn="0" w:firstRowLastColumn="0" w:lastRowFirstColumn="0" w:lastRowLastColumn="0"/>
              <w:rPr>
                <w:rFonts w:eastAsia="Aptos" w:cstheme="minorHAnsi"/>
                <w:b/>
                <w:bCs/>
                <w:kern w:val="2"/>
                <w14:ligatures w14:val="standardContextual"/>
              </w:rPr>
            </w:pPr>
            <w:r w:rsidRPr="00912806">
              <w:rPr>
                <w:rFonts w:eastAsia="Aptos" w:cstheme="minorHAnsi"/>
                <w:b/>
                <w:bCs/>
                <w:kern w:val="2"/>
                <w14:ligatures w14:val="standardContextual"/>
              </w:rPr>
              <w:t>Rationale</w:t>
            </w:r>
          </w:p>
        </w:tc>
      </w:tr>
      <w:tr w:rsidR="00E46838" w:rsidRPr="00D971A8" w14:paraId="5F47065D" w14:textId="77777777" w:rsidTr="7ACEFA51">
        <w:tc>
          <w:tcPr>
            <w:cnfStyle w:val="001000000000" w:firstRow="0" w:lastRow="0" w:firstColumn="1" w:lastColumn="0" w:oddVBand="0" w:evenVBand="0" w:oddHBand="0" w:evenHBand="0" w:firstRowFirstColumn="0" w:firstRowLastColumn="0" w:lastRowFirstColumn="0" w:lastRowLastColumn="0"/>
            <w:tcW w:w="3005" w:type="dxa"/>
            <w:vAlign w:val="top"/>
          </w:tcPr>
          <w:p w14:paraId="0E27F6AE" w14:textId="75E17AD7" w:rsidR="00E46838" w:rsidRPr="00912806" w:rsidRDefault="00E46838" w:rsidP="001B58E7">
            <w:pPr>
              <w:spacing w:after="160"/>
              <w:rPr>
                <w:rFonts w:eastAsia="Aptos" w:cstheme="minorHAnsi"/>
                <w:b/>
                <w:bCs/>
                <w:kern w:val="2"/>
                <w14:ligatures w14:val="standardContextual"/>
              </w:rPr>
            </w:pPr>
            <w:r w:rsidRPr="00912806">
              <w:rPr>
                <w:rFonts w:eastAsia="Aptos" w:cstheme="minorHAnsi"/>
                <w:b/>
                <w:bCs/>
                <w:kern w:val="2"/>
                <w14:ligatures w14:val="standardContextual"/>
              </w:rPr>
              <w:t>Reporting basis</w:t>
            </w:r>
          </w:p>
        </w:tc>
        <w:tc>
          <w:tcPr>
            <w:tcW w:w="3005" w:type="dxa"/>
            <w:vAlign w:val="top"/>
          </w:tcPr>
          <w:p w14:paraId="2E2F3180" w14:textId="4135DD2B"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kern w:val="2"/>
                <w14:ligatures w14:val="standardContextual"/>
              </w:rPr>
              <w:t xml:space="preserve">Accrual preferred; cash permitted where </w:t>
            </w:r>
            <w:r w:rsidRPr="00912806">
              <w:rPr>
                <w:rFonts w:ascii="Calibri" w:eastAsia="Calibri" w:hAnsi="Calibri" w:cs="Calibri"/>
              </w:rPr>
              <w:t>required</w:t>
            </w:r>
            <w:r w:rsidR="381AE02B">
              <w:rPr>
                <w:rFonts w:ascii="Calibri" w:eastAsia="Calibri" w:hAnsi="Calibri" w:cs="Calibri"/>
              </w:rPr>
              <w:t xml:space="preserve"> or more appropriate</w:t>
            </w:r>
          </w:p>
        </w:tc>
        <w:tc>
          <w:tcPr>
            <w:tcW w:w="3006" w:type="dxa"/>
            <w:vAlign w:val="top"/>
          </w:tcPr>
          <w:p w14:paraId="638ACF7E" w14:textId="383F1512"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rPr>
              <w:t>Promotes consistency with provider financial records and supports reconciliation to the general ledger.</w:t>
            </w:r>
          </w:p>
        </w:tc>
      </w:tr>
      <w:tr w:rsidR="00E46838" w:rsidRPr="00D971A8" w14:paraId="0288F7D9" w14:textId="77777777" w:rsidTr="7ACEFA51">
        <w:tc>
          <w:tcPr>
            <w:cnfStyle w:val="001000000000" w:firstRow="0" w:lastRow="0" w:firstColumn="1" w:lastColumn="0" w:oddVBand="0" w:evenVBand="0" w:oddHBand="0" w:evenHBand="0" w:firstRowFirstColumn="0" w:firstRowLastColumn="0" w:lastRowFirstColumn="0" w:lastRowLastColumn="0"/>
            <w:tcW w:w="3005" w:type="dxa"/>
            <w:vAlign w:val="top"/>
          </w:tcPr>
          <w:p w14:paraId="42CC05B6" w14:textId="6718219D" w:rsidR="00E46838" w:rsidRPr="00912806" w:rsidRDefault="00E46838" w:rsidP="001B58E7">
            <w:pPr>
              <w:spacing w:after="160"/>
              <w:rPr>
                <w:rFonts w:eastAsia="Aptos" w:cstheme="minorHAnsi"/>
                <w:b/>
                <w:bCs/>
                <w:kern w:val="2"/>
                <w14:ligatures w14:val="standardContextual"/>
              </w:rPr>
            </w:pPr>
            <w:r w:rsidRPr="00912806">
              <w:rPr>
                <w:rFonts w:eastAsia="Aptos" w:cstheme="minorHAnsi"/>
                <w:b/>
                <w:bCs/>
                <w:kern w:val="2"/>
                <w14:ligatures w14:val="standardContextual"/>
              </w:rPr>
              <w:t>GST treatment</w:t>
            </w:r>
          </w:p>
        </w:tc>
        <w:tc>
          <w:tcPr>
            <w:tcW w:w="3005" w:type="dxa"/>
            <w:vAlign w:val="top"/>
          </w:tcPr>
          <w:p w14:paraId="2803EE7C" w14:textId="23CE6837"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kern w:val="2"/>
                <w14:ligatures w14:val="standardContextual"/>
              </w:rPr>
              <w:t>All amounts GST exclusive</w:t>
            </w:r>
          </w:p>
        </w:tc>
        <w:tc>
          <w:tcPr>
            <w:tcW w:w="3006" w:type="dxa"/>
            <w:vAlign w:val="top"/>
          </w:tcPr>
          <w:p w14:paraId="39E0DCF2" w14:textId="4080DA33"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rPr>
              <w:t>Ensures monetary values are reported on a consistent GST-exclusive basis across agents and provider systems.</w:t>
            </w:r>
          </w:p>
        </w:tc>
      </w:tr>
      <w:tr w:rsidR="00E46838" w:rsidRPr="00D971A8" w14:paraId="590B535F" w14:textId="77777777" w:rsidTr="7ACEFA51">
        <w:tc>
          <w:tcPr>
            <w:cnfStyle w:val="001000000000" w:firstRow="0" w:lastRow="0" w:firstColumn="1" w:lastColumn="0" w:oddVBand="0" w:evenVBand="0" w:oddHBand="0" w:evenHBand="0" w:firstRowFirstColumn="0" w:firstRowLastColumn="0" w:lastRowFirstColumn="0" w:lastRowLastColumn="0"/>
            <w:tcW w:w="3005" w:type="dxa"/>
            <w:vAlign w:val="top"/>
          </w:tcPr>
          <w:p w14:paraId="5B9901B1" w14:textId="2A3FB6A9" w:rsidR="00E46838" w:rsidRPr="00912806" w:rsidRDefault="00E46838" w:rsidP="001B58E7">
            <w:pPr>
              <w:spacing w:after="160"/>
              <w:rPr>
                <w:rFonts w:eastAsia="Aptos" w:cstheme="minorHAnsi"/>
                <w:b/>
                <w:bCs/>
                <w:kern w:val="2"/>
                <w14:ligatures w14:val="standardContextual"/>
              </w:rPr>
            </w:pPr>
            <w:r w:rsidRPr="00912806">
              <w:rPr>
                <w:rFonts w:eastAsia="Aptos" w:cstheme="minorHAnsi"/>
                <w:b/>
                <w:bCs/>
                <w:kern w:val="2"/>
                <w14:ligatures w14:val="standardContextual"/>
              </w:rPr>
              <w:t>Currency conversion</w:t>
            </w:r>
          </w:p>
        </w:tc>
        <w:tc>
          <w:tcPr>
            <w:tcW w:w="3005" w:type="dxa"/>
            <w:vAlign w:val="top"/>
          </w:tcPr>
          <w:p w14:paraId="17E2D68C" w14:textId="694F4CF4"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rPr>
              <w:t>Rate at date of payment or obligation; use 30 June 2026 rate if unavailable</w:t>
            </w:r>
          </w:p>
        </w:tc>
        <w:tc>
          <w:tcPr>
            <w:tcW w:w="3006" w:type="dxa"/>
            <w:vAlign w:val="top"/>
          </w:tcPr>
          <w:p w14:paraId="744D6AE9" w14:textId="22482B7F"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rPr>
              <w:t>Consistent with a transaction-date approach, with a practical fallback where source rates are not available.</w:t>
            </w:r>
          </w:p>
        </w:tc>
      </w:tr>
      <w:tr w:rsidR="00E46838" w:rsidRPr="00D971A8" w14:paraId="00C1C19B" w14:textId="77777777" w:rsidTr="7ACEFA51">
        <w:tc>
          <w:tcPr>
            <w:cnfStyle w:val="001000000000" w:firstRow="0" w:lastRow="0" w:firstColumn="1" w:lastColumn="0" w:oddVBand="0" w:evenVBand="0" w:oddHBand="0" w:evenHBand="0" w:firstRowFirstColumn="0" w:firstRowLastColumn="0" w:lastRowFirstColumn="0" w:lastRowLastColumn="0"/>
            <w:tcW w:w="3005" w:type="dxa"/>
            <w:vAlign w:val="top"/>
          </w:tcPr>
          <w:p w14:paraId="228A3E8D" w14:textId="45B96E78" w:rsidR="00E46838" w:rsidRPr="00912806" w:rsidRDefault="00E46838" w:rsidP="001B58E7">
            <w:pPr>
              <w:spacing w:after="160"/>
              <w:rPr>
                <w:rFonts w:eastAsia="Aptos" w:cstheme="minorHAnsi"/>
                <w:b/>
                <w:bCs/>
                <w:kern w:val="2"/>
                <w14:ligatures w14:val="standardContextual"/>
              </w:rPr>
            </w:pPr>
            <w:r w:rsidRPr="00912806">
              <w:rPr>
                <w:rFonts w:eastAsia="Aptos" w:cstheme="minorHAnsi"/>
                <w:b/>
                <w:bCs/>
                <w:kern w:val="2"/>
                <w14:ligatures w14:val="standardContextual"/>
              </w:rPr>
              <w:t>Direct vs Indirect classification</w:t>
            </w:r>
          </w:p>
        </w:tc>
        <w:tc>
          <w:tcPr>
            <w:tcW w:w="3005" w:type="dxa"/>
            <w:vAlign w:val="top"/>
          </w:tcPr>
          <w:p w14:paraId="2C8E754D" w14:textId="75CFC86F"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rPr>
              <w:t>Apply the attribution test (see diagram below)</w:t>
            </w:r>
          </w:p>
        </w:tc>
        <w:tc>
          <w:tcPr>
            <w:tcW w:w="3006" w:type="dxa"/>
            <w:vAlign w:val="top"/>
          </w:tcPr>
          <w:p w14:paraId="7036C8C9" w14:textId="3F49382B"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rPr>
              <w:t>Applies the ESOS collection definitions. AASB 15 concepts are included as an interpretive aid only.</w:t>
            </w:r>
          </w:p>
        </w:tc>
      </w:tr>
      <w:tr w:rsidR="00AE760C" w:rsidRPr="00D971A8" w14:paraId="3A464B4D" w14:textId="77777777" w:rsidTr="7ACEFA51">
        <w:tc>
          <w:tcPr>
            <w:cnfStyle w:val="001000000000" w:firstRow="0" w:lastRow="0" w:firstColumn="1" w:lastColumn="0" w:oddVBand="0" w:evenVBand="0" w:oddHBand="0" w:evenHBand="0" w:firstRowFirstColumn="0" w:firstRowLastColumn="0" w:lastRowFirstColumn="0" w:lastRowLastColumn="0"/>
            <w:tcW w:w="3005" w:type="dxa"/>
            <w:vAlign w:val="top"/>
          </w:tcPr>
          <w:p w14:paraId="2AEF86A0" w14:textId="6CF329F7" w:rsidR="00AE760C" w:rsidRPr="00912806" w:rsidRDefault="00AE760C" w:rsidP="001B58E7">
            <w:pPr>
              <w:spacing w:after="160"/>
              <w:rPr>
                <w:rFonts w:eastAsia="Aptos" w:cstheme="minorHAnsi"/>
                <w:b/>
                <w:bCs/>
                <w:kern w:val="2"/>
                <w14:ligatures w14:val="standardContextual"/>
              </w:rPr>
            </w:pPr>
            <w:r w:rsidRPr="00912806">
              <w:rPr>
                <w:rFonts w:eastAsia="Aptos" w:cstheme="minorHAnsi"/>
                <w:b/>
                <w:bCs/>
                <w:kern w:val="2"/>
                <w14:ligatures w14:val="standardContextual"/>
              </w:rPr>
              <w:t>Non-monetary benefits</w:t>
            </w:r>
          </w:p>
        </w:tc>
        <w:tc>
          <w:tcPr>
            <w:tcW w:w="3005" w:type="dxa"/>
            <w:vAlign w:val="top"/>
          </w:tcPr>
          <w:p w14:paraId="420C712E" w14:textId="0D2AC840" w:rsidR="00AE760C" w:rsidRPr="00912806" w:rsidRDefault="28AD9ED4"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12806">
              <w:rPr>
                <w:rFonts w:ascii="Calibri" w:eastAsia="Calibri" w:hAnsi="Calibri" w:cs="Calibri"/>
              </w:rPr>
              <w:t>Financial (fair or actual) value not required – description only</w:t>
            </w:r>
          </w:p>
        </w:tc>
        <w:tc>
          <w:tcPr>
            <w:tcW w:w="3006" w:type="dxa"/>
            <w:vAlign w:val="top"/>
          </w:tcPr>
          <w:p w14:paraId="725ECF5E" w14:textId="10308D08" w:rsidR="00AE760C" w:rsidRPr="00912806" w:rsidRDefault="10896F06"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912806">
              <w:rPr>
                <w:rFonts w:ascii="Calibri" w:eastAsia="Calibri" w:hAnsi="Calibri" w:cs="Calibri"/>
              </w:rPr>
              <w:t>Reduces inconsistency of approach across providers.</w:t>
            </w:r>
          </w:p>
        </w:tc>
      </w:tr>
      <w:tr w:rsidR="00E46838" w:rsidRPr="00D971A8" w14:paraId="3F563F9A" w14:textId="77777777" w:rsidTr="7ACEFA51">
        <w:tc>
          <w:tcPr>
            <w:cnfStyle w:val="001000000000" w:firstRow="0" w:lastRow="0" w:firstColumn="1" w:lastColumn="0" w:oddVBand="0" w:evenVBand="0" w:oddHBand="0" w:evenHBand="0" w:firstRowFirstColumn="0" w:firstRowLastColumn="0" w:lastRowFirstColumn="0" w:lastRowLastColumn="0"/>
            <w:tcW w:w="3005" w:type="dxa"/>
            <w:vAlign w:val="top"/>
          </w:tcPr>
          <w:p w14:paraId="1139D446" w14:textId="3336BAA8" w:rsidR="00E46838" w:rsidRPr="00912806" w:rsidRDefault="00E46838" w:rsidP="001B58E7">
            <w:pPr>
              <w:spacing w:after="160"/>
              <w:rPr>
                <w:rFonts w:eastAsia="Aptos" w:cstheme="minorHAnsi"/>
                <w:b/>
                <w:bCs/>
                <w:kern w:val="2"/>
                <w14:ligatures w14:val="standardContextual"/>
              </w:rPr>
            </w:pPr>
            <w:r w:rsidRPr="00912806">
              <w:rPr>
                <w:rFonts w:eastAsia="Aptos" w:cstheme="minorHAnsi"/>
                <w:b/>
                <w:bCs/>
                <w:kern w:val="2"/>
                <w14:ligatures w14:val="standardContextual"/>
              </w:rPr>
              <w:t>Reporting period</w:t>
            </w:r>
          </w:p>
        </w:tc>
        <w:tc>
          <w:tcPr>
            <w:tcW w:w="3005" w:type="dxa"/>
            <w:vAlign w:val="top"/>
          </w:tcPr>
          <w:p w14:paraId="72914E9A" w14:textId="55A3926D"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kern w:val="2"/>
                <w14:ligatures w14:val="standardContextual"/>
              </w:rPr>
              <w:t>1 January – 30 June 2026</w:t>
            </w:r>
          </w:p>
        </w:tc>
        <w:tc>
          <w:tcPr>
            <w:tcW w:w="3006" w:type="dxa"/>
            <w:vAlign w:val="top"/>
          </w:tcPr>
          <w:p w14:paraId="4B816D98" w14:textId="48A5748C" w:rsidR="00E46838" w:rsidRPr="00912806" w:rsidRDefault="00E46838" w:rsidP="49DA11B7">
            <w:pPr>
              <w:spacing w:after="160"/>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kern w:val="2"/>
                <w14:ligatures w14:val="standardContextual"/>
              </w:rPr>
            </w:pPr>
            <w:r w:rsidRPr="00912806">
              <w:rPr>
                <w:rFonts w:ascii="Calibri" w:eastAsia="Calibri" w:hAnsi="Calibri" w:cs="Calibri"/>
                <w:kern w:val="2"/>
                <w14:ligatures w14:val="standardContextual"/>
              </w:rPr>
              <w:t>Fixed by the Secretary's request</w:t>
            </w:r>
            <w:r w:rsidR="009A7892">
              <w:rPr>
                <w:rFonts w:ascii="Calibri" w:eastAsia="Calibri" w:hAnsi="Calibri" w:cs="Calibri"/>
                <w:kern w:val="2"/>
                <w14:ligatures w14:val="standardContextual"/>
              </w:rPr>
              <w:t>.</w:t>
            </w:r>
          </w:p>
        </w:tc>
      </w:tr>
    </w:tbl>
    <w:p w14:paraId="6A5553F1" w14:textId="355E21A9" w:rsidR="00F07139" w:rsidRPr="00D971A8" w:rsidRDefault="00F07139" w:rsidP="00F07139">
      <w:pPr>
        <w:pStyle w:val="Heading3"/>
      </w:pPr>
      <w:r w:rsidRPr="00D971A8">
        <w:t xml:space="preserve">Classifying </w:t>
      </w:r>
      <w:r w:rsidR="002428D2" w:rsidRPr="00D971A8">
        <w:t>payments as direct or indirect</w:t>
      </w:r>
    </w:p>
    <w:p w14:paraId="668237F1" w14:textId="24AEEDCB" w:rsidR="00F07139" w:rsidRPr="00D971A8" w:rsidRDefault="005B0936" w:rsidP="00F07139">
      <w:pPr>
        <w:spacing w:after="160"/>
      </w:pPr>
      <w:r>
        <w:t xml:space="preserve">For the purposes of </w:t>
      </w:r>
      <w:r w:rsidR="00B911FB">
        <w:t>classifying direct and indirect commissions, please use the following definitions</w:t>
      </w:r>
      <w:r w:rsidR="00F07139" w:rsidRPr="00D971A8">
        <w:t>:</w:t>
      </w:r>
    </w:p>
    <w:p w14:paraId="2CA8F64A" w14:textId="77777777" w:rsidR="00F07139" w:rsidRPr="00D971A8" w:rsidRDefault="00F07139" w:rsidP="00B4254C">
      <w:pPr>
        <w:pStyle w:val="ListBullet"/>
        <w:numPr>
          <w:ilvl w:val="0"/>
          <w:numId w:val="27"/>
        </w:numPr>
        <w:tabs>
          <w:tab w:val="clear" w:pos="720"/>
        </w:tabs>
        <w:ind w:left="284" w:hanging="284"/>
      </w:pPr>
      <w:r w:rsidRPr="00D971A8">
        <w:t>Direct commission: "A cash or cash-like payment that relates directly to the acceptance of a student".</w:t>
      </w:r>
    </w:p>
    <w:p w14:paraId="68FD3146" w14:textId="77777777" w:rsidR="00F07139" w:rsidRPr="00D971A8" w:rsidRDefault="00F07139" w:rsidP="00B4254C">
      <w:pPr>
        <w:pStyle w:val="ListBullet"/>
        <w:numPr>
          <w:ilvl w:val="0"/>
          <w:numId w:val="27"/>
        </w:numPr>
        <w:tabs>
          <w:tab w:val="clear" w:pos="720"/>
        </w:tabs>
        <w:ind w:left="284" w:hanging="284"/>
      </w:pPr>
      <w:r w:rsidRPr="00D971A8">
        <w:lastRenderedPageBreak/>
        <w:t>Indirect commission: "A cash or cash-like payment that does not relate directly to the acceptance of a student".</w:t>
      </w:r>
    </w:p>
    <w:p w14:paraId="545833B4" w14:textId="4A017C0D" w:rsidR="00F07139" w:rsidRPr="00D971A8" w:rsidRDefault="00F07139" w:rsidP="00F07139">
      <w:pPr>
        <w:spacing w:after="160"/>
      </w:pPr>
      <w:r w:rsidRPr="00D971A8">
        <w:t xml:space="preserve">For classification purposes, the key question is whether the payment can be attributed to the acceptance of an identifiable student or students. A payment may </w:t>
      </w:r>
      <w:proofErr w:type="gramStart"/>
      <w:r w:rsidRPr="00D971A8">
        <w:t>be connected with</w:t>
      </w:r>
      <w:proofErr w:type="gramEnd"/>
      <w:r w:rsidRPr="00D971A8">
        <w:t xml:space="preserve"> recruitment activity generally but still be indirect if it is not attributable to specific student acceptances.</w:t>
      </w:r>
    </w:p>
    <w:p w14:paraId="06828083" w14:textId="39A40F1D" w:rsidR="005A2092" w:rsidRPr="00D971A8" w:rsidRDefault="00F07139" w:rsidP="00F07139">
      <w:pPr>
        <w:spacing w:after="160"/>
      </w:pPr>
      <w:r>
        <w:t>AASB 15 concepts may assist finance officers to analyse the substance of a payment. However, the AASB comparison is an interpretive aid only and does not replace the ESOS Act or the collection definitions.</w:t>
      </w:r>
    </w:p>
    <w:tbl>
      <w:tblPr>
        <w:tblStyle w:val="EDU-Basic"/>
        <w:tblW w:w="0" w:type="auto"/>
        <w:tblLook w:val="04A0" w:firstRow="1" w:lastRow="0" w:firstColumn="1" w:lastColumn="0" w:noHBand="0" w:noVBand="1"/>
      </w:tblPr>
      <w:tblGrid>
        <w:gridCol w:w="1555"/>
        <w:gridCol w:w="3402"/>
        <w:gridCol w:w="4059"/>
      </w:tblGrid>
      <w:tr w:rsidR="00482826" w:rsidRPr="00D971A8" w14:paraId="496A49CD" w14:textId="77777777" w:rsidTr="7ACEFA51">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1555" w:type="dxa"/>
          </w:tcPr>
          <w:p w14:paraId="131E4FBC" w14:textId="594EE340" w:rsidR="00482826" w:rsidRPr="00D971A8" w:rsidRDefault="00482826" w:rsidP="00482826">
            <w:pPr>
              <w:spacing w:after="160"/>
              <w:rPr>
                <w:b/>
                <w:bCs/>
              </w:rPr>
            </w:pPr>
            <w:r w:rsidRPr="00D971A8">
              <w:rPr>
                <w:b/>
                <w:bCs/>
              </w:rPr>
              <w:t>ESOS Term</w:t>
            </w:r>
          </w:p>
        </w:tc>
        <w:tc>
          <w:tcPr>
            <w:tcW w:w="3402" w:type="dxa"/>
          </w:tcPr>
          <w:p w14:paraId="0CE58F08" w14:textId="0732BC80" w:rsidR="00482826" w:rsidRPr="00D971A8" w:rsidRDefault="00482826" w:rsidP="00482826">
            <w:pPr>
              <w:spacing w:after="160"/>
              <w:cnfStyle w:val="100000000000" w:firstRow="1" w:lastRow="0" w:firstColumn="0" w:lastColumn="0" w:oddVBand="0" w:evenVBand="0" w:oddHBand="0" w:evenHBand="0" w:firstRowFirstColumn="0" w:firstRowLastColumn="0" w:lastRowFirstColumn="0" w:lastRowLastColumn="0"/>
            </w:pPr>
            <w:r w:rsidRPr="00D971A8">
              <w:rPr>
                <w:b/>
              </w:rPr>
              <w:t>Possible AASB 15 comparison</w:t>
            </w:r>
          </w:p>
        </w:tc>
        <w:tc>
          <w:tcPr>
            <w:tcW w:w="4059" w:type="dxa"/>
            <w:vAlign w:val="bottom"/>
          </w:tcPr>
          <w:p w14:paraId="5DACCE11" w14:textId="4076359E" w:rsidR="00482826" w:rsidRPr="00D971A8" w:rsidRDefault="00482826" w:rsidP="00482826">
            <w:pPr>
              <w:spacing w:after="160"/>
              <w:cnfStyle w:val="100000000000" w:firstRow="1" w:lastRow="0" w:firstColumn="0" w:lastColumn="0" w:oddVBand="0" w:evenVBand="0" w:oddHBand="0" w:evenHBand="0" w:firstRowFirstColumn="0" w:firstRowLastColumn="0" w:lastRowFirstColumn="0" w:lastRowLastColumn="0"/>
            </w:pPr>
            <w:r w:rsidRPr="00D971A8">
              <w:rPr>
                <w:b/>
                <w:bCs/>
              </w:rPr>
              <w:t>Characteristic</w:t>
            </w:r>
          </w:p>
        </w:tc>
      </w:tr>
      <w:tr w:rsidR="00482826" w:rsidRPr="00D971A8" w14:paraId="744FB5DB" w14:textId="77777777" w:rsidTr="7ACEFA51">
        <w:trPr>
          <w:trHeight w:val="269"/>
        </w:trPr>
        <w:tc>
          <w:tcPr>
            <w:cnfStyle w:val="001000000000" w:firstRow="0" w:lastRow="0" w:firstColumn="1" w:lastColumn="0" w:oddVBand="0" w:evenVBand="0" w:oddHBand="0" w:evenHBand="0" w:firstRowFirstColumn="0" w:firstRowLastColumn="0" w:lastRowFirstColumn="0" w:lastRowLastColumn="0"/>
            <w:tcW w:w="1555" w:type="dxa"/>
            <w:vAlign w:val="top"/>
          </w:tcPr>
          <w:p w14:paraId="0D9E1F55" w14:textId="0B11074C" w:rsidR="00482826" w:rsidRPr="00D971A8" w:rsidRDefault="00482826" w:rsidP="00DE4A98">
            <w:pPr>
              <w:spacing w:after="160"/>
              <w:rPr>
                <w:b/>
                <w:bCs/>
              </w:rPr>
            </w:pPr>
            <w:r w:rsidRPr="00D971A8">
              <w:rPr>
                <w:b/>
                <w:bCs/>
              </w:rPr>
              <w:t>Direct</w:t>
            </w:r>
          </w:p>
        </w:tc>
        <w:tc>
          <w:tcPr>
            <w:tcW w:w="3402" w:type="dxa"/>
            <w:vAlign w:val="top"/>
          </w:tcPr>
          <w:p w14:paraId="0624BBE6" w14:textId="2751A921" w:rsidR="00482826" w:rsidRPr="00D971A8" w:rsidRDefault="00482826" w:rsidP="00DE4A98">
            <w:pPr>
              <w:spacing w:after="160"/>
              <w:cnfStyle w:val="000000000000" w:firstRow="0" w:lastRow="0" w:firstColumn="0" w:lastColumn="0" w:oddVBand="0" w:evenVBand="0" w:oddHBand="0" w:evenHBand="0" w:firstRowFirstColumn="0" w:firstRowLastColumn="0" w:lastRowFirstColumn="0" w:lastRowLastColumn="0"/>
            </w:pPr>
            <w:r w:rsidRPr="00D971A8">
              <w:t>Incremental cost of obtaining a specific contract</w:t>
            </w:r>
          </w:p>
        </w:tc>
        <w:tc>
          <w:tcPr>
            <w:tcW w:w="4059" w:type="dxa"/>
            <w:vAlign w:val="top"/>
          </w:tcPr>
          <w:p w14:paraId="4A492CFD" w14:textId="02D22B83" w:rsidR="00482826" w:rsidRPr="00D971A8" w:rsidRDefault="00482826" w:rsidP="00DE4A98">
            <w:pPr>
              <w:spacing w:after="160"/>
              <w:cnfStyle w:val="000000000000" w:firstRow="0" w:lastRow="0" w:firstColumn="0" w:lastColumn="0" w:oddVBand="0" w:evenVBand="0" w:oddHBand="0" w:evenHBand="0" w:firstRowFirstColumn="0" w:firstRowLastColumn="0" w:lastRowFirstColumn="0" w:lastRowLastColumn="0"/>
            </w:pPr>
            <w:r w:rsidRPr="00D971A8">
              <w:t>Would not have been incurred if that specific student acceptance or contract had not occurred</w:t>
            </w:r>
          </w:p>
        </w:tc>
      </w:tr>
      <w:tr w:rsidR="00482826" w:rsidRPr="00D971A8" w14:paraId="7533E1AB" w14:textId="77777777" w:rsidTr="7ACEFA51">
        <w:trPr>
          <w:trHeight w:val="269"/>
        </w:trPr>
        <w:tc>
          <w:tcPr>
            <w:cnfStyle w:val="001000000000" w:firstRow="0" w:lastRow="0" w:firstColumn="1" w:lastColumn="0" w:oddVBand="0" w:evenVBand="0" w:oddHBand="0" w:evenHBand="0" w:firstRowFirstColumn="0" w:firstRowLastColumn="0" w:lastRowFirstColumn="0" w:lastRowLastColumn="0"/>
            <w:tcW w:w="1555" w:type="dxa"/>
            <w:vAlign w:val="top"/>
          </w:tcPr>
          <w:p w14:paraId="31008B7E" w14:textId="53DBEFDE" w:rsidR="00482826" w:rsidRPr="00D971A8" w:rsidRDefault="00482826" w:rsidP="00DE4A98">
            <w:pPr>
              <w:spacing w:after="160"/>
              <w:rPr>
                <w:b/>
                <w:bCs/>
              </w:rPr>
            </w:pPr>
            <w:r w:rsidRPr="00D971A8">
              <w:rPr>
                <w:b/>
                <w:bCs/>
              </w:rPr>
              <w:t>Indirect</w:t>
            </w:r>
          </w:p>
        </w:tc>
        <w:tc>
          <w:tcPr>
            <w:tcW w:w="3402" w:type="dxa"/>
            <w:vAlign w:val="top"/>
          </w:tcPr>
          <w:p w14:paraId="7CF44134" w14:textId="378E0918" w:rsidR="00482826" w:rsidRPr="00D971A8" w:rsidRDefault="00482826" w:rsidP="00DE4A98">
            <w:pPr>
              <w:spacing w:after="160"/>
              <w:cnfStyle w:val="000000000000" w:firstRow="0" w:lastRow="0" w:firstColumn="0" w:lastColumn="0" w:oddVBand="0" w:evenVBand="0" w:oddHBand="0" w:evenHBand="0" w:firstRowFirstColumn="0" w:firstRowLastColumn="0" w:lastRowFirstColumn="0" w:lastRowLastColumn="0"/>
            </w:pPr>
            <w:r w:rsidRPr="00D971A8">
              <w:t>General selling expense or portfolio-level cost</w:t>
            </w:r>
          </w:p>
        </w:tc>
        <w:tc>
          <w:tcPr>
            <w:tcW w:w="4059" w:type="dxa"/>
            <w:vAlign w:val="top"/>
          </w:tcPr>
          <w:p w14:paraId="41765F54" w14:textId="5EFFA859" w:rsidR="00482826" w:rsidRPr="00D971A8" w:rsidRDefault="00482826" w:rsidP="00DE4A98">
            <w:pPr>
              <w:spacing w:after="160"/>
              <w:cnfStyle w:val="000000000000" w:firstRow="0" w:lastRow="0" w:firstColumn="0" w:lastColumn="0" w:oddVBand="0" w:evenVBand="0" w:oddHBand="0" w:evenHBand="0" w:firstRowFirstColumn="0" w:firstRowLastColumn="0" w:lastRowFirstColumn="0" w:lastRowLastColumn="0"/>
            </w:pPr>
            <w:r>
              <w:t>Incurred in connection with recruitment activity generally, but not attributable to a specific student acceptance</w:t>
            </w:r>
          </w:p>
        </w:tc>
      </w:tr>
    </w:tbl>
    <w:p w14:paraId="30623CAB" w14:textId="46DB5B98" w:rsidR="00F07139" w:rsidRPr="00D971A8" w:rsidRDefault="00F07139" w:rsidP="000B7FB1">
      <w:pPr>
        <w:pStyle w:val="Heading4"/>
      </w:pPr>
      <w:r w:rsidRPr="00D971A8">
        <w:t xml:space="preserve">The </w:t>
      </w:r>
      <w:r w:rsidR="00EC32BC" w:rsidRPr="00D971A8">
        <w:t>a</w:t>
      </w:r>
      <w:r w:rsidRPr="00D971A8">
        <w:t xml:space="preserve">ttribution </w:t>
      </w:r>
      <w:r w:rsidR="00EC32BC" w:rsidRPr="00D971A8">
        <w:t>t</w:t>
      </w:r>
      <w:r w:rsidRPr="00D971A8">
        <w:t>est</w:t>
      </w:r>
    </w:p>
    <w:p w14:paraId="243A9C90" w14:textId="40666138" w:rsidR="00F07139" w:rsidRDefault="00F07139" w:rsidP="00F07139">
      <w:pPr>
        <w:spacing w:after="160"/>
      </w:pPr>
      <w:r w:rsidRPr="00D971A8">
        <w:t xml:space="preserve">Can the </w:t>
      </w:r>
      <w:r w:rsidR="003247F9">
        <w:t xml:space="preserve">education agent commission </w:t>
      </w:r>
      <w:r w:rsidRPr="00D971A8">
        <w:t>payment be attributed to the acceptance of an identifiable student or students? In practice, this asks whether a specific student acceptance triggered the payment obligation.</w:t>
      </w:r>
    </w:p>
    <w:tbl>
      <w:tblPr>
        <w:tblStyle w:val="EDU-Basic"/>
        <w:tblW w:w="0" w:type="auto"/>
        <w:tblLook w:val="04A0" w:firstRow="1" w:lastRow="0" w:firstColumn="1" w:lastColumn="0" w:noHBand="0" w:noVBand="1"/>
      </w:tblPr>
      <w:tblGrid>
        <w:gridCol w:w="6799"/>
        <w:gridCol w:w="2217"/>
      </w:tblGrid>
      <w:tr w:rsidR="00F91441" w:rsidRPr="00D971A8" w14:paraId="5E2F7EC9" w14:textId="77777777" w:rsidTr="0091280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99" w:type="dxa"/>
          </w:tcPr>
          <w:p w14:paraId="79C622BD" w14:textId="77777777" w:rsidR="00F91441" w:rsidRPr="00D971A8" w:rsidRDefault="00F91441" w:rsidP="00704668">
            <w:pPr>
              <w:spacing w:after="160"/>
              <w:rPr>
                <w:b/>
                <w:bCs/>
              </w:rPr>
            </w:pPr>
            <w:r w:rsidRPr="00D971A8">
              <w:rPr>
                <w:b/>
                <w:bCs/>
              </w:rPr>
              <w:t>Answer</w:t>
            </w:r>
          </w:p>
        </w:tc>
        <w:tc>
          <w:tcPr>
            <w:tcW w:w="2217" w:type="dxa"/>
          </w:tcPr>
          <w:p w14:paraId="412FB495" w14:textId="77777777" w:rsidR="00F91441" w:rsidRPr="00D971A8" w:rsidRDefault="00F91441" w:rsidP="00704668">
            <w:pPr>
              <w:spacing w:after="160"/>
              <w:cnfStyle w:val="100000000000" w:firstRow="1" w:lastRow="0" w:firstColumn="0" w:lastColumn="0" w:oddVBand="0" w:evenVBand="0" w:oddHBand="0" w:evenHBand="0" w:firstRowFirstColumn="0" w:firstRowLastColumn="0" w:lastRowFirstColumn="0" w:lastRowLastColumn="0"/>
              <w:rPr>
                <w:b/>
                <w:bCs/>
              </w:rPr>
            </w:pPr>
            <w:r w:rsidRPr="00D971A8">
              <w:rPr>
                <w:b/>
                <w:bCs/>
              </w:rPr>
              <w:t>Classification</w:t>
            </w:r>
          </w:p>
        </w:tc>
      </w:tr>
      <w:tr w:rsidR="00F91441" w:rsidRPr="00D971A8" w14:paraId="7A3CA188" w14:textId="77777777" w:rsidTr="00912806">
        <w:tc>
          <w:tcPr>
            <w:cnfStyle w:val="001000000000" w:firstRow="0" w:lastRow="0" w:firstColumn="1" w:lastColumn="0" w:oddVBand="0" w:evenVBand="0" w:oddHBand="0" w:evenHBand="0" w:firstRowFirstColumn="0" w:firstRowLastColumn="0" w:lastRowFirstColumn="0" w:lastRowLastColumn="0"/>
            <w:tcW w:w="6799" w:type="dxa"/>
            <w:vAlign w:val="top"/>
          </w:tcPr>
          <w:p w14:paraId="5F1FC9DF" w14:textId="77777777" w:rsidR="00F91441" w:rsidRPr="00D971A8" w:rsidRDefault="00F91441" w:rsidP="00704668">
            <w:pPr>
              <w:spacing w:after="160"/>
            </w:pPr>
            <w:r w:rsidRPr="00D971A8">
              <w:t>Yes - the payment can be attributed to the acceptance of an identifiable student or students.</w:t>
            </w:r>
          </w:p>
        </w:tc>
        <w:tc>
          <w:tcPr>
            <w:tcW w:w="2217" w:type="dxa"/>
            <w:vAlign w:val="top"/>
          </w:tcPr>
          <w:p w14:paraId="61905C95" w14:textId="77777777" w:rsidR="00F91441" w:rsidRPr="00D971A8" w:rsidRDefault="00F91441" w:rsidP="00704668">
            <w:pPr>
              <w:spacing w:after="160"/>
              <w:cnfStyle w:val="000000000000" w:firstRow="0" w:lastRow="0" w:firstColumn="0" w:lastColumn="0" w:oddVBand="0" w:evenVBand="0" w:oddHBand="0" w:evenHBand="0" w:firstRowFirstColumn="0" w:firstRowLastColumn="0" w:lastRowFirstColumn="0" w:lastRowLastColumn="0"/>
              <w:rPr>
                <w:b/>
                <w:bCs/>
              </w:rPr>
            </w:pPr>
            <w:r w:rsidRPr="00D971A8">
              <w:rPr>
                <w:b/>
                <w:bCs/>
              </w:rPr>
              <w:t>Direct</w:t>
            </w:r>
          </w:p>
        </w:tc>
      </w:tr>
      <w:tr w:rsidR="00F91441" w:rsidRPr="00D971A8" w14:paraId="662C81CB" w14:textId="77777777" w:rsidTr="00912806">
        <w:tc>
          <w:tcPr>
            <w:cnfStyle w:val="001000000000" w:firstRow="0" w:lastRow="0" w:firstColumn="1" w:lastColumn="0" w:oddVBand="0" w:evenVBand="0" w:oddHBand="0" w:evenHBand="0" w:firstRowFirstColumn="0" w:firstRowLastColumn="0" w:lastRowFirstColumn="0" w:lastRowLastColumn="0"/>
            <w:tcW w:w="6799" w:type="dxa"/>
            <w:vAlign w:val="top"/>
          </w:tcPr>
          <w:p w14:paraId="030DE3B5" w14:textId="77777777" w:rsidR="00F91441" w:rsidRPr="00D971A8" w:rsidRDefault="00F91441" w:rsidP="00704668">
            <w:pPr>
              <w:spacing w:after="160"/>
            </w:pPr>
            <w:r w:rsidRPr="00D971A8">
              <w:t>No - the payment is triggered by aggregate metrics, collective thresholds or activity not attributable to identifiable student acceptances.</w:t>
            </w:r>
          </w:p>
        </w:tc>
        <w:tc>
          <w:tcPr>
            <w:tcW w:w="2217" w:type="dxa"/>
            <w:vAlign w:val="top"/>
          </w:tcPr>
          <w:p w14:paraId="46E54FA0" w14:textId="77777777" w:rsidR="00F91441" w:rsidRPr="00D971A8" w:rsidRDefault="00F91441" w:rsidP="00704668">
            <w:pPr>
              <w:spacing w:after="160"/>
              <w:cnfStyle w:val="000000000000" w:firstRow="0" w:lastRow="0" w:firstColumn="0" w:lastColumn="0" w:oddVBand="0" w:evenVBand="0" w:oddHBand="0" w:evenHBand="0" w:firstRowFirstColumn="0" w:firstRowLastColumn="0" w:lastRowFirstColumn="0" w:lastRowLastColumn="0"/>
              <w:rPr>
                <w:b/>
                <w:bCs/>
              </w:rPr>
            </w:pPr>
            <w:r w:rsidRPr="00D971A8">
              <w:rPr>
                <w:b/>
                <w:bCs/>
              </w:rPr>
              <w:t>Indirect</w:t>
            </w:r>
          </w:p>
        </w:tc>
      </w:tr>
    </w:tbl>
    <w:p w14:paraId="58615E47" w14:textId="77777777" w:rsidR="00F91441" w:rsidRPr="00D971A8" w:rsidRDefault="00F91441" w:rsidP="00F91441">
      <w:pPr>
        <w:pStyle w:val="Heading4"/>
      </w:pPr>
      <w:r w:rsidRPr="00D971A8">
        <w:t>Supplementary: Mixed payments</w:t>
      </w:r>
    </w:p>
    <w:p w14:paraId="2A6AA1D6" w14:textId="77777777" w:rsidR="00F91441" w:rsidRPr="00D971A8" w:rsidRDefault="00F91441" w:rsidP="00F91441">
      <w:pPr>
        <w:spacing w:after="160"/>
      </w:pPr>
      <w:r w:rsidRPr="00D971A8">
        <w:t>Where a single agent agreement or invoice includes both a component attributable to specific students and a component that is not, split the payment into its direct and indirect components:</w:t>
      </w:r>
    </w:p>
    <w:p w14:paraId="57CF52A0" w14:textId="77777777" w:rsidR="00F91441" w:rsidRPr="00D971A8" w:rsidRDefault="00F91441" w:rsidP="00F91441">
      <w:pPr>
        <w:pStyle w:val="ListBullet"/>
        <w:numPr>
          <w:ilvl w:val="0"/>
          <w:numId w:val="27"/>
        </w:numPr>
        <w:tabs>
          <w:tab w:val="clear" w:pos="720"/>
        </w:tabs>
        <w:ind w:left="284" w:hanging="284"/>
      </w:pPr>
      <w:r w:rsidRPr="00D971A8">
        <w:t>Per-student component: classify as Direct.</w:t>
      </w:r>
    </w:p>
    <w:p w14:paraId="47A1B3B1" w14:textId="77777777" w:rsidR="00F91441" w:rsidRPr="00D971A8" w:rsidRDefault="00F91441" w:rsidP="00F91441">
      <w:pPr>
        <w:pStyle w:val="ListBullet"/>
        <w:numPr>
          <w:ilvl w:val="0"/>
          <w:numId w:val="27"/>
        </w:numPr>
        <w:tabs>
          <w:tab w:val="clear" w:pos="720"/>
        </w:tabs>
        <w:ind w:left="284" w:hanging="284"/>
      </w:pPr>
      <w:r w:rsidRPr="00D971A8">
        <w:t>Fixed or retainer component: classify as Indirect.</w:t>
      </w:r>
    </w:p>
    <w:p w14:paraId="217778E6" w14:textId="77777777" w:rsidR="00F91441" w:rsidRPr="00D971A8" w:rsidRDefault="00F91441" w:rsidP="00F91441">
      <w:pPr>
        <w:spacing w:after="160"/>
      </w:pPr>
      <w:r w:rsidRPr="00D971A8">
        <w:t>Example: An agreement provides for a $500 monthly retainer plus $1,500 for each enrolled student.</w:t>
      </w:r>
    </w:p>
    <w:p w14:paraId="7F65E319" w14:textId="10ED8DC6" w:rsidR="00F91441" w:rsidRPr="00D971A8" w:rsidRDefault="00F91441" w:rsidP="00F91441">
      <w:pPr>
        <w:pStyle w:val="ListBullet"/>
        <w:numPr>
          <w:ilvl w:val="0"/>
          <w:numId w:val="27"/>
        </w:numPr>
        <w:tabs>
          <w:tab w:val="clear" w:pos="720"/>
        </w:tabs>
        <w:ind w:left="284" w:hanging="284"/>
      </w:pPr>
      <w:r w:rsidRPr="00D971A8">
        <w:t>The $500 monthly retainer is Indirect, as it is payable regardless of whether a specific student is accepted.</w:t>
      </w:r>
    </w:p>
    <w:p w14:paraId="02C6243B" w14:textId="77777777" w:rsidR="00F91441" w:rsidRPr="00D971A8" w:rsidRDefault="00F91441" w:rsidP="00F91441">
      <w:pPr>
        <w:pStyle w:val="ListBullet"/>
        <w:numPr>
          <w:ilvl w:val="0"/>
          <w:numId w:val="27"/>
        </w:numPr>
        <w:tabs>
          <w:tab w:val="clear" w:pos="720"/>
        </w:tabs>
        <w:ind w:left="284" w:hanging="284"/>
      </w:pPr>
      <w:r w:rsidRPr="00D971A8">
        <w:t>The $1,500 per-student amount is Direct, as each payment is attributable to an identifiable student acceptance.</w:t>
      </w:r>
    </w:p>
    <w:p w14:paraId="06689F83" w14:textId="77777777" w:rsidR="00F91441" w:rsidRDefault="00F91441" w:rsidP="00F91441">
      <w:pPr>
        <w:spacing w:after="160"/>
      </w:pPr>
      <w:r w:rsidRPr="00D971A8">
        <w:t>Apply the split at invoice line level where possible. If that is not available, derive a reasonable allocation from the agent agreement and apply it consistently to payments for the reporting period.</w:t>
      </w:r>
    </w:p>
    <w:p w14:paraId="76BC2148" w14:textId="77777777" w:rsidR="00F91441" w:rsidRPr="00D971A8" w:rsidRDefault="00F91441" w:rsidP="00F91441">
      <w:pPr>
        <w:pStyle w:val="Heading4"/>
      </w:pPr>
      <w:r w:rsidRPr="00D971A8">
        <w:t xml:space="preserve">Supplementary: </w:t>
      </w:r>
      <w:r>
        <w:t>Reversals, clawbacks and credit notes</w:t>
      </w:r>
    </w:p>
    <w:p w14:paraId="2A55BCF0" w14:textId="77777777" w:rsidR="00F91441" w:rsidRPr="00403337" w:rsidRDefault="00F91441" w:rsidP="00403337">
      <w:pPr>
        <w:spacing w:after="160" w:line="240" w:lineRule="auto"/>
      </w:pPr>
      <w:r>
        <w:t xml:space="preserve">Where an agreement with an agent allows for reversals or clawbacks, these negative amounts should be included in the overall calculation of direct and indirect commissions. In the situation where total direct or indirect payments to an agent business are overall negative for the period (i.e. </w:t>
      </w:r>
      <w:r>
        <w:lastRenderedPageBreak/>
        <w:t>rever</w:t>
      </w:r>
      <w:r w:rsidRPr="00403337">
        <w:rPr>
          <w:rFonts w:eastAsiaTheme="minorEastAsia"/>
        </w:rPr>
        <w:t>sals and clawbacks exceed outgoing payments), record a negative amount in the template. This situation was considered when designing the collection.</w:t>
      </w:r>
    </w:p>
    <w:p w14:paraId="3C345A65" w14:textId="0F4139B6" w:rsidR="22D7D6AB" w:rsidRDefault="22D7D6AB" w:rsidP="00403337">
      <w:pPr>
        <w:spacing w:after="160" w:line="240" w:lineRule="auto"/>
      </w:pPr>
      <w:r w:rsidRPr="00403337">
        <w:rPr>
          <w:rFonts w:eastAsiaTheme="minorEastAsia"/>
        </w:rPr>
        <w:t>Where a reversal or clawback relates to students previously included in the accepted student count, providers may make a corresponding adjustment to the accepted student count. If those adjustments exceed new accepted students associated with direct commissions during the reporting period, a negative accepted student count may be reported.</w:t>
      </w:r>
    </w:p>
    <w:p w14:paraId="021760F6" w14:textId="319CC7BE" w:rsidR="00F91441" w:rsidRDefault="00F91441" w:rsidP="00403337">
      <w:pPr>
        <w:spacing w:after="160" w:line="240" w:lineRule="auto"/>
      </w:pPr>
      <w:r w:rsidRPr="00403337">
        <w:rPr>
          <w:rFonts w:eastAsiaTheme="minorEastAsia"/>
        </w:rPr>
        <w:t>Credit notes should be accounted for under standard accrual practices. Reported commissions cannot be corrected after the collection timeframe is closed, so if a credit note is accounted for in one reporting period, it should not be reporte</w:t>
      </w:r>
      <w:r>
        <w:t>d again in any future reporting period. It is recommended that credit notes be identified in any reconciliation notes to reduce the risk of double counting in future collections.</w:t>
      </w:r>
    </w:p>
    <w:p w14:paraId="09412539" w14:textId="0F3994ED" w:rsidR="00AC04BA" w:rsidRPr="00D971A8" w:rsidRDefault="00AC04BA" w:rsidP="00AC04BA">
      <w:pPr>
        <w:pStyle w:val="Heading4"/>
      </w:pPr>
      <w:r>
        <w:t>Supplementary: Cash vs accrual accounting</w:t>
      </w:r>
    </w:p>
    <w:p w14:paraId="73FB7061" w14:textId="77105608" w:rsidR="00AC04BA" w:rsidRPr="00D971A8" w:rsidRDefault="00D4657F" w:rsidP="00403337">
      <w:pPr>
        <w:spacing w:after="160" w:line="240" w:lineRule="auto"/>
      </w:pPr>
      <w:r>
        <w:t xml:space="preserve">Accrual accounting is the preferred standard, in alignment with Australian Accounting Standards. However, </w:t>
      </w:r>
      <w:r w:rsidR="00D43F8F">
        <w:t xml:space="preserve">in situations where accrual accounting may provide a misleading impression of commissions paid, have poor alignment with accepted student counts, or are not </w:t>
      </w:r>
      <w:r w:rsidR="00976A89">
        <w:t xml:space="preserve">aligned with the provider’s current accounting arrangements, cash-based accounting can be used. </w:t>
      </w:r>
      <w:r w:rsidR="00F56351">
        <w:t xml:space="preserve">Keep a note of any use of cash accounting for future records and to ensure consistency across </w:t>
      </w:r>
      <w:r w:rsidR="2117C7A1">
        <w:t xml:space="preserve">future </w:t>
      </w:r>
      <w:r w:rsidR="00F56351">
        <w:t>reporting periods.</w:t>
      </w:r>
    </w:p>
    <w:p w14:paraId="37CE3ACF" w14:textId="0F19C50B" w:rsidR="00F07139" w:rsidRPr="00D971A8" w:rsidRDefault="00F07139" w:rsidP="00EC32BC">
      <w:pPr>
        <w:pStyle w:val="Heading4"/>
      </w:pPr>
      <w:r w:rsidRPr="00D971A8">
        <w:lastRenderedPageBreak/>
        <w:t xml:space="preserve">Classification </w:t>
      </w:r>
      <w:r w:rsidR="00EC32BC" w:rsidRPr="00D971A8">
        <w:t>d</w:t>
      </w:r>
      <w:r w:rsidRPr="00D971A8">
        <w:t xml:space="preserve">ecision </w:t>
      </w:r>
      <w:r w:rsidR="00EC32BC" w:rsidRPr="00D971A8">
        <w:t>d</w:t>
      </w:r>
      <w:r w:rsidRPr="00D971A8">
        <w:t>iagram</w:t>
      </w:r>
    </w:p>
    <w:p w14:paraId="234B777A" w14:textId="25139C09" w:rsidR="00EC32BC" w:rsidRPr="00D971A8" w:rsidRDefault="00384184" w:rsidP="00EC32BC">
      <w:pPr>
        <w:jc w:val="center"/>
      </w:pPr>
      <w:r w:rsidRPr="00D971A8">
        <w:rPr>
          <w:noProof/>
        </w:rPr>
        <w:drawing>
          <wp:inline distT="0" distB="0" distL="0" distR="0" wp14:anchorId="77FE7619" wp14:editId="709637BC">
            <wp:extent cx="6420726" cy="719121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ent_commission_classification_revised.png"/>
                    <pic:cNvPicPr/>
                  </pic:nvPicPr>
                  <pic:blipFill>
                    <a:blip r:embed="rId12"/>
                    <a:stretch>
                      <a:fillRect/>
                    </a:stretch>
                  </pic:blipFill>
                  <pic:spPr>
                    <a:xfrm>
                      <a:off x="0" y="0"/>
                      <a:ext cx="6434255" cy="7206366"/>
                    </a:xfrm>
                    <a:prstGeom prst="rect">
                      <a:avLst/>
                    </a:prstGeom>
                  </pic:spPr>
                </pic:pic>
              </a:graphicData>
            </a:graphic>
          </wp:inline>
        </w:drawing>
      </w:r>
    </w:p>
    <w:p w14:paraId="498E1E49" w14:textId="77777777" w:rsidR="00015F8A" w:rsidRDefault="00015F8A">
      <w:pPr>
        <w:spacing w:after="160"/>
        <w:rPr>
          <w:rFonts w:asciiTheme="majorHAnsi" w:eastAsiaTheme="majorEastAsia" w:hAnsiTheme="majorHAnsi" w:cstheme="majorBidi"/>
          <w:b/>
          <w:iCs/>
          <w:color w:val="00254A" w:themeColor="text2"/>
          <w:sz w:val="28"/>
        </w:rPr>
      </w:pPr>
      <w:r>
        <w:br w:type="page"/>
      </w:r>
    </w:p>
    <w:p w14:paraId="68E560F8" w14:textId="56BAB048" w:rsidR="00565EE6" w:rsidRPr="00D971A8" w:rsidRDefault="00565EE6" w:rsidP="00565EE6">
      <w:pPr>
        <w:pStyle w:val="Heading4"/>
      </w:pPr>
      <w:r w:rsidRPr="00D971A8">
        <w:lastRenderedPageBreak/>
        <w:t xml:space="preserve">Supplementary: </w:t>
      </w:r>
      <w:r>
        <w:t xml:space="preserve">Tuition fee payments made through </w:t>
      </w:r>
      <w:r w:rsidR="00702BE7">
        <w:t>agent</w:t>
      </w:r>
    </w:p>
    <w:p w14:paraId="1A91DD59" w14:textId="168EE755" w:rsidR="00565EE6" w:rsidRDefault="00702BE7" w:rsidP="00565EE6">
      <w:r>
        <w:t xml:space="preserve">Where an agreement with an agent requires </w:t>
      </w:r>
      <w:r w:rsidR="174FB4A2">
        <w:t xml:space="preserve">or otherwise allows </w:t>
      </w:r>
      <w:r>
        <w:t>all student payments to be made to the agent, which are then passed through to the provider</w:t>
      </w:r>
      <w:r w:rsidR="00206C62">
        <w:t xml:space="preserve"> after some trigger (e.g. visa grant)</w:t>
      </w:r>
      <w:r>
        <w:t xml:space="preserve"> </w:t>
      </w:r>
      <w:r w:rsidR="0095327C">
        <w:t xml:space="preserve">with the </w:t>
      </w:r>
      <w:r w:rsidR="00916D6A">
        <w:t xml:space="preserve">one or more </w:t>
      </w:r>
      <w:r w:rsidR="0095327C">
        <w:t>fee</w:t>
      </w:r>
      <w:r w:rsidR="00916D6A">
        <w:t>s</w:t>
      </w:r>
      <w:r w:rsidR="0095327C">
        <w:t xml:space="preserve"> </w:t>
      </w:r>
      <w:r w:rsidR="00916D6A">
        <w:t>kept by the agent</w:t>
      </w:r>
      <w:r w:rsidR="009F3A36">
        <w:t>,</w:t>
      </w:r>
      <w:r w:rsidR="006C63CA">
        <w:t xml:space="preserve"> the</w:t>
      </w:r>
      <w:r w:rsidR="00916D6A">
        <w:t>se</w:t>
      </w:r>
      <w:r w:rsidR="009F3A36">
        <w:t xml:space="preserve"> </w:t>
      </w:r>
      <w:r w:rsidR="00916D6A">
        <w:t xml:space="preserve">retained </w:t>
      </w:r>
      <w:r w:rsidR="009F3A36">
        <w:t>fee</w:t>
      </w:r>
      <w:r w:rsidR="00916D6A">
        <w:t>s</w:t>
      </w:r>
      <w:r w:rsidR="009F3A36">
        <w:t xml:space="preserve"> should be identified as a direct payment</w:t>
      </w:r>
      <w:r w:rsidR="006C63CA">
        <w:t xml:space="preserve"> to the </w:t>
      </w:r>
      <w:r w:rsidR="00916D6A">
        <w:t>agent</w:t>
      </w:r>
      <w:r w:rsidR="009F3A36">
        <w:t>.</w:t>
      </w:r>
      <w:r w:rsidR="006C63CA">
        <w:t xml:space="preserve"> For example:</w:t>
      </w:r>
    </w:p>
    <w:p w14:paraId="38FAAB59" w14:textId="6BBE33B5" w:rsidR="006C63CA" w:rsidRPr="006C63CA" w:rsidRDefault="001C6626" w:rsidP="006C63CA">
      <w:pPr>
        <w:pStyle w:val="ListBullet"/>
        <w:numPr>
          <w:ilvl w:val="0"/>
          <w:numId w:val="27"/>
        </w:numPr>
        <w:tabs>
          <w:tab w:val="clear" w:pos="720"/>
        </w:tabs>
        <w:ind w:left="284" w:hanging="284"/>
      </w:pPr>
      <w:r>
        <w:t>A w</w:t>
      </w:r>
      <w:r w:rsidR="006C63CA" w:rsidRPr="006C63CA">
        <w:t>ritten agreement requires the payment of $1000 enrolment/administration fee, $5000 pre-paid tuition fees</w:t>
      </w:r>
      <w:r>
        <w:t xml:space="preserve"> and</w:t>
      </w:r>
      <w:r w:rsidR="006C63CA" w:rsidRPr="006C63CA">
        <w:t xml:space="preserve"> $500 materials fees</w:t>
      </w:r>
    </w:p>
    <w:p w14:paraId="038C3DA4" w14:textId="3148FE1B" w:rsidR="006C63CA" w:rsidRPr="006C63CA" w:rsidRDefault="006C63CA" w:rsidP="006C63CA">
      <w:pPr>
        <w:pStyle w:val="ListBullet"/>
        <w:numPr>
          <w:ilvl w:val="0"/>
          <w:numId w:val="27"/>
        </w:numPr>
        <w:tabs>
          <w:tab w:val="clear" w:pos="720"/>
        </w:tabs>
        <w:ind w:left="284" w:hanging="284"/>
      </w:pPr>
      <w:r w:rsidRPr="006C63CA">
        <w:t>Student pays all three</w:t>
      </w:r>
      <w:r w:rsidR="001C6626">
        <w:t xml:space="preserve"> fees</w:t>
      </w:r>
      <w:r w:rsidRPr="006C63CA">
        <w:t xml:space="preserve"> to the agent</w:t>
      </w:r>
    </w:p>
    <w:p w14:paraId="36257AEB" w14:textId="32F7E162" w:rsidR="006C63CA" w:rsidRPr="006C63CA" w:rsidRDefault="006C63CA" w:rsidP="006C63CA">
      <w:pPr>
        <w:pStyle w:val="ListBullet"/>
        <w:numPr>
          <w:ilvl w:val="0"/>
          <w:numId w:val="27"/>
        </w:numPr>
        <w:tabs>
          <w:tab w:val="clear" w:pos="720"/>
        </w:tabs>
        <w:ind w:left="284" w:hanging="284"/>
      </w:pPr>
      <w:r w:rsidRPr="006C63CA">
        <w:t>Upon visa issue, agent transfers</w:t>
      </w:r>
      <w:r w:rsidR="001C6626">
        <w:t xml:space="preserve"> the</w:t>
      </w:r>
      <w:r w:rsidRPr="006C63CA">
        <w:t xml:space="preserve"> pre-paid tuition and materials fees to the provider and is permitted by the provider to retain the $1000 enrolment/administration fee.</w:t>
      </w:r>
    </w:p>
    <w:p w14:paraId="396CAA10" w14:textId="7FB21D98" w:rsidR="006C63CA" w:rsidRDefault="00EA2B77" w:rsidP="00565EE6">
      <w:r>
        <w:t xml:space="preserve">The $1000 </w:t>
      </w:r>
      <w:r w:rsidR="00916D6A">
        <w:t xml:space="preserve">enrolment/administration </w:t>
      </w:r>
      <w:r>
        <w:t>fee is a direct commission and should be reported.</w:t>
      </w:r>
    </w:p>
    <w:p w14:paraId="1AEA3C66" w14:textId="7C2A54D6" w:rsidR="00F07139" w:rsidRPr="00D971A8" w:rsidRDefault="00F07139" w:rsidP="00A56865">
      <w:pPr>
        <w:pStyle w:val="Heading4"/>
      </w:pPr>
      <w:r>
        <w:t xml:space="preserve">Common </w:t>
      </w:r>
      <w:r w:rsidR="00A35ECD">
        <w:t>c</w:t>
      </w:r>
      <w:r>
        <w:t xml:space="preserve">lassifications — </w:t>
      </w:r>
      <w:r w:rsidR="00A35ECD">
        <w:t>q</w:t>
      </w:r>
      <w:r>
        <w:t xml:space="preserve">uick </w:t>
      </w:r>
      <w:r w:rsidR="00A35ECD">
        <w:t>r</w:t>
      </w:r>
      <w:r>
        <w:t>eference</w:t>
      </w:r>
    </w:p>
    <w:p w14:paraId="072CC0B3" w14:textId="0802D3B4" w:rsidR="00A56865" w:rsidRPr="00D971A8" w:rsidRDefault="004A1570" w:rsidP="00A56865">
      <w:pPr>
        <w:rPr>
          <w:i/>
          <w:iCs/>
        </w:rPr>
      </w:pPr>
      <w:r w:rsidRPr="00D971A8">
        <w:t>Examples only. This list is not definitive or exhaustive.</w:t>
      </w:r>
    </w:p>
    <w:tbl>
      <w:tblPr>
        <w:tblStyle w:val="EDU-Basic"/>
        <w:tblW w:w="0" w:type="auto"/>
        <w:tblLook w:val="04A0" w:firstRow="1" w:lastRow="0" w:firstColumn="1" w:lastColumn="0" w:noHBand="0" w:noVBand="1"/>
      </w:tblPr>
      <w:tblGrid>
        <w:gridCol w:w="3005"/>
        <w:gridCol w:w="3794"/>
        <w:gridCol w:w="2217"/>
      </w:tblGrid>
      <w:tr w:rsidR="003C5356" w:rsidRPr="00D971A8" w14:paraId="041813C8" w14:textId="77777777" w:rsidTr="007A05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67621675" w14:textId="00093435" w:rsidR="003C5356" w:rsidRPr="00D971A8" w:rsidRDefault="003C5356" w:rsidP="003C5356">
            <w:pPr>
              <w:rPr>
                <w:b/>
                <w:bCs/>
              </w:rPr>
            </w:pPr>
            <w:r w:rsidRPr="00D971A8">
              <w:rPr>
                <w:b/>
                <w:bCs/>
              </w:rPr>
              <w:t>Payment type</w:t>
            </w:r>
          </w:p>
        </w:tc>
        <w:tc>
          <w:tcPr>
            <w:tcW w:w="3794" w:type="dxa"/>
            <w:vAlign w:val="bottom"/>
          </w:tcPr>
          <w:p w14:paraId="39047925" w14:textId="7A6AD694" w:rsidR="003C5356" w:rsidRPr="00D971A8" w:rsidRDefault="003C5356" w:rsidP="003C5356">
            <w:pPr>
              <w:cnfStyle w:val="100000000000" w:firstRow="1" w:lastRow="0" w:firstColumn="0" w:lastColumn="0" w:oddVBand="0" w:evenVBand="0" w:oddHBand="0" w:evenHBand="0" w:firstRowFirstColumn="0" w:firstRowLastColumn="0" w:lastRowFirstColumn="0" w:lastRowLastColumn="0"/>
            </w:pPr>
            <w:r w:rsidRPr="00D971A8">
              <w:rPr>
                <w:b/>
                <w:bCs/>
              </w:rPr>
              <w:t>Attributable to a specific student?</w:t>
            </w:r>
          </w:p>
        </w:tc>
        <w:tc>
          <w:tcPr>
            <w:tcW w:w="2217" w:type="dxa"/>
            <w:vAlign w:val="bottom"/>
          </w:tcPr>
          <w:p w14:paraId="7BA856D5" w14:textId="6FB6F09C" w:rsidR="003C5356" w:rsidRPr="00D971A8" w:rsidRDefault="003C5356" w:rsidP="003C5356">
            <w:pPr>
              <w:cnfStyle w:val="100000000000" w:firstRow="1" w:lastRow="0" w:firstColumn="0" w:lastColumn="0" w:oddVBand="0" w:evenVBand="0" w:oddHBand="0" w:evenHBand="0" w:firstRowFirstColumn="0" w:firstRowLastColumn="0" w:lastRowFirstColumn="0" w:lastRowLastColumn="0"/>
            </w:pPr>
            <w:r w:rsidRPr="00D971A8">
              <w:rPr>
                <w:b/>
                <w:bCs/>
              </w:rPr>
              <w:t>Classification</w:t>
            </w:r>
          </w:p>
        </w:tc>
      </w:tr>
      <w:tr w:rsidR="003C5356" w:rsidRPr="00D971A8" w14:paraId="1D14640B"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2ABB9070" w14:textId="78C84DD2" w:rsidR="003C5356" w:rsidRPr="00D971A8" w:rsidRDefault="003C5356" w:rsidP="00DE4A98">
            <w:r w:rsidRPr="00D971A8">
              <w:t>Per-student commission ($X per enrolment)</w:t>
            </w:r>
          </w:p>
        </w:tc>
        <w:tc>
          <w:tcPr>
            <w:tcW w:w="3794" w:type="dxa"/>
            <w:vAlign w:val="top"/>
          </w:tcPr>
          <w:p w14:paraId="78A0D5AD" w14:textId="231EA286"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 xml:space="preserve">Yes </w:t>
            </w:r>
            <w:r w:rsidR="000B3B9C" w:rsidRPr="00D971A8">
              <w:t>-</w:t>
            </w:r>
            <w:r w:rsidRPr="00D971A8">
              <w:t xml:space="preserve"> paid because Student A enrolled</w:t>
            </w:r>
          </w:p>
        </w:tc>
        <w:tc>
          <w:tcPr>
            <w:tcW w:w="2217" w:type="dxa"/>
            <w:vAlign w:val="top"/>
          </w:tcPr>
          <w:p w14:paraId="4D324881" w14:textId="399FC9B3"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Direct</w:t>
            </w:r>
          </w:p>
        </w:tc>
      </w:tr>
      <w:tr w:rsidR="003C5356" w:rsidRPr="00D971A8" w14:paraId="39274355"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324EB20B" w14:textId="4209BBAF" w:rsidR="003C5356" w:rsidRPr="00D971A8" w:rsidRDefault="003C5356" w:rsidP="00DE4A98">
            <w:r w:rsidRPr="00D971A8">
              <w:t>Tiered/escalating per-student rate</w:t>
            </w:r>
          </w:p>
        </w:tc>
        <w:tc>
          <w:tcPr>
            <w:tcW w:w="3794" w:type="dxa"/>
            <w:vAlign w:val="top"/>
          </w:tcPr>
          <w:p w14:paraId="101124BE" w14:textId="0A71F262"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Yes - each payment remains attributable to a named student, even if the rate varies.</w:t>
            </w:r>
          </w:p>
        </w:tc>
        <w:tc>
          <w:tcPr>
            <w:tcW w:w="2217" w:type="dxa"/>
            <w:vAlign w:val="top"/>
          </w:tcPr>
          <w:p w14:paraId="7CBB5134" w14:textId="506C49DB"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Direct</w:t>
            </w:r>
          </w:p>
        </w:tc>
      </w:tr>
      <w:tr w:rsidR="003C5356" w:rsidRPr="00D971A8" w14:paraId="457543D8"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324EEF11" w14:textId="655A2F7F" w:rsidR="003C5356" w:rsidRPr="00D971A8" w:rsidRDefault="003C5356" w:rsidP="00DE4A98">
            <w:r w:rsidRPr="00D971A8">
              <w:t>Referral fee for a named student</w:t>
            </w:r>
          </w:p>
        </w:tc>
        <w:tc>
          <w:tcPr>
            <w:tcW w:w="3794" w:type="dxa"/>
            <w:vAlign w:val="top"/>
          </w:tcPr>
          <w:p w14:paraId="19363B31" w14:textId="0ED60313"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 xml:space="preserve">Yes </w:t>
            </w:r>
            <w:r w:rsidR="000B3B9C" w:rsidRPr="00D971A8">
              <w:t>-</w:t>
            </w:r>
            <w:r w:rsidRPr="00D971A8">
              <w:t xml:space="preserve"> explicitly tied to one person</w:t>
            </w:r>
          </w:p>
        </w:tc>
        <w:tc>
          <w:tcPr>
            <w:tcW w:w="2217" w:type="dxa"/>
            <w:vAlign w:val="top"/>
          </w:tcPr>
          <w:p w14:paraId="50897C60" w14:textId="6E2CE445"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Direct</w:t>
            </w:r>
          </w:p>
        </w:tc>
      </w:tr>
      <w:tr w:rsidR="003C5356" w:rsidRPr="00D971A8" w14:paraId="70DF9E1D"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3EB88E8F" w14:textId="4B3E1B29" w:rsidR="003C5356" w:rsidRPr="00D971A8" w:rsidRDefault="003C5356" w:rsidP="00DE4A98">
            <w:r w:rsidRPr="00D971A8">
              <w:t>Trailing commission (annual payment while Student X remains enrolled)</w:t>
            </w:r>
          </w:p>
        </w:tc>
        <w:tc>
          <w:tcPr>
            <w:tcW w:w="3794" w:type="dxa"/>
            <w:vAlign w:val="top"/>
          </w:tcPr>
          <w:p w14:paraId="4941DCAA" w14:textId="7DF47C50"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 xml:space="preserve">Yes </w:t>
            </w:r>
            <w:r w:rsidR="000B3B9C" w:rsidRPr="00D971A8">
              <w:t>-</w:t>
            </w:r>
            <w:r w:rsidRPr="00D971A8">
              <w:t xml:space="preserve"> each instalment tied to a named student's continued enrolment</w:t>
            </w:r>
          </w:p>
        </w:tc>
        <w:tc>
          <w:tcPr>
            <w:tcW w:w="2217" w:type="dxa"/>
            <w:vAlign w:val="top"/>
          </w:tcPr>
          <w:p w14:paraId="7EBB41FE" w14:textId="53EE888E"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Direct</w:t>
            </w:r>
          </w:p>
        </w:tc>
      </w:tr>
      <w:tr w:rsidR="003C5356" w:rsidRPr="00D971A8" w14:paraId="39B6DCBE"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3840DE7C" w14:textId="00F9A05B" w:rsidR="003C5356" w:rsidRPr="00D971A8" w:rsidRDefault="003C5356" w:rsidP="00DE4A98">
            <w:r w:rsidRPr="00D971A8">
              <w:t>Commission top-up at census for a named student who hasn't withdrawn</w:t>
            </w:r>
          </w:p>
        </w:tc>
        <w:tc>
          <w:tcPr>
            <w:tcW w:w="3794" w:type="dxa"/>
            <w:vAlign w:val="top"/>
          </w:tcPr>
          <w:p w14:paraId="2BA40EF8" w14:textId="09C04BA0"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 xml:space="preserve">Yes </w:t>
            </w:r>
            <w:r w:rsidR="000B3B9C" w:rsidRPr="00D971A8">
              <w:t>-</w:t>
            </w:r>
            <w:r w:rsidRPr="00D971A8">
              <w:t xml:space="preserve"> paid because Student A remained enrolled</w:t>
            </w:r>
          </w:p>
        </w:tc>
        <w:tc>
          <w:tcPr>
            <w:tcW w:w="2217" w:type="dxa"/>
            <w:vAlign w:val="top"/>
          </w:tcPr>
          <w:p w14:paraId="4FDF045A" w14:textId="4DB47F00"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Direct</w:t>
            </w:r>
          </w:p>
        </w:tc>
      </w:tr>
      <w:tr w:rsidR="003C5356" w:rsidRPr="00D971A8" w14:paraId="73D04CF5"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02593637" w14:textId="2078FC46" w:rsidR="003C5356" w:rsidRPr="00D971A8" w:rsidRDefault="003C5356" w:rsidP="00DE4A98">
            <w:r w:rsidRPr="00D971A8">
              <w:t>Shared commission (two agents, one student)</w:t>
            </w:r>
          </w:p>
        </w:tc>
        <w:tc>
          <w:tcPr>
            <w:tcW w:w="3794" w:type="dxa"/>
            <w:vAlign w:val="top"/>
          </w:tcPr>
          <w:p w14:paraId="3381941A" w14:textId="62E38ACD"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 xml:space="preserve">Yes </w:t>
            </w:r>
            <w:r w:rsidR="000B3B9C" w:rsidRPr="00D971A8">
              <w:t>-</w:t>
            </w:r>
            <w:r w:rsidRPr="00D971A8">
              <w:t xml:space="preserve"> each agent's portion is still attributable to that student</w:t>
            </w:r>
          </w:p>
        </w:tc>
        <w:tc>
          <w:tcPr>
            <w:tcW w:w="2217" w:type="dxa"/>
            <w:vAlign w:val="top"/>
          </w:tcPr>
          <w:p w14:paraId="0D1B852A" w14:textId="3CF331D8" w:rsidR="003C5356" w:rsidRPr="00D971A8" w:rsidRDefault="003C5356" w:rsidP="00DE4A98">
            <w:pPr>
              <w:cnfStyle w:val="000000000000" w:firstRow="0" w:lastRow="0" w:firstColumn="0" w:lastColumn="0" w:oddVBand="0" w:evenVBand="0" w:oddHBand="0" w:evenHBand="0" w:firstRowFirstColumn="0" w:firstRowLastColumn="0" w:lastRowFirstColumn="0" w:lastRowLastColumn="0"/>
            </w:pPr>
            <w:r w:rsidRPr="00D971A8">
              <w:t>Direct (each agent’s share)</w:t>
            </w:r>
          </w:p>
        </w:tc>
      </w:tr>
      <w:tr w:rsidR="00E72D6C" w:rsidRPr="00D971A8" w14:paraId="10B0D6B4"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78C74598" w14:textId="3DD82B71" w:rsidR="00E72D6C" w:rsidRPr="00D971A8" w:rsidRDefault="00E72D6C" w:rsidP="00E72D6C">
            <w:r w:rsidRPr="00E72D6C">
              <w:t>Scholarships or fee discounts offered at agent's request</w:t>
            </w:r>
          </w:p>
        </w:tc>
        <w:tc>
          <w:tcPr>
            <w:tcW w:w="3794" w:type="dxa"/>
            <w:vAlign w:val="top"/>
          </w:tcPr>
          <w:p w14:paraId="0FC5DA5F" w14:textId="68222CC9"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t>Yes – attributable to a specific student</w:t>
            </w:r>
            <w:r w:rsidR="001C7D19">
              <w:t xml:space="preserve"> as reduced revenue</w:t>
            </w:r>
          </w:p>
        </w:tc>
        <w:tc>
          <w:tcPr>
            <w:tcW w:w="2217" w:type="dxa"/>
            <w:vAlign w:val="top"/>
          </w:tcPr>
          <w:p w14:paraId="3457359F" w14:textId="25896277" w:rsidR="00E72D6C" w:rsidRPr="00D971A8" w:rsidRDefault="001C7D19" w:rsidP="00E72D6C">
            <w:pPr>
              <w:cnfStyle w:val="000000000000" w:firstRow="0" w:lastRow="0" w:firstColumn="0" w:lastColumn="0" w:oddVBand="0" w:evenVBand="0" w:oddHBand="0" w:evenHBand="0" w:firstRowFirstColumn="0" w:firstRowLastColumn="0" w:lastRowFirstColumn="0" w:lastRowLastColumn="0"/>
            </w:pPr>
            <w:r>
              <w:t>Direct</w:t>
            </w:r>
          </w:p>
        </w:tc>
      </w:tr>
      <w:tr w:rsidR="00C93D9E" w:rsidRPr="00D971A8" w14:paraId="1C5ADCA6"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7B24D6B0" w14:textId="5F9488DA" w:rsidR="00C93D9E" w:rsidRPr="00E72D6C" w:rsidRDefault="00C93D9E" w:rsidP="00E72D6C">
            <w:r>
              <w:t>Retained fees for amounts paid through the agent</w:t>
            </w:r>
          </w:p>
        </w:tc>
        <w:tc>
          <w:tcPr>
            <w:tcW w:w="3794" w:type="dxa"/>
            <w:vAlign w:val="top"/>
          </w:tcPr>
          <w:p w14:paraId="4F4D0E08" w14:textId="18FA5110" w:rsidR="00C93D9E" w:rsidRDefault="00C93D9E" w:rsidP="00E72D6C">
            <w:pPr>
              <w:cnfStyle w:val="000000000000" w:firstRow="0" w:lastRow="0" w:firstColumn="0" w:lastColumn="0" w:oddVBand="0" w:evenVBand="0" w:oddHBand="0" w:evenHBand="0" w:firstRowFirstColumn="0" w:firstRowLastColumn="0" w:lastRowFirstColumn="0" w:lastRowLastColumn="0"/>
            </w:pPr>
            <w:r>
              <w:t>Yes – attributable to a specific student</w:t>
            </w:r>
          </w:p>
        </w:tc>
        <w:tc>
          <w:tcPr>
            <w:tcW w:w="2217" w:type="dxa"/>
            <w:vAlign w:val="top"/>
          </w:tcPr>
          <w:p w14:paraId="5A20188E" w14:textId="00114214" w:rsidR="00C93D9E" w:rsidRDefault="00C93D9E" w:rsidP="00E72D6C">
            <w:pPr>
              <w:cnfStyle w:val="000000000000" w:firstRow="0" w:lastRow="0" w:firstColumn="0" w:lastColumn="0" w:oddVBand="0" w:evenVBand="0" w:oddHBand="0" w:evenHBand="0" w:firstRowFirstColumn="0" w:firstRowLastColumn="0" w:lastRowFirstColumn="0" w:lastRowLastColumn="0"/>
            </w:pPr>
            <w:r>
              <w:t>Direct</w:t>
            </w:r>
          </w:p>
        </w:tc>
      </w:tr>
      <w:tr w:rsidR="00E72D6C" w:rsidRPr="00D971A8" w14:paraId="0BC9C053"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6C01546B" w14:textId="58CC065B" w:rsidR="00E72D6C" w:rsidRPr="00D971A8" w:rsidRDefault="00E72D6C" w:rsidP="00E72D6C">
            <w:r w:rsidRPr="00D971A8">
              <w:t>Volume bonus ($Y lump sum when Z students reached)</w:t>
            </w:r>
          </w:p>
        </w:tc>
        <w:tc>
          <w:tcPr>
            <w:tcW w:w="3794" w:type="dxa"/>
            <w:vAlign w:val="top"/>
          </w:tcPr>
          <w:p w14:paraId="0A107AB8" w14:textId="261CB790"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No - aggregate trigger; not attributable to an identifiable student acceptance.</w:t>
            </w:r>
          </w:p>
        </w:tc>
        <w:tc>
          <w:tcPr>
            <w:tcW w:w="2217" w:type="dxa"/>
            <w:vAlign w:val="top"/>
          </w:tcPr>
          <w:p w14:paraId="3540A369" w14:textId="36BAD55F"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Indirect</w:t>
            </w:r>
          </w:p>
        </w:tc>
      </w:tr>
      <w:tr w:rsidR="00E72D6C" w:rsidRPr="00D971A8" w14:paraId="64669A12"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4EDFDF12" w14:textId="389870FC" w:rsidR="00E72D6C" w:rsidRPr="00D971A8" w:rsidRDefault="00E72D6C" w:rsidP="00E72D6C">
            <w:r w:rsidRPr="00D971A8">
              <w:t>Performance bonus (conversion rate target)</w:t>
            </w:r>
          </w:p>
        </w:tc>
        <w:tc>
          <w:tcPr>
            <w:tcW w:w="3794" w:type="dxa"/>
            <w:vAlign w:val="top"/>
          </w:tcPr>
          <w:p w14:paraId="7D7D9F1C" w14:textId="4B33345C"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No - rewards process efficiency across a cohort.</w:t>
            </w:r>
          </w:p>
        </w:tc>
        <w:tc>
          <w:tcPr>
            <w:tcW w:w="2217" w:type="dxa"/>
            <w:vAlign w:val="top"/>
          </w:tcPr>
          <w:p w14:paraId="574DF2C0" w14:textId="066C8BD6"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Indirect</w:t>
            </w:r>
          </w:p>
        </w:tc>
      </w:tr>
      <w:tr w:rsidR="00E72D6C" w:rsidRPr="00D971A8" w14:paraId="36C7AAE0"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31FF7928" w14:textId="0D3D3F20" w:rsidR="00E72D6C" w:rsidRPr="00D971A8" w:rsidRDefault="00E72D6C" w:rsidP="00E72D6C">
            <w:r w:rsidRPr="00D971A8">
              <w:t>Retention bonus ($Y if attrition stays below Z%)</w:t>
            </w:r>
          </w:p>
        </w:tc>
        <w:tc>
          <w:tcPr>
            <w:tcW w:w="3794" w:type="dxa"/>
            <w:vAlign w:val="top"/>
          </w:tcPr>
          <w:p w14:paraId="30D7B937" w14:textId="01AB72D0"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No - portfolio-level metric.</w:t>
            </w:r>
          </w:p>
        </w:tc>
        <w:tc>
          <w:tcPr>
            <w:tcW w:w="2217" w:type="dxa"/>
            <w:vAlign w:val="top"/>
          </w:tcPr>
          <w:p w14:paraId="5EE949F8" w14:textId="29605447"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Indirect</w:t>
            </w:r>
          </w:p>
        </w:tc>
      </w:tr>
      <w:tr w:rsidR="00E72D6C" w:rsidRPr="00D971A8" w14:paraId="7CCD2853"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59505CF9" w14:textId="6F8E02E8" w:rsidR="00E72D6C" w:rsidRPr="00D971A8" w:rsidRDefault="00E72D6C" w:rsidP="00E72D6C">
            <w:r w:rsidRPr="00D971A8">
              <w:t>Annual retainer or fixed service fee</w:t>
            </w:r>
          </w:p>
        </w:tc>
        <w:tc>
          <w:tcPr>
            <w:tcW w:w="3794" w:type="dxa"/>
            <w:vAlign w:val="top"/>
          </w:tcPr>
          <w:p w14:paraId="7B0BA2E1" w14:textId="36126A54"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No - payable regardless of whether a specific student is accepted.</w:t>
            </w:r>
          </w:p>
        </w:tc>
        <w:tc>
          <w:tcPr>
            <w:tcW w:w="2217" w:type="dxa"/>
            <w:vAlign w:val="top"/>
          </w:tcPr>
          <w:p w14:paraId="08749D8F" w14:textId="7B85EFA7"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Indirect</w:t>
            </w:r>
          </w:p>
        </w:tc>
      </w:tr>
      <w:tr w:rsidR="00E72D6C" w:rsidRPr="00D971A8" w14:paraId="6D71E750"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6EFB1222" w14:textId="5C47E363" w:rsidR="00E72D6C" w:rsidRPr="00D971A8" w:rsidRDefault="00E72D6C" w:rsidP="00E72D6C">
            <w:r w:rsidRPr="00D971A8">
              <w:t>Marketing event sponsorship</w:t>
            </w:r>
          </w:p>
        </w:tc>
        <w:tc>
          <w:tcPr>
            <w:tcW w:w="3794" w:type="dxa"/>
            <w:vAlign w:val="top"/>
          </w:tcPr>
          <w:p w14:paraId="30F396F1" w14:textId="4CEB2169"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No - payable regardless of whether a specific student is accepted.</w:t>
            </w:r>
          </w:p>
        </w:tc>
        <w:tc>
          <w:tcPr>
            <w:tcW w:w="2217" w:type="dxa"/>
            <w:vAlign w:val="top"/>
          </w:tcPr>
          <w:p w14:paraId="0BF2674F" w14:textId="736D87D1"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Indirect</w:t>
            </w:r>
          </w:p>
        </w:tc>
      </w:tr>
      <w:tr w:rsidR="00E72D6C" w:rsidRPr="00D971A8" w14:paraId="34503BEE" w14:textId="77777777" w:rsidTr="007A05D8">
        <w:tc>
          <w:tcPr>
            <w:cnfStyle w:val="001000000000" w:firstRow="0" w:lastRow="0" w:firstColumn="1" w:lastColumn="0" w:oddVBand="0" w:evenVBand="0" w:oddHBand="0" w:evenHBand="0" w:firstRowFirstColumn="0" w:firstRowLastColumn="0" w:lastRowFirstColumn="0" w:lastRowLastColumn="0"/>
            <w:tcW w:w="3005" w:type="dxa"/>
            <w:vAlign w:val="top"/>
          </w:tcPr>
          <w:p w14:paraId="2A81FFE2" w14:textId="5528A8A2" w:rsidR="00E72D6C" w:rsidRPr="00D971A8" w:rsidRDefault="00E72D6C" w:rsidP="00E72D6C">
            <w:r w:rsidRPr="00D971A8">
              <w:t>Platform/portal access fee</w:t>
            </w:r>
          </w:p>
        </w:tc>
        <w:tc>
          <w:tcPr>
            <w:tcW w:w="3794" w:type="dxa"/>
            <w:vAlign w:val="top"/>
          </w:tcPr>
          <w:p w14:paraId="584245CF" w14:textId="13DA2399"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No - payable regardless of whether a specific student is accepted.</w:t>
            </w:r>
          </w:p>
        </w:tc>
        <w:tc>
          <w:tcPr>
            <w:tcW w:w="2217" w:type="dxa"/>
            <w:vAlign w:val="top"/>
          </w:tcPr>
          <w:p w14:paraId="017D05B2" w14:textId="329468C5" w:rsidR="00E72D6C" w:rsidRPr="00D971A8" w:rsidRDefault="00E72D6C" w:rsidP="00E72D6C">
            <w:pPr>
              <w:cnfStyle w:val="000000000000" w:firstRow="0" w:lastRow="0" w:firstColumn="0" w:lastColumn="0" w:oddVBand="0" w:evenVBand="0" w:oddHBand="0" w:evenHBand="0" w:firstRowFirstColumn="0" w:firstRowLastColumn="0" w:lastRowFirstColumn="0" w:lastRowLastColumn="0"/>
            </w:pPr>
            <w:r w:rsidRPr="00D971A8">
              <w:t>Indirect</w:t>
            </w:r>
          </w:p>
        </w:tc>
      </w:tr>
    </w:tbl>
    <w:p w14:paraId="6E2248E7" w14:textId="0DD6FD0B" w:rsidR="00F07139" w:rsidRPr="00D971A8" w:rsidRDefault="004A1570" w:rsidP="004A1570">
      <w:pPr>
        <w:pStyle w:val="Heading4"/>
      </w:pPr>
      <w:r w:rsidRPr="00D971A8">
        <w:lastRenderedPageBreak/>
        <w:t>Supplementary: Why volume bonuses are generally indirect</w:t>
      </w:r>
    </w:p>
    <w:p w14:paraId="3453B20A" w14:textId="77777777" w:rsidR="00F07139" w:rsidRPr="00D971A8" w:rsidRDefault="00F07139" w:rsidP="00F07139">
      <w:pPr>
        <w:spacing w:after="160"/>
      </w:pPr>
      <w:r w:rsidRPr="00D971A8">
        <w:t>A volume bonus may appear to be Direct because it is linked to enrolment outcomes. However, the ESOS collection definition asks whether the payment relates directly to the acceptance of a student.</w:t>
      </w:r>
    </w:p>
    <w:p w14:paraId="09E207AC" w14:textId="77777777" w:rsidR="00F07139" w:rsidRPr="00D971A8" w:rsidRDefault="00F07139" w:rsidP="00F07139">
      <w:pPr>
        <w:spacing w:after="160"/>
      </w:pPr>
      <w:r w:rsidRPr="00D971A8">
        <w:t>A volume bonus is generally triggered by an aggregate threshold, such as a specified number of enrolments. If the payment cannot be attributed to the acceptance of an identifiable student or students, it should be treated as a portfolio-level incentive and classified as Indirect.</w:t>
      </w:r>
    </w:p>
    <w:p w14:paraId="3F4D0363" w14:textId="77777777" w:rsidR="00F07139" w:rsidRPr="00D971A8" w:rsidRDefault="00F07139" w:rsidP="00F07139">
      <w:pPr>
        <w:spacing w:after="160"/>
      </w:pPr>
      <w:r w:rsidRPr="00D971A8">
        <w:t>This is broadly consistent with the AASB 15 concept that an incremental cost of obtaining a contract is a cost that would not have been incurred if that contract had not been obtained. This comparison is an interpretive aid only.</w:t>
      </w:r>
    </w:p>
    <w:p w14:paraId="497B7752" w14:textId="1E6BC43F" w:rsidR="00520B11" w:rsidRDefault="001B6A37" w:rsidP="7ACEFA51">
      <w:pPr>
        <w:pStyle w:val="Heading3"/>
        <w:spacing w:after="160"/>
      </w:pPr>
      <w:r>
        <w:t>Non-monetary benefits</w:t>
      </w:r>
    </w:p>
    <w:p w14:paraId="0B73075C" w14:textId="77777777" w:rsidR="00B27F7B" w:rsidRPr="00B27F7B" w:rsidRDefault="00B27F7B" w:rsidP="00B27F7B">
      <w:pPr>
        <w:spacing w:after="160"/>
      </w:pPr>
      <w:r w:rsidRPr="00B27F7B">
        <w:t>The agent commissions data collection does not require providers to report the monetary value of non-monetary benefits provided to an agent business. Instead, providers are only required to provide a description of the non-monetary benefits that were provided during the reporting period.</w:t>
      </w:r>
    </w:p>
    <w:p w14:paraId="03F9DC82" w14:textId="6446A492" w:rsidR="00B27F7B" w:rsidRPr="00B27F7B" w:rsidRDefault="00B27F7B" w:rsidP="00B27F7B">
      <w:pPr>
        <w:spacing w:after="160"/>
      </w:pPr>
      <w:r>
        <w:t>This differs from some accounting and financial reporting requirements, where a monetary value may be assigned to non-cash benefits.</w:t>
      </w:r>
      <w:r w:rsidR="7A02E756">
        <w:t xml:space="preserve"> The department has decided not to define a specified monetary value after consultation with the sector. </w:t>
      </w:r>
    </w:p>
    <w:p w14:paraId="2DD365B0" w14:textId="77777777" w:rsidR="00B27F7B" w:rsidRDefault="00B27F7B" w:rsidP="00B27F7B">
      <w:pPr>
        <w:spacing w:after="160"/>
        <w:rPr>
          <w:b/>
          <w:iCs/>
        </w:rPr>
      </w:pPr>
      <w:r w:rsidRPr="00B27F7B">
        <w:t>A non-monetary benefit may be provided directly (for example, where a provider purchases and supplies an airline ticket) or indirectly through reimbursement of a specific expense incurred by the agent. The method of provision does not affect the classification of the benefit as a non-monetary benefit for the purposes of this collection.</w:t>
      </w:r>
    </w:p>
    <w:p w14:paraId="50C86937" w14:textId="2EC3EFCD" w:rsidR="00520B11" w:rsidRDefault="00B35E6C" w:rsidP="00B27F7B">
      <w:pPr>
        <w:pStyle w:val="Heading4"/>
      </w:pPr>
      <w:r>
        <w:t>Non-monetary classifications – quick reference</w:t>
      </w:r>
    </w:p>
    <w:p w14:paraId="2D4B56B6" w14:textId="12B6A606" w:rsidR="004D5294" w:rsidRPr="00D971A8" w:rsidRDefault="004D5294">
      <w:pPr>
        <w:rPr>
          <w:i/>
          <w:iCs/>
        </w:rPr>
      </w:pPr>
      <w:r>
        <w:t>Examples only. This list is not definitive or exhaustive.</w:t>
      </w:r>
    </w:p>
    <w:tbl>
      <w:tblPr>
        <w:tblStyle w:val="EDU-Basic"/>
        <w:tblW w:w="0" w:type="auto"/>
        <w:tblLook w:val="04A0" w:firstRow="1" w:lastRow="0" w:firstColumn="1" w:lastColumn="0" w:noHBand="0" w:noVBand="1"/>
      </w:tblPr>
      <w:tblGrid>
        <w:gridCol w:w="5949"/>
        <w:gridCol w:w="2977"/>
      </w:tblGrid>
      <w:tr w:rsidR="005625A2" w14:paraId="28E130E4" w14:textId="77777777" w:rsidTr="005625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949" w:type="dxa"/>
          </w:tcPr>
          <w:p w14:paraId="080987F4" w14:textId="7CE92B70" w:rsidR="005625A2" w:rsidRPr="00061A24" w:rsidRDefault="005625A2" w:rsidP="00F07139">
            <w:pPr>
              <w:spacing w:after="160"/>
              <w:rPr>
                <w:b/>
                <w:bCs/>
              </w:rPr>
            </w:pPr>
            <w:r w:rsidRPr="00061A24">
              <w:rPr>
                <w:b/>
                <w:bCs/>
              </w:rPr>
              <w:t>Benefit</w:t>
            </w:r>
          </w:p>
        </w:tc>
        <w:tc>
          <w:tcPr>
            <w:tcW w:w="2977" w:type="dxa"/>
          </w:tcPr>
          <w:p w14:paraId="70B141C7" w14:textId="27D7FEBC" w:rsidR="005625A2" w:rsidRPr="00061A24" w:rsidRDefault="005625A2" w:rsidP="00F07139">
            <w:pPr>
              <w:spacing w:after="160"/>
              <w:cnfStyle w:val="100000000000" w:firstRow="1" w:lastRow="0" w:firstColumn="0" w:lastColumn="0" w:oddVBand="0" w:evenVBand="0" w:oddHBand="0" w:evenHBand="0" w:firstRowFirstColumn="0" w:firstRowLastColumn="0" w:lastRowFirstColumn="0" w:lastRowLastColumn="0"/>
              <w:rPr>
                <w:b/>
                <w:bCs/>
              </w:rPr>
            </w:pPr>
            <w:r w:rsidRPr="00061A24">
              <w:rPr>
                <w:b/>
                <w:bCs/>
              </w:rPr>
              <w:t>Non-monetary under ESOS?</w:t>
            </w:r>
          </w:p>
        </w:tc>
      </w:tr>
      <w:tr w:rsidR="005625A2" w14:paraId="2B9486AF" w14:textId="77777777" w:rsidTr="005625A2">
        <w:tc>
          <w:tcPr>
            <w:cnfStyle w:val="001000000000" w:firstRow="0" w:lastRow="0" w:firstColumn="1" w:lastColumn="0" w:oddVBand="0" w:evenVBand="0" w:oddHBand="0" w:evenHBand="0" w:firstRowFirstColumn="0" w:firstRowLastColumn="0" w:lastRowFirstColumn="0" w:lastRowLastColumn="0"/>
            <w:tcW w:w="5949" w:type="dxa"/>
            <w:vAlign w:val="bottom"/>
          </w:tcPr>
          <w:p w14:paraId="621D7318" w14:textId="211D8747" w:rsidR="005625A2" w:rsidRDefault="005625A2" w:rsidP="00A35AD7">
            <w:r w:rsidRPr="00A35AD7">
              <w:t>Flights and accommodation for agent familiarisation trips</w:t>
            </w:r>
          </w:p>
        </w:tc>
        <w:tc>
          <w:tcPr>
            <w:tcW w:w="2977" w:type="dxa"/>
            <w:vAlign w:val="bottom"/>
          </w:tcPr>
          <w:p w14:paraId="1ED53883" w14:textId="640F6439" w:rsidR="005625A2" w:rsidRPr="00347191" w:rsidRDefault="005625A2" w:rsidP="00A35AD7">
            <w:pPr>
              <w:cnfStyle w:val="000000000000" w:firstRow="0" w:lastRow="0" w:firstColumn="0" w:lastColumn="0" w:oddVBand="0" w:evenVBand="0" w:oddHBand="0" w:evenHBand="0" w:firstRowFirstColumn="0" w:firstRowLastColumn="0" w:lastRowFirstColumn="0" w:lastRowLastColumn="0"/>
            </w:pPr>
            <w:r w:rsidRPr="00347191">
              <w:t>Yes</w:t>
            </w:r>
          </w:p>
        </w:tc>
      </w:tr>
      <w:tr w:rsidR="005625A2" w14:paraId="10E464FF" w14:textId="77777777" w:rsidTr="005625A2">
        <w:tc>
          <w:tcPr>
            <w:cnfStyle w:val="001000000000" w:firstRow="0" w:lastRow="0" w:firstColumn="1" w:lastColumn="0" w:oddVBand="0" w:evenVBand="0" w:oddHBand="0" w:evenHBand="0" w:firstRowFirstColumn="0" w:firstRowLastColumn="0" w:lastRowFirstColumn="0" w:lastRowLastColumn="0"/>
            <w:tcW w:w="5949" w:type="dxa"/>
            <w:vAlign w:val="bottom"/>
          </w:tcPr>
          <w:p w14:paraId="7BFFB0A0" w14:textId="41EB856E" w:rsidR="005625A2" w:rsidRDefault="005625A2" w:rsidP="00A35AD7">
            <w:r w:rsidRPr="00A35AD7">
              <w:t>Meals, venue hire, entertainment at provider-hosted events</w:t>
            </w:r>
          </w:p>
        </w:tc>
        <w:tc>
          <w:tcPr>
            <w:tcW w:w="2977" w:type="dxa"/>
            <w:vAlign w:val="bottom"/>
          </w:tcPr>
          <w:p w14:paraId="1B27EE27" w14:textId="036AADD9" w:rsidR="005625A2" w:rsidRPr="00347191" w:rsidRDefault="005625A2" w:rsidP="00A35AD7">
            <w:pPr>
              <w:cnfStyle w:val="000000000000" w:firstRow="0" w:lastRow="0" w:firstColumn="0" w:lastColumn="0" w:oddVBand="0" w:evenVBand="0" w:oddHBand="0" w:evenHBand="0" w:firstRowFirstColumn="0" w:firstRowLastColumn="0" w:lastRowFirstColumn="0" w:lastRowLastColumn="0"/>
            </w:pPr>
            <w:r w:rsidRPr="00347191">
              <w:t>Yes</w:t>
            </w:r>
          </w:p>
        </w:tc>
      </w:tr>
      <w:tr w:rsidR="005625A2" w14:paraId="04AFF825" w14:textId="77777777" w:rsidTr="005625A2">
        <w:tc>
          <w:tcPr>
            <w:cnfStyle w:val="001000000000" w:firstRow="0" w:lastRow="0" w:firstColumn="1" w:lastColumn="0" w:oddVBand="0" w:evenVBand="0" w:oddHBand="0" w:evenHBand="0" w:firstRowFirstColumn="0" w:firstRowLastColumn="0" w:lastRowFirstColumn="0" w:lastRowLastColumn="0"/>
            <w:tcW w:w="5949" w:type="dxa"/>
            <w:vAlign w:val="bottom"/>
          </w:tcPr>
          <w:p w14:paraId="25033D5D" w14:textId="3384BE8E" w:rsidR="005625A2" w:rsidRDefault="005625A2" w:rsidP="00A35AD7">
            <w:r w:rsidRPr="00A35AD7">
              <w:t>Merchandise or gifts provided to agents</w:t>
            </w:r>
          </w:p>
        </w:tc>
        <w:tc>
          <w:tcPr>
            <w:tcW w:w="2977" w:type="dxa"/>
            <w:vAlign w:val="bottom"/>
          </w:tcPr>
          <w:p w14:paraId="0855F181" w14:textId="068F18AB" w:rsidR="005625A2" w:rsidRPr="00347191" w:rsidRDefault="005625A2" w:rsidP="00A35AD7">
            <w:pPr>
              <w:cnfStyle w:val="000000000000" w:firstRow="0" w:lastRow="0" w:firstColumn="0" w:lastColumn="0" w:oddVBand="0" w:evenVBand="0" w:oddHBand="0" w:evenHBand="0" w:firstRowFirstColumn="0" w:firstRowLastColumn="0" w:lastRowFirstColumn="0" w:lastRowLastColumn="0"/>
            </w:pPr>
            <w:r w:rsidRPr="00347191">
              <w:t>Yes</w:t>
            </w:r>
          </w:p>
        </w:tc>
      </w:tr>
      <w:tr w:rsidR="005625A2" w14:paraId="1EFF30B9" w14:textId="77777777" w:rsidTr="005625A2">
        <w:tc>
          <w:tcPr>
            <w:cnfStyle w:val="001000000000" w:firstRow="0" w:lastRow="0" w:firstColumn="1" w:lastColumn="0" w:oddVBand="0" w:evenVBand="0" w:oddHBand="0" w:evenHBand="0" w:firstRowFirstColumn="0" w:firstRowLastColumn="0" w:lastRowFirstColumn="0" w:lastRowLastColumn="0"/>
            <w:tcW w:w="5949" w:type="dxa"/>
            <w:vAlign w:val="bottom"/>
          </w:tcPr>
          <w:p w14:paraId="6C397513" w14:textId="3A05F289" w:rsidR="005625A2" w:rsidRPr="00A35AD7" w:rsidRDefault="005625A2" w:rsidP="00B47096">
            <w:r w:rsidRPr="00B47096">
              <w:t>Free or discounted access to provider facilities (e.g., office space, technology)</w:t>
            </w:r>
          </w:p>
        </w:tc>
        <w:tc>
          <w:tcPr>
            <w:tcW w:w="2977" w:type="dxa"/>
            <w:vAlign w:val="bottom"/>
          </w:tcPr>
          <w:p w14:paraId="734D4CB1" w14:textId="11363E80" w:rsidR="005625A2" w:rsidRPr="00347191" w:rsidRDefault="005625A2" w:rsidP="00B47096">
            <w:pPr>
              <w:cnfStyle w:val="000000000000" w:firstRow="0" w:lastRow="0" w:firstColumn="0" w:lastColumn="0" w:oddVBand="0" w:evenVBand="0" w:oddHBand="0" w:evenHBand="0" w:firstRowFirstColumn="0" w:firstRowLastColumn="0" w:lastRowFirstColumn="0" w:lastRowLastColumn="0"/>
            </w:pPr>
            <w:r w:rsidRPr="00347191">
              <w:t>Yes</w:t>
            </w:r>
          </w:p>
        </w:tc>
      </w:tr>
      <w:tr w:rsidR="005625A2" w14:paraId="4B765649" w14:textId="77777777" w:rsidTr="005625A2">
        <w:tc>
          <w:tcPr>
            <w:cnfStyle w:val="001000000000" w:firstRow="0" w:lastRow="0" w:firstColumn="1" w:lastColumn="0" w:oddVBand="0" w:evenVBand="0" w:oddHBand="0" w:evenHBand="0" w:firstRowFirstColumn="0" w:firstRowLastColumn="0" w:lastRowFirstColumn="0" w:lastRowLastColumn="0"/>
            <w:tcW w:w="5949" w:type="dxa"/>
            <w:vAlign w:val="bottom"/>
          </w:tcPr>
          <w:p w14:paraId="7F9C1730" w14:textId="0289B37F" w:rsidR="005625A2" w:rsidRPr="00A35AD7" w:rsidRDefault="005625A2" w:rsidP="00B47096">
            <w:r w:rsidRPr="00B47096">
              <w:t>Free or discounted courses for agent staff</w:t>
            </w:r>
          </w:p>
        </w:tc>
        <w:tc>
          <w:tcPr>
            <w:tcW w:w="2977" w:type="dxa"/>
            <w:vAlign w:val="bottom"/>
          </w:tcPr>
          <w:p w14:paraId="22327E68" w14:textId="77B7C229" w:rsidR="005625A2" w:rsidRPr="00347191" w:rsidRDefault="005625A2" w:rsidP="00B47096">
            <w:pPr>
              <w:cnfStyle w:val="000000000000" w:firstRow="0" w:lastRow="0" w:firstColumn="0" w:lastColumn="0" w:oddVBand="0" w:evenVBand="0" w:oddHBand="0" w:evenHBand="0" w:firstRowFirstColumn="0" w:firstRowLastColumn="0" w:lastRowFirstColumn="0" w:lastRowLastColumn="0"/>
            </w:pPr>
            <w:r w:rsidRPr="00347191">
              <w:t>Yes</w:t>
            </w:r>
          </w:p>
        </w:tc>
      </w:tr>
      <w:tr w:rsidR="005625A2" w14:paraId="2E6F31C5" w14:textId="77777777" w:rsidTr="005625A2">
        <w:tc>
          <w:tcPr>
            <w:cnfStyle w:val="001000000000" w:firstRow="0" w:lastRow="0" w:firstColumn="1" w:lastColumn="0" w:oddVBand="0" w:evenVBand="0" w:oddHBand="0" w:evenHBand="0" w:firstRowFirstColumn="0" w:firstRowLastColumn="0" w:lastRowFirstColumn="0" w:lastRowLastColumn="0"/>
            <w:tcW w:w="5949" w:type="dxa"/>
            <w:vAlign w:val="bottom"/>
          </w:tcPr>
          <w:p w14:paraId="3D726A1B" w14:textId="634CFB4A" w:rsidR="005625A2" w:rsidRPr="00B47096" w:rsidRDefault="005625A2" w:rsidP="00B47096">
            <w:r>
              <w:t>M</w:t>
            </w:r>
            <w:r w:rsidRPr="00B47096">
              <w:t>arketing materials provided to agents for use with students</w:t>
            </w:r>
          </w:p>
        </w:tc>
        <w:tc>
          <w:tcPr>
            <w:tcW w:w="2977" w:type="dxa"/>
            <w:vAlign w:val="bottom"/>
          </w:tcPr>
          <w:p w14:paraId="695D5E5B" w14:textId="4C4090C9" w:rsidR="005625A2" w:rsidRPr="00347191" w:rsidRDefault="005625A2" w:rsidP="00B47096">
            <w:pPr>
              <w:cnfStyle w:val="000000000000" w:firstRow="0" w:lastRow="0" w:firstColumn="0" w:lastColumn="0" w:oddVBand="0" w:evenVBand="0" w:oddHBand="0" w:evenHBand="0" w:firstRowFirstColumn="0" w:firstRowLastColumn="0" w:lastRowFirstColumn="0" w:lastRowLastColumn="0"/>
            </w:pPr>
            <w:r>
              <w:t>Yes</w:t>
            </w:r>
          </w:p>
        </w:tc>
      </w:tr>
      <w:tr w:rsidR="005625A2" w14:paraId="77304E0F" w14:textId="77777777" w:rsidTr="005625A2">
        <w:tc>
          <w:tcPr>
            <w:cnfStyle w:val="001000000000" w:firstRow="0" w:lastRow="0" w:firstColumn="1" w:lastColumn="0" w:oddVBand="0" w:evenVBand="0" w:oddHBand="0" w:evenHBand="0" w:firstRowFirstColumn="0" w:firstRowLastColumn="0" w:lastRowFirstColumn="0" w:lastRowLastColumn="0"/>
            <w:tcW w:w="5949" w:type="dxa"/>
            <w:vAlign w:val="bottom"/>
          </w:tcPr>
          <w:p w14:paraId="432A2018" w14:textId="1309887C" w:rsidR="005625A2" w:rsidRDefault="005625A2" w:rsidP="00B904DF">
            <w:r w:rsidRPr="00B904DF">
              <w:t>Commissions paid in the form of credit notes against future invoices</w:t>
            </w:r>
          </w:p>
        </w:tc>
        <w:tc>
          <w:tcPr>
            <w:tcW w:w="2977" w:type="dxa"/>
            <w:vAlign w:val="bottom"/>
          </w:tcPr>
          <w:p w14:paraId="421E181A" w14:textId="3FE28FB3" w:rsidR="005625A2" w:rsidRDefault="005625A2" w:rsidP="00B904DF">
            <w:pPr>
              <w:cnfStyle w:val="000000000000" w:firstRow="0" w:lastRow="0" w:firstColumn="0" w:lastColumn="0" w:oddVBand="0" w:evenVBand="0" w:oddHBand="0" w:evenHBand="0" w:firstRowFirstColumn="0" w:firstRowLastColumn="0" w:lastRowFirstColumn="0" w:lastRowLastColumn="0"/>
            </w:pPr>
            <w:r w:rsidRPr="00B904DF">
              <w:t>No — cash-like, not non-monetary</w:t>
            </w:r>
          </w:p>
        </w:tc>
      </w:tr>
    </w:tbl>
    <w:p w14:paraId="660DDDAD" w14:textId="11661825" w:rsidR="00BD22AB" w:rsidRDefault="00BD22AB" w:rsidP="00BD22AB">
      <w:pPr>
        <w:pStyle w:val="Heading4"/>
      </w:pPr>
      <w:r>
        <w:t xml:space="preserve">Practical guidance to non-monetary benefits </w:t>
      </w:r>
      <w:r w:rsidR="002F3FE4">
        <w:t>data field</w:t>
      </w:r>
    </w:p>
    <w:p w14:paraId="30916201" w14:textId="61EE063D" w:rsidR="00A90335" w:rsidRDefault="00A90335" w:rsidP="00A90335">
      <w:pPr>
        <w:spacing w:after="160"/>
      </w:pPr>
      <w:r w:rsidRPr="00A90335">
        <w:t>Provide a concise description of the nature of the non-monetary benefits provided to each agent business. The description should give sufficient context to understand the type of benefit provided but should not include a monetary value.</w:t>
      </w:r>
    </w:p>
    <w:p w14:paraId="00F1B6A5" w14:textId="5388577E" w:rsidR="00B35E6C" w:rsidRDefault="001A49DF" w:rsidP="00F07139">
      <w:pPr>
        <w:spacing w:after="160"/>
      </w:pPr>
      <w:r>
        <w:t>Examples include:</w:t>
      </w:r>
    </w:p>
    <w:p w14:paraId="31C1739D" w14:textId="77777777" w:rsidR="001A49DF" w:rsidRPr="001A49DF" w:rsidRDefault="001A49DF" w:rsidP="001A49DF">
      <w:pPr>
        <w:pStyle w:val="ListParagraph"/>
        <w:numPr>
          <w:ilvl w:val="0"/>
          <w:numId w:val="35"/>
        </w:numPr>
        <w:spacing w:after="160"/>
      </w:pPr>
      <w:r w:rsidRPr="001A49DF">
        <w:lastRenderedPageBreak/>
        <w:t xml:space="preserve">Funded return flights and 3 </w:t>
      </w:r>
      <w:proofErr w:type="spellStart"/>
      <w:r w:rsidRPr="001A49DF">
        <w:t>nights</w:t>
      </w:r>
      <w:proofErr w:type="spellEnd"/>
      <w:r w:rsidRPr="001A49DF">
        <w:t xml:space="preserve"> accommodation for 2 staff to attend annual agent familiarisation event in Sydney (May 2026). Provided branded merchandise packs for student recruitment events.</w:t>
      </w:r>
    </w:p>
    <w:p w14:paraId="657D172A" w14:textId="77777777" w:rsidR="001A49DF" w:rsidRPr="001A49DF" w:rsidRDefault="001A49DF" w:rsidP="001A49DF">
      <w:pPr>
        <w:pStyle w:val="ListParagraph"/>
        <w:numPr>
          <w:ilvl w:val="0"/>
          <w:numId w:val="35"/>
        </w:numPr>
        <w:spacing w:after="160"/>
      </w:pPr>
      <w:r w:rsidRPr="001A49DF">
        <w:t>Provided complimentary access to agent portal, quarterly marketing collateral packs, and hosted 1 agent staff member at campus open day including meals and transport.</w:t>
      </w:r>
    </w:p>
    <w:p w14:paraId="3DB65ED8" w14:textId="056E54CA" w:rsidR="002C78FA" w:rsidRDefault="002C78FA" w:rsidP="002C78FA">
      <w:pPr>
        <w:pStyle w:val="NormalWeb"/>
        <w:spacing w:line="300" w:lineRule="atLeast"/>
        <w:rPr>
          <w:rFonts w:ascii="Segoe UI" w:hAnsi="Segoe UI" w:cs="Segoe UI"/>
          <w:sz w:val="21"/>
          <w:szCs w:val="21"/>
        </w:rPr>
      </w:pPr>
      <w:r w:rsidRPr="49DA11B7">
        <w:rPr>
          <w:rStyle w:val="Strong"/>
          <w:rFonts w:ascii="Segoe UI" w:hAnsi="Segoe UI" w:cs="Segoe UI"/>
          <w:sz w:val="21"/>
          <w:szCs w:val="21"/>
        </w:rPr>
        <w:t xml:space="preserve">Note: </w:t>
      </w:r>
      <w:r w:rsidRPr="49DA11B7">
        <w:rPr>
          <w:rFonts w:ascii="Segoe UI" w:hAnsi="Segoe UI" w:cs="Segoe UI"/>
          <w:sz w:val="21"/>
          <w:szCs w:val="21"/>
        </w:rPr>
        <w:t>If no non-monetary benefits were provided to an agent business during the reporting period, enter "Nil".</w:t>
      </w:r>
    </w:p>
    <w:p w14:paraId="2A9F3509" w14:textId="126D1CAE" w:rsidR="0067449B" w:rsidRPr="00D971A8" w:rsidRDefault="000264AC" w:rsidP="000264AC">
      <w:pPr>
        <w:pStyle w:val="Heading3"/>
      </w:pPr>
      <w:r w:rsidRPr="00D971A8">
        <w:t>Reconciling the ESOS agent commissions data collection to provider financial records</w:t>
      </w:r>
    </w:p>
    <w:p w14:paraId="26DB07F9" w14:textId="459B36E2" w:rsidR="006C274E" w:rsidRPr="00D971A8" w:rsidRDefault="0067449B" w:rsidP="0067449B">
      <w:r w:rsidRPr="00D971A8">
        <w:t>The ESOS agent commissions data collection serves a different purpose from provider financial statements. A one-to-one reconciliation may not be possible, but providers should be able to explain and evidence material differences. A reconciliation working paper should address:</w:t>
      </w:r>
    </w:p>
    <w:tbl>
      <w:tblPr>
        <w:tblStyle w:val="EDU-Basic"/>
        <w:tblW w:w="9209" w:type="dxa"/>
        <w:tblLook w:val="04A0" w:firstRow="1" w:lastRow="0" w:firstColumn="1" w:lastColumn="0" w:noHBand="0" w:noVBand="1"/>
      </w:tblPr>
      <w:tblGrid>
        <w:gridCol w:w="2830"/>
        <w:gridCol w:w="6379"/>
      </w:tblGrid>
      <w:tr w:rsidR="00E91846" w:rsidRPr="00D971A8" w14:paraId="7A476AC4" w14:textId="77777777" w:rsidTr="7ACEFA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EF0BE4D" w14:textId="1CF07EB2" w:rsidR="00E91846" w:rsidRPr="00D971A8" w:rsidRDefault="00E91846" w:rsidP="0067449B">
            <w:pPr>
              <w:rPr>
                <w:b/>
                <w:bCs/>
              </w:rPr>
            </w:pPr>
            <w:r w:rsidRPr="00D971A8">
              <w:rPr>
                <w:b/>
              </w:rPr>
              <w:t>Reconciliation area</w:t>
            </w:r>
          </w:p>
        </w:tc>
        <w:tc>
          <w:tcPr>
            <w:tcW w:w="6379" w:type="dxa"/>
          </w:tcPr>
          <w:p w14:paraId="34C164DE" w14:textId="198F5EB8" w:rsidR="00E91846" w:rsidRPr="00D971A8" w:rsidRDefault="00E91846" w:rsidP="0067449B">
            <w:pPr>
              <w:cnfStyle w:val="100000000000" w:firstRow="1" w:lastRow="0" w:firstColumn="0" w:lastColumn="0" w:oddVBand="0" w:evenVBand="0" w:oddHBand="0" w:evenHBand="0" w:firstRowFirstColumn="0" w:firstRowLastColumn="0" w:lastRowFirstColumn="0" w:lastRowLastColumn="0"/>
              <w:rPr>
                <w:b/>
                <w:bCs/>
              </w:rPr>
            </w:pPr>
            <w:r w:rsidRPr="00D971A8">
              <w:rPr>
                <w:b/>
              </w:rPr>
              <w:t>Working paper consideration</w:t>
            </w:r>
          </w:p>
        </w:tc>
      </w:tr>
      <w:tr w:rsidR="00E91846" w:rsidRPr="00D971A8" w14:paraId="7059BB06" w14:textId="77777777" w:rsidTr="7ACEFA51">
        <w:tc>
          <w:tcPr>
            <w:cnfStyle w:val="001000000000" w:firstRow="0" w:lastRow="0" w:firstColumn="1" w:lastColumn="0" w:oddVBand="0" w:evenVBand="0" w:oddHBand="0" w:evenHBand="0" w:firstRowFirstColumn="0" w:firstRowLastColumn="0" w:lastRowFirstColumn="0" w:lastRowLastColumn="0"/>
            <w:tcW w:w="2830" w:type="dxa"/>
            <w:vAlign w:val="top"/>
          </w:tcPr>
          <w:p w14:paraId="20D7E468" w14:textId="14EA598D" w:rsidR="00E91846" w:rsidRPr="00D971A8" w:rsidRDefault="00E91846" w:rsidP="00DE4A98">
            <w:r w:rsidRPr="00D971A8">
              <w:t>General ledger/AP extraction</w:t>
            </w:r>
          </w:p>
        </w:tc>
        <w:tc>
          <w:tcPr>
            <w:tcW w:w="6379" w:type="dxa"/>
            <w:vAlign w:val="top"/>
          </w:tcPr>
          <w:p w14:paraId="15621F5C" w14:textId="7D7A3409" w:rsidR="00E91846" w:rsidRPr="00D971A8" w:rsidRDefault="00E91846" w:rsidP="00DE4A98">
            <w:pPr>
              <w:cnfStyle w:val="000000000000" w:firstRow="0" w:lastRow="0" w:firstColumn="0" w:lastColumn="0" w:oddVBand="0" w:evenVBand="0" w:oddHBand="0" w:evenHBand="0" w:firstRowFirstColumn="0" w:firstRowLastColumn="0" w:lastRowFirstColumn="0" w:lastRowLastColumn="0"/>
            </w:pPr>
            <w:r w:rsidRPr="00D971A8">
              <w:t>Record the GL accounts, cost centres, supplier groups and AP fields used to identify agent commission amounts.</w:t>
            </w:r>
          </w:p>
        </w:tc>
      </w:tr>
      <w:tr w:rsidR="00E91846" w:rsidRPr="00D971A8" w14:paraId="420E2DC9" w14:textId="77777777" w:rsidTr="7ACEFA51">
        <w:tc>
          <w:tcPr>
            <w:cnfStyle w:val="001000000000" w:firstRow="0" w:lastRow="0" w:firstColumn="1" w:lastColumn="0" w:oddVBand="0" w:evenVBand="0" w:oddHBand="0" w:evenHBand="0" w:firstRowFirstColumn="0" w:firstRowLastColumn="0" w:lastRowFirstColumn="0" w:lastRowLastColumn="0"/>
            <w:tcW w:w="2830" w:type="dxa"/>
            <w:vAlign w:val="top"/>
          </w:tcPr>
          <w:p w14:paraId="3D68D4A2" w14:textId="542B37DA" w:rsidR="00E91846" w:rsidRPr="00D971A8" w:rsidRDefault="00E91846" w:rsidP="00DE4A98">
            <w:r w:rsidRPr="00D971A8">
              <w:t>Timing and completeness</w:t>
            </w:r>
          </w:p>
        </w:tc>
        <w:tc>
          <w:tcPr>
            <w:tcW w:w="6379" w:type="dxa"/>
            <w:vAlign w:val="top"/>
          </w:tcPr>
          <w:p w14:paraId="79B223A3" w14:textId="190A8655" w:rsidR="00E91846" w:rsidRPr="00D971A8" w:rsidRDefault="00E91846" w:rsidP="00DE4A98">
            <w:pPr>
              <w:cnfStyle w:val="000000000000" w:firstRow="0" w:lastRow="0" w:firstColumn="0" w:lastColumn="0" w:oddVBand="0" w:evenVBand="0" w:oddHBand="0" w:evenHBand="0" w:firstRowFirstColumn="0" w:firstRowLastColumn="0" w:lastRowFirstColumn="0" w:lastRowLastColumn="0"/>
            </w:pPr>
            <w:r w:rsidRPr="00D971A8">
              <w:t xml:space="preserve">Identify accrued but </w:t>
            </w:r>
            <w:proofErr w:type="spellStart"/>
            <w:r w:rsidRPr="00D971A8">
              <w:t>uninvoiced</w:t>
            </w:r>
            <w:proofErr w:type="spellEnd"/>
            <w:r w:rsidRPr="00D971A8">
              <w:t xml:space="preserve"> amounts, invoices received after period end, reversals and credit notes affecting the reporting period.</w:t>
            </w:r>
          </w:p>
        </w:tc>
      </w:tr>
      <w:tr w:rsidR="00E91846" w:rsidRPr="00D971A8" w14:paraId="39FD8B10" w14:textId="77777777" w:rsidTr="7ACEFA51">
        <w:tc>
          <w:tcPr>
            <w:cnfStyle w:val="001000000000" w:firstRow="0" w:lastRow="0" w:firstColumn="1" w:lastColumn="0" w:oddVBand="0" w:evenVBand="0" w:oddHBand="0" w:evenHBand="0" w:firstRowFirstColumn="0" w:firstRowLastColumn="0" w:lastRowFirstColumn="0" w:lastRowLastColumn="0"/>
            <w:tcW w:w="2830" w:type="dxa"/>
            <w:vAlign w:val="top"/>
          </w:tcPr>
          <w:p w14:paraId="11D8F6FD" w14:textId="43D02014" w:rsidR="00E91846" w:rsidRPr="00D971A8" w:rsidRDefault="00E91846" w:rsidP="00DE4A98">
            <w:r w:rsidRPr="00D971A8">
              <w:t>Direct/indirect allocation</w:t>
            </w:r>
          </w:p>
        </w:tc>
        <w:tc>
          <w:tcPr>
            <w:tcW w:w="6379" w:type="dxa"/>
            <w:vAlign w:val="top"/>
          </w:tcPr>
          <w:p w14:paraId="4B87F637" w14:textId="226B77C2" w:rsidR="00E91846" w:rsidRPr="00D971A8" w:rsidRDefault="00E91846" w:rsidP="00DE4A98">
            <w:pPr>
              <w:cnfStyle w:val="000000000000" w:firstRow="0" w:lastRow="0" w:firstColumn="0" w:lastColumn="0" w:oddVBand="0" w:evenVBand="0" w:oddHBand="0" w:evenHBand="0" w:firstRowFirstColumn="0" w:firstRowLastColumn="0" w:lastRowFirstColumn="0" w:lastRowLastColumn="0"/>
            </w:pPr>
            <w:r w:rsidRPr="00D971A8">
              <w:t>Document the basis for classifying each payment type, including treatment of mixed invoices, retainers, volume bonuses and shared commissions.</w:t>
            </w:r>
          </w:p>
        </w:tc>
      </w:tr>
      <w:tr w:rsidR="00E91846" w:rsidRPr="00D971A8" w14:paraId="0A6CCB53" w14:textId="77777777" w:rsidTr="7ACEFA51">
        <w:tc>
          <w:tcPr>
            <w:cnfStyle w:val="001000000000" w:firstRow="0" w:lastRow="0" w:firstColumn="1" w:lastColumn="0" w:oddVBand="0" w:evenVBand="0" w:oddHBand="0" w:evenHBand="0" w:firstRowFirstColumn="0" w:firstRowLastColumn="0" w:lastRowFirstColumn="0" w:lastRowLastColumn="0"/>
            <w:tcW w:w="2830" w:type="dxa"/>
            <w:vAlign w:val="top"/>
          </w:tcPr>
          <w:p w14:paraId="06455FA5" w14:textId="52C70D7A" w:rsidR="00E91846" w:rsidRPr="00D971A8" w:rsidRDefault="00E91846" w:rsidP="00DE4A98">
            <w:r w:rsidRPr="00D971A8">
              <w:t>Foreign currency</w:t>
            </w:r>
          </w:p>
        </w:tc>
        <w:tc>
          <w:tcPr>
            <w:tcW w:w="6379" w:type="dxa"/>
            <w:vAlign w:val="top"/>
          </w:tcPr>
          <w:p w14:paraId="2E72EFF8" w14:textId="395CE619" w:rsidR="00E91846" w:rsidRPr="00D971A8" w:rsidRDefault="00E91846" w:rsidP="00DE4A98">
            <w:pPr>
              <w:cnfStyle w:val="000000000000" w:firstRow="0" w:lastRow="0" w:firstColumn="0" w:lastColumn="0" w:oddVBand="0" w:evenVBand="0" w:oddHBand="0" w:evenHBand="0" w:firstRowFirstColumn="0" w:firstRowLastColumn="0" w:lastRowFirstColumn="0" w:lastRowLastColumn="0"/>
            </w:pPr>
            <w:r w:rsidRPr="00D971A8">
              <w:t>Record the exchange rate source and date used for each foreign currency amount, including any 30 June 2026 fallback rate.</w:t>
            </w:r>
          </w:p>
        </w:tc>
      </w:tr>
      <w:tr w:rsidR="001453CF" w:rsidRPr="00D971A8" w14:paraId="703B873A" w14:textId="77777777" w:rsidTr="7ACEFA51">
        <w:tc>
          <w:tcPr>
            <w:cnfStyle w:val="001000000000" w:firstRow="0" w:lastRow="0" w:firstColumn="1" w:lastColumn="0" w:oddVBand="0" w:evenVBand="0" w:oddHBand="0" w:evenHBand="0" w:firstRowFirstColumn="0" w:firstRowLastColumn="0" w:lastRowFirstColumn="0" w:lastRowLastColumn="0"/>
            <w:tcW w:w="2830" w:type="dxa"/>
            <w:vAlign w:val="top"/>
          </w:tcPr>
          <w:p w14:paraId="532D15F1" w14:textId="77777777" w:rsidR="001453CF" w:rsidRPr="00D971A8" w:rsidRDefault="00545F2D" w:rsidP="00DE4A98">
            <w:r w:rsidRPr="00D971A8">
              <w:t>GST-exclusive reporting</w:t>
            </w:r>
          </w:p>
        </w:tc>
        <w:tc>
          <w:tcPr>
            <w:tcW w:w="6379" w:type="dxa"/>
            <w:vAlign w:val="top"/>
          </w:tcPr>
          <w:p w14:paraId="1C01F745" w14:textId="77777777" w:rsidR="001453CF" w:rsidRPr="00D971A8" w:rsidRDefault="00545F2D" w:rsidP="00DE4A98">
            <w:pPr>
              <w:cnfStyle w:val="000000000000" w:firstRow="0" w:lastRow="0" w:firstColumn="0" w:lastColumn="0" w:oddVBand="0" w:evenVBand="0" w:oddHBand="0" w:evenHBand="0" w:firstRowFirstColumn="0" w:firstRowLastColumn="0" w:lastRowFirstColumn="0" w:lastRowLastColumn="0"/>
            </w:pPr>
            <w:r w:rsidRPr="00D971A8">
              <w:t>Retain evidence that GST has been excluded from reported monetary amounts.</w:t>
            </w:r>
          </w:p>
        </w:tc>
      </w:tr>
      <w:tr w:rsidR="001453CF" w:rsidRPr="00D971A8" w14:paraId="615BF951" w14:textId="77777777" w:rsidTr="7ACEFA51">
        <w:tc>
          <w:tcPr>
            <w:cnfStyle w:val="001000000000" w:firstRow="0" w:lastRow="0" w:firstColumn="1" w:lastColumn="0" w:oddVBand="0" w:evenVBand="0" w:oddHBand="0" w:evenHBand="0" w:firstRowFirstColumn="0" w:firstRowLastColumn="0" w:lastRowFirstColumn="0" w:lastRowLastColumn="0"/>
            <w:tcW w:w="2830" w:type="dxa"/>
            <w:vAlign w:val="top"/>
          </w:tcPr>
          <w:p w14:paraId="170618FE" w14:textId="016E601D" w:rsidR="001453CF" w:rsidRPr="00D971A8" w:rsidRDefault="2F51E1DA" w:rsidP="00DE4A98">
            <w:r>
              <w:t xml:space="preserve">Accepted </w:t>
            </w:r>
            <w:r w:rsidR="5B3821BF">
              <w:t>s</w:t>
            </w:r>
            <w:r>
              <w:t>tudents count</w:t>
            </w:r>
          </w:p>
        </w:tc>
        <w:tc>
          <w:tcPr>
            <w:tcW w:w="6379" w:type="dxa"/>
            <w:vAlign w:val="top"/>
          </w:tcPr>
          <w:p w14:paraId="217E2198" w14:textId="77777777" w:rsidR="001453CF" w:rsidRPr="00D971A8" w:rsidRDefault="00545F2D" w:rsidP="00DE4A98">
            <w:pPr>
              <w:cnfStyle w:val="000000000000" w:firstRow="0" w:lastRow="0" w:firstColumn="0" w:lastColumn="0" w:oddVBand="0" w:evenVBand="0" w:oddHBand="0" w:evenHBand="0" w:firstRowFirstColumn="0" w:firstRowLastColumn="0" w:lastRowFirstColumn="0" w:lastRowLastColumn="0"/>
            </w:pPr>
            <w:r w:rsidRPr="00D971A8">
              <w:t>Reconcile the count to commission records and retain evidence that each counted student has a related Direct commission reported in the period.</w:t>
            </w:r>
          </w:p>
        </w:tc>
      </w:tr>
      <w:tr w:rsidR="000E41EE" w:rsidRPr="00D971A8" w14:paraId="0E6DE9E9" w14:textId="77777777" w:rsidTr="7ACEFA51">
        <w:tc>
          <w:tcPr>
            <w:cnfStyle w:val="001000000000" w:firstRow="0" w:lastRow="0" w:firstColumn="1" w:lastColumn="0" w:oddVBand="0" w:evenVBand="0" w:oddHBand="0" w:evenHBand="0" w:firstRowFirstColumn="0" w:firstRowLastColumn="0" w:lastRowFirstColumn="0" w:lastRowLastColumn="0"/>
            <w:tcW w:w="2830" w:type="dxa"/>
            <w:vAlign w:val="top"/>
          </w:tcPr>
          <w:p w14:paraId="2199CF7F" w14:textId="5DD91E9A" w:rsidR="000E41EE" w:rsidRPr="00D971A8" w:rsidRDefault="000E41EE" w:rsidP="00DE4A98">
            <w:r>
              <w:t>Non-monetary benefits</w:t>
            </w:r>
          </w:p>
        </w:tc>
        <w:tc>
          <w:tcPr>
            <w:tcW w:w="6379" w:type="dxa"/>
            <w:vAlign w:val="top"/>
          </w:tcPr>
          <w:p w14:paraId="24B9FEBA" w14:textId="137D5B71" w:rsidR="000E41EE" w:rsidRPr="00D971A8" w:rsidRDefault="000E41EE" w:rsidP="00DE4A98">
            <w:pPr>
              <w:cnfStyle w:val="000000000000" w:firstRow="0" w:lastRow="0" w:firstColumn="0" w:lastColumn="0" w:oddVBand="0" w:evenVBand="0" w:oddHBand="0" w:evenHBand="0" w:firstRowFirstColumn="0" w:firstRowLastColumn="0" w:lastRowFirstColumn="0" w:lastRowLastColumn="0"/>
            </w:pPr>
            <w:r>
              <w:t xml:space="preserve">Record the GL accounts and cost centres excluded from </w:t>
            </w:r>
            <w:r w:rsidR="00B91854">
              <w:t>indirect benefit calculation due to the non-monetary nature of the benefit provided.</w:t>
            </w:r>
          </w:p>
        </w:tc>
      </w:tr>
    </w:tbl>
    <w:p w14:paraId="64B721AC" w14:textId="5CD43503" w:rsidR="00B475CA" w:rsidRDefault="00E91846" w:rsidP="00912806">
      <w:r w:rsidRPr="00D971A8">
        <w:rPr>
          <w:b/>
          <w:bCs/>
        </w:rPr>
        <w:br/>
      </w:r>
      <w:r w:rsidR="0067449B" w:rsidRPr="00D971A8">
        <w:rPr>
          <w:b/>
          <w:bCs/>
        </w:rPr>
        <w:t>Recommendation:</w:t>
      </w:r>
      <w:r w:rsidR="0067449B" w:rsidRPr="00D971A8">
        <w:t xml:space="preserve"> Prepare a brief reconciliation note for your files explaining the basis of preparation. This supports</w:t>
      </w:r>
      <w:r w:rsidR="00B4205A">
        <w:t xml:space="preserve"> i</w:t>
      </w:r>
      <w:r w:rsidR="0067449B" w:rsidRPr="00D971A8">
        <w:t>nternal audit review</w:t>
      </w:r>
      <w:r w:rsidR="00B4205A">
        <w:t>, e</w:t>
      </w:r>
      <w:r w:rsidR="0067449B" w:rsidRPr="00D971A8">
        <w:t>xternal audit of financial statements, where agent commissions are material</w:t>
      </w:r>
      <w:r w:rsidR="00B4205A">
        <w:t xml:space="preserve"> and a</w:t>
      </w:r>
      <w:r w:rsidR="0067449B" w:rsidRPr="00D971A8">
        <w:t>ny future Department or regulator validation queries.</w:t>
      </w:r>
    </w:p>
    <w:p w14:paraId="3C12E65A" w14:textId="1B233BF9" w:rsidR="005821FF" w:rsidRPr="00D971A8" w:rsidRDefault="005821FF" w:rsidP="005821FF">
      <w:pPr>
        <w:pStyle w:val="Heading3"/>
      </w:pPr>
      <w:r>
        <w:t>Accepted student count in practice</w:t>
      </w:r>
    </w:p>
    <w:p w14:paraId="2A6E2AAC" w14:textId="15AA83EB" w:rsidR="00FD7B71" w:rsidRPr="00FD7B71" w:rsidRDefault="00FD7B71" w:rsidP="00FD7B71">
      <w:pPr>
        <w:spacing w:after="160"/>
      </w:pPr>
      <w:r>
        <w:t>The ESOS Act definition</w:t>
      </w:r>
      <w:r w:rsidR="002D7BEA">
        <w:t xml:space="preserve"> (section 5)</w:t>
      </w:r>
      <w:r>
        <w:t xml:space="preserve"> </w:t>
      </w:r>
      <w:r w:rsidR="00FC0850">
        <w:t xml:space="preserve">defines an </w:t>
      </w:r>
      <w:r>
        <w:t xml:space="preserve">accepted student </w:t>
      </w:r>
      <w:r w:rsidR="00FC0850">
        <w:t>a</w:t>
      </w:r>
      <w:r>
        <w:t xml:space="preserve">s a person who is accepted for enrolment, or enrolled, in a course provided by the registered provider and who is, or will be, required to hold a student visa. For the purposes of this collection, count an accepted student only where a </w:t>
      </w:r>
      <w:r w:rsidR="009C5315">
        <w:t xml:space="preserve">direct </w:t>
      </w:r>
      <w:r>
        <w:t>education agent commission is reported for the reporting period. If no related commission is reported in the period, do not include the student in the accepted student count.</w:t>
      </w:r>
      <w:r w:rsidR="00FC0850">
        <w:t xml:space="preserve"> </w:t>
      </w:r>
    </w:p>
    <w:p w14:paraId="5402A2C2" w14:textId="23A34A10" w:rsidR="00B475CA" w:rsidRDefault="00B475CA" w:rsidP="005821FF">
      <w:pPr>
        <w:spacing w:after="160"/>
      </w:pPr>
      <w:r>
        <w:br w:type="page"/>
      </w:r>
    </w:p>
    <w:p w14:paraId="7820EDB4" w14:textId="2C0E93C1" w:rsidR="0067449B" w:rsidRPr="00D971A8" w:rsidRDefault="0067449B" w:rsidP="006B34CD">
      <w:pPr>
        <w:pStyle w:val="Heading3"/>
      </w:pPr>
      <w:r w:rsidRPr="00D971A8">
        <w:lastRenderedPageBreak/>
        <w:t>Quick Reference: Reporting Checklist</w:t>
      </w:r>
    </w:p>
    <w:p w14:paraId="5CED91E5" w14:textId="3BC0C9CE" w:rsidR="0067449B" w:rsidRPr="00D971A8" w:rsidRDefault="003C5757" w:rsidP="00912806">
      <w:pPr>
        <w:pStyle w:val="ListBullet"/>
        <w:numPr>
          <w:ilvl w:val="0"/>
          <w:numId w:val="38"/>
        </w:numPr>
      </w:pPr>
      <w:r w:rsidRPr="003C5757">
        <w:t xml:space="preserve">Use an accrual basis where commission obligations were incurred during the reporting period. Where accrual information is unavailable or may not appropriately reflect the provider’s arrangements, a cash basis may be </w:t>
      </w:r>
      <w:proofErr w:type="gramStart"/>
      <w:r w:rsidRPr="003C5757">
        <w:t>used</w:t>
      </w:r>
      <w:proofErr w:type="gramEnd"/>
      <w:r w:rsidRPr="003C5757">
        <w:t xml:space="preserve"> and the basis should be documented.</w:t>
      </w:r>
      <w:r>
        <w:t xml:space="preserve"> </w:t>
      </w:r>
      <w:r w:rsidR="0067449B" w:rsidRPr="00D971A8">
        <w:t>Extract all agent commission payments or obligations for 1 January to 30 June 2026.</w:t>
      </w:r>
    </w:p>
    <w:p w14:paraId="2102D7A8" w14:textId="6E0ABB0D" w:rsidR="0067449B" w:rsidRPr="00D971A8" w:rsidRDefault="00F9225E" w:rsidP="00912806">
      <w:pPr>
        <w:pStyle w:val="ListBullet"/>
        <w:numPr>
          <w:ilvl w:val="0"/>
          <w:numId w:val="38"/>
        </w:numPr>
      </w:pPr>
      <w:r>
        <w:t xml:space="preserve">Ensure reported monetary </w:t>
      </w:r>
      <w:r w:rsidR="0067449B">
        <w:t xml:space="preserve">amounts </w:t>
      </w:r>
      <w:r>
        <w:t xml:space="preserve">are provided </w:t>
      </w:r>
      <w:r w:rsidR="3977F3E8">
        <w:t xml:space="preserve">on a </w:t>
      </w:r>
      <w:r w:rsidR="0067449B">
        <w:t>GST-exclusive</w:t>
      </w:r>
      <w:r w:rsidR="15659DE8">
        <w:t xml:space="preserve"> basis</w:t>
      </w:r>
      <w:r w:rsidR="0067449B">
        <w:t>.</w:t>
      </w:r>
    </w:p>
    <w:p w14:paraId="05181D3B" w14:textId="6C36BE94" w:rsidR="0067449B" w:rsidRPr="00D971A8" w:rsidRDefault="0067449B" w:rsidP="00912806">
      <w:pPr>
        <w:pStyle w:val="ListBullet"/>
        <w:numPr>
          <w:ilvl w:val="0"/>
          <w:numId w:val="38"/>
        </w:numPr>
      </w:pPr>
      <w:r>
        <w:t xml:space="preserve">Convert foreign currency amounts to AUD using the exchange rate at the date of payment or obligation. If that rate is unavailable, use the 30 June 2026 rate and </w:t>
      </w:r>
      <w:r w:rsidR="103EE44F">
        <w:t xml:space="preserve">keep appropriate </w:t>
      </w:r>
      <w:r>
        <w:t>record</w:t>
      </w:r>
      <w:r w:rsidR="1B5B3B68">
        <w:t>s of</w:t>
      </w:r>
      <w:r>
        <w:t xml:space="preserve"> the source used.</w:t>
      </w:r>
    </w:p>
    <w:p w14:paraId="092601B5" w14:textId="77777777" w:rsidR="0067449B" w:rsidRPr="00D971A8" w:rsidRDefault="0067449B" w:rsidP="00912806">
      <w:pPr>
        <w:pStyle w:val="ListBullet"/>
        <w:numPr>
          <w:ilvl w:val="0"/>
          <w:numId w:val="38"/>
        </w:numPr>
      </w:pPr>
      <w:r w:rsidRPr="00D971A8">
        <w:t>Classify each payment as Direct or Indirect using the attribution test.</w:t>
      </w:r>
    </w:p>
    <w:p w14:paraId="121C22BF" w14:textId="77777777" w:rsidR="0067449B" w:rsidRPr="00D971A8" w:rsidRDefault="0067449B" w:rsidP="00912806">
      <w:pPr>
        <w:pStyle w:val="ListBullet"/>
        <w:numPr>
          <w:ilvl w:val="0"/>
          <w:numId w:val="38"/>
        </w:numPr>
      </w:pPr>
      <w:r w:rsidRPr="00D971A8">
        <w:t>For capitalised commissions, where relevant, report the amortisation amount expensed during the reporting period.</w:t>
      </w:r>
    </w:p>
    <w:p w14:paraId="5C6DB062" w14:textId="2CB6CC0C" w:rsidR="0067449B" w:rsidRPr="00D971A8" w:rsidRDefault="0067449B" w:rsidP="00912806">
      <w:pPr>
        <w:pStyle w:val="ListBullet"/>
        <w:numPr>
          <w:ilvl w:val="0"/>
          <w:numId w:val="38"/>
        </w:numPr>
      </w:pPr>
      <w:r w:rsidRPr="00D971A8">
        <w:t xml:space="preserve">Count Accepted Students only where a </w:t>
      </w:r>
      <w:r w:rsidR="00F9225E">
        <w:t xml:space="preserve">direct </w:t>
      </w:r>
      <w:r w:rsidRPr="00D971A8">
        <w:t>commission amount is reported in the period.</w:t>
      </w:r>
    </w:p>
    <w:p w14:paraId="771485E0" w14:textId="7BBEB89B" w:rsidR="0067449B" w:rsidRPr="00D971A8" w:rsidRDefault="0067449B" w:rsidP="00912806">
      <w:pPr>
        <w:pStyle w:val="ListBullet"/>
        <w:numPr>
          <w:ilvl w:val="0"/>
          <w:numId w:val="38"/>
        </w:numPr>
      </w:pPr>
      <w:r w:rsidRPr="00D971A8">
        <w:t xml:space="preserve">Describe non-monetary benefits in 255 characters or fewer per agent </w:t>
      </w:r>
      <w:r w:rsidR="00F9225E" w:rsidRPr="00D971A8">
        <w:t>business or</w:t>
      </w:r>
      <w:r w:rsidRPr="00D971A8">
        <w:t xml:space="preserve"> record "nil".</w:t>
      </w:r>
    </w:p>
    <w:p w14:paraId="6960E041" w14:textId="13D2BC11" w:rsidR="0067449B" w:rsidRPr="00D971A8" w:rsidRDefault="0067449B" w:rsidP="00912806">
      <w:pPr>
        <w:pStyle w:val="ListBullet"/>
        <w:numPr>
          <w:ilvl w:val="0"/>
          <w:numId w:val="38"/>
        </w:numPr>
      </w:pPr>
      <w:r>
        <w:t xml:space="preserve">Download and populate the </w:t>
      </w:r>
      <w:r w:rsidR="00F9225E">
        <w:t xml:space="preserve">collection </w:t>
      </w:r>
      <w:r>
        <w:t xml:space="preserve">template </w:t>
      </w:r>
      <w:r w:rsidR="00F9225E">
        <w:t xml:space="preserve">available in </w:t>
      </w:r>
      <w:r>
        <w:t>PRISMS.</w:t>
      </w:r>
      <w:r w:rsidR="008E2910">
        <w:t xml:space="preserve"> </w:t>
      </w:r>
      <w:r w:rsidR="00FB6CA0">
        <w:t xml:space="preserve">Details for </w:t>
      </w:r>
      <w:r w:rsidR="00BB0AF5">
        <w:t>completing the template can be found in the Ed</w:t>
      </w:r>
      <w:r w:rsidR="394E45C7">
        <w:t>u</w:t>
      </w:r>
      <w:r w:rsidR="00BB0AF5">
        <w:t>cation Agent Commission – PRISMS Guidance.</w:t>
      </w:r>
    </w:p>
    <w:p w14:paraId="4487FD72" w14:textId="16858463" w:rsidR="0067449B" w:rsidRPr="00D971A8" w:rsidRDefault="00F9225E" w:rsidP="00912806">
      <w:pPr>
        <w:pStyle w:val="ListBullet"/>
        <w:numPr>
          <w:ilvl w:val="0"/>
          <w:numId w:val="38"/>
        </w:numPr>
      </w:pPr>
      <w:r>
        <w:t>Consider preparing</w:t>
      </w:r>
      <w:r w:rsidR="0067449B">
        <w:t xml:space="preserve"> and retain</w:t>
      </w:r>
      <w:r>
        <w:t>ing</w:t>
      </w:r>
      <w:r w:rsidR="0067449B">
        <w:t xml:space="preserve"> a reconciliation note for provider records.</w:t>
      </w:r>
    </w:p>
    <w:p w14:paraId="6F5F5403" w14:textId="1B3483E3" w:rsidR="0067449B" w:rsidRDefault="0F1C9FD1" w:rsidP="5801866B">
      <w:pPr>
        <w:pStyle w:val="ListBullet"/>
        <w:numPr>
          <w:ilvl w:val="0"/>
          <w:numId w:val="38"/>
        </w:numPr>
        <w:rPr>
          <w:rFonts w:ascii="Calibri" w:eastAsia="Calibri" w:hAnsi="Calibri" w:cs="Calibri"/>
        </w:rPr>
      </w:pPr>
      <w:r w:rsidRPr="5801866B">
        <w:rPr>
          <w:rFonts w:ascii="Calibri" w:eastAsia="Calibri" w:hAnsi="Calibri" w:cs="Calibri"/>
        </w:rPr>
        <w:t>Submit the completed response by the due date specified in the Secretary’s written request and displayed in PRISMS.</w:t>
      </w:r>
    </w:p>
    <w:p w14:paraId="78502CA1" w14:textId="0EBEBA1E" w:rsidR="5801866B" w:rsidRDefault="5801866B" w:rsidP="5801866B">
      <w:pPr>
        <w:pStyle w:val="ListBullet"/>
        <w:numPr>
          <w:ilvl w:val="0"/>
          <w:numId w:val="38"/>
        </w:numPr>
      </w:pPr>
    </w:p>
    <w:p w14:paraId="3A177C4F" w14:textId="77777777" w:rsidR="0067449B" w:rsidRDefault="0067449B" w:rsidP="0067449B">
      <w:r w:rsidRPr="00D971A8">
        <w:t>This factsheet is intended as a practical guide for finance teams supporting the agent commissions data collection. It does not constitute accounting or legal advice. Providers should ensure their reporting approach is reviewed by appropriately qualified finance and legal professionals.</w:t>
      </w:r>
    </w:p>
    <w:p w14:paraId="12ACF73F" w14:textId="77777777" w:rsidR="00D51646" w:rsidRDefault="00D51646" w:rsidP="00D51646">
      <w:pPr>
        <w:pStyle w:val="Heading3"/>
      </w:pPr>
      <w:r>
        <w:t>Other support documentation</w:t>
      </w:r>
    </w:p>
    <w:p w14:paraId="1095E5E2" w14:textId="77777777" w:rsidR="00D51646" w:rsidRDefault="00D51646" w:rsidP="00D51646">
      <w:r>
        <w:t>Providers may wish to refer to the:</w:t>
      </w:r>
    </w:p>
    <w:p w14:paraId="61A0D934" w14:textId="77777777" w:rsidR="00D51646" w:rsidRDefault="00D51646" w:rsidP="008C1AD5">
      <w:pPr>
        <w:pStyle w:val="ListBullet"/>
        <w:numPr>
          <w:ilvl w:val="0"/>
          <w:numId w:val="27"/>
        </w:numPr>
        <w:tabs>
          <w:tab w:val="clear" w:pos="720"/>
        </w:tabs>
        <w:ind w:left="284" w:hanging="284"/>
      </w:pPr>
      <w:r>
        <w:t>Principal Executive Officer Factsheet</w:t>
      </w:r>
    </w:p>
    <w:p w14:paraId="72B99261" w14:textId="77777777" w:rsidR="00D51646" w:rsidRDefault="00D51646" w:rsidP="008C1AD5">
      <w:pPr>
        <w:pStyle w:val="ListBullet"/>
        <w:numPr>
          <w:ilvl w:val="0"/>
          <w:numId w:val="27"/>
        </w:numPr>
        <w:tabs>
          <w:tab w:val="clear" w:pos="720"/>
        </w:tabs>
        <w:ind w:left="284" w:hanging="284"/>
      </w:pPr>
      <w:r>
        <w:t>PRISMS Guidance</w:t>
      </w:r>
    </w:p>
    <w:p w14:paraId="3BCEAF20" w14:textId="6EF1C2D3" w:rsidR="0045425B" w:rsidRPr="001E753C" w:rsidRDefault="0045425B" w:rsidP="008C1AD5">
      <w:pPr>
        <w:pStyle w:val="ListBullet"/>
        <w:numPr>
          <w:ilvl w:val="0"/>
          <w:numId w:val="27"/>
        </w:numPr>
        <w:tabs>
          <w:tab w:val="clear" w:pos="720"/>
        </w:tabs>
        <w:ind w:left="284" w:hanging="284"/>
      </w:pPr>
      <w:hyperlink r:id="rId13" w:history="1">
        <w:r w:rsidRPr="009A5464">
          <w:rPr>
            <w:rStyle w:val="Hyperlink"/>
          </w:rPr>
          <w:t>Education agent and commissions fact sheet</w:t>
        </w:r>
      </w:hyperlink>
      <w:r w:rsidR="009A5464">
        <w:t xml:space="preserve"> </w:t>
      </w:r>
    </w:p>
    <w:p w14:paraId="3166ACD5" w14:textId="7CC9C8B9" w:rsidR="0017134D" w:rsidRDefault="0067449B" w:rsidP="00B4205A">
      <w:r w:rsidRPr="7ACEFA51">
        <w:rPr>
          <w:b/>
          <w:bCs/>
        </w:rPr>
        <w:t>Document version:</w:t>
      </w:r>
      <w:r>
        <w:t xml:space="preserve"> 1.</w:t>
      </w:r>
      <w:r w:rsidR="008102AB">
        <w:t>0</w:t>
      </w:r>
      <w:r>
        <w:t xml:space="preserve"> </w:t>
      </w:r>
      <w:r w:rsidR="008102AB">
        <w:t>Final</w:t>
      </w:r>
      <w:r>
        <w:br/>
      </w:r>
      <w:r w:rsidR="00891604" w:rsidRPr="7ACEFA51">
        <w:rPr>
          <w:b/>
          <w:bCs/>
        </w:rPr>
        <w:t xml:space="preserve">First published: </w:t>
      </w:r>
      <w:r w:rsidR="008102AB" w:rsidRPr="008102AB">
        <w:t xml:space="preserve">21 </w:t>
      </w:r>
      <w:r w:rsidR="00D87546" w:rsidRPr="008102AB">
        <w:t xml:space="preserve">Sept </w:t>
      </w:r>
      <w:r w:rsidRPr="008102AB">
        <w:t>2026</w:t>
      </w:r>
      <w:r>
        <w:t xml:space="preserve"> </w:t>
      </w:r>
      <w:r>
        <w:br/>
      </w:r>
      <w:r w:rsidR="00891604" w:rsidRPr="7ACEFA51">
        <w:rPr>
          <w:b/>
          <w:bCs/>
        </w:rPr>
        <w:t>Last updated:</w:t>
      </w:r>
      <w:r w:rsidR="00891604">
        <w:t xml:space="preserve"> </w:t>
      </w:r>
      <w:r w:rsidR="00D25AA4">
        <w:t>N/A (</w:t>
      </w:r>
      <w:r w:rsidR="00B4205A">
        <w:t>draft versions</w:t>
      </w:r>
      <w:r w:rsidR="00D25AA4">
        <w:t>)</w:t>
      </w:r>
    </w:p>
    <w:sectPr w:rsidR="0017134D" w:rsidSect="00D86284">
      <w:footerReference w:type="default" r:id="rId14"/>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8DB81" w14:textId="77777777" w:rsidR="00FA3704" w:rsidRDefault="00FA3704" w:rsidP="000A6228">
      <w:pPr>
        <w:spacing w:after="0" w:line="240" w:lineRule="auto"/>
      </w:pPr>
      <w:r>
        <w:separator/>
      </w:r>
    </w:p>
  </w:endnote>
  <w:endnote w:type="continuationSeparator" w:id="0">
    <w:p w14:paraId="2AD630E4" w14:textId="77777777" w:rsidR="00FA3704" w:rsidRDefault="00FA3704"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079910"/>
      <w:docPartObj>
        <w:docPartGallery w:val="Page Numbers (Bottom of Page)"/>
        <w:docPartUnique/>
      </w:docPartObj>
    </w:sdtPr>
    <w:sdtEndPr>
      <w:rPr>
        <w:noProof/>
      </w:rPr>
    </w:sdtEndPr>
    <w:sdtContent>
      <w:p w14:paraId="343ACACA" w14:textId="15937FD1" w:rsidR="004277B2" w:rsidRDefault="004277B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083AEBB" w14:textId="115CE7F1" w:rsidR="00D86284" w:rsidRDefault="00D862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B32BA" w14:textId="77777777" w:rsidR="00FA3704" w:rsidRDefault="00FA3704" w:rsidP="000A6228">
      <w:pPr>
        <w:spacing w:after="0" w:line="240" w:lineRule="auto"/>
      </w:pPr>
      <w:r>
        <w:separator/>
      </w:r>
    </w:p>
  </w:footnote>
  <w:footnote w:type="continuationSeparator" w:id="0">
    <w:p w14:paraId="40BD94DA" w14:textId="77777777" w:rsidR="00FA3704" w:rsidRDefault="00FA3704"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A1B45CD" id="_x0000_i1025" style="width:0;height:0" o:hralign="center" o:bullet="t" o:hrstd="t" o:hr="t" fillcolor="#a0a0a0" stroked="f"/>
    </w:pict>
  </w:numPicBullet>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660182"/>
    <w:multiLevelType w:val="multilevel"/>
    <w:tmpl w:val="EEF6F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0F2780E"/>
    <w:multiLevelType w:val="multilevel"/>
    <w:tmpl w:val="EEB67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1361DF2"/>
    <w:multiLevelType w:val="multilevel"/>
    <w:tmpl w:val="F0E04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11" w15:restartNumberingAfterBreak="0">
    <w:nsid w:val="090B188D"/>
    <w:multiLevelType w:val="hybridMultilevel"/>
    <w:tmpl w:val="09D8F26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B6732F7"/>
    <w:multiLevelType w:val="multilevel"/>
    <w:tmpl w:val="BC185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5" w15:restartNumberingAfterBreak="0">
    <w:nsid w:val="0F654798"/>
    <w:multiLevelType w:val="hybridMultilevel"/>
    <w:tmpl w:val="8A2E6A58"/>
    <w:lvl w:ilvl="0" w:tplc="1F3ECED2">
      <w:start w:val="1"/>
      <w:numFmt w:val="bullet"/>
      <w:lvlText w:val=""/>
      <w:lvlPicBulletId w:val="0"/>
      <w:lvlJc w:val="left"/>
      <w:pPr>
        <w:tabs>
          <w:tab w:val="num" w:pos="720"/>
        </w:tabs>
        <w:ind w:left="720" w:hanging="360"/>
      </w:pPr>
      <w:rPr>
        <w:rFonts w:ascii="Symbol" w:hAnsi="Symbol" w:hint="default"/>
      </w:rPr>
    </w:lvl>
    <w:lvl w:ilvl="1" w:tplc="EE68B514" w:tentative="1">
      <w:start w:val="1"/>
      <w:numFmt w:val="bullet"/>
      <w:lvlText w:val=""/>
      <w:lvlJc w:val="left"/>
      <w:pPr>
        <w:tabs>
          <w:tab w:val="num" w:pos="1440"/>
        </w:tabs>
        <w:ind w:left="1440" w:hanging="360"/>
      </w:pPr>
      <w:rPr>
        <w:rFonts w:ascii="Symbol" w:hAnsi="Symbol" w:hint="default"/>
      </w:rPr>
    </w:lvl>
    <w:lvl w:ilvl="2" w:tplc="443C094A" w:tentative="1">
      <w:start w:val="1"/>
      <w:numFmt w:val="bullet"/>
      <w:lvlText w:val=""/>
      <w:lvlJc w:val="left"/>
      <w:pPr>
        <w:tabs>
          <w:tab w:val="num" w:pos="2160"/>
        </w:tabs>
        <w:ind w:left="2160" w:hanging="360"/>
      </w:pPr>
      <w:rPr>
        <w:rFonts w:ascii="Symbol" w:hAnsi="Symbol" w:hint="default"/>
      </w:rPr>
    </w:lvl>
    <w:lvl w:ilvl="3" w:tplc="AE161448" w:tentative="1">
      <w:start w:val="1"/>
      <w:numFmt w:val="bullet"/>
      <w:lvlText w:val=""/>
      <w:lvlJc w:val="left"/>
      <w:pPr>
        <w:tabs>
          <w:tab w:val="num" w:pos="2880"/>
        </w:tabs>
        <w:ind w:left="2880" w:hanging="360"/>
      </w:pPr>
      <w:rPr>
        <w:rFonts w:ascii="Symbol" w:hAnsi="Symbol" w:hint="default"/>
      </w:rPr>
    </w:lvl>
    <w:lvl w:ilvl="4" w:tplc="61B4BF64" w:tentative="1">
      <w:start w:val="1"/>
      <w:numFmt w:val="bullet"/>
      <w:lvlText w:val=""/>
      <w:lvlJc w:val="left"/>
      <w:pPr>
        <w:tabs>
          <w:tab w:val="num" w:pos="3600"/>
        </w:tabs>
        <w:ind w:left="3600" w:hanging="360"/>
      </w:pPr>
      <w:rPr>
        <w:rFonts w:ascii="Symbol" w:hAnsi="Symbol" w:hint="default"/>
      </w:rPr>
    </w:lvl>
    <w:lvl w:ilvl="5" w:tplc="06540708" w:tentative="1">
      <w:start w:val="1"/>
      <w:numFmt w:val="bullet"/>
      <w:lvlText w:val=""/>
      <w:lvlJc w:val="left"/>
      <w:pPr>
        <w:tabs>
          <w:tab w:val="num" w:pos="4320"/>
        </w:tabs>
        <w:ind w:left="4320" w:hanging="360"/>
      </w:pPr>
      <w:rPr>
        <w:rFonts w:ascii="Symbol" w:hAnsi="Symbol" w:hint="default"/>
      </w:rPr>
    </w:lvl>
    <w:lvl w:ilvl="6" w:tplc="2BA4BF58" w:tentative="1">
      <w:start w:val="1"/>
      <w:numFmt w:val="bullet"/>
      <w:lvlText w:val=""/>
      <w:lvlJc w:val="left"/>
      <w:pPr>
        <w:tabs>
          <w:tab w:val="num" w:pos="5040"/>
        </w:tabs>
        <w:ind w:left="5040" w:hanging="360"/>
      </w:pPr>
      <w:rPr>
        <w:rFonts w:ascii="Symbol" w:hAnsi="Symbol" w:hint="default"/>
      </w:rPr>
    </w:lvl>
    <w:lvl w:ilvl="7" w:tplc="379262D2" w:tentative="1">
      <w:start w:val="1"/>
      <w:numFmt w:val="bullet"/>
      <w:lvlText w:val=""/>
      <w:lvlJc w:val="left"/>
      <w:pPr>
        <w:tabs>
          <w:tab w:val="num" w:pos="5760"/>
        </w:tabs>
        <w:ind w:left="5760" w:hanging="360"/>
      </w:pPr>
      <w:rPr>
        <w:rFonts w:ascii="Symbol" w:hAnsi="Symbol" w:hint="default"/>
      </w:rPr>
    </w:lvl>
    <w:lvl w:ilvl="8" w:tplc="78EEDBB2"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10677B51"/>
    <w:multiLevelType w:val="multilevel"/>
    <w:tmpl w:val="409E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8" w15:restartNumberingAfterBreak="0">
    <w:nsid w:val="18FF1AB7"/>
    <w:multiLevelType w:val="multilevel"/>
    <w:tmpl w:val="4F68E302"/>
    <w:name w:val="EDU - Bullet List"/>
    <w:lvl w:ilvl="0">
      <w:start w:val="1"/>
      <w:numFmt w:val="bullet"/>
      <w:lvlText w:val=""/>
      <w:lvlJc w:val="left"/>
      <w:pPr>
        <w:ind w:left="360" w:hanging="360"/>
      </w:pPr>
      <w:rPr>
        <w:rFonts w:ascii="Symbol" w:hAnsi="Symbol" w:hint="default"/>
      </w:rPr>
    </w:lvl>
    <w:lvl w:ilvl="1">
      <w:start w:val="1"/>
      <w:numFmt w:val="none"/>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201F0FAE"/>
    <w:multiLevelType w:val="multilevel"/>
    <w:tmpl w:val="4C7222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3604B11"/>
    <w:multiLevelType w:val="multilevel"/>
    <w:tmpl w:val="18BC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8D0638"/>
    <w:multiLevelType w:val="multilevel"/>
    <w:tmpl w:val="6EA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302C53"/>
    <w:multiLevelType w:val="multilevel"/>
    <w:tmpl w:val="4300B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240A46"/>
    <w:multiLevelType w:val="multilevel"/>
    <w:tmpl w:val="9B98A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25"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D98322E"/>
    <w:multiLevelType w:val="multilevel"/>
    <w:tmpl w:val="863C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7DA348C"/>
    <w:multiLevelType w:val="multilevel"/>
    <w:tmpl w:val="1EFC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B98306A"/>
    <w:multiLevelType w:val="multilevel"/>
    <w:tmpl w:val="18C8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EE25344"/>
    <w:multiLevelType w:val="multilevel"/>
    <w:tmpl w:val="96F00FE2"/>
    <w:lvl w:ilvl="0">
      <w:start w:val="1"/>
      <w:numFmt w:val="bullet"/>
      <w:lvlText w:val="☑"/>
      <w:lvlJc w:val="left"/>
      <w:pPr>
        <w:tabs>
          <w:tab w:val="num" w:pos="360"/>
        </w:tabs>
        <w:ind w:left="360" w:hanging="360"/>
      </w:pPr>
      <w:rPr>
        <w:rFonts w:ascii="MS Gothic" w:eastAsia="MS Gothic" w:hAnsi="MS Gothic" w:hint="eastAsia"/>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2" w15:restartNumberingAfterBreak="0">
    <w:nsid w:val="60446285"/>
    <w:multiLevelType w:val="hybridMultilevel"/>
    <w:tmpl w:val="9D6EFAFA"/>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84" w:hanging="360"/>
      </w:pPr>
      <w:rPr>
        <w:rFonts w:ascii="Courier New" w:hAnsi="Courier New" w:cs="Courier New" w:hint="default"/>
      </w:rPr>
    </w:lvl>
    <w:lvl w:ilvl="2" w:tplc="0C090005" w:tentative="1">
      <w:start w:val="1"/>
      <w:numFmt w:val="bullet"/>
      <w:lvlText w:val=""/>
      <w:lvlJc w:val="left"/>
      <w:pPr>
        <w:ind w:left="2204" w:hanging="360"/>
      </w:pPr>
      <w:rPr>
        <w:rFonts w:ascii="Wingdings" w:hAnsi="Wingdings" w:hint="default"/>
      </w:rPr>
    </w:lvl>
    <w:lvl w:ilvl="3" w:tplc="0C090001" w:tentative="1">
      <w:start w:val="1"/>
      <w:numFmt w:val="bullet"/>
      <w:lvlText w:val=""/>
      <w:lvlJc w:val="left"/>
      <w:pPr>
        <w:ind w:left="2924" w:hanging="360"/>
      </w:pPr>
      <w:rPr>
        <w:rFonts w:ascii="Symbol" w:hAnsi="Symbol" w:hint="default"/>
      </w:rPr>
    </w:lvl>
    <w:lvl w:ilvl="4" w:tplc="0C090003" w:tentative="1">
      <w:start w:val="1"/>
      <w:numFmt w:val="bullet"/>
      <w:lvlText w:val="o"/>
      <w:lvlJc w:val="left"/>
      <w:pPr>
        <w:ind w:left="3644" w:hanging="360"/>
      </w:pPr>
      <w:rPr>
        <w:rFonts w:ascii="Courier New" w:hAnsi="Courier New" w:cs="Courier New" w:hint="default"/>
      </w:rPr>
    </w:lvl>
    <w:lvl w:ilvl="5" w:tplc="0C090005" w:tentative="1">
      <w:start w:val="1"/>
      <w:numFmt w:val="bullet"/>
      <w:lvlText w:val=""/>
      <w:lvlJc w:val="left"/>
      <w:pPr>
        <w:ind w:left="4364" w:hanging="360"/>
      </w:pPr>
      <w:rPr>
        <w:rFonts w:ascii="Wingdings" w:hAnsi="Wingdings" w:hint="default"/>
      </w:rPr>
    </w:lvl>
    <w:lvl w:ilvl="6" w:tplc="0C090001" w:tentative="1">
      <w:start w:val="1"/>
      <w:numFmt w:val="bullet"/>
      <w:lvlText w:val=""/>
      <w:lvlJc w:val="left"/>
      <w:pPr>
        <w:ind w:left="5084" w:hanging="360"/>
      </w:pPr>
      <w:rPr>
        <w:rFonts w:ascii="Symbol" w:hAnsi="Symbol" w:hint="default"/>
      </w:rPr>
    </w:lvl>
    <w:lvl w:ilvl="7" w:tplc="0C090003" w:tentative="1">
      <w:start w:val="1"/>
      <w:numFmt w:val="bullet"/>
      <w:lvlText w:val="o"/>
      <w:lvlJc w:val="left"/>
      <w:pPr>
        <w:ind w:left="5804" w:hanging="360"/>
      </w:pPr>
      <w:rPr>
        <w:rFonts w:ascii="Courier New" w:hAnsi="Courier New" w:cs="Courier New" w:hint="default"/>
      </w:rPr>
    </w:lvl>
    <w:lvl w:ilvl="8" w:tplc="0C090005" w:tentative="1">
      <w:start w:val="1"/>
      <w:numFmt w:val="bullet"/>
      <w:lvlText w:val=""/>
      <w:lvlJc w:val="left"/>
      <w:pPr>
        <w:ind w:left="6524" w:hanging="360"/>
      </w:pPr>
      <w:rPr>
        <w:rFonts w:ascii="Wingdings" w:hAnsi="Wingdings" w:hint="default"/>
      </w:rPr>
    </w:lvl>
  </w:abstractNum>
  <w:abstractNum w:abstractNumId="33" w15:restartNumberingAfterBreak="0">
    <w:nsid w:val="61D32020"/>
    <w:multiLevelType w:val="multilevel"/>
    <w:tmpl w:val="4B404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6" w15:restartNumberingAfterBreak="0">
    <w:nsid w:val="75CF678F"/>
    <w:multiLevelType w:val="multilevel"/>
    <w:tmpl w:val="45D2F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DB2958"/>
    <w:multiLevelType w:val="hybridMultilevel"/>
    <w:tmpl w:val="57BA1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FAC3A26"/>
    <w:multiLevelType w:val="hybridMultilevel"/>
    <w:tmpl w:val="5EC655CC"/>
    <w:lvl w:ilvl="0" w:tplc="F580C5D0">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70803065">
    <w:abstractNumId w:val="18"/>
  </w:num>
  <w:num w:numId="2" w16cid:durableId="1144616732">
    <w:abstractNumId w:val="5"/>
  </w:num>
  <w:num w:numId="3" w16cid:durableId="979309186">
    <w:abstractNumId w:val="4"/>
  </w:num>
  <w:num w:numId="4" w16cid:durableId="144787752">
    <w:abstractNumId w:val="3"/>
  </w:num>
  <w:num w:numId="5" w16cid:durableId="934556078">
    <w:abstractNumId w:val="25"/>
  </w:num>
  <w:num w:numId="6" w16cid:durableId="816344236">
    <w:abstractNumId w:val="2"/>
  </w:num>
  <w:num w:numId="7" w16cid:durableId="1908612059">
    <w:abstractNumId w:val="1"/>
  </w:num>
  <w:num w:numId="8" w16cid:durableId="1618215078">
    <w:abstractNumId w:val="0"/>
  </w:num>
  <w:num w:numId="9" w16cid:durableId="1850677422">
    <w:abstractNumId w:val="24"/>
  </w:num>
  <w:num w:numId="10" w16cid:durableId="1599946406">
    <w:abstractNumId w:val="10"/>
  </w:num>
  <w:num w:numId="11" w16cid:durableId="714038629">
    <w:abstractNumId w:val="34"/>
  </w:num>
  <w:num w:numId="12" w16cid:durableId="1728914001">
    <w:abstractNumId w:val="17"/>
  </w:num>
  <w:num w:numId="13" w16cid:durableId="17856119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4"/>
  </w:num>
  <w:num w:numId="15" w16cid:durableId="268391646">
    <w:abstractNumId w:val="6"/>
  </w:num>
  <w:num w:numId="16" w16cid:durableId="1261833621">
    <w:abstractNumId w:val="35"/>
  </w:num>
  <w:num w:numId="17" w16cid:durableId="2029670193">
    <w:abstractNumId w:val="26"/>
  </w:num>
  <w:num w:numId="18" w16cid:durableId="887570554">
    <w:abstractNumId w:val="12"/>
  </w:num>
  <w:num w:numId="19" w16cid:durableId="147789394">
    <w:abstractNumId w:val="29"/>
  </w:num>
  <w:num w:numId="20" w16cid:durableId="1638687227">
    <w:abstractNumId w:val="27"/>
  </w:num>
  <w:num w:numId="21" w16cid:durableId="1882009186">
    <w:abstractNumId w:val="21"/>
  </w:num>
  <w:num w:numId="22" w16cid:durableId="1048917568">
    <w:abstractNumId w:val="20"/>
  </w:num>
  <w:num w:numId="23" w16cid:durableId="1280212765">
    <w:abstractNumId w:val="7"/>
  </w:num>
  <w:num w:numId="24" w16cid:durableId="1649284673">
    <w:abstractNumId w:val="22"/>
  </w:num>
  <w:num w:numId="25" w16cid:durableId="1737583692">
    <w:abstractNumId w:val="9"/>
  </w:num>
  <w:num w:numId="26" w16cid:durableId="1529686231">
    <w:abstractNumId w:val="8"/>
  </w:num>
  <w:num w:numId="27" w16cid:durableId="887376569">
    <w:abstractNumId w:val="23"/>
  </w:num>
  <w:num w:numId="28" w16cid:durableId="85925201">
    <w:abstractNumId w:val="16"/>
  </w:num>
  <w:num w:numId="29" w16cid:durableId="1613172558">
    <w:abstractNumId w:val="15"/>
  </w:num>
  <w:num w:numId="30" w16cid:durableId="818575478">
    <w:abstractNumId w:val="36"/>
  </w:num>
  <w:num w:numId="31" w16cid:durableId="42559436">
    <w:abstractNumId w:val="30"/>
  </w:num>
  <w:num w:numId="32" w16cid:durableId="44990092">
    <w:abstractNumId w:val="28"/>
  </w:num>
  <w:num w:numId="33" w16cid:durableId="331295462">
    <w:abstractNumId w:val="13"/>
  </w:num>
  <w:num w:numId="34" w16cid:durableId="576480004">
    <w:abstractNumId w:val="32"/>
  </w:num>
  <w:num w:numId="35" w16cid:durableId="1383090977">
    <w:abstractNumId w:val="37"/>
  </w:num>
  <w:num w:numId="36" w16cid:durableId="696976196">
    <w:abstractNumId w:val="38"/>
  </w:num>
  <w:num w:numId="37" w16cid:durableId="1170213829">
    <w:abstractNumId w:val="19"/>
  </w:num>
  <w:num w:numId="38" w16cid:durableId="274598867">
    <w:abstractNumId w:val="31"/>
  </w:num>
  <w:num w:numId="39" w16cid:durableId="20295281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62391942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6E3F"/>
    <w:rsid w:val="00010F2F"/>
    <w:rsid w:val="00012366"/>
    <w:rsid w:val="00015F8A"/>
    <w:rsid w:val="00016F41"/>
    <w:rsid w:val="00021FBE"/>
    <w:rsid w:val="000228B1"/>
    <w:rsid w:val="000264AC"/>
    <w:rsid w:val="00040D9D"/>
    <w:rsid w:val="00050333"/>
    <w:rsid w:val="000518BB"/>
    <w:rsid w:val="000521D7"/>
    <w:rsid w:val="00056A34"/>
    <w:rsid w:val="00061A24"/>
    <w:rsid w:val="000A0B58"/>
    <w:rsid w:val="000A2A02"/>
    <w:rsid w:val="000A5C65"/>
    <w:rsid w:val="000A6228"/>
    <w:rsid w:val="000B3B9C"/>
    <w:rsid w:val="000B4741"/>
    <w:rsid w:val="000B5D40"/>
    <w:rsid w:val="000B7CFC"/>
    <w:rsid w:val="000B7EC6"/>
    <w:rsid w:val="000B7FB1"/>
    <w:rsid w:val="000D06B0"/>
    <w:rsid w:val="000D3FAC"/>
    <w:rsid w:val="000E41EE"/>
    <w:rsid w:val="000F169E"/>
    <w:rsid w:val="0010128F"/>
    <w:rsid w:val="00103AFD"/>
    <w:rsid w:val="001050FA"/>
    <w:rsid w:val="00107D87"/>
    <w:rsid w:val="00107DD5"/>
    <w:rsid w:val="00117A05"/>
    <w:rsid w:val="0012343A"/>
    <w:rsid w:val="001256FB"/>
    <w:rsid w:val="00133B8D"/>
    <w:rsid w:val="0013611E"/>
    <w:rsid w:val="001453CF"/>
    <w:rsid w:val="001515BF"/>
    <w:rsid w:val="00164116"/>
    <w:rsid w:val="00164755"/>
    <w:rsid w:val="00167758"/>
    <w:rsid w:val="0017134D"/>
    <w:rsid w:val="00193B5A"/>
    <w:rsid w:val="001A0C11"/>
    <w:rsid w:val="001A1E8A"/>
    <w:rsid w:val="001A49DF"/>
    <w:rsid w:val="001B05DD"/>
    <w:rsid w:val="001B58E7"/>
    <w:rsid w:val="001B5B51"/>
    <w:rsid w:val="001B6A37"/>
    <w:rsid w:val="001C0FE7"/>
    <w:rsid w:val="001C1523"/>
    <w:rsid w:val="001C20E9"/>
    <w:rsid w:val="001C6626"/>
    <w:rsid w:val="001C7D19"/>
    <w:rsid w:val="001D474F"/>
    <w:rsid w:val="001E1BBD"/>
    <w:rsid w:val="001E753C"/>
    <w:rsid w:val="001F34F7"/>
    <w:rsid w:val="001F7A57"/>
    <w:rsid w:val="0020131C"/>
    <w:rsid w:val="00201CB6"/>
    <w:rsid w:val="00205B42"/>
    <w:rsid w:val="00206C62"/>
    <w:rsid w:val="002204F8"/>
    <w:rsid w:val="00221D8F"/>
    <w:rsid w:val="002272DB"/>
    <w:rsid w:val="00230CFA"/>
    <w:rsid w:val="0023527C"/>
    <w:rsid w:val="002367DA"/>
    <w:rsid w:val="00236852"/>
    <w:rsid w:val="002412C1"/>
    <w:rsid w:val="002419AB"/>
    <w:rsid w:val="002428D2"/>
    <w:rsid w:val="002447D7"/>
    <w:rsid w:val="0024493B"/>
    <w:rsid w:val="002539E4"/>
    <w:rsid w:val="00276047"/>
    <w:rsid w:val="00293829"/>
    <w:rsid w:val="002A10DC"/>
    <w:rsid w:val="002A3C1D"/>
    <w:rsid w:val="002A3D79"/>
    <w:rsid w:val="002A4458"/>
    <w:rsid w:val="002B05D8"/>
    <w:rsid w:val="002C5270"/>
    <w:rsid w:val="002C78FA"/>
    <w:rsid w:val="002D2D94"/>
    <w:rsid w:val="002D589A"/>
    <w:rsid w:val="002D7BEA"/>
    <w:rsid w:val="002E1B84"/>
    <w:rsid w:val="002E491A"/>
    <w:rsid w:val="002F2261"/>
    <w:rsid w:val="002F3FE4"/>
    <w:rsid w:val="002F5FB5"/>
    <w:rsid w:val="0030006B"/>
    <w:rsid w:val="00314D73"/>
    <w:rsid w:val="003168B7"/>
    <w:rsid w:val="0032146B"/>
    <w:rsid w:val="003236C0"/>
    <w:rsid w:val="003247F9"/>
    <w:rsid w:val="00325F0E"/>
    <w:rsid w:val="003262BF"/>
    <w:rsid w:val="00327CC0"/>
    <w:rsid w:val="003316FC"/>
    <w:rsid w:val="0034092E"/>
    <w:rsid w:val="00343A83"/>
    <w:rsid w:val="00343BE7"/>
    <w:rsid w:val="00347191"/>
    <w:rsid w:val="003502F4"/>
    <w:rsid w:val="00353D12"/>
    <w:rsid w:val="00356E66"/>
    <w:rsid w:val="00362395"/>
    <w:rsid w:val="00366AA9"/>
    <w:rsid w:val="00367457"/>
    <w:rsid w:val="003815C7"/>
    <w:rsid w:val="003832D9"/>
    <w:rsid w:val="00384184"/>
    <w:rsid w:val="003904DA"/>
    <w:rsid w:val="003A5D7D"/>
    <w:rsid w:val="003A7449"/>
    <w:rsid w:val="003C2E73"/>
    <w:rsid w:val="003C5356"/>
    <w:rsid w:val="003C5757"/>
    <w:rsid w:val="003C7E3E"/>
    <w:rsid w:val="003D3531"/>
    <w:rsid w:val="003F3562"/>
    <w:rsid w:val="003F3946"/>
    <w:rsid w:val="003F4E33"/>
    <w:rsid w:val="0040155D"/>
    <w:rsid w:val="00403337"/>
    <w:rsid w:val="00412FCA"/>
    <w:rsid w:val="0041713E"/>
    <w:rsid w:val="00421D3F"/>
    <w:rsid w:val="00423785"/>
    <w:rsid w:val="004277B2"/>
    <w:rsid w:val="0043021B"/>
    <w:rsid w:val="00442345"/>
    <w:rsid w:val="00450EBF"/>
    <w:rsid w:val="00452D26"/>
    <w:rsid w:val="0045425B"/>
    <w:rsid w:val="00454FC8"/>
    <w:rsid w:val="0046218D"/>
    <w:rsid w:val="004635E4"/>
    <w:rsid w:val="00467440"/>
    <w:rsid w:val="00467ABD"/>
    <w:rsid w:val="00482826"/>
    <w:rsid w:val="004923F0"/>
    <w:rsid w:val="00492654"/>
    <w:rsid w:val="004944F5"/>
    <w:rsid w:val="004A06CD"/>
    <w:rsid w:val="004A1570"/>
    <w:rsid w:val="004A1A48"/>
    <w:rsid w:val="004A2E54"/>
    <w:rsid w:val="004A4B6F"/>
    <w:rsid w:val="004A4CF9"/>
    <w:rsid w:val="004A7E3D"/>
    <w:rsid w:val="004B28BD"/>
    <w:rsid w:val="004C4D92"/>
    <w:rsid w:val="004D1620"/>
    <w:rsid w:val="004D2965"/>
    <w:rsid w:val="004D2D9D"/>
    <w:rsid w:val="004D5294"/>
    <w:rsid w:val="004D7F4E"/>
    <w:rsid w:val="004E6262"/>
    <w:rsid w:val="004E672F"/>
    <w:rsid w:val="004F5F13"/>
    <w:rsid w:val="005030B7"/>
    <w:rsid w:val="005037CE"/>
    <w:rsid w:val="00512DFD"/>
    <w:rsid w:val="00513713"/>
    <w:rsid w:val="00520B11"/>
    <w:rsid w:val="00523EFD"/>
    <w:rsid w:val="00532859"/>
    <w:rsid w:val="00534743"/>
    <w:rsid w:val="00534E5F"/>
    <w:rsid w:val="00545F2D"/>
    <w:rsid w:val="005625A2"/>
    <w:rsid w:val="00564B93"/>
    <w:rsid w:val="00565EE6"/>
    <w:rsid w:val="00572ECC"/>
    <w:rsid w:val="0057323F"/>
    <w:rsid w:val="00576314"/>
    <w:rsid w:val="005778DB"/>
    <w:rsid w:val="005821FF"/>
    <w:rsid w:val="005902F1"/>
    <w:rsid w:val="005A2092"/>
    <w:rsid w:val="005A3E4A"/>
    <w:rsid w:val="005A3E98"/>
    <w:rsid w:val="005A75C9"/>
    <w:rsid w:val="005B0936"/>
    <w:rsid w:val="005B187D"/>
    <w:rsid w:val="005C6786"/>
    <w:rsid w:val="005C7094"/>
    <w:rsid w:val="005D5E84"/>
    <w:rsid w:val="005D74C2"/>
    <w:rsid w:val="005E6379"/>
    <w:rsid w:val="005F22D5"/>
    <w:rsid w:val="005F36BE"/>
    <w:rsid w:val="005F4190"/>
    <w:rsid w:val="006026BB"/>
    <w:rsid w:val="00603994"/>
    <w:rsid w:val="00607DFF"/>
    <w:rsid w:val="0061715E"/>
    <w:rsid w:val="006232DC"/>
    <w:rsid w:val="0062354D"/>
    <w:rsid w:val="00630892"/>
    <w:rsid w:val="0063094F"/>
    <w:rsid w:val="00636356"/>
    <w:rsid w:val="00656079"/>
    <w:rsid w:val="00657F81"/>
    <w:rsid w:val="00670D75"/>
    <w:rsid w:val="0067449B"/>
    <w:rsid w:val="00691893"/>
    <w:rsid w:val="0069385B"/>
    <w:rsid w:val="006A5549"/>
    <w:rsid w:val="006B34CD"/>
    <w:rsid w:val="006B3F6A"/>
    <w:rsid w:val="006C274E"/>
    <w:rsid w:val="006C5622"/>
    <w:rsid w:val="006C63CA"/>
    <w:rsid w:val="006C7A33"/>
    <w:rsid w:val="006D30AE"/>
    <w:rsid w:val="006D67F3"/>
    <w:rsid w:val="006E1FDD"/>
    <w:rsid w:val="006E4CD0"/>
    <w:rsid w:val="006F00E7"/>
    <w:rsid w:val="006F0B2C"/>
    <w:rsid w:val="006F1FFF"/>
    <w:rsid w:val="006F6D10"/>
    <w:rsid w:val="00702BE7"/>
    <w:rsid w:val="00704668"/>
    <w:rsid w:val="00710979"/>
    <w:rsid w:val="00712B94"/>
    <w:rsid w:val="00713290"/>
    <w:rsid w:val="007146FC"/>
    <w:rsid w:val="00724597"/>
    <w:rsid w:val="00726061"/>
    <w:rsid w:val="00726623"/>
    <w:rsid w:val="0076159A"/>
    <w:rsid w:val="007645FE"/>
    <w:rsid w:val="00773A8A"/>
    <w:rsid w:val="007856E4"/>
    <w:rsid w:val="00785B1E"/>
    <w:rsid w:val="00795B5F"/>
    <w:rsid w:val="007A05D8"/>
    <w:rsid w:val="007A356A"/>
    <w:rsid w:val="007B0405"/>
    <w:rsid w:val="007B2CA1"/>
    <w:rsid w:val="007D0ABC"/>
    <w:rsid w:val="007D34E3"/>
    <w:rsid w:val="007D76C7"/>
    <w:rsid w:val="007E7B71"/>
    <w:rsid w:val="007F6600"/>
    <w:rsid w:val="00803A59"/>
    <w:rsid w:val="008042F5"/>
    <w:rsid w:val="008065C3"/>
    <w:rsid w:val="008102AB"/>
    <w:rsid w:val="00820234"/>
    <w:rsid w:val="00837EE7"/>
    <w:rsid w:val="00847B16"/>
    <w:rsid w:val="00847E2C"/>
    <w:rsid w:val="008703C0"/>
    <w:rsid w:val="008825E4"/>
    <w:rsid w:val="00886107"/>
    <w:rsid w:val="00886959"/>
    <w:rsid w:val="00891604"/>
    <w:rsid w:val="00892990"/>
    <w:rsid w:val="00893A34"/>
    <w:rsid w:val="00896FCB"/>
    <w:rsid w:val="008A36E1"/>
    <w:rsid w:val="008A37A7"/>
    <w:rsid w:val="008B0736"/>
    <w:rsid w:val="008C1AD5"/>
    <w:rsid w:val="008D4199"/>
    <w:rsid w:val="008E2910"/>
    <w:rsid w:val="008E2DDC"/>
    <w:rsid w:val="008E70F5"/>
    <w:rsid w:val="008E71FC"/>
    <w:rsid w:val="00912806"/>
    <w:rsid w:val="00916D6A"/>
    <w:rsid w:val="009266CC"/>
    <w:rsid w:val="00933A74"/>
    <w:rsid w:val="00942C7A"/>
    <w:rsid w:val="00950B06"/>
    <w:rsid w:val="0095327C"/>
    <w:rsid w:val="00960BAF"/>
    <w:rsid w:val="00961A48"/>
    <w:rsid w:val="009621C8"/>
    <w:rsid w:val="00970069"/>
    <w:rsid w:val="009719C7"/>
    <w:rsid w:val="009721EB"/>
    <w:rsid w:val="00976A89"/>
    <w:rsid w:val="00981351"/>
    <w:rsid w:val="009923A7"/>
    <w:rsid w:val="009A5464"/>
    <w:rsid w:val="009A7892"/>
    <w:rsid w:val="009B6300"/>
    <w:rsid w:val="009B706E"/>
    <w:rsid w:val="009C423A"/>
    <w:rsid w:val="009C4A17"/>
    <w:rsid w:val="009C5315"/>
    <w:rsid w:val="009C60BD"/>
    <w:rsid w:val="009C60D6"/>
    <w:rsid w:val="009C716C"/>
    <w:rsid w:val="009D70F3"/>
    <w:rsid w:val="009E524A"/>
    <w:rsid w:val="009E79ED"/>
    <w:rsid w:val="009F3A36"/>
    <w:rsid w:val="00A0344A"/>
    <w:rsid w:val="00A07596"/>
    <w:rsid w:val="00A17A08"/>
    <w:rsid w:val="00A2442E"/>
    <w:rsid w:val="00A25DAA"/>
    <w:rsid w:val="00A311EC"/>
    <w:rsid w:val="00A35AD7"/>
    <w:rsid w:val="00A35ECD"/>
    <w:rsid w:val="00A56865"/>
    <w:rsid w:val="00A60673"/>
    <w:rsid w:val="00A648F0"/>
    <w:rsid w:val="00A65334"/>
    <w:rsid w:val="00A7133F"/>
    <w:rsid w:val="00A773A5"/>
    <w:rsid w:val="00A8047E"/>
    <w:rsid w:val="00A90335"/>
    <w:rsid w:val="00A907F6"/>
    <w:rsid w:val="00A93E24"/>
    <w:rsid w:val="00A972C0"/>
    <w:rsid w:val="00AA4379"/>
    <w:rsid w:val="00AB1151"/>
    <w:rsid w:val="00AB6AFC"/>
    <w:rsid w:val="00AC04BA"/>
    <w:rsid w:val="00AC0FE0"/>
    <w:rsid w:val="00AC1872"/>
    <w:rsid w:val="00AC5732"/>
    <w:rsid w:val="00AC7CAA"/>
    <w:rsid w:val="00AD631F"/>
    <w:rsid w:val="00AE21FF"/>
    <w:rsid w:val="00AE760C"/>
    <w:rsid w:val="00AF0F52"/>
    <w:rsid w:val="00AF1F18"/>
    <w:rsid w:val="00B0726E"/>
    <w:rsid w:val="00B13FA4"/>
    <w:rsid w:val="00B1527C"/>
    <w:rsid w:val="00B16E5B"/>
    <w:rsid w:val="00B209CF"/>
    <w:rsid w:val="00B219D1"/>
    <w:rsid w:val="00B27F7B"/>
    <w:rsid w:val="00B31BCE"/>
    <w:rsid w:val="00B35410"/>
    <w:rsid w:val="00B35E6C"/>
    <w:rsid w:val="00B4205A"/>
    <w:rsid w:val="00B4254C"/>
    <w:rsid w:val="00B4672A"/>
    <w:rsid w:val="00B47096"/>
    <w:rsid w:val="00B475CA"/>
    <w:rsid w:val="00B63D60"/>
    <w:rsid w:val="00B71E79"/>
    <w:rsid w:val="00B80E1F"/>
    <w:rsid w:val="00B81FA4"/>
    <w:rsid w:val="00B84028"/>
    <w:rsid w:val="00B8794C"/>
    <w:rsid w:val="00B904DF"/>
    <w:rsid w:val="00B911FB"/>
    <w:rsid w:val="00B91854"/>
    <w:rsid w:val="00B91C5D"/>
    <w:rsid w:val="00B95EF4"/>
    <w:rsid w:val="00B95F35"/>
    <w:rsid w:val="00BB0AF5"/>
    <w:rsid w:val="00BB39D3"/>
    <w:rsid w:val="00BB4DFE"/>
    <w:rsid w:val="00BB6509"/>
    <w:rsid w:val="00BC248C"/>
    <w:rsid w:val="00BC3B47"/>
    <w:rsid w:val="00BD22AB"/>
    <w:rsid w:val="00BD22FA"/>
    <w:rsid w:val="00BD37D1"/>
    <w:rsid w:val="00BD6944"/>
    <w:rsid w:val="00BE0C4A"/>
    <w:rsid w:val="00BE280D"/>
    <w:rsid w:val="00BE5160"/>
    <w:rsid w:val="00BE5B9D"/>
    <w:rsid w:val="00BE65A0"/>
    <w:rsid w:val="00BF294F"/>
    <w:rsid w:val="00C0038A"/>
    <w:rsid w:val="00C01EC0"/>
    <w:rsid w:val="00C0694D"/>
    <w:rsid w:val="00C06A51"/>
    <w:rsid w:val="00C1498A"/>
    <w:rsid w:val="00C1535D"/>
    <w:rsid w:val="00C15935"/>
    <w:rsid w:val="00C23830"/>
    <w:rsid w:val="00C23DDF"/>
    <w:rsid w:val="00C244EE"/>
    <w:rsid w:val="00C273EB"/>
    <w:rsid w:val="00C36434"/>
    <w:rsid w:val="00C36595"/>
    <w:rsid w:val="00C46D27"/>
    <w:rsid w:val="00C72224"/>
    <w:rsid w:val="00C75706"/>
    <w:rsid w:val="00C7700B"/>
    <w:rsid w:val="00C834B4"/>
    <w:rsid w:val="00C83B89"/>
    <w:rsid w:val="00C85069"/>
    <w:rsid w:val="00C93766"/>
    <w:rsid w:val="00C93D9E"/>
    <w:rsid w:val="00CA036E"/>
    <w:rsid w:val="00CA4815"/>
    <w:rsid w:val="00CA5548"/>
    <w:rsid w:val="00CC7CCB"/>
    <w:rsid w:val="00CD33BD"/>
    <w:rsid w:val="00CF3744"/>
    <w:rsid w:val="00CF6562"/>
    <w:rsid w:val="00D00F36"/>
    <w:rsid w:val="00D25AA4"/>
    <w:rsid w:val="00D3507E"/>
    <w:rsid w:val="00D43F8F"/>
    <w:rsid w:val="00D46554"/>
    <w:rsid w:val="00D4657F"/>
    <w:rsid w:val="00D46E4B"/>
    <w:rsid w:val="00D47C50"/>
    <w:rsid w:val="00D47F8F"/>
    <w:rsid w:val="00D503F8"/>
    <w:rsid w:val="00D51646"/>
    <w:rsid w:val="00D5688A"/>
    <w:rsid w:val="00D57444"/>
    <w:rsid w:val="00D64D73"/>
    <w:rsid w:val="00D66C58"/>
    <w:rsid w:val="00D67E48"/>
    <w:rsid w:val="00D74EE5"/>
    <w:rsid w:val="00D77D6A"/>
    <w:rsid w:val="00D80B2E"/>
    <w:rsid w:val="00D80BAE"/>
    <w:rsid w:val="00D86284"/>
    <w:rsid w:val="00D87546"/>
    <w:rsid w:val="00D90E9C"/>
    <w:rsid w:val="00D971A8"/>
    <w:rsid w:val="00DA2B4E"/>
    <w:rsid w:val="00DA2F72"/>
    <w:rsid w:val="00DC2A74"/>
    <w:rsid w:val="00DC5980"/>
    <w:rsid w:val="00DD2B46"/>
    <w:rsid w:val="00DD6CF3"/>
    <w:rsid w:val="00DE4A98"/>
    <w:rsid w:val="00DF1E73"/>
    <w:rsid w:val="00E0534A"/>
    <w:rsid w:val="00E06ED6"/>
    <w:rsid w:val="00E07871"/>
    <w:rsid w:val="00E11344"/>
    <w:rsid w:val="00E1280F"/>
    <w:rsid w:val="00E221C1"/>
    <w:rsid w:val="00E26B55"/>
    <w:rsid w:val="00E277FE"/>
    <w:rsid w:val="00E27FBE"/>
    <w:rsid w:val="00E32F55"/>
    <w:rsid w:val="00E46838"/>
    <w:rsid w:val="00E46A5E"/>
    <w:rsid w:val="00E47583"/>
    <w:rsid w:val="00E52689"/>
    <w:rsid w:val="00E529E5"/>
    <w:rsid w:val="00E52DE3"/>
    <w:rsid w:val="00E539AE"/>
    <w:rsid w:val="00E616EC"/>
    <w:rsid w:val="00E65289"/>
    <w:rsid w:val="00E72D6C"/>
    <w:rsid w:val="00E87ABB"/>
    <w:rsid w:val="00E91846"/>
    <w:rsid w:val="00E97FF8"/>
    <w:rsid w:val="00EA2B77"/>
    <w:rsid w:val="00EA405D"/>
    <w:rsid w:val="00EB4C2F"/>
    <w:rsid w:val="00EB6391"/>
    <w:rsid w:val="00EC32BC"/>
    <w:rsid w:val="00ED0B6B"/>
    <w:rsid w:val="00ED0DDF"/>
    <w:rsid w:val="00ED3A58"/>
    <w:rsid w:val="00ED3BE9"/>
    <w:rsid w:val="00EF06A1"/>
    <w:rsid w:val="00EF13EE"/>
    <w:rsid w:val="00EF2C40"/>
    <w:rsid w:val="00EF308D"/>
    <w:rsid w:val="00F07139"/>
    <w:rsid w:val="00F07B82"/>
    <w:rsid w:val="00F1000D"/>
    <w:rsid w:val="00F237B7"/>
    <w:rsid w:val="00F25427"/>
    <w:rsid w:val="00F311A4"/>
    <w:rsid w:val="00F31ADE"/>
    <w:rsid w:val="00F56351"/>
    <w:rsid w:val="00F64929"/>
    <w:rsid w:val="00F701E2"/>
    <w:rsid w:val="00F82C2C"/>
    <w:rsid w:val="00F85913"/>
    <w:rsid w:val="00F85C18"/>
    <w:rsid w:val="00F91441"/>
    <w:rsid w:val="00F9225E"/>
    <w:rsid w:val="00FA1219"/>
    <w:rsid w:val="00FA3704"/>
    <w:rsid w:val="00FB2745"/>
    <w:rsid w:val="00FB58A0"/>
    <w:rsid w:val="00FB6CA0"/>
    <w:rsid w:val="00FC0850"/>
    <w:rsid w:val="00FC182F"/>
    <w:rsid w:val="00FC6350"/>
    <w:rsid w:val="00FD4D6E"/>
    <w:rsid w:val="00FD5F69"/>
    <w:rsid w:val="00FD6383"/>
    <w:rsid w:val="00FD7B71"/>
    <w:rsid w:val="00FD7FD1"/>
    <w:rsid w:val="00FF0C5D"/>
    <w:rsid w:val="00FF5BC8"/>
    <w:rsid w:val="02F464FE"/>
    <w:rsid w:val="03507A99"/>
    <w:rsid w:val="07B20CED"/>
    <w:rsid w:val="07D505B9"/>
    <w:rsid w:val="09CA0BA1"/>
    <w:rsid w:val="0BC447F7"/>
    <w:rsid w:val="0CA4AEC4"/>
    <w:rsid w:val="0F1C9FD1"/>
    <w:rsid w:val="103EE44F"/>
    <w:rsid w:val="10896F06"/>
    <w:rsid w:val="135CF885"/>
    <w:rsid w:val="139F0C7B"/>
    <w:rsid w:val="14E69AA8"/>
    <w:rsid w:val="15659DE8"/>
    <w:rsid w:val="17100C9D"/>
    <w:rsid w:val="174FB4A2"/>
    <w:rsid w:val="19C76060"/>
    <w:rsid w:val="1A292C90"/>
    <w:rsid w:val="1B5B3B68"/>
    <w:rsid w:val="1CF053FD"/>
    <w:rsid w:val="1D63B024"/>
    <w:rsid w:val="1D82E7DC"/>
    <w:rsid w:val="1DDC53DA"/>
    <w:rsid w:val="2117C7A1"/>
    <w:rsid w:val="21EFD20B"/>
    <w:rsid w:val="22D7D6AB"/>
    <w:rsid w:val="27CA76F4"/>
    <w:rsid w:val="2844F63A"/>
    <w:rsid w:val="28AD9ED4"/>
    <w:rsid w:val="2A3BD009"/>
    <w:rsid w:val="2F51E1DA"/>
    <w:rsid w:val="31507328"/>
    <w:rsid w:val="321BB7F7"/>
    <w:rsid w:val="32ADF7F2"/>
    <w:rsid w:val="381AE02B"/>
    <w:rsid w:val="394E45C7"/>
    <w:rsid w:val="3977F3E8"/>
    <w:rsid w:val="39C49D12"/>
    <w:rsid w:val="469FB9C8"/>
    <w:rsid w:val="46A87E8B"/>
    <w:rsid w:val="49DA11B7"/>
    <w:rsid w:val="4BA83146"/>
    <w:rsid w:val="4BB1602A"/>
    <w:rsid w:val="4DB22BC6"/>
    <w:rsid w:val="531DC929"/>
    <w:rsid w:val="5497B942"/>
    <w:rsid w:val="5801866B"/>
    <w:rsid w:val="58C0120C"/>
    <w:rsid w:val="5B3821BF"/>
    <w:rsid w:val="5B562CE5"/>
    <w:rsid w:val="5BD73AF4"/>
    <w:rsid w:val="5E575B76"/>
    <w:rsid w:val="665C6106"/>
    <w:rsid w:val="68069E6E"/>
    <w:rsid w:val="680B68BF"/>
    <w:rsid w:val="6B914D0A"/>
    <w:rsid w:val="6BA7ED3B"/>
    <w:rsid w:val="70BDC8AB"/>
    <w:rsid w:val="72D89758"/>
    <w:rsid w:val="78BF89A4"/>
    <w:rsid w:val="79D22AC7"/>
    <w:rsid w:val="7A02E756"/>
    <w:rsid w:val="7A94C1CB"/>
    <w:rsid w:val="7ACEFA51"/>
    <w:rsid w:val="7AE6D4CE"/>
    <w:rsid w:val="7CDD56A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05AB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spacing w:after="200"/>
      <w:contextualSpacing/>
    </w:pPr>
  </w:style>
  <w:style w:type="paragraph" w:styleId="ListBullet2">
    <w:name w:val="List Bullet 2"/>
    <w:basedOn w:val="Normal"/>
    <w:uiPriority w:val="98"/>
    <w:qFormat/>
    <w:rsid w:val="00C75706"/>
    <w:pPr>
      <w:spacing w:after="200"/>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semiHidden/>
    <w:qFormat/>
    <w:rsid w:val="00F07139"/>
    <w:pPr>
      <w:ind w:left="720"/>
      <w:contextualSpacing/>
    </w:pPr>
  </w:style>
  <w:style w:type="character" w:styleId="CommentReference">
    <w:name w:val="annotation reference"/>
    <w:basedOn w:val="DefaultParagraphFont"/>
    <w:uiPriority w:val="99"/>
    <w:semiHidden/>
    <w:unhideWhenUsed/>
    <w:rsid w:val="00E1280F"/>
    <w:rPr>
      <w:sz w:val="16"/>
      <w:szCs w:val="16"/>
    </w:rPr>
  </w:style>
  <w:style w:type="paragraph" w:styleId="CommentText">
    <w:name w:val="annotation text"/>
    <w:basedOn w:val="Normal"/>
    <w:link w:val="CommentTextChar"/>
    <w:uiPriority w:val="99"/>
    <w:unhideWhenUsed/>
    <w:rsid w:val="00E1280F"/>
    <w:pPr>
      <w:spacing w:line="240" w:lineRule="auto"/>
    </w:pPr>
    <w:rPr>
      <w:sz w:val="20"/>
      <w:szCs w:val="20"/>
    </w:rPr>
  </w:style>
  <w:style w:type="character" w:customStyle="1" w:styleId="CommentTextChar">
    <w:name w:val="Comment Text Char"/>
    <w:basedOn w:val="DefaultParagraphFont"/>
    <w:link w:val="CommentText"/>
    <w:uiPriority w:val="99"/>
    <w:rsid w:val="00E1280F"/>
    <w:rPr>
      <w:sz w:val="20"/>
      <w:szCs w:val="20"/>
    </w:rPr>
  </w:style>
  <w:style w:type="paragraph" w:styleId="CommentSubject">
    <w:name w:val="annotation subject"/>
    <w:basedOn w:val="CommentText"/>
    <w:next w:val="CommentText"/>
    <w:link w:val="CommentSubjectChar"/>
    <w:uiPriority w:val="99"/>
    <w:semiHidden/>
    <w:unhideWhenUsed/>
    <w:rsid w:val="00E1280F"/>
    <w:rPr>
      <w:b/>
      <w:bCs/>
    </w:rPr>
  </w:style>
  <w:style w:type="character" w:customStyle="1" w:styleId="CommentSubjectChar">
    <w:name w:val="Comment Subject Char"/>
    <w:basedOn w:val="CommentTextChar"/>
    <w:link w:val="CommentSubject"/>
    <w:uiPriority w:val="99"/>
    <w:semiHidden/>
    <w:rsid w:val="00E1280F"/>
    <w:rPr>
      <w:b/>
      <w:bCs/>
      <w:sz w:val="20"/>
      <w:szCs w:val="20"/>
    </w:rPr>
  </w:style>
  <w:style w:type="paragraph" w:styleId="Revision">
    <w:name w:val="Revision"/>
    <w:hidden/>
    <w:uiPriority w:val="99"/>
    <w:semiHidden/>
    <w:rsid w:val="00D971A8"/>
    <w:pPr>
      <w:spacing w:after="0" w:line="240" w:lineRule="auto"/>
    </w:pPr>
  </w:style>
  <w:style w:type="paragraph" w:styleId="NormalWeb">
    <w:name w:val="Normal (Web)"/>
    <w:basedOn w:val="Normal"/>
    <w:uiPriority w:val="99"/>
    <w:semiHidden/>
    <w:unhideWhenUsed/>
    <w:rsid w:val="002C78FA"/>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ducation.gov.au/esos-framework/resources/2025-fact-sheet-education-agents-and-commiss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au/C2004A00757/latest/tex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2758</Words>
  <Characters>15727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Finance Officer Factsheet</cp:keywords>
  <dc:description/>
  <cp:lastModifiedBy/>
  <cp:revision>1</cp:revision>
  <dcterms:created xsi:type="dcterms:W3CDTF">2026-09-20T21:39:00Z</dcterms:created>
  <dcterms:modified xsi:type="dcterms:W3CDTF">2026-09-20T21:39:00Z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f877481-9e35-4b68-b667-876a73c6db41_Enabled">
    <vt:lpwstr>true</vt:lpwstr>
  </property>
  <property fmtid="{D5CDD505-2E9C-101B-9397-08002B2CF9AE}" pid="3" name="MSIP_Label_5f877481-9e35-4b68-b667-876a73c6db41_SetDate">
    <vt:lpwstr>2026-09-20T21:39:43Z</vt:lpwstr>
  </property>
  <property fmtid="{D5CDD505-2E9C-101B-9397-08002B2CF9AE}" pid="4" name="MSIP_Label_5f877481-9e35-4b68-b667-876a73c6db41_Method">
    <vt:lpwstr>Privileged</vt:lpwstr>
  </property>
  <property fmtid="{D5CDD505-2E9C-101B-9397-08002B2CF9AE}" pid="5" name="MSIP_Label_5f877481-9e35-4b68-b667-876a73c6db41_Name">
    <vt:lpwstr>5f877481-9e35-4b68-b667-876a73c6db41</vt:lpwstr>
  </property>
  <property fmtid="{D5CDD505-2E9C-101B-9397-08002B2CF9AE}" pid="6" name="MSIP_Label_5f877481-9e35-4b68-b667-876a73c6db41_SiteId">
    <vt:lpwstr>dd0cfd15-4558-4b12-8bad-ea26984fc417</vt:lpwstr>
  </property>
  <property fmtid="{D5CDD505-2E9C-101B-9397-08002B2CF9AE}" pid="7" name="MSIP_Label_5f877481-9e35-4b68-b667-876a73c6db41_ActionId">
    <vt:lpwstr>eb0fce63-8af0-416e-93b5-2a05c3afcdd6</vt:lpwstr>
  </property>
  <property fmtid="{D5CDD505-2E9C-101B-9397-08002B2CF9AE}" pid="8" name="MSIP_Label_5f877481-9e35-4b68-b667-876a73c6db41_ContentBits">
    <vt:lpwstr>0</vt:lpwstr>
  </property>
  <property fmtid="{D5CDD505-2E9C-101B-9397-08002B2CF9AE}" pid="9" name="MSIP_Label_5f877481-9e35-4b68-b667-876a73c6db41_Tag">
    <vt:lpwstr>10, 0, 1, 1</vt:lpwstr>
  </property>
</Properties>
</file>