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44EB2" w14:textId="29E9337B" w:rsidR="00B07255" w:rsidRDefault="004258FD" w:rsidP="00CA4815">
      <w:pPr>
        <w:sectPr w:rsidR="00B07255" w:rsidSect="001C57F8">
          <w:footerReference w:type="default" r:id="rId11"/>
          <w:footerReference w:type="first" r:id="rId12"/>
          <w:pgSz w:w="11906" w:h="16838"/>
          <w:pgMar w:top="794" w:right="1440" w:bottom="1440" w:left="1440" w:header="709" w:footer="624" w:gutter="0"/>
          <w:cols w:space="708"/>
          <w:titlePg/>
          <w:docGrid w:linePitch="360"/>
        </w:sectPr>
      </w:pPr>
      <w:r>
        <w:rPr>
          <w:b/>
          <w:bCs/>
          <w:noProof/>
        </w:rPr>
        <w:drawing>
          <wp:inline distT="0" distB="0" distL="0" distR="0" wp14:anchorId="7268B4D8" wp14:editId="40A2A15D">
            <wp:extent cx="3188880" cy="781200"/>
            <wp:effectExtent l="0" t="0" r="0" b="0"/>
            <wp:docPr id="567865243" name="Graphic 1" descr="Australian Government Islamophobia Education Taskfo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865243" name="Graphic 1" descr="Australian Government Islamophobia Education Taskfor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88880" cy="781200"/>
                    </a:xfrm>
                    <a:prstGeom prst="rect">
                      <a:avLst/>
                    </a:prstGeom>
                  </pic:spPr>
                </pic:pic>
              </a:graphicData>
            </a:graphic>
          </wp:inline>
        </w:drawing>
      </w:r>
      <w:r w:rsidR="00221D8F" w:rsidRPr="00CA4815">
        <w:rPr>
          <w:b/>
          <w:bCs/>
          <w:noProof/>
        </w:rPr>
        <w:drawing>
          <wp:anchor distT="0" distB="0" distL="114300" distR="114300" simplePos="0" relativeHeight="251658240" behindDoc="1" locked="1" layoutInCell="1" allowOverlap="1" wp14:anchorId="4A1B45CD" wp14:editId="31B230C6">
            <wp:simplePos x="0" y="0"/>
            <wp:positionH relativeFrom="page">
              <wp:posOffset>0</wp:posOffset>
            </wp:positionH>
            <wp:positionV relativeFrom="page">
              <wp:align>top</wp:align>
            </wp:positionV>
            <wp:extent cx="7560000" cy="190764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60000" cy="1907640"/>
                    </a:xfrm>
                    <a:prstGeom prst="rect">
                      <a:avLst/>
                    </a:prstGeom>
                  </pic:spPr>
                </pic:pic>
              </a:graphicData>
            </a:graphic>
            <wp14:sizeRelH relativeFrom="page">
              <wp14:pctWidth>0</wp14:pctWidth>
            </wp14:sizeRelH>
            <wp14:sizeRelV relativeFrom="page">
              <wp14:pctHeight>0</wp14:pctHeight>
            </wp14:sizeRelV>
          </wp:anchor>
        </w:drawing>
      </w:r>
    </w:p>
    <w:bookmarkStart w:id="0" w:name="_Toc126923157" w:displacedByCustomXml="next"/>
    <w:bookmarkStart w:id="1" w:name="_Toc126923146" w:displacedByCustomXml="next"/>
    <w:sdt>
      <w:sdt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00166DE0" w14:textId="704A175E" w:rsidR="00221D8F" w:rsidRDefault="009653DA" w:rsidP="00893A34">
          <w:pPr>
            <w:pStyle w:val="Heading1"/>
          </w:pPr>
          <w:r>
            <w:t>Terms of Reference</w:t>
          </w:r>
        </w:p>
      </w:sdtContent>
    </w:sdt>
    <w:bookmarkEnd w:id="0" w:displacedByCustomXml="prev"/>
    <w:bookmarkEnd w:id="1" w:displacedByCustomXml="prev"/>
    <w:p w14:paraId="37E34BD6" w14:textId="77777777" w:rsidR="00305763" w:rsidRPr="008F70D1" w:rsidRDefault="00305763" w:rsidP="00305763">
      <w:pPr>
        <w:spacing w:before="240" w:after="120"/>
        <w:rPr>
          <w:rFonts w:ascii="Calibri" w:hAnsi="Calibri" w:cs="Calibri"/>
        </w:rPr>
      </w:pPr>
      <w:r w:rsidRPr="008F70D1">
        <w:rPr>
          <w:rFonts w:ascii="Calibri" w:hAnsi="Calibri" w:cs="Calibri"/>
        </w:rPr>
        <w:t>Addressing Islamophobia in the education sector is a priority for the Australian Government. There is no place in Australia for Islamophobia, religious hatred or discrimination of any kind. Everyone should be able to participate in education, and in the Australian community, without prejudice or discrimination.</w:t>
      </w:r>
    </w:p>
    <w:p w14:paraId="25E1317A" w14:textId="77777777" w:rsidR="00305763" w:rsidRPr="008F70D1" w:rsidRDefault="00305763" w:rsidP="00305763">
      <w:pPr>
        <w:spacing w:after="120"/>
        <w:rPr>
          <w:rFonts w:ascii="Calibri" w:hAnsi="Calibri" w:cs="Calibri"/>
        </w:rPr>
      </w:pPr>
      <w:r w:rsidRPr="008F70D1">
        <w:rPr>
          <w:rFonts w:ascii="Calibri" w:hAnsi="Calibri" w:cs="Calibri"/>
        </w:rPr>
        <w:t>The Australian Government is committed to helping Australia’s education system prevent, tackle, and properly respond to Islamophobia. The Islamophobia Education Taskforce (the Taskforce) is established to provide time-limited, focused national leadership to progress agreed education measures and advise on any further measures required.</w:t>
      </w:r>
    </w:p>
    <w:p w14:paraId="4B33DBE7" w14:textId="77777777" w:rsidR="00305763" w:rsidRDefault="00305763" w:rsidP="00305763">
      <w:pPr>
        <w:pStyle w:val="Heading3"/>
        <w:spacing w:before="120" w:after="120"/>
      </w:pPr>
      <w:r>
        <w:t>1. Purpose</w:t>
      </w:r>
    </w:p>
    <w:p w14:paraId="1F880ACE" w14:textId="77777777" w:rsidR="00305763" w:rsidRPr="008F70D1" w:rsidRDefault="00305763" w:rsidP="00305763">
      <w:pPr>
        <w:spacing w:after="120"/>
        <w:rPr>
          <w:rFonts w:ascii="Calibri" w:hAnsi="Calibri" w:cs="Calibri"/>
        </w:rPr>
      </w:pPr>
      <w:r w:rsidRPr="3A94ADED">
        <w:rPr>
          <w:rFonts w:ascii="Calibri" w:hAnsi="Calibri" w:cs="Calibri"/>
        </w:rPr>
        <w:t xml:space="preserve">The purpose of the Taskforce is to help the Australian education system prevent, tackle, and properly respond to Islamophobia, and to contribute to existing efforts to strengthen social cohesion through education. In undertaking its work, the Taskforce will oversee rapid implementation of education-related measures identified in the Australian Government’s response to the Special Envoy to Combat Islamophobia’s </w:t>
      </w:r>
      <w:proofErr w:type="gramStart"/>
      <w:r w:rsidRPr="3A94ADED">
        <w:rPr>
          <w:rFonts w:ascii="Calibri" w:hAnsi="Calibri" w:cs="Calibri"/>
        </w:rPr>
        <w:t>report, and</w:t>
      </w:r>
      <w:proofErr w:type="gramEnd"/>
      <w:r w:rsidRPr="3A94ADED">
        <w:rPr>
          <w:rFonts w:ascii="Calibri" w:hAnsi="Calibri" w:cs="Calibri"/>
        </w:rPr>
        <w:t xml:space="preserve"> identify further measures to combat Islamophobia in education settings.</w:t>
      </w:r>
    </w:p>
    <w:p w14:paraId="41134B2A" w14:textId="77777777" w:rsidR="00305763" w:rsidRDefault="00305763" w:rsidP="00305763">
      <w:pPr>
        <w:pStyle w:val="Heading3"/>
        <w:spacing w:before="120" w:after="120"/>
      </w:pPr>
      <w:r>
        <w:t>2. Scope</w:t>
      </w:r>
    </w:p>
    <w:p w14:paraId="1C376B4B" w14:textId="77777777" w:rsidR="00305763" w:rsidRPr="0023497F" w:rsidRDefault="00305763" w:rsidP="00305763">
      <w:pPr>
        <w:spacing w:after="120"/>
        <w:rPr>
          <w:rFonts w:cstheme="minorHAnsi"/>
        </w:rPr>
      </w:pPr>
      <w:r w:rsidRPr="0023497F">
        <w:rPr>
          <w:rFonts w:cstheme="minorHAnsi"/>
        </w:rPr>
        <w:t>The scope of work covers all Australian education systems including early childhood education and care, schooling and tertiary education including vocational education and training and higher education.</w:t>
      </w:r>
    </w:p>
    <w:p w14:paraId="151BD857" w14:textId="77777777" w:rsidR="00305763" w:rsidRPr="0023497F" w:rsidRDefault="00305763" w:rsidP="00305763">
      <w:pPr>
        <w:spacing w:after="120"/>
        <w:rPr>
          <w:rFonts w:cstheme="minorHAnsi"/>
        </w:rPr>
      </w:pPr>
      <w:r w:rsidRPr="0023497F">
        <w:rPr>
          <w:rFonts w:cstheme="minorHAnsi"/>
        </w:rPr>
        <w:t xml:space="preserve">The Taskforce will drive and monitor implementation of education measures announced as part of the </w:t>
      </w:r>
      <w:hyperlink r:id="rId15">
        <w:r w:rsidRPr="0023497F">
          <w:rPr>
            <w:rStyle w:val="Hyperlink"/>
            <w:rFonts w:cstheme="minorHAnsi"/>
            <w:color w:val="auto"/>
          </w:rPr>
          <w:t>Australian Government’s response to the Special Envoy’s Plan to Combat Islamophobia</w:t>
        </w:r>
      </w:hyperlink>
      <w:r w:rsidRPr="0023497F">
        <w:rPr>
          <w:rFonts w:cstheme="minorHAnsi"/>
        </w:rPr>
        <w:t>. This includes:</w:t>
      </w:r>
    </w:p>
    <w:p w14:paraId="68474F01" w14:textId="77777777" w:rsidR="00305763" w:rsidRPr="0023497F" w:rsidRDefault="00305763" w:rsidP="00305763">
      <w:pPr>
        <w:numPr>
          <w:ilvl w:val="0"/>
          <w:numId w:val="20"/>
        </w:numPr>
        <w:tabs>
          <w:tab w:val="num" w:pos="720"/>
        </w:tabs>
        <w:spacing w:after="120"/>
        <w:ind w:left="720"/>
        <w:rPr>
          <w:rFonts w:eastAsia="Calibri" w:cstheme="minorHAnsi"/>
        </w:rPr>
      </w:pPr>
      <w:r w:rsidRPr="0023497F">
        <w:rPr>
          <w:rFonts w:eastAsia="Calibri" w:cstheme="minorHAnsi"/>
        </w:rPr>
        <w:t>a focused review of the Australian Curriculum, including primary and secondary content, to identify opportunities to strengthen racial and religious tolerance, ensuring that students can develop the knowledge and capabilities required to support a cohesive, inclusive and respectful society. The focused review will examine all forms of hatred, including islamo</w:t>
      </w:r>
      <w:r w:rsidRPr="0023497F">
        <w:rPr>
          <w:rFonts w:cstheme="minorHAnsi"/>
        </w:rPr>
        <w:t>phobia. It will be undertaken by ACARA, who will provide advice to Education Ministers.</w:t>
      </w:r>
    </w:p>
    <w:p w14:paraId="12AECB8F" w14:textId="77777777" w:rsidR="00305763" w:rsidRPr="0023497F" w:rsidRDefault="00305763" w:rsidP="00305763">
      <w:pPr>
        <w:numPr>
          <w:ilvl w:val="0"/>
          <w:numId w:val="20"/>
        </w:numPr>
        <w:tabs>
          <w:tab w:val="num" w:pos="720"/>
        </w:tabs>
        <w:spacing w:after="120"/>
        <w:ind w:left="720"/>
        <w:rPr>
          <w:rFonts w:cstheme="minorHAnsi"/>
        </w:rPr>
      </w:pPr>
      <w:r w:rsidRPr="0023497F">
        <w:rPr>
          <w:rFonts w:eastAsia="Calibri" w:cstheme="minorHAnsi"/>
        </w:rPr>
        <w:t>providing early childhood educators, teachers, school leaders and families with access to free high-quality resources and guidance to combat racial and religious discrimination, including Islamophobia, to be added to the new Social Cohesion Education Hub.</w:t>
      </w:r>
    </w:p>
    <w:p w14:paraId="56C3D988" w14:textId="77777777" w:rsidR="00305763" w:rsidRPr="0023497F" w:rsidRDefault="00305763" w:rsidP="00305763">
      <w:pPr>
        <w:numPr>
          <w:ilvl w:val="0"/>
          <w:numId w:val="20"/>
        </w:numPr>
        <w:tabs>
          <w:tab w:val="num" w:pos="720"/>
        </w:tabs>
        <w:spacing w:after="120"/>
        <w:ind w:left="720"/>
        <w:rPr>
          <w:rFonts w:cstheme="minorHAnsi"/>
        </w:rPr>
      </w:pPr>
      <w:r w:rsidRPr="0023497F">
        <w:rPr>
          <w:rFonts w:cstheme="minorHAnsi"/>
        </w:rPr>
        <w:t>development and delivery of a Social Cohesion Framework for Schools that delivers practical, evidence</w:t>
      </w:r>
      <w:r w:rsidRPr="0023497F">
        <w:rPr>
          <w:rFonts w:cstheme="minorHAnsi"/>
        </w:rPr>
        <w:noBreakHyphen/>
        <w:t>based guidance to support inclusive, safe and respectful learning environments and to prevent and respond to Islamophobia, faith</w:t>
      </w:r>
      <w:r w:rsidRPr="0023497F">
        <w:rPr>
          <w:rFonts w:cstheme="minorHAnsi"/>
        </w:rPr>
        <w:noBreakHyphen/>
        <w:t xml:space="preserve">based discrimination, racism and other forms of discrimination.  </w:t>
      </w:r>
    </w:p>
    <w:p w14:paraId="327D132B" w14:textId="77777777" w:rsidR="00305763" w:rsidRPr="0023497F" w:rsidRDefault="00305763" w:rsidP="00305763">
      <w:pPr>
        <w:numPr>
          <w:ilvl w:val="0"/>
          <w:numId w:val="20"/>
        </w:numPr>
        <w:tabs>
          <w:tab w:val="num" w:pos="720"/>
        </w:tabs>
        <w:spacing w:after="120"/>
        <w:ind w:left="720"/>
        <w:rPr>
          <w:rFonts w:cstheme="minorHAnsi"/>
        </w:rPr>
      </w:pPr>
      <w:r w:rsidRPr="0023497F">
        <w:rPr>
          <w:rFonts w:cstheme="minorHAnsi"/>
        </w:rPr>
        <w:t>development of a national, consistent framework for anti-racism in universities, aligned with the National Anti-Racism Framework. This may include the development of specific guidelines to combat Islamophobia that address incidents of Islamophobia explicitly, outlining prevention strategies, response protocols, educational initiatives and support services for affected individuals, including staff.</w:t>
      </w:r>
    </w:p>
    <w:p w14:paraId="03552D85" w14:textId="77777777" w:rsidR="00305763" w:rsidRPr="0023497F" w:rsidRDefault="00305763" w:rsidP="00305763">
      <w:pPr>
        <w:numPr>
          <w:ilvl w:val="0"/>
          <w:numId w:val="20"/>
        </w:numPr>
        <w:tabs>
          <w:tab w:val="num" w:pos="720"/>
        </w:tabs>
        <w:spacing w:after="120"/>
        <w:ind w:left="720"/>
        <w:rPr>
          <w:rFonts w:cstheme="minorHAnsi"/>
        </w:rPr>
      </w:pPr>
      <w:r w:rsidRPr="0023497F">
        <w:rPr>
          <w:rFonts w:cstheme="minorHAnsi"/>
        </w:rPr>
        <w:t xml:space="preserve">support the ongoing work of TEQSA to implement strengthened powers and penalties to ensure it </w:t>
      </w:r>
      <w:proofErr w:type="gramStart"/>
      <w:r w:rsidRPr="0023497F">
        <w:rPr>
          <w:rFonts w:cstheme="minorHAnsi"/>
        </w:rPr>
        <w:t>is able to</w:t>
      </w:r>
      <w:proofErr w:type="gramEnd"/>
      <w:r w:rsidRPr="0023497F">
        <w:rPr>
          <w:rFonts w:cstheme="minorHAnsi"/>
        </w:rPr>
        <w:t xml:space="preserve"> step in and act when it is justified in the public interest, and stronger Commonwealth higher education regulation that ensure institutions demonstrate a commitment to addressing </w:t>
      </w:r>
      <w:proofErr w:type="gramStart"/>
      <w:r w:rsidRPr="0023497F">
        <w:rPr>
          <w:rFonts w:cstheme="minorHAnsi"/>
        </w:rPr>
        <w:t>racism, and</w:t>
      </w:r>
      <w:proofErr w:type="gramEnd"/>
      <w:r w:rsidRPr="0023497F">
        <w:rPr>
          <w:rFonts w:cstheme="minorHAnsi"/>
        </w:rPr>
        <w:t xml:space="preserve"> ensure TEQSA can monitor compliance.</w:t>
      </w:r>
    </w:p>
    <w:p w14:paraId="75BFF312" w14:textId="77777777" w:rsidR="00305763" w:rsidRPr="0023497F" w:rsidRDefault="00305763" w:rsidP="00305763">
      <w:pPr>
        <w:numPr>
          <w:ilvl w:val="0"/>
          <w:numId w:val="20"/>
        </w:numPr>
        <w:tabs>
          <w:tab w:val="num" w:pos="720"/>
        </w:tabs>
        <w:spacing w:after="120"/>
        <w:ind w:left="720"/>
        <w:rPr>
          <w:rFonts w:cstheme="minorHAnsi"/>
        </w:rPr>
      </w:pPr>
      <w:r w:rsidRPr="0023497F">
        <w:rPr>
          <w:rFonts w:cstheme="minorHAnsi"/>
        </w:rPr>
        <w:t xml:space="preserve">explore and share best practices and new ideas for tackling, responding to, and preventing Islamophobia including in education settings and leveraging educations to strengthen social cohesion in Australia.  </w:t>
      </w:r>
    </w:p>
    <w:p w14:paraId="5FDCFCBD" w14:textId="77777777" w:rsidR="00305763" w:rsidRPr="0023497F" w:rsidRDefault="00305763" w:rsidP="00305763">
      <w:pPr>
        <w:spacing w:after="120"/>
        <w:rPr>
          <w:rFonts w:cstheme="minorHAnsi"/>
        </w:rPr>
      </w:pPr>
      <w:r w:rsidRPr="0023497F">
        <w:rPr>
          <w:rFonts w:cstheme="minorHAnsi"/>
        </w:rPr>
        <w:t>The Taskforce will also identify and advise on any further measures required to tackle, respond to, and prevent Islamophobia.</w:t>
      </w:r>
    </w:p>
    <w:p w14:paraId="3BD8D187" w14:textId="77777777" w:rsidR="00305763" w:rsidRDefault="00305763" w:rsidP="00305763">
      <w:pPr>
        <w:pStyle w:val="Heading3"/>
        <w:spacing w:before="120" w:after="120"/>
      </w:pPr>
      <w:r>
        <w:t>3. Membership</w:t>
      </w:r>
    </w:p>
    <w:p w14:paraId="5A9210DB" w14:textId="77777777" w:rsidR="00305763" w:rsidRPr="0023497F" w:rsidRDefault="00305763" w:rsidP="00305763">
      <w:pPr>
        <w:spacing w:after="120"/>
        <w:rPr>
          <w:rFonts w:ascii="Calibri" w:hAnsi="Calibri" w:cs="Calibri"/>
        </w:rPr>
      </w:pPr>
      <w:r w:rsidRPr="0023497F">
        <w:rPr>
          <w:rFonts w:ascii="Calibri" w:hAnsi="Calibri" w:cs="Calibri"/>
        </w:rPr>
        <w:t>Representation on the Taskforce will include:</w:t>
      </w:r>
    </w:p>
    <w:p w14:paraId="2CD24A76" w14:textId="2EFB87FA" w:rsidR="009455AC" w:rsidRPr="00F94F6F" w:rsidRDefault="009455AC" w:rsidP="00CE5B04">
      <w:pPr>
        <w:pStyle w:val="ListBullet"/>
        <w:ind w:left="709"/>
      </w:pPr>
      <w:r w:rsidRPr="00F94F6F">
        <w:t>Ms Jasmina Joldić PSM (</w:t>
      </w:r>
      <w:r w:rsidR="00901FED">
        <w:rPr>
          <w:rFonts w:ascii="Calibri" w:hAnsi="Calibri" w:cs="Calibri"/>
        </w:rPr>
        <w:t xml:space="preserve">Interim </w:t>
      </w:r>
      <w:r w:rsidRPr="00F94F6F">
        <w:t>Chair)</w:t>
      </w:r>
    </w:p>
    <w:p w14:paraId="309D79D3" w14:textId="42C58EAF" w:rsidR="00305763" w:rsidRPr="0023497F" w:rsidRDefault="00305763" w:rsidP="63BDE2DF">
      <w:pPr>
        <w:pStyle w:val="ListBullet"/>
        <w:ind w:left="709"/>
        <w:rPr>
          <w:rFonts w:eastAsia="Calibri"/>
          <w:color w:val="000000" w:themeColor="text1"/>
        </w:rPr>
      </w:pPr>
      <w:r w:rsidRPr="63BDE2DF">
        <w:rPr>
          <w:rFonts w:eastAsia="Calibri"/>
          <w:color w:val="000000" w:themeColor="text1"/>
        </w:rPr>
        <w:t>Australia’s Special Envoy to Combat Islamophobia</w:t>
      </w:r>
    </w:p>
    <w:p w14:paraId="24576C72" w14:textId="77777777" w:rsidR="00305763" w:rsidRPr="0023497F" w:rsidRDefault="00305763" w:rsidP="63BDE2DF">
      <w:pPr>
        <w:pStyle w:val="ListBullet"/>
        <w:ind w:left="709"/>
        <w:rPr>
          <w:rFonts w:eastAsia="Calibri"/>
          <w:color w:val="000000" w:themeColor="text1"/>
        </w:rPr>
      </w:pPr>
      <w:r w:rsidRPr="63BDE2DF">
        <w:rPr>
          <w:rFonts w:eastAsia="Calibri"/>
          <w:color w:val="000000" w:themeColor="text1"/>
        </w:rPr>
        <w:t>Australian Government Department of Education</w:t>
      </w:r>
    </w:p>
    <w:p w14:paraId="48E80E41" w14:textId="41300F23" w:rsidR="00305763" w:rsidRPr="0023497F" w:rsidRDefault="00305763" w:rsidP="63BDE2DF">
      <w:pPr>
        <w:pStyle w:val="ListBullet"/>
        <w:ind w:left="709"/>
        <w:rPr>
          <w:rFonts w:eastAsia="Calibri"/>
          <w:color w:val="000000" w:themeColor="text1"/>
        </w:rPr>
      </w:pPr>
      <w:r w:rsidRPr="63BDE2DF">
        <w:rPr>
          <w:rFonts w:eastAsia="Calibri"/>
          <w:color w:val="000000" w:themeColor="text1"/>
        </w:rPr>
        <w:t xml:space="preserve">State and </w:t>
      </w:r>
      <w:r w:rsidR="00A66DD1" w:rsidRPr="63BDE2DF">
        <w:rPr>
          <w:rFonts w:eastAsia="Calibri"/>
          <w:color w:val="000000" w:themeColor="text1"/>
        </w:rPr>
        <w:t xml:space="preserve">territory departments </w:t>
      </w:r>
      <w:r w:rsidRPr="63BDE2DF">
        <w:rPr>
          <w:rFonts w:eastAsia="Calibri"/>
          <w:color w:val="000000" w:themeColor="text1"/>
        </w:rPr>
        <w:t xml:space="preserve">of </w:t>
      </w:r>
      <w:r w:rsidR="00A66DD1" w:rsidRPr="63BDE2DF">
        <w:rPr>
          <w:rFonts w:eastAsia="Calibri"/>
          <w:color w:val="000000" w:themeColor="text1"/>
        </w:rPr>
        <w:t>education</w:t>
      </w:r>
    </w:p>
    <w:p w14:paraId="0977C056" w14:textId="77777777" w:rsidR="00305763" w:rsidRPr="0023497F" w:rsidRDefault="00305763" w:rsidP="63BDE2DF">
      <w:pPr>
        <w:pStyle w:val="ListBullet"/>
        <w:ind w:left="709"/>
        <w:rPr>
          <w:rFonts w:eastAsia="Calibri"/>
          <w:color w:val="000000" w:themeColor="text1"/>
        </w:rPr>
      </w:pPr>
      <w:r w:rsidRPr="63BDE2DF">
        <w:rPr>
          <w:rFonts w:eastAsia="Calibri"/>
          <w:color w:val="000000" w:themeColor="text1"/>
        </w:rPr>
        <w:t>Independent Schools Australia</w:t>
      </w:r>
    </w:p>
    <w:p w14:paraId="63C91908" w14:textId="77777777" w:rsidR="00EF54AD" w:rsidRPr="0023497F" w:rsidRDefault="00EF54AD" w:rsidP="00EF54AD">
      <w:pPr>
        <w:pStyle w:val="ListBullet"/>
        <w:ind w:left="709"/>
        <w:rPr>
          <w:rFonts w:eastAsia="Calibri"/>
          <w:color w:val="000000" w:themeColor="text1"/>
        </w:rPr>
      </w:pPr>
      <w:r w:rsidRPr="0023497F">
        <w:rPr>
          <w:rFonts w:eastAsia="Calibri"/>
          <w:color w:val="000000" w:themeColor="text1"/>
        </w:rPr>
        <w:t>Islamic Schools Association of Australia</w:t>
      </w:r>
    </w:p>
    <w:p w14:paraId="521A6C39" w14:textId="77777777" w:rsidR="00305763" w:rsidRPr="0023497F" w:rsidRDefault="00305763" w:rsidP="00EF54AD">
      <w:pPr>
        <w:pStyle w:val="ListBullet"/>
        <w:ind w:left="709"/>
        <w:rPr>
          <w:rFonts w:eastAsia="Calibri"/>
          <w:color w:val="000000" w:themeColor="text1"/>
        </w:rPr>
      </w:pPr>
      <w:r w:rsidRPr="0023497F">
        <w:rPr>
          <w:rFonts w:eastAsia="Calibri"/>
          <w:color w:val="000000" w:themeColor="text1"/>
        </w:rPr>
        <w:t>National Catholic Education Commission</w:t>
      </w:r>
    </w:p>
    <w:p w14:paraId="64547C1B" w14:textId="77777777" w:rsidR="00EF54AD" w:rsidRDefault="00EF54AD" w:rsidP="00EF54AD">
      <w:pPr>
        <w:pStyle w:val="ListBullet"/>
        <w:ind w:left="709"/>
        <w:rPr>
          <w:rFonts w:eastAsia="Calibri"/>
          <w:color w:val="000000" w:themeColor="text1"/>
        </w:rPr>
      </w:pPr>
      <w:r w:rsidRPr="0023497F">
        <w:rPr>
          <w:rFonts w:eastAsia="Calibri"/>
          <w:color w:val="000000" w:themeColor="text1"/>
        </w:rPr>
        <w:t>Australian Children’s Education and Care Quality Authority</w:t>
      </w:r>
    </w:p>
    <w:p w14:paraId="2AC131F7" w14:textId="77777777" w:rsidR="00305763" w:rsidRPr="0023497F" w:rsidRDefault="00305763" w:rsidP="00EF54AD">
      <w:pPr>
        <w:pStyle w:val="ListBullet"/>
        <w:ind w:left="709"/>
        <w:rPr>
          <w:rFonts w:eastAsia="Calibri"/>
          <w:color w:val="000000" w:themeColor="text1"/>
        </w:rPr>
      </w:pPr>
      <w:r w:rsidRPr="0023497F">
        <w:rPr>
          <w:rFonts w:eastAsia="Calibri"/>
          <w:color w:val="000000" w:themeColor="text1"/>
        </w:rPr>
        <w:t>Australian Curriculum, Assessment and Reporting Authority</w:t>
      </w:r>
    </w:p>
    <w:p w14:paraId="50A69763" w14:textId="77777777" w:rsidR="00305763" w:rsidRPr="0023497F" w:rsidRDefault="00305763" w:rsidP="00EF54AD">
      <w:pPr>
        <w:pStyle w:val="ListBullet"/>
        <w:ind w:left="709"/>
        <w:rPr>
          <w:rFonts w:eastAsia="Calibri"/>
          <w:color w:val="000000" w:themeColor="text1"/>
        </w:rPr>
      </w:pPr>
      <w:r w:rsidRPr="0023497F">
        <w:rPr>
          <w:rFonts w:eastAsia="Calibri"/>
          <w:color w:val="000000" w:themeColor="text1"/>
        </w:rPr>
        <w:t>Australian Institute for Teaching and School Leadership</w:t>
      </w:r>
    </w:p>
    <w:p w14:paraId="6D012F78" w14:textId="735C4117" w:rsidR="008B327B" w:rsidRPr="0023497F" w:rsidRDefault="008B327B" w:rsidP="63BDE2DF">
      <w:pPr>
        <w:pStyle w:val="ListBullet"/>
        <w:ind w:left="709"/>
        <w:rPr>
          <w:rFonts w:eastAsia="Calibri"/>
          <w:color w:val="000000" w:themeColor="text1"/>
        </w:rPr>
      </w:pPr>
      <w:r w:rsidRPr="63BDE2DF">
        <w:rPr>
          <w:rFonts w:eastAsia="Calibri"/>
          <w:color w:val="000000" w:themeColor="text1"/>
        </w:rPr>
        <w:t>Education Services Australia</w:t>
      </w:r>
    </w:p>
    <w:p w14:paraId="40B66C8B" w14:textId="77777777" w:rsidR="00305763" w:rsidRPr="0023497F" w:rsidRDefault="00305763" w:rsidP="63BDE2DF">
      <w:pPr>
        <w:pStyle w:val="ListBullet"/>
        <w:ind w:left="709"/>
        <w:rPr>
          <w:rFonts w:eastAsia="Calibri"/>
          <w:color w:val="000000" w:themeColor="text1"/>
        </w:rPr>
      </w:pPr>
      <w:r w:rsidRPr="63BDE2DF">
        <w:rPr>
          <w:rFonts w:eastAsia="Calibri"/>
          <w:color w:val="000000" w:themeColor="text1"/>
        </w:rPr>
        <w:t>The Tertiary Education Quality and Standards Agency</w:t>
      </w:r>
    </w:p>
    <w:p w14:paraId="316EEF6E" w14:textId="77777777" w:rsidR="00305763" w:rsidRPr="0023497F" w:rsidRDefault="00305763" w:rsidP="63BDE2DF">
      <w:pPr>
        <w:pStyle w:val="ListBullet"/>
        <w:ind w:left="709"/>
        <w:rPr>
          <w:rFonts w:eastAsia="Calibri"/>
          <w:color w:val="000000" w:themeColor="text1"/>
        </w:rPr>
      </w:pPr>
      <w:r w:rsidRPr="63BDE2DF">
        <w:rPr>
          <w:rFonts w:eastAsia="Calibri"/>
          <w:color w:val="000000" w:themeColor="text1"/>
        </w:rPr>
        <w:t>Universities Australia</w:t>
      </w:r>
    </w:p>
    <w:p w14:paraId="07E42E20" w14:textId="77777777" w:rsidR="00305763" w:rsidRDefault="00305763" w:rsidP="63BDE2DF">
      <w:pPr>
        <w:pStyle w:val="ListBullet"/>
        <w:ind w:left="709"/>
        <w:rPr>
          <w:rFonts w:eastAsia="Calibri"/>
          <w:color w:val="000000" w:themeColor="text1"/>
        </w:rPr>
      </w:pPr>
      <w:r w:rsidRPr="63BDE2DF">
        <w:rPr>
          <w:rFonts w:eastAsia="Calibri"/>
          <w:color w:val="000000" w:themeColor="text1"/>
        </w:rPr>
        <w:t>The Australian Tertiary Education Commission</w:t>
      </w:r>
    </w:p>
    <w:p w14:paraId="0C601622" w14:textId="6CF369C8" w:rsidR="008B327B" w:rsidRPr="0023497F" w:rsidRDefault="008B327B" w:rsidP="63BDE2DF">
      <w:pPr>
        <w:pStyle w:val="ListBullet"/>
        <w:ind w:left="709"/>
        <w:rPr>
          <w:rFonts w:eastAsia="Calibri"/>
          <w:color w:val="000000" w:themeColor="text1"/>
        </w:rPr>
      </w:pPr>
      <w:r w:rsidRPr="63BDE2DF">
        <w:rPr>
          <w:rFonts w:eastAsia="Calibri"/>
          <w:color w:val="000000" w:themeColor="text1"/>
        </w:rPr>
        <w:t>Department of Employment and Workplace Relations</w:t>
      </w:r>
    </w:p>
    <w:p w14:paraId="57CA28F6" w14:textId="77777777" w:rsidR="00305763" w:rsidRPr="0023497F" w:rsidRDefault="00305763" w:rsidP="63BDE2DF">
      <w:pPr>
        <w:pStyle w:val="ListBullet"/>
        <w:ind w:left="709"/>
        <w:rPr>
          <w:rFonts w:eastAsia="Calibri"/>
          <w:color w:val="000000" w:themeColor="text1"/>
        </w:rPr>
      </w:pPr>
      <w:r w:rsidRPr="63BDE2DF">
        <w:rPr>
          <w:rFonts w:eastAsia="Calibri"/>
          <w:color w:val="000000" w:themeColor="text1"/>
        </w:rPr>
        <w:t>Other relevant community representatives, subject matter experts and stakeholder groups, as determined by the Chair, to ensure the Taskforce’s work is grounded in lived experience and evidence.</w:t>
      </w:r>
    </w:p>
    <w:p w14:paraId="01924D12" w14:textId="77777777" w:rsidR="00236951" w:rsidRDefault="00305763" w:rsidP="00305763">
      <w:pPr>
        <w:spacing w:after="120"/>
        <w:rPr>
          <w:rFonts w:ascii="Calibri" w:hAnsi="Calibri" w:cs="Calibri"/>
        </w:rPr>
      </w:pPr>
      <w:r w:rsidRPr="0023497F">
        <w:rPr>
          <w:rFonts w:ascii="Calibri" w:hAnsi="Calibri" w:cs="Calibri"/>
        </w:rPr>
        <w:t>The Taskforce will be supported by a secretariat in the Australian Government Department of Education.</w:t>
      </w:r>
    </w:p>
    <w:p w14:paraId="7141FCC4" w14:textId="77777777" w:rsidR="00236951" w:rsidRDefault="00236951">
      <w:pPr>
        <w:rPr>
          <w:rFonts w:ascii="Calibri" w:hAnsi="Calibri" w:cs="Calibri"/>
        </w:rPr>
      </w:pPr>
      <w:r>
        <w:rPr>
          <w:rFonts w:ascii="Calibri" w:hAnsi="Calibri" w:cs="Calibri"/>
        </w:rPr>
        <w:br w:type="page"/>
      </w:r>
    </w:p>
    <w:p w14:paraId="64A36E00" w14:textId="77777777" w:rsidR="00305763" w:rsidRDefault="00305763" w:rsidP="00305763">
      <w:pPr>
        <w:pStyle w:val="Heading3"/>
        <w:spacing w:before="120" w:after="120"/>
      </w:pPr>
      <w:r>
        <w:t>4. Consultation</w:t>
      </w:r>
    </w:p>
    <w:p w14:paraId="6CBFD442" w14:textId="77777777" w:rsidR="00305763" w:rsidRPr="00142015" w:rsidRDefault="00305763" w:rsidP="00305763">
      <w:pPr>
        <w:spacing w:after="120"/>
        <w:rPr>
          <w:rFonts w:ascii="Calibri" w:hAnsi="Calibri" w:cs="Calibri"/>
        </w:rPr>
      </w:pPr>
      <w:r w:rsidRPr="00142015">
        <w:rPr>
          <w:rFonts w:ascii="Calibri" w:hAnsi="Calibri" w:cs="Calibri"/>
        </w:rPr>
        <w:t xml:space="preserve">The Taskforce will, as appropriate, consult with the Australian </w:t>
      </w:r>
      <w:r>
        <w:rPr>
          <w:rFonts w:ascii="Calibri" w:hAnsi="Calibri" w:cs="Calibri"/>
        </w:rPr>
        <w:t>Muslim</w:t>
      </w:r>
      <w:r w:rsidRPr="00142015">
        <w:rPr>
          <w:rFonts w:ascii="Calibri" w:hAnsi="Calibri" w:cs="Calibri"/>
        </w:rPr>
        <w:t xml:space="preserve"> community</w:t>
      </w:r>
      <w:r>
        <w:rPr>
          <w:rFonts w:ascii="Calibri" w:hAnsi="Calibri" w:cs="Calibri"/>
        </w:rPr>
        <w:t xml:space="preserve"> and representative organisations</w:t>
      </w:r>
      <w:r w:rsidRPr="00142015">
        <w:rPr>
          <w:rFonts w:ascii="Calibri" w:hAnsi="Calibri" w:cs="Calibri"/>
        </w:rPr>
        <w:t xml:space="preserve">; young people, students and their parents and carers; early education providers; educators, teachers and school leaders; the National Principal Reference Group; student, education and industrial unions; and universities and </w:t>
      </w:r>
      <w:r>
        <w:rPr>
          <w:rFonts w:ascii="Calibri" w:hAnsi="Calibri" w:cs="Calibri"/>
        </w:rPr>
        <w:t>tertiary</w:t>
      </w:r>
      <w:r w:rsidRPr="00142015">
        <w:rPr>
          <w:rFonts w:ascii="Calibri" w:hAnsi="Calibri" w:cs="Calibri"/>
        </w:rPr>
        <w:t xml:space="preserve"> education providers</w:t>
      </w:r>
      <w:r>
        <w:rPr>
          <w:rFonts w:ascii="Calibri" w:hAnsi="Calibri" w:cs="Calibri"/>
        </w:rPr>
        <w:t>.</w:t>
      </w:r>
    </w:p>
    <w:p w14:paraId="163EE09D" w14:textId="77777777" w:rsidR="00305763" w:rsidRDefault="00305763" w:rsidP="00305763">
      <w:pPr>
        <w:pStyle w:val="Heading3"/>
        <w:spacing w:before="120" w:after="120"/>
      </w:pPr>
      <w:r>
        <w:t>5. Timing and reporting</w:t>
      </w:r>
    </w:p>
    <w:p w14:paraId="053BAB99" w14:textId="77777777" w:rsidR="00305763" w:rsidRPr="00BC5EA7" w:rsidRDefault="00305763" w:rsidP="00305763">
      <w:pPr>
        <w:spacing w:after="120"/>
        <w:rPr>
          <w:rFonts w:ascii="Calibri" w:hAnsi="Calibri" w:cs="Calibri"/>
        </w:rPr>
      </w:pPr>
      <w:r w:rsidRPr="3A94ADED">
        <w:rPr>
          <w:rFonts w:ascii="Calibri" w:hAnsi="Calibri" w:cs="Calibri"/>
        </w:rPr>
        <w:t>The Taskforce will present early findings and directions to the Education Ministers Meeting within 6 months, noting any emerging priorities, implementation risks and proposed next steps.</w:t>
      </w:r>
    </w:p>
    <w:p w14:paraId="6E5491F0" w14:textId="432FAFEA" w:rsidR="00C83168" w:rsidRPr="00305763" w:rsidRDefault="00305763" w:rsidP="00305763">
      <w:pPr>
        <w:spacing w:after="120"/>
        <w:rPr>
          <w:rFonts w:ascii="Calibri" w:hAnsi="Calibri" w:cs="Calibri"/>
        </w:rPr>
      </w:pPr>
      <w:r w:rsidRPr="00BC5EA7">
        <w:rPr>
          <w:rFonts w:ascii="Calibri" w:hAnsi="Calibri" w:cs="Calibri"/>
        </w:rPr>
        <w:t xml:space="preserve">The Taskforce </w:t>
      </w:r>
      <w:r>
        <w:rPr>
          <w:rFonts w:ascii="Calibri" w:hAnsi="Calibri" w:cs="Calibri"/>
        </w:rPr>
        <w:t xml:space="preserve">may </w:t>
      </w:r>
      <w:r w:rsidRPr="00BC5EA7">
        <w:rPr>
          <w:rFonts w:ascii="Calibri" w:hAnsi="Calibri" w:cs="Calibri"/>
        </w:rPr>
        <w:t xml:space="preserve">provide a final report at </w:t>
      </w:r>
      <w:r>
        <w:rPr>
          <w:rFonts w:ascii="Calibri" w:hAnsi="Calibri" w:cs="Calibri"/>
        </w:rPr>
        <w:t>12</w:t>
      </w:r>
      <w:r w:rsidRPr="00BC5EA7">
        <w:rPr>
          <w:rFonts w:ascii="Calibri" w:hAnsi="Calibri" w:cs="Calibri"/>
        </w:rPr>
        <w:t xml:space="preserve"> months, setting out progress against agreed measures, any further recommended actions, and any issues requiring ministerial consideration.</w:t>
      </w:r>
    </w:p>
    <w:sectPr w:rsidR="00C83168" w:rsidRPr="00305763" w:rsidSect="00305763">
      <w:type w:val="continuous"/>
      <w:pgSz w:w="11906" w:h="16838"/>
      <w:pgMar w:top="1191" w:right="1440" w:bottom="1701" w:left="1440" w:header="709"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94FE9" w14:textId="77777777" w:rsidR="00DF73CF" w:rsidRDefault="00DF73CF" w:rsidP="000A6228">
      <w:pPr>
        <w:spacing w:after="0" w:line="240" w:lineRule="auto"/>
      </w:pPr>
      <w:r>
        <w:separator/>
      </w:r>
    </w:p>
  </w:endnote>
  <w:endnote w:type="continuationSeparator" w:id="0">
    <w:p w14:paraId="496D50CB" w14:textId="77777777" w:rsidR="00DF73CF" w:rsidRDefault="00DF73CF"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FC591" w14:textId="7225D6F0" w:rsidR="00B07255" w:rsidRPr="001D3C74" w:rsidRDefault="00D03A66" w:rsidP="00BA57B1">
    <w:pPr>
      <w:pStyle w:val="Footer"/>
    </w:pPr>
    <w:r>
      <w:rPr>
        <w:noProof/>
      </w:rPr>
      <w:drawing>
        <wp:anchor distT="0" distB="0" distL="114300" distR="114300" simplePos="0" relativeHeight="251658241" behindDoc="1" locked="0" layoutInCell="1" allowOverlap="1" wp14:anchorId="3C2CD503" wp14:editId="6576D030">
          <wp:simplePos x="0" y="0"/>
          <wp:positionH relativeFrom="page">
            <wp:posOffset>0</wp:posOffset>
          </wp:positionH>
          <wp:positionV relativeFrom="paragraph">
            <wp:posOffset>306070</wp:posOffset>
          </wp:positionV>
          <wp:extent cx="9147240" cy="117000"/>
          <wp:effectExtent l="0" t="0" r="0" b="0"/>
          <wp:wrapNone/>
          <wp:docPr id="460127643"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173215"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9147240" cy="117000"/>
                  </a:xfrm>
                  <a:prstGeom prst="rect">
                    <a:avLst/>
                  </a:prstGeom>
                </pic:spPr>
              </pic:pic>
            </a:graphicData>
          </a:graphic>
          <wp14:sizeRelH relativeFrom="margin">
            <wp14:pctWidth>0</wp14:pctWidth>
          </wp14:sizeRelH>
          <wp14:sizeRelV relativeFrom="margin">
            <wp14:pctHeight>0</wp14:pctHeight>
          </wp14:sizeRelV>
        </wp:anchor>
      </w:drawing>
    </w:r>
    <w:sdt>
      <w:sdtPr>
        <w:id w:val="-1573351361"/>
        <w:docPartObj>
          <w:docPartGallery w:val="Page Numbers (Bottom of Page)"/>
          <w:docPartUnique/>
        </w:docPartObj>
      </w:sdtPr>
      <w:sdtEndPr>
        <w:rPr>
          <w:noProof/>
        </w:rPr>
      </w:sdtEndPr>
      <w:sdtContent>
        <w:r w:rsidR="00BA57B1" w:rsidRPr="001D3C74">
          <w:t xml:space="preserve">| </w:t>
        </w:r>
        <w:r w:rsidR="00BA57B1" w:rsidRPr="001D3C74">
          <w:fldChar w:fldCharType="begin"/>
        </w:r>
        <w:r w:rsidR="00BA57B1" w:rsidRPr="001D3C74">
          <w:instrText xml:space="preserve"> PAGE   \* MERGEFORMAT </w:instrText>
        </w:r>
        <w:r w:rsidR="00BA57B1" w:rsidRPr="001D3C74">
          <w:fldChar w:fldCharType="separate"/>
        </w:r>
        <w:r w:rsidR="00BA57B1" w:rsidRPr="001D3C74">
          <w:t>1</w:t>
        </w:r>
        <w:r w:rsidR="00BA57B1" w:rsidRPr="001D3C74">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CEDD6" w14:textId="012CB5A6" w:rsidR="00B07255" w:rsidRDefault="00D03A66" w:rsidP="00BA57B1">
    <w:pPr>
      <w:pStyle w:val="Footer"/>
    </w:pPr>
    <w:r>
      <w:rPr>
        <w:noProof/>
      </w:rPr>
      <w:drawing>
        <wp:anchor distT="0" distB="0" distL="114300" distR="114300" simplePos="0" relativeHeight="251658240" behindDoc="1" locked="0" layoutInCell="1" allowOverlap="1" wp14:anchorId="302C1939" wp14:editId="0EFB0A27">
          <wp:simplePos x="0" y="0"/>
          <wp:positionH relativeFrom="page">
            <wp:posOffset>0</wp:posOffset>
          </wp:positionH>
          <wp:positionV relativeFrom="paragraph">
            <wp:posOffset>306070</wp:posOffset>
          </wp:positionV>
          <wp:extent cx="10693440" cy="117000"/>
          <wp:effectExtent l="0" t="0" r="0" b="0"/>
          <wp:wrapNone/>
          <wp:docPr id="565173215"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5173215" name="Picture 4">
                    <a:extLst>
                      <a:ext uri="{C183D7F6-B498-43B3-948B-1728B52AA6E4}">
                        <adec:decorative xmlns:adec="http://schemas.microsoft.com/office/drawing/2017/decorative" val="1"/>
                      </a:ext>
                    </a:extLst>
                  </pic:cNvPr>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10693440" cy="117000"/>
                  </a:xfrm>
                  <a:prstGeom prst="rect">
                    <a:avLst/>
                  </a:prstGeom>
                </pic:spPr>
              </pic:pic>
            </a:graphicData>
          </a:graphic>
          <wp14:sizeRelH relativeFrom="margin">
            <wp14:pctWidth>0</wp14:pctWidth>
          </wp14:sizeRelH>
          <wp14:sizeRelV relativeFrom="margin">
            <wp14:pctHeight>0</wp14:pctHeight>
          </wp14:sizeRelV>
        </wp:anchor>
      </w:drawing>
    </w:r>
    <w:sdt>
      <w:sdtPr>
        <w:id w:val="-1344161245"/>
        <w:docPartObj>
          <w:docPartGallery w:val="Page Numbers (Bottom of Page)"/>
          <w:docPartUnique/>
        </w:docPartObj>
      </w:sdtPr>
      <w:sdtEndPr>
        <w:rPr>
          <w:noProof/>
        </w:rPr>
      </w:sdtEndPr>
      <w:sdtContent>
        <w:r w:rsidR="00BA57B1">
          <w:t xml:space="preserve">| </w:t>
        </w:r>
        <w:r w:rsidR="00BA57B1">
          <w:fldChar w:fldCharType="begin"/>
        </w:r>
        <w:r w:rsidR="00BA57B1">
          <w:instrText xml:space="preserve"> PAGE   \* MERGEFORMAT </w:instrText>
        </w:r>
        <w:r w:rsidR="00BA57B1">
          <w:fldChar w:fldCharType="separate"/>
        </w:r>
        <w:r w:rsidR="00BA57B1">
          <w:t>2</w:t>
        </w:r>
        <w:r w:rsidR="00BA57B1">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EA874" w14:textId="77777777" w:rsidR="00DF73CF" w:rsidRDefault="00DF73CF" w:rsidP="000A6228">
      <w:pPr>
        <w:spacing w:after="0" w:line="240" w:lineRule="auto"/>
      </w:pPr>
      <w:r>
        <w:separator/>
      </w:r>
    </w:p>
  </w:footnote>
  <w:footnote w:type="continuationSeparator" w:id="0">
    <w:p w14:paraId="4DAFFDB9" w14:textId="77777777" w:rsidR="00DF73CF" w:rsidRDefault="00DF73CF"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B396C64"/>
    <w:multiLevelType w:val="hybridMultilevel"/>
    <w:tmpl w:val="ED463C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4"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D9E490F"/>
    <w:multiLevelType w:val="hybridMultilevel"/>
    <w:tmpl w:val="0FD253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870803065">
    <w:abstractNumId w:val="11"/>
  </w:num>
  <w:num w:numId="2" w16cid:durableId="1144616732">
    <w:abstractNumId w:val="5"/>
  </w:num>
  <w:num w:numId="3" w16cid:durableId="979309186">
    <w:abstractNumId w:val="4"/>
  </w:num>
  <w:num w:numId="4" w16cid:durableId="144787752">
    <w:abstractNumId w:val="3"/>
  </w:num>
  <w:num w:numId="5" w16cid:durableId="934556078">
    <w:abstractNumId w:val="14"/>
  </w:num>
  <w:num w:numId="6" w16cid:durableId="816344236">
    <w:abstractNumId w:val="2"/>
  </w:num>
  <w:num w:numId="7" w16cid:durableId="1908612059">
    <w:abstractNumId w:val="1"/>
  </w:num>
  <w:num w:numId="8" w16cid:durableId="1618215078">
    <w:abstractNumId w:val="0"/>
  </w:num>
  <w:num w:numId="9" w16cid:durableId="1850677422">
    <w:abstractNumId w:val="13"/>
  </w:num>
  <w:num w:numId="10" w16cid:durableId="1599946406">
    <w:abstractNumId w:val="7"/>
  </w:num>
  <w:num w:numId="11" w16cid:durableId="714038629">
    <w:abstractNumId w:val="18"/>
  </w:num>
  <w:num w:numId="12" w16cid:durableId="1728914001">
    <w:abstractNumId w:val="10"/>
  </w:num>
  <w:num w:numId="13" w16cid:durableId="17856119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9"/>
  </w:num>
  <w:num w:numId="15" w16cid:durableId="268391646">
    <w:abstractNumId w:val="6"/>
  </w:num>
  <w:num w:numId="16" w16cid:durableId="1261833621">
    <w:abstractNumId w:val="19"/>
  </w:num>
  <w:num w:numId="17" w16cid:durableId="2029670193">
    <w:abstractNumId w:val="15"/>
  </w:num>
  <w:num w:numId="18" w16cid:durableId="887570554">
    <w:abstractNumId w:val="8"/>
  </w:num>
  <w:num w:numId="19" w16cid:durableId="147789394">
    <w:abstractNumId w:val="16"/>
  </w:num>
  <w:num w:numId="20" w16cid:durableId="996609775">
    <w:abstractNumId w:val="12"/>
  </w:num>
  <w:num w:numId="21" w16cid:durableId="20609350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isplayBackgroundShape/>
  <w:proofState w:spelling="clean" w:grammar="clean"/>
  <w:trackRevisions/>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521D7"/>
    <w:rsid w:val="00065749"/>
    <w:rsid w:val="00074352"/>
    <w:rsid w:val="0008271B"/>
    <w:rsid w:val="000A0B58"/>
    <w:rsid w:val="000A6228"/>
    <w:rsid w:val="000B5D40"/>
    <w:rsid w:val="000B7EC6"/>
    <w:rsid w:val="00107D87"/>
    <w:rsid w:val="00107DD5"/>
    <w:rsid w:val="0012343A"/>
    <w:rsid w:val="00133B8D"/>
    <w:rsid w:val="0013611E"/>
    <w:rsid w:val="00145F7A"/>
    <w:rsid w:val="00150F02"/>
    <w:rsid w:val="001515BF"/>
    <w:rsid w:val="0017134D"/>
    <w:rsid w:val="001816BA"/>
    <w:rsid w:val="00195690"/>
    <w:rsid w:val="001A39BC"/>
    <w:rsid w:val="001C1523"/>
    <w:rsid w:val="001C57F8"/>
    <w:rsid w:val="001D3C74"/>
    <w:rsid w:val="001E1BBD"/>
    <w:rsid w:val="00221D8F"/>
    <w:rsid w:val="00222F6D"/>
    <w:rsid w:val="002272DB"/>
    <w:rsid w:val="00231E27"/>
    <w:rsid w:val="00236951"/>
    <w:rsid w:val="00276047"/>
    <w:rsid w:val="002A4458"/>
    <w:rsid w:val="002D589A"/>
    <w:rsid w:val="002E491A"/>
    <w:rsid w:val="00305763"/>
    <w:rsid w:val="00374611"/>
    <w:rsid w:val="00382CA5"/>
    <w:rsid w:val="003832D9"/>
    <w:rsid w:val="0039388C"/>
    <w:rsid w:val="00396980"/>
    <w:rsid w:val="003C54D1"/>
    <w:rsid w:val="003C74AA"/>
    <w:rsid w:val="0040155D"/>
    <w:rsid w:val="00405145"/>
    <w:rsid w:val="00412A61"/>
    <w:rsid w:val="0041713E"/>
    <w:rsid w:val="00421D3F"/>
    <w:rsid w:val="00423785"/>
    <w:rsid w:val="004258FD"/>
    <w:rsid w:val="00452D26"/>
    <w:rsid w:val="004A06CD"/>
    <w:rsid w:val="004A4B6F"/>
    <w:rsid w:val="004A4CF9"/>
    <w:rsid w:val="004D2965"/>
    <w:rsid w:val="004D2D9D"/>
    <w:rsid w:val="00513463"/>
    <w:rsid w:val="00534F06"/>
    <w:rsid w:val="00562257"/>
    <w:rsid w:val="005A5916"/>
    <w:rsid w:val="005A75C9"/>
    <w:rsid w:val="005B187D"/>
    <w:rsid w:val="005E005C"/>
    <w:rsid w:val="006232DC"/>
    <w:rsid w:val="0063094F"/>
    <w:rsid w:val="00655DF3"/>
    <w:rsid w:val="006676DD"/>
    <w:rsid w:val="00675105"/>
    <w:rsid w:val="006867BB"/>
    <w:rsid w:val="006C25ED"/>
    <w:rsid w:val="006C6D97"/>
    <w:rsid w:val="006D67F3"/>
    <w:rsid w:val="006F1FFF"/>
    <w:rsid w:val="006F6D10"/>
    <w:rsid w:val="00712B94"/>
    <w:rsid w:val="007260FA"/>
    <w:rsid w:val="00785B1E"/>
    <w:rsid w:val="007A283B"/>
    <w:rsid w:val="007A2F9A"/>
    <w:rsid w:val="007B2CA1"/>
    <w:rsid w:val="007C4EAE"/>
    <w:rsid w:val="007D0ABC"/>
    <w:rsid w:val="008042F5"/>
    <w:rsid w:val="008644B8"/>
    <w:rsid w:val="00870402"/>
    <w:rsid w:val="008820E3"/>
    <w:rsid w:val="00886959"/>
    <w:rsid w:val="00893A34"/>
    <w:rsid w:val="008A36E1"/>
    <w:rsid w:val="008A37A7"/>
    <w:rsid w:val="008B0736"/>
    <w:rsid w:val="008B327B"/>
    <w:rsid w:val="008E70F5"/>
    <w:rsid w:val="00901FED"/>
    <w:rsid w:val="009455AC"/>
    <w:rsid w:val="00950B06"/>
    <w:rsid w:val="00956003"/>
    <w:rsid w:val="009653DA"/>
    <w:rsid w:val="00970069"/>
    <w:rsid w:val="009721EB"/>
    <w:rsid w:val="009B3C79"/>
    <w:rsid w:val="009B706E"/>
    <w:rsid w:val="009C3A0E"/>
    <w:rsid w:val="009C423A"/>
    <w:rsid w:val="009D6060"/>
    <w:rsid w:val="009E79ED"/>
    <w:rsid w:val="00A07596"/>
    <w:rsid w:val="00A17A08"/>
    <w:rsid w:val="00A60673"/>
    <w:rsid w:val="00A66DD1"/>
    <w:rsid w:val="00AA7B0D"/>
    <w:rsid w:val="00AC1872"/>
    <w:rsid w:val="00AD631F"/>
    <w:rsid w:val="00AE21FF"/>
    <w:rsid w:val="00AF1F18"/>
    <w:rsid w:val="00B07255"/>
    <w:rsid w:val="00B0726E"/>
    <w:rsid w:val="00B219D1"/>
    <w:rsid w:val="00B34DE6"/>
    <w:rsid w:val="00B81FA4"/>
    <w:rsid w:val="00B8794C"/>
    <w:rsid w:val="00B95EF4"/>
    <w:rsid w:val="00BA57B1"/>
    <w:rsid w:val="00BB6509"/>
    <w:rsid w:val="00BC248C"/>
    <w:rsid w:val="00BC7FAA"/>
    <w:rsid w:val="00BE6E0E"/>
    <w:rsid w:val="00C01EC0"/>
    <w:rsid w:val="00C244EE"/>
    <w:rsid w:val="00C72224"/>
    <w:rsid w:val="00C75706"/>
    <w:rsid w:val="00C83168"/>
    <w:rsid w:val="00CA4815"/>
    <w:rsid w:val="00CC0DE1"/>
    <w:rsid w:val="00CE5B04"/>
    <w:rsid w:val="00CF2545"/>
    <w:rsid w:val="00CF6562"/>
    <w:rsid w:val="00D03A66"/>
    <w:rsid w:val="00D24B16"/>
    <w:rsid w:val="00D31852"/>
    <w:rsid w:val="00D52209"/>
    <w:rsid w:val="00D5688A"/>
    <w:rsid w:val="00D74562"/>
    <w:rsid w:val="00D86284"/>
    <w:rsid w:val="00DC5980"/>
    <w:rsid w:val="00DD2B46"/>
    <w:rsid w:val="00DF102A"/>
    <w:rsid w:val="00DF3A71"/>
    <w:rsid w:val="00DF73CF"/>
    <w:rsid w:val="00E06ED6"/>
    <w:rsid w:val="00E47075"/>
    <w:rsid w:val="00E50447"/>
    <w:rsid w:val="00E529E5"/>
    <w:rsid w:val="00E665D2"/>
    <w:rsid w:val="00E7423C"/>
    <w:rsid w:val="00EB4C2F"/>
    <w:rsid w:val="00ED0DDF"/>
    <w:rsid w:val="00EF54AD"/>
    <w:rsid w:val="00F1000D"/>
    <w:rsid w:val="00F11E9F"/>
    <w:rsid w:val="00F311A4"/>
    <w:rsid w:val="00F55AE9"/>
    <w:rsid w:val="00F74C6C"/>
    <w:rsid w:val="00F82C2C"/>
    <w:rsid w:val="00F85913"/>
    <w:rsid w:val="00F94F6F"/>
    <w:rsid w:val="00F96B5D"/>
    <w:rsid w:val="00FD4D6E"/>
    <w:rsid w:val="00FD6383"/>
    <w:rsid w:val="00FF5BC8"/>
    <w:rsid w:val="42AFA7BE"/>
    <w:rsid w:val="495EC90C"/>
    <w:rsid w:val="63BDE2D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F2095644-666A-4512-8579-A32145795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7B1"/>
  </w:style>
  <w:style w:type="paragraph" w:styleId="Heading1">
    <w:name w:val="heading 1"/>
    <w:basedOn w:val="Normal"/>
    <w:next w:val="Normal"/>
    <w:link w:val="Heading1Char"/>
    <w:uiPriority w:val="9"/>
    <w:qFormat/>
    <w:rsid w:val="001C57F8"/>
    <w:pPr>
      <w:keepNext/>
      <w:keepLines/>
      <w:spacing w:before="1680" w:after="0" w:line="640" w:lineRule="exact"/>
      <w:outlineLvl w:val="0"/>
    </w:pPr>
    <w:rPr>
      <w:rFonts w:ascii="Calibri" w:eastAsiaTheme="majorEastAsia" w:hAnsi="Calibri" w:cstheme="majorBidi"/>
      <w:b/>
      <w:color w:val="00254A" w:themeColor="text2"/>
      <w:sz w:val="54"/>
      <w:szCs w:val="32"/>
    </w:rPr>
  </w:style>
  <w:style w:type="paragraph" w:styleId="Heading2">
    <w:name w:val="heading 2"/>
    <w:basedOn w:val="Normal"/>
    <w:next w:val="Normal"/>
    <w:link w:val="Heading2Char"/>
    <w:uiPriority w:val="9"/>
    <w:unhideWhenUsed/>
    <w:qFormat/>
    <w:rsid w:val="001D3C74"/>
    <w:pPr>
      <w:keepNext/>
      <w:keepLines/>
      <w:spacing w:before="480"/>
      <w:outlineLvl w:val="1"/>
    </w:pPr>
    <w:rPr>
      <w:rFonts w:asciiTheme="majorHAnsi" w:eastAsiaTheme="majorEastAsia" w:hAnsiTheme="majorHAnsi" w:cstheme="majorBidi"/>
      <w:b/>
      <w:color w:val="4C7F2F"/>
      <w:sz w:val="36"/>
      <w:szCs w:val="26"/>
    </w:rPr>
  </w:style>
  <w:style w:type="paragraph" w:styleId="Heading3">
    <w:name w:val="heading 3"/>
    <w:basedOn w:val="Normal"/>
    <w:next w:val="Normal"/>
    <w:link w:val="Heading3Char"/>
    <w:uiPriority w:val="9"/>
    <w:unhideWhenUsed/>
    <w:qFormat/>
    <w:rsid w:val="00BA57B1"/>
    <w:pPr>
      <w:keepNext/>
      <w:keepLines/>
      <w:spacing w:before="320"/>
      <w:outlineLvl w:val="2"/>
    </w:pPr>
    <w:rPr>
      <w:rFonts w:asciiTheme="majorHAnsi" w:eastAsiaTheme="majorEastAsia" w:hAnsiTheme="majorHAnsi" w:cstheme="majorBidi"/>
      <w:b/>
      <w:color w:val="00254A" w:themeColor="text2"/>
      <w:sz w:val="32"/>
      <w:szCs w:val="24"/>
    </w:rPr>
  </w:style>
  <w:style w:type="paragraph" w:styleId="Heading4">
    <w:name w:val="heading 4"/>
    <w:basedOn w:val="Normal"/>
    <w:next w:val="Normal"/>
    <w:link w:val="Heading4Char"/>
    <w:uiPriority w:val="9"/>
    <w:unhideWhenUsed/>
    <w:qFormat/>
    <w:rsid w:val="001D3C74"/>
    <w:pPr>
      <w:keepNext/>
      <w:keepLines/>
      <w:spacing w:before="320"/>
      <w:outlineLvl w:val="3"/>
    </w:pPr>
    <w:rPr>
      <w:rFonts w:asciiTheme="majorHAnsi" w:eastAsiaTheme="majorEastAsia" w:hAnsiTheme="majorHAnsi" w:cstheme="majorBidi"/>
      <w:b/>
      <w:iCs/>
      <w:color w:val="4C7F2F"/>
      <w:sz w:val="28"/>
    </w:rPr>
  </w:style>
  <w:style w:type="paragraph" w:styleId="Heading5">
    <w:name w:val="heading 5"/>
    <w:basedOn w:val="Normal"/>
    <w:next w:val="Normal"/>
    <w:link w:val="Heading5Char"/>
    <w:uiPriority w:val="9"/>
    <w:unhideWhenUsed/>
    <w:qFormat/>
    <w:rsid w:val="00BA57B1"/>
    <w:pPr>
      <w:keepNext/>
      <w:keepLines/>
      <w:spacing w:before="32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1D3C74"/>
    <w:pPr>
      <w:keepNext/>
      <w:keepLines/>
      <w:spacing w:before="320"/>
      <w:outlineLvl w:val="5"/>
    </w:pPr>
    <w:rPr>
      <w:rFonts w:asciiTheme="majorHAnsi" w:eastAsiaTheme="majorEastAsia" w:hAnsiTheme="majorHAnsi" w:cstheme="majorBidi"/>
      <w:b/>
      <w:color w:val="4C7F2F"/>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B07255"/>
    <w:rPr>
      <w:color w:val="00254A" w:themeColor="text2"/>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1D3C74"/>
    <w:pPr>
      <w:tabs>
        <w:tab w:val="center" w:pos="4513"/>
        <w:tab w:val="right" w:pos="9026"/>
      </w:tabs>
      <w:spacing w:after="0" w:line="240" w:lineRule="auto"/>
      <w:jc w:val="right"/>
    </w:pPr>
    <w:rPr>
      <w:color w:val="595959" w:themeColor="text1" w:themeTint="A6"/>
      <w:sz w:val="20"/>
    </w:rPr>
  </w:style>
  <w:style w:type="character" w:customStyle="1" w:styleId="FooterChar">
    <w:name w:val="Footer Char"/>
    <w:basedOn w:val="DefaultParagraphFont"/>
    <w:link w:val="Footer"/>
    <w:uiPriority w:val="99"/>
    <w:rsid w:val="001D3C74"/>
    <w:rPr>
      <w:color w:val="595959" w:themeColor="text1" w:themeTint="A6"/>
      <w:sz w:val="20"/>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C57F8"/>
    <w:rPr>
      <w:rFonts w:ascii="Calibri" w:eastAsiaTheme="majorEastAsia" w:hAnsi="Calibri" w:cstheme="majorBidi"/>
      <w:b/>
      <w:color w:val="00254A" w:themeColor="text2"/>
      <w:sz w:val="54"/>
      <w:szCs w:val="32"/>
    </w:rPr>
  </w:style>
  <w:style w:type="character" w:customStyle="1" w:styleId="Heading2Char">
    <w:name w:val="Heading 2 Char"/>
    <w:basedOn w:val="DefaultParagraphFont"/>
    <w:link w:val="Heading2"/>
    <w:uiPriority w:val="9"/>
    <w:rsid w:val="001D3C74"/>
    <w:rPr>
      <w:rFonts w:asciiTheme="majorHAnsi" w:eastAsiaTheme="majorEastAsia" w:hAnsiTheme="majorHAnsi" w:cstheme="majorBidi"/>
      <w:b/>
      <w:color w:val="4C7F2F"/>
      <w:sz w:val="36"/>
      <w:szCs w:val="26"/>
    </w:rPr>
  </w:style>
  <w:style w:type="character" w:customStyle="1" w:styleId="Heading3Char">
    <w:name w:val="Heading 3 Char"/>
    <w:basedOn w:val="DefaultParagraphFont"/>
    <w:link w:val="Heading3"/>
    <w:uiPriority w:val="9"/>
    <w:rsid w:val="00BA57B1"/>
    <w:rPr>
      <w:rFonts w:asciiTheme="majorHAnsi" w:eastAsiaTheme="majorEastAsia" w:hAnsiTheme="majorHAnsi" w:cstheme="majorBidi"/>
      <w:b/>
      <w:color w:val="00254A" w:themeColor="text2"/>
      <w:sz w:val="32"/>
      <w:szCs w:val="24"/>
    </w:rPr>
  </w:style>
  <w:style w:type="character" w:customStyle="1" w:styleId="Heading4Char">
    <w:name w:val="Heading 4 Char"/>
    <w:basedOn w:val="DefaultParagraphFont"/>
    <w:link w:val="Heading4"/>
    <w:uiPriority w:val="9"/>
    <w:rsid w:val="001D3C74"/>
    <w:rPr>
      <w:rFonts w:asciiTheme="majorHAnsi" w:eastAsiaTheme="majorEastAsia" w:hAnsiTheme="majorHAnsi" w:cstheme="majorBidi"/>
      <w:b/>
      <w:iCs/>
      <w:color w:val="4C7F2F"/>
      <w:sz w:val="28"/>
    </w:rPr>
  </w:style>
  <w:style w:type="character" w:customStyle="1" w:styleId="Heading5Char">
    <w:name w:val="Heading 5 Char"/>
    <w:basedOn w:val="DefaultParagraphFont"/>
    <w:link w:val="Heading5"/>
    <w:uiPriority w:val="9"/>
    <w:rsid w:val="00BA57B1"/>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1D3C74"/>
    <w:rPr>
      <w:rFonts w:asciiTheme="majorHAnsi" w:eastAsiaTheme="majorEastAsia" w:hAnsiTheme="majorHAnsi" w:cstheme="majorBidi"/>
      <w:b/>
      <w:color w:val="4C7F2F"/>
    </w:rPr>
  </w:style>
  <w:style w:type="paragraph" w:styleId="Caption">
    <w:name w:val="caption"/>
    <w:basedOn w:val="Normal"/>
    <w:next w:val="Normal"/>
    <w:uiPriority w:val="35"/>
    <w:qFormat/>
    <w:rsid w:val="001C57F8"/>
    <w:pPr>
      <w:spacing w:before="320"/>
    </w:pPr>
    <w:rPr>
      <w:b/>
      <w:iCs/>
      <w:color w:val="00254A" w:themeColor="text2"/>
      <w:szCs w:val="18"/>
    </w:rPr>
  </w:style>
  <w:style w:type="paragraph" w:customStyle="1" w:styleId="Source">
    <w:name w:val="Source"/>
    <w:basedOn w:val="Normal"/>
    <w:uiPriority w:val="97"/>
    <w:qFormat/>
    <w:rsid w:val="00405145"/>
    <w:pPr>
      <w:spacing w:before="120" w:after="3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1D3C74"/>
    <w:pPr>
      <w:numPr>
        <w:ilvl w:val="1"/>
      </w:numPr>
      <w:spacing w:before="160"/>
    </w:pPr>
    <w:rPr>
      <w:rFonts w:eastAsiaTheme="minorEastAsia"/>
      <w:color w:val="595959" w:themeColor="text1" w:themeTint="A6"/>
      <w:spacing w:val="15"/>
      <w:sz w:val="32"/>
    </w:rPr>
  </w:style>
  <w:style w:type="character" w:customStyle="1" w:styleId="SubtitleChar">
    <w:name w:val="Subtitle Char"/>
    <w:basedOn w:val="DefaultParagraphFont"/>
    <w:link w:val="Subtitle"/>
    <w:uiPriority w:val="11"/>
    <w:rsid w:val="001D3C74"/>
    <w:rPr>
      <w:rFonts w:eastAsiaTheme="minorEastAsia"/>
      <w:color w:val="595959" w:themeColor="text1" w:themeTint="A6"/>
      <w:spacing w:val="15"/>
      <w:sz w:val="32"/>
    </w:rPr>
  </w:style>
  <w:style w:type="paragraph" w:styleId="List">
    <w:name w:val="List"/>
    <w:basedOn w:val="Normal"/>
    <w:uiPriority w:val="98"/>
    <w:qFormat/>
    <w:rsid w:val="00405145"/>
    <w:pPr>
      <w:numPr>
        <w:numId w:val="19"/>
      </w:numPr>
      <w:ind w:left="284" w:hanging="284"/>
      <w:contextualSpacing/>
    </w:pPr>
  </w:style>
  <w:style w:type="paragraph" w:styleId="List2">
    <w:name w:val="List 2"/>
    <w:basedOn w:val="Normal"/>
    <w:uiPriority w:val="98"/>
    <w:qFormat/>
    <w:rsid w:val="00405145"/>
    <w:pPr>
      <w:numPr>
        <w:ilvl w:val="1"/>
        <w:numId w:val="19"/>
      </w:numPr>
      <w:ind w:left="568" w:hanging="284"/>
      <w:contextualSpacing/>
    </w:pPr>
  </w:style>
  <w:style w:type="paragraph" w:styleId="List3">
    <w:name w:val="List 3"/>
    <w:basedOn w:val="Normal"/>
    <w:uiPriority w:val="98"/>
    <w:qFormat/>
    <w:rsid w:val="00405145"/>
    <w:pPr>
      <w:numPr>
        <w:ilvl w:val="2"/>
        <w:numId w:val="19"/>
      </w:numPr>
      <w:ind w:left="851" w:hanging="284"/>
      <w:contextualSpacing/>
    </w:pPr>
  </w:style>
  <w:style w:type="paragraph" w:styleId="List4">
    <w:name w:val="List 4"/>
    <w:basedOn w:val="Normal"/>
    <w:uiPriority w:val="98"/>
    <w:qFormat/>
    <w:rsid w:val="00405145"/>
    <w:pPr>
      <w:numPr>
        <w:ilvl w:val="3"/>
        <w:numId w:val="19"/>
      </w:numPr>
      <w:ind w:left="1135" w:hanging="284"/>
      <w:contextualSpacing/>
    </w:pPr>
  </w:style>
  <w:style w:type="paragraph" w:styleId="ListNumber">
    <w:name w:val="List Number"/>
    <w:basedOn w:val="Normal"/>
    <w:uiPriority w:val="98"/>
    <w:qFormat/>
    <w:rsid w:val="00405145"/>
    <w:pPr>
      <w:numPr>
        <w:numId w:val="5"/>
      </w:numPr>
      <w:ind w:left="284" w:hanging="284"/>
      <w:contextualSpacing/>
    </w:pPr>
  </w:style>
  <w:style w:type="paragraph" w:styleId="ListNumber2">
    <w:name w:val="List Number 2"/>
    <w:basedOn w:val="Normal"/>
    <w:uiPriority w:val="98"/>
    <w:qFormat/>
    <w:rsid w:val="00405145"/>
    <w:pPr>
      <w:numPr>
        <w:ilvl w:val="1"/>
        <w:numId w:val="5"/>
      </w:numPr>
      <w:ind w:left="681" w:hanging="397"/>
      <w:contextualSpacing/>
    </w:pPr>
  </w:style>
  <w:style w:type="paragraph" w:styleId="ListBullet3">
    <w:name w:val="List Bullet 3"/>
    <w:basedOn w:val="Normal"/>
    <w:uiPriority w:val="98"/>
    <w:qFormat/>
    <w:rsid w:val="00405145"/>
    <w:pPr>
      <w:numPr>
        <w:numId w:val="16"/>
      </w:numPr>
      <w:ind w:left="851" w:hanging="284"/>
      <w:contextualSpacing/>
    </w:pPr>
  </w:style>
  <w:style w:type="paragraph" w:styleId="ListNumber3">
    <w:name w:val="List Number 3"/>
    <w:basedOn w:val="Normal"/>
    <w:uiPriority w:val="98"/>
    <w:qFormat/>
    <w:rsid w:val="00405145"/>
    <w:pPr>
      <w:numPr>
        <w:ilvl w:val="2"/>
        <w:numId w:val="5"/>
      </w:numPr>
      <w:ind w:left="1304" w:hanging="624"/>
      <w:contextualSpacing/>
    </w:pPr>
  </w:style>
  <w:style w:type="paragraph" w:styleId="ListNumber4">
    <w:name w:val="List Number 4"/>
    <w:basedOn w:val="Normal"/>
    <w:uiPriority w:val="98"/>
    <w:qFormat/>
    <w:rsid w:val="00405145"/>
    <w:pPr>
      <w:numPr>
        <w:ilvl w:val="3"/>
        <w:numId w:val="5"/>
      </w:numPr>
      <w:spacing w:after="140"/>
      <w:ind w:left="2098" w:hanging="794"/>
      <w:contextualSpacing/>
    </w:pPr>
  </w:style>
  <w:style w:type="paragraph" w:styleId="ListBullet">
    <w:name w:val="List Bullet"/>
    <w:basedOn w:val="Normal"/>
    <w:uiPriority w:val="98"/>
    <w:qFormat/>
    <w:rsid w:val="00405145"/>
    <w:pPr>
      <w:numPr>
        <w:numId w:val="1"/>
      </w:numPr>
      <w:ind w:left="284" w:hanging="284"/>
      <w:contextualSpacing/>
    </w:pPr>
  </w:style>
  <w:style w:type="paragraph" w:styleId="ListBullet2">
    <w:name w:val="List Bullet 2"/>
    <w:basedOn w:val="Normal"/>
    <w:uiPriority w:val="98"/>
    <w:qFormat/>
    <w:rsid w:val="00405145"/>
    <w:pPr>
      <w:numPr>
        <w:ilvl w:val="1"/>
        <w:numId w:val="1"/>
      </w:numPr>
      <w:ind w:left="568" w:hanging="284"/>
      <w:contextualSpacing/>
    </w:pPr>
  </w:style>
  <w:style w:type="paragraph" w:styleId="ListBullet4">
    <w:name w:val="List Bullet 4"/>
    <w:basedOn w:val="Normal"/>
    <w:uiPriority w:val="98"/>
    <w:qFormat/>
    <w:rsid w:val="00405145"/>
    <w:pPr>
      <w:numPr>
        <w:numId w:val="14"/>
      </w:numPr>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C83168"/>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table" w:customStyle="1" w:styleId="Linetable">
    <w:name w:val="Line table"/>
    <w:basedOn w:val="TableNormal"/>
    <w:uiPriority w:val="99"/>
    <w:rsid w:val="003C54D1"/>
    <w:pPr>
      <w:spacing w:after="0" w:line="240" w:lineRule="auto"/>
    </w:pPr>
    <w:tblPr>
      <w:tblBorders>
        <w:top w:val="single" w:sz="4" w:space="0" w:color="auto"/>
        <w:bottom w:val="single" w:sz="4" w:space="0" w:color="auto"/>
        <w:insideH w:val="single" w:sz="4" w:space="0" w:color="auto"/>
        <w:insideV w:val="single" w:sz="4" w:space="0" w:color="auto"/>
      </w:tblBorders>
      <w:tblCellMar>
        <w:top w:w="108" w:type="dxa"/>
        <w:bottom w:w="108" w:type="dxa"/>
      </w:tblCellMar>
    </w:tblPr>
    <w:tcPr>
      <w:tcMar>
        <w:top w:w="91" w:type="dxa"/>
        <w:bottom w:w="91" w:type="dxa"/>
      </w:tcMar>
    </w:tcPr>
    <w:tblStylePr w:type="firstCol">
      <w:rPr>
        <w:rFonts w:asciiTheme="minorHAnsi" w:hAnsiTheme="minorHAnsi"/>
        <w:b/>
        <w:sz w:val="22"/>
      </w:rPr>
    </w:tblStylePr>
  </w:style>
  <w:style w:type="paragraph" w:styleId="Revision">
    <w:name w:val="Revision"/>
    <w:hidden/>
    <w:uiPriority w:val="99"/>
    <w:semiHidden/>
    <w:rsid w:val="00222F6D"/>
    <w:pPr>
      <w:spacing w:after="0" w:line="240" w:lineRule="auto"/>
    </w:pPr>
  </w:style>
  <w:style w:type="paragraph" w:styleId="ListParagraph">
    <w:name w:val="List Paragraph"/>
    <w:basedOn w:val="Normal"/>
    <w:uiPriority w:val="34"/>
    <w:semiHidden/>
    <w:qFormat/>
    <w:rsid w:val="009560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homeaffairs.gov.au/reports-and-publications/reviews-and-inquirie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74352"/>
    <w:rsid w:val="00174EF3"/>
    <w:rsid w:val="001C1101"/>
    <w:rsid w:val="00231E27"/>
    <w:rsid w:val="002B3ACA"/>
    <w:rsid w:val="00382CA5"/>
    <w:rsid w:val="00412A61"/>
    <w:rsid w:val="005B4F98"/>
    <w:rsid w:val="005B61A8"/>
    <w:rsid w:val="005F0346"/>
    <w:rsid w:val="00774E95"/>
    <w:rsid w:val="00785B1E"/>
    <w:rsid w:val="00787B30"/>
    <w:rsid w:val="008644B8"/>
    <w:rsid w:val="008736DA"/>
    <w:rsid w:val="009B3C79"/>
    <w:rsid w:val="00B12C4E"/>
    <w:rsid w:val="00CC0DE1"/>
    <w:rsid w:val="00DF102A"/>
    <w:rsid w:val="00FB739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A73E9629499714F83CD03CDD2B4AE3F" ma:contentTypeVersion="11" ma:contentTypeDescription="Create a new document." ma:contentTypeScope="" ma:versionID="85c89d79f74774d943a55e9697ef169c">
  <xsd:schema xmlns:xsd="http://www.w3.org/2001/XMLSchema" xmlns:xs="http://www.w3.org/2001/XMLSchema" xmlns:p="http://schemas.microsoft.com/office/2006/metadata/properties" xmlns:ns2="85ca415e-92e3-4ea7-b3be-9b47b340acee" xmlns:ns3="5a75fcd6-db7c-43a2-bf27-34e4c34f62bc" targetNamespace="http://schemas.microsoft.com/office/2006/metadata/properties" ma:root="true" ma:fieldsID="77a1db583940f0e5cde2f066bd2308ec" ns2:_="" ns3:_="">
    <xsd:import namespace="85ca415e-92e3-4ea7-b3be-9b47b340acee"/>
    <xsd:import namespace="5a75fcd6-db7c-43a2-bf27-34e4c34f62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ca415e-92e3-4ea7-b3be-9b47b340ac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a75fcd6-db7c-43a2-bf27-34e4c34f62b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75f27f-81e0-4623-99ef-75a2a3191f84}" ma:internalName="TaxCatchAll" ma:showField="CatchAllData" ma:web="5a75fcd6-db7c-43a2-bf27-34e4c34f62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a75fcd6-db7c-43a2-bf27-34e4c34f62bc" xsi:nil="true"/>
    <lcf76f155ced4ddcb4097134ff3c332f xmlns="85ca415e-92e3-4ea7-b3be-9b47b340ace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03486AB9-ED62-4F32-BA65-E776D09C538D}">
  <ds:schemaRefs>
    <ds:schemaRef ds:uri="http://schemas.microsoft.com/sharepoint/v3/contenttype/forms"/>
  </ds:schemaRefs>
</ds:datastoreItem>
</file>

<file path=customXml/itemProps3.xml><?xml version="1.0" encoding="utf-8"?>
<ds:datastoreItem xmlns:ds="http://schemas.openxmlformats.org/officeDocument/2006/customXml" ds:itemID="{D735F335-E8F7-46D0-91E6-DDE9A3F357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ca415e-92e3-4ea7-b3be-9b47b340acee"/>
    <ds:schemaRef ds:uri="5a75fcd6-db7c-43a2-bf27-34e4c34f62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82D804-7EAC-4283-B379-0FABABD350B7}">
  <ds:schemaRefs>
    <ds:schemaRef ds:uri="http://schemas.microsoft.com/office/2006/metadata/properties"/>
    <ds:schemaRef ds:uri="http://schemas.microsoft.com/office/infopath/2007/PartnerControls"/>
    <ds:schemaRef ds:uri="5a75fcd6-db7c-43a2-bf27-34e4c34f62bc"/>
    <ds:schemaRef ds:uri="85ca415e-92e3-4ea7-b3be-9b47b340ace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830</Words>
  <Characters>4731</Characters>
  <Application>Microsoft Office Word</Application>
  <DocSecurity>0</DocSecurity>
  <Lines>39</Lines>
  <Paragraphs>11</Paragraphs>
  <ScaleCrop>false</ScaleCrop>
  <Company/>
  <LinksUpToDate>false</LinksUpToDate>
  <CharactersWithSpaces>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of Reference</dc:title>
  <dc:subject/>
  <dc:creator>ASHTON,Michael</dc:creator>
  <cp:keywords/>
  <dc:description/>
  <cp:lastModifiedBy>LAMBERT,Mirah</cp:lastModifiedBy>
  <cp:revision>34</cp:revision>
  <dcterms:created xsi:type="dcterms:W3CDTF">2026-08-04T09:52:00Z</dcterms:created>
  <dcterms:modified xsi:type="dcterms:W3CDTF">2026-09-02T05:15:00Z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0x0101003A73E9629499714F83CD03CDD2B4AE3F</vt:lpwstr>
  </property>
  <property fmtid="{D5CDD505-2E9C-101B-9397-08002B2CF9AE}" pid="10" name="MediaServiceImageTags">
    <vt:lpwstr/>
  </property>
  <property fmtid="{D5CDD505-2E9C-101B-9397-08002B2CF9AE}" pid="11" name="docLang">
    <vt:lpwstr>en</vt:lpwstr>
  </property>
</Properties>
</file>