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7CE9047" w14:textId="77777777" w:rsidR="00107DD5" w:rsidRDefault="00221D8F" w:rsidP="00CA4815">
      <w:r w:rsidRPr="00CA4815">
        <w:rPr>
          <w:b/>
          <w:bCs/>
          <w:noProof/>
        </w:rPr>
        <w:drawing>
          <wp:anchor distT="0" distB="0" distL="114300" distR="114300" simplePos="0" relativeHeight="251658240" behindDoc="1" locked="1" layoutInCell="1" allowOverlap="1" wp14:anchorId="7A45B34E" wp14:editId="6E72FF40">
            <wp:simplePos x="0" y="0"/>
            <wp:positionH relativeFrom="column">
              <wp:posOffset>-914400</wp:posOffset>
            </wp:positionH>
            <wp:positionV relativeFrom="paragraph">
              <wp:posOffset>-1151890</wp:posOffset>
            </wp:positionV>
            <wp:extent cx="7540625" cy="10666730"/>
            <wp:effectExtent l="0" t="0" r="3175" b="127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a:extLst>
                        <a:ext uri="{28A0092B-C50C-407E-A947-70E740481C1C}">
                          <a14:useLocalDpi xmlns:a14="http://schemas.microsoft.com/office/drawing/2010/main" val="0"/>
                        </a:ext>
                      </a:extLst>
                    </a:blip>
                    <a:stretch>
                      <a:fillRect/>
                    </a:stretch>
                  </pic:blipFill>
                  <pic:spPr>
                    <a:xfrm>
                      <a:off x="0" y="0"/>
                      <a:ext cx="7540625" cy="1066673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1DF213B6" wp14:editId="181A0F48">
            <wp:extent cx="3437400" cy="793750"/>
            <wp:effectExtent l="0" t="0" r="0" b="6350"/>
            <wp:docPr id="3" name="Graphic 3" descr="Australian Government. Higher Education Gender-based Violence Regula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Higher Education Gender-based Violence Regulator."/>
                    <pic:cNvPicPr/>
                  </pic:nvPicPr>
                  <pic:blipFill>
                    <a:blip r:embed="rId12">
                      <a:extLst>
                        <a:ext uri="{28A0092B-C50C-407E-A947-70E740481C1C}">
                          <a14:useLocalDpi xmlns:a14="http://schemas.microsoft.com/office/drawing/2010/main" val="0"/>
                        </a:ext>
                      </a:extLst>
                    </a:blip>
                    <a:stretch>
                      <a:fillRect/>
                    </a:stretch>
                  </pic:blipFill>
                  <pic:spPr>
                    <a:xfrm>
                      <a:off x="0" y="0"/>
                      <a:ext cx="3450012" cy="796662"/>
                    </a:xfrm>
                    <a:prstGeom prst="rect">
                      <a:avLst/>
                    </a:prstGeom>
                  </pic:spPr>
                </pic:pic>
              </a:graphicData>
            </a:graphic>
          </wp:inline>
        </w:drawing>
      </w:r>
    </w:p>
    <w:bookmarkStart w:id="0" w:name="_Toc126923157" w:displacedByCustomXml="next"/>
    <w:bookmarkStart w:id="1" w:name="_Toc126923146" w:displacedByCustomXml="next"/>
    <w:sdt>
      <w:sdtPr>
        <w:alias w:val="Title"/>
        <w:tag w:val=""/>
        <w:id w:val="1478495247"/>
        <w:placeholder>
          <w:docPart w:val="026D9A923AB949B48FD45161E4265184"/>
        </w:placeholder>
        <w:dataBinding w:prefixMappings="xmlns:ns0='http://purl.org/dc/elements/1.1/' xmlns:ns1='http://schemas.openxmlformats.org/package/2006/metadata/core-properties' " w:xpath="/ns1:coreProperties[1]/ns0:title[1]" w:storeItemID="{6C3C8BC8-F283-45AE-878A-BAB7291924A1}"/>
        <w:text/>
      </w:sdtPr>
      <w:sdtContent>
        <w:p w14:paraId="3A81AE76" w14:textId="1B186CCF" w:rsidR="00221D8F" w:rsidRPr="00FA77BD" w:rsidRDefault="003C0214" w:rsidP="005D435F">
          <w:pPr>
            <w:pStyle w:val="Heading1"/>
            <w:spacing w:before="2040"/>
            <w:ind w:left="3119"/>
          </w:pPr>
          <w:r>
            <w:t>Statement of Regulatory Expectations</w:t>
          </w:r>
        </w:p>
      </w:sdtContent>
    </w:sdt>
    <w:bookmarkEnd w:id="0" w:displacedByCustomXml="prev"/>
    <w:bookmarkEnd w:id="1" w:displacedByCustomXml="prev"/>
    <w:p w14:paraId="1C0EC753" w14:textId="61DAD87E" w:rsidR="0017134D" w:rsidRDefault="00132BFE" w:rsidP="00FA77BD">
      <w:pPr>
        <w:pStyle w:val="Subtitle"/>
        <w:ind w:left="3119"/>
      </w:pPr>
      <w:r>
        <w:t>C</w:t>
      </w:r>
      <w:r w:rsidR="00A974BB">
        <w:t>onfidentiality</w:t>
      </w:r>
      <w:r>
        <w:t>, non-disclosure agreements</w:t>
      </w:r>
      <w:r w:rsidR="00A974BB">
        <w:t xml:space="preserve"> and compliance with the National Code  </w:t>
      </w:r>
    </w:p>
    <w:p w14:paraId="7E01888D" w14:textId="77777777" w:rsidR="00107D87" w:rsidRDefault="00107D87">
      <w:pPr>
        <w:sectPr w:rsidR="00107D87" w:rsidSect="00221D8F">
          <w:pgSz w:w="11906" w:h="16838"/>
          <w:pgMar w:top="1814" w:right="1440" w:bottom="1440" w:left="1440" w:header="709" w:footer="709" w:gutter="0"/>
          <w:cols w:space="708"/>
          <w:docGrid w:linePitch="360"/>
        </w:sectPr>
      </w:pPr>
    </w:p>
    <w:p w14:paraId="2DE1A715" w14:textId="1B431A78" w:rsidR="005D435F" w:rsidRDefault="005D435F" w:rsidP="0017134D">
      <w:r>
        <w:rPr>
          <w:noProof/>
        </w:rPr>
        <w:lastRenderedPageBreak/>
        <w:drawing>
          <wp:anchor distT="0" distB="0" distL="114300" distR="114300" simplePos="0" relativeHeight="251658241" behindDoc="0" locked="0" layoutInCell="1" allowOverlap="1" wp14:anchorId="1934D568" wp14:editId="151AD3E1">
            <wp:simplePos x="0" y="0"/>
            <wp:positionH relativeFrom="column">
              <wp:posOffset>-901700</wp:posOffset>
            </wp:positionH>
            <wp:positionV relativeFrom="paragraph">
              <wp:posOffset>-939800</wp:posOffset>
            </wp:positionV>
            <wp:extent cx="7564499" cy="10699750"/>
            <wp:effectExtent l="0" t="0" r="0" b="6350"/>
            <wp:wrapNone/>
            <wp:docPr id="2053372614"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53372614" name="Picture 1">
                      <a:extLst>
                        <a:ext uri="{C183D7F6-B498-43B3-948B-1728B52AA6E4}">
                          <adec:decorative xmlns:adec="http://schemas.microsoft.com/office/drawing/2017/decorative" val="1"/>
                        </a:ext>
                      </a:extLst>
                    </pic:cNvPr>
                    <pic:cNvPicPr/>
                  </pic:nvPicPr>
                  <pic:blipFill>
                    <a:blip r:embed="rId13">
                      <a:extLst>
                        <a:ext uri="{28A0092B-C50C-407E-A947-70E740481C1C}">
                          <a14:useLocalDpi xmlns:a14="http://schemas.microsoft.com/office/drawing/2010/main" val="0"/>
                        </a:ext>
                      </a:extLst>
                    </a:blip>
                    <a:stretch>
                      <a:fillRect/>
                    </a:stretch>
                  </pic:blipFill>
                  <pic:spPr>
                    <a:xfrm>
                      <a:off x="0" y="0"/>
                      <a:ext cx="7574642" cy="10714096"/>
                    </a:xfrm>
                    <a:prstGeom prst="rect">
                      <a:avLst/>
                    </a:prstGeom>
                  </pic:spPr>
                </pic:pic>
              </a:graphicData>
            </a:graphic>
            <wp14:sizeRelH relativeFrom="margin">
              <wp14:pctWidth>0</wp14:pctWidth>
            </wp14:sizeRelH>
            <wp14:sizeRelV relativeFrom="margin">
              <wp14:pctHeight>0</wp14:pctHeight>
            </wp14:sizeRelV>
          </wp:anchor>
        </w:drawing>
      </w:r>
    </w:p>
    <w:p w14:paraId="2757F59B" w14:textId="30CD5D3C" w:rsidR="00107D87" w:rsidRDefault="00D85578" w:rsidP="005D435F">
      <w:pPr>
        <w:spacing w:after="160"/>
        <w:sectPr w:rsidR="00107D87">
          <w:pgSz w:w="11906" w:h="16838"/>
          <w:pgMar w:top="1440" w:right="1440" w:bottom="1440" w:left="1440" w:header="708" w:footer="708" w:gutter="0"/>
          <w:cols w:space="708"/>
          <w:docGrid w:linePitch="360"/>
        </w:sectPr>
      </w:pPr>
      <w:r>
        <w:rPr>
          <w:noProof/>
        </w:rPr>
        <mc:AlternateContent>
          <mc:Choice Requires="wps">
            <w:drawing>
              <wp:anchor distT="45720" distB="45720" distL="114300" distR="114300" simplePos="0" relativeHeight="251660289" behindDoc="0" locked="0" layoutInCell="1" allowOverlap="1" wp14:anchorId="517E9E63" wp14:editId="0D53A260">
                <wp:simplePos x="0" y="0"/>
                <wp:positionH relativeFrom="margin">
                  <wp:align>left</wp:align>
                </wp:positionH>
                <wp:positionV relativeFrom="paragraph">
                  <wp:posOffset>5788025</wp:posOffset>
                </wp:positionV>
                <wp:extent cx="5584190" cy="2705100"/>
                <wp:effectExtent l="0" t="0" r="16510" b="1905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584190" cy="2705100"/>
                        </a:xfrm>
                        <a:prstGeom prst="rect">
                          <a:avLst/>
                        </a:prstGeom>
                        <a:ln>
                          <a:headEnd/>
                          <a:tailEnd/>
                        </a:ln>
                      </wps:spPr>
                      <wps:style>
                        <a:lnRef idx="2">
                          <a:schemeClr val="dk1"/>
                        </a:lnRef>
                        <a:fillRef idx="1">
                          <a:schemeClr val="lt1"/>
                        </a:fillRef>
                        <a:effectRef idx="0">
                          <a:schemeClr val="dk1"/>
                        </a:effectRef>
                        <a:fontRef idx="minor">
                          <a:schemeClr val="dk1"/>
                        </a:fontRef>
                      </wps:style>
                      <wps:txbx>
                        <w:txbxContent>
                          <w:p w14:paraId="3ACABEF0" w14:textId="6CB5C56B" w:rsidR="00D85578" w:rsidRDefault="00D85578">
                            <w:r>
                              <w:rPr>
                                <w:noProof/>
                              </w:rPr>
                              <w:drawing>
                                <wp:inline distT="0" distB="0" distL="0" distR="0" wp14:anchorId="3644005A" wp14:editId="69CE606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4"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94E5775" w14:textId="05394734" w:rsidR="00D85578" w:rsidRDefault="00D85578">
                            <w:r w:rsidRPr="00D85578">
                              <w:t xml:space="preserve">With the exception of the Commonwealth Coat of Arms, the Department’s logo, any material protected by a </w:t>
                            </w:r>
                            <w:r w:rsidR="00A81216" w:rsidRPr="00D85578">
                              <w:t>trademark</w:t>
                            </w:r>
                            <w:r w:rsidRPr="00D85578">
                              <w:t xml:space="preserve"> and where otherwise noted all material presented in this document is provided under a Creative Commons Attribution 4.0 International (</w:t>
                            </w:r>
                            <w:hyperlink r:id="rId15" w:history="1">
                              <w:r w:rsidRPr="00110E0A">
                                <w:rPr>
                                  <w:rStyle w:val="Hyperlink"/>
                                </w:rPr>
                                <w:t>https://creativecommons.org/licenses/by/4.0/</w:t>
                              </w:r>
                            </w:hyperlink>
                            <w:r w:rsidRPr="00D85578">
                              <w:t>)</w:t>
                            </w:r>
                            <w:r>
                              <w:t xml:space="preserve"> </w:t>
                            </w:r>
                            <w:r w:rsidRPr="00D85578">
                              <w:t xml:space="preserve">licence. </w:t>
                            </w:r>
                          </w:p>
                          <w:p w14:paraId="2AF6C894" w14:textId="77777777" w:rsidR="00D85578" w:rsidRDefault="00D85578">
                            <w:r w:rsidRPr="00D85578">
                              <w:t>The details of the relevant licence conditions are available on the Creative Commons website (accessible using the links provided) as is the full legal code for the CC BY 4.0 International (</w:t>
                            </w:r>
                            <w:hyperlink r:id="rId16" w:history="1">
                              <w:r w:rsidRPr="00110E0A">
                                <w:rPr>
                                  <w:rStyle w:val="Hyperlink"/>
                                </w:rPr>
                                <w:t>https://creativecommons.org/licenses/by/4.0/legalcode</w:t>
                              </w:r>
                            </w:hyperlink>
                            <w:r w:rsidRPr="00D85578">
                              <w:t>)</w:t>
                            </w:r>
                            <w:r>
                              <w:t xml:space="preserve">. </w:t>
                            </w:r>
                          </w:p>
                          <w:p w14:paraId="5D3FD0C1" w14:textId="44805E11" w:rsidR="00D85578" w:rsidRPr="00D85578" w:rsidRDefault="00D85578">
                            <w:pPr>
                              <w:rPr>
                                <w:i/>
                                <w:iCs/>
                              </w:rPr>
                            </w:pPr>
                            <w:r w:rsidRPr="00D85578">
                              <w:t xml:space="preserve">The document must be attributed as the </w:t>
                            </w:r>
                            <w:r w:rsidRPr="00D85578">
                              <w:rPr>
                                <w:i/>
                                <w:iCs/>
                              </w:rPr>
                              <w:t>Higher Education Gender-based Violence Regulator Statement of Regulatory Expectations</w:t>
                            </w:r>
                            <w:r>
                              <w:rPr>
                                <w:i/>
                                <w:iCs/>
                              </w:rPr>
                              <w:t xml:space="preserve">: </w:t>
                            </w:r>
                            <w:r w:rsidRPr="00D85578">
                              <w:rPr>
                                <w:i/>
                                <w:iCs/>
                              </w:rPr>
                              <w:t>Confidentiality, non-disclosure agreements and compliance with the National Code.</w:t>
                            </w:r>
                            <w:r>
                              <w:rPr>
                                <w:i/>
                                <w:iCs/>
                              </w:rPr>
                              <w:t xml:space="preserve">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7E9E63" id="_x0000_t202" coordsize="21600,21600" o:spt="202" path="m,l,21600r21600,l21600,xe">
                <v:stroke joinstyle="miter"/>
                <v:path gradientshapeok="t" o:connecttype="rect"/>
              </v:shapetype>
              <v:shape id="Text Box 2" o:spid="_x0000_s1026" type="#_x0000_t202" style="position:absolute;margin-left:0;margin-top:455.75pt;width:439.7pt;height:213pt;z-index:251660289;visibility:visible;mso-wrap-style:square;mso-width-percent:0;mso-height-percent:0;mso-wrap-distance-left:9pt;mso-wrap-distance-top:3.6pt;mso-wrap-distance-right:9pt;mso-wrap-distance-bottom:3.6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" fillcolor="white [3201]" strokecolor="black [3200]" strokeweight="1pt">
                <v:textbox>
                  <w:txbxContent>
                    <w:p w14:paraId="3ACABEF0" w14:textId="6CB5C56B" w:rsidR="00D85578" w:rsidRDefault="00D85578">
                      <w:r>
                        <w:rPr>
                          <w:noProof/>
                        </w:rPr>
                        <w:drawing>
                          <wp:inline distT="0" distB="0" distL="0" distR="0" wp14:anchorId="3644005A" wp14:editId="69CE606C">
                            <wp:extent cx="843643" cy="295275"/>
                            <wp:effectExtent l="0" t="0" r="0" b="0"/>
                            <wp:docPr id="1" name="Picture 1" descr="Creative Commons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Creative Commons logo."/>
                                    <pic:cNvPicPr/>
                                  </pic:nvPicPr>
                                  <pic:blipFill>
                                    <a:blip r:embed="rId17" cstate="print">
                                      <a:extLst>
                                        <a:ext uri="{28A0092B-C50C-407E-A947-70E740481C1C}">
                                          <a14:useLocalDpi xmlns:a14="http://schemas.microsoft.com/office/drawing/2010/main" val="0"/>
                                        </a:ext>
                                      </a:extLst>
                                    </a:blip>
                                    <a:stretch>
                                      <a:fillRect/>
                                    </a:stretch>
                                  </pic:blipFill>
                                  <pic:spPr>
                                    <a:xfrm>
                                      <a:off x="0" y="0"/>
                                      <a:ext cx="853901" cy="298865"/>
                                    </a:xfrm>
                                    <a:prstGeom prst="rect">
                                      <a:avLst/>
                                    </a:prstGeom>
                                  </pic:spPr>
                                </pic:pic>
                              </a:graphicData>
                            </a:graphic>
                          </wp:inline>
                        </w:drawing>
                      </w:r>
                    </w:p>
                    <w:p w14:paraId="394E5775" w14:textId="05394734" w:rsidR="00D85578" w:rsidRDefault="00D85578">
                      <w:proofErr w:type="gramStart"/>
                      <w:r w:rsidRPr="00D85578">
                        <w:t>With the exception of</w:t>
                      </w:r>
                      <w:proofErr w:type="gramEnd"/>
                      <w:r w:rsidRPr="00D85578">
                        <w:t xml:space="preserve"> the Commonwealth Coat of Arms, the Department’s logo, any material protected by a </w:t>
                      </w:r>
                      <w:r w:rsidR="00A81216" w:rsidRPr="00D85578">
                        <w:t>trademark</w:t>
                      </w:r>
                      <w:r w:rsidRPr="00D85578">
                        <w:t xml:space="preserve"> and where otherwise noted all material presented in this document is provided under a Creative Commons Attribution 4.0 International (</w:t>
                      </w:r>
                      <w:hyperlink r:id="rId18" w:history="1">
                        <w:r w:rsidRPr="00110E0A">
                          <w:rPr>
                            <w:rStyle w:val="Hyperlink"/>
                          </w:rPr>
                          <w:t>https://creativecommons.org/licenses/by/4.0/</w:t>
                        </w:r>
                      </w:hyperlink>
                      <w:r w:rsidRPr="00D85578">
                        <w:t>)</w:t>
                      </w:r>
                      <w:r>
                        <w:t xml:space="preserve"> </w:t>
                      </w:r>
                      <w:r w:rsidRPr="00D85578">
                        <w:t xml:space="preserve">licence. </w:t>
                      </w:r>
                    </w:p>
                    <w:p w14:paraId="2AF6C894" w14:textId="77777777" w:rsidR="00D85578" w:rsidRDefault="00D85578">
                      <w:r w:rsidRPr="00D85578">
                        <w:t>The details of the relevant licence conditions are available on the Creative Commons website (accessible using the links provided) as is the full legal code for the CC BY 4.0 International (</w:t>
                      </w:r>
                      <w:hyperlink r:id="rId19" w:history="1">
                        <w:r w:rsidRPr="00110E0A">
                          <w:rPr>
                            <w:rStyle w:val="Hyperlink"/>
                          </w:rPr>
                          <w:t>https://creativecommons.org/licenses/by/4.0/legalcode</w:t>
                        </w:r>
                      </w:hyperlink>
                      <w:r w:rsidRPr="00D85578">
                        <w:t>)</w:t>
                      </w:r>
                      <w:r>
                        <w:t xml:space="preserve">. </w:t>
                      </w:r>
                    </w:p>
                    <w:p w14:paraId="5D3FD0C1" w14:textId="44805E11" w:rsidR="00D85578" w:rsidRPr="00D85578" w:rsidRDefault="00D85578">
                      <w:pPr>
                        <w:rPr>
                          <w:i/>
                          <w:iCs/>
                        </w:rPr>
                      </w:pPr>
                      <w:r w:rsidRPr="00D85578">
                        <w:t xml:space="preserve">The document must be attributed as the </w:t>
                      </w:r>
                      <w:r w:rsidRPr="00D85578">
                        <w:rPr>
                          <w:i/>
                          <w:iCs/>
                        </w:rPr>
                        <w:t>Higher Education Gender-based Violence Regulator Statement of Regulatory Expectations</w:t>
                      </w:r>
                      <w:r>
                        <w:rPr>
                          <w:i/>
                          <w:iCs/>
                        </w:rPr>
                        <w:t xml:space="preserve">: </w:t>
                      </w:r>
                      <w:r w:rsidRPr="00D85578">
                        <w:rPr>
                          <w:i/>
                          <w:iCs/>
                        </w:rPr>
                        <w:t>Confidentiality, non-disclosure agreements and compliance with the National Code.</w:t>
                      </w:r>
                      <w:r>
                        <w:rPr>
                          <w:i/>
                          <w:iCs/>
                        </w:rPr>
                        <w:t xml:space="preserve"> </w:t>
                      </w:r>
                    </w:p>
                  </w:txbxContent>
                </v:textbox>
                <w10:wrap type="square" anchorx="margin"/>
              </v:shape>
            </w:pict>
          </mc:Fallback>
        </mc:AlternateContent>
      </w:r>
    </w:p>
    <w:p w14:paraId="44D3A599" w14:textId="77777777" w:rsidR="00AF1F18" w:rsidRPr="00AD631F" w:rsidRDefault="00AF1F18" w:rsidP="00AF1F18">
      <w:pPr>
        <w:pStyle w:val="TOCHeading"/>
      </w:pPr>
      <w:r w:rsidRPr="00AF1F18">
        <w:lastRenderedPageBreak/>
        <w:t>Contents</w:t>
      </w:r>
    </w:p>
    <w:p w14:paraId="08511107" w14:textId="13EFC65D" w:rsidR="00EA27C4" w:rsidRDefault="00AF1F18">
      <w:pPr>
        <w:pStyle w:val="TOC1"/>
        <w:rPr>
          <w:rFonts w:eastAsiaTheme="minorEastAsia"/>
          <w:noProof/>
          <w:kern w:val="2"/>
          <w:sz w:val="24"/>
          <w:szCs w:val="24"/>
          <w:lang w:eastAsia="en-AU"/>
          <w14:ligatures w14:val="standardContextual"/>
        </w:rPr>
      </w:pPr>
      <w:r>
        <w:fldChar w:fldCharType="begin"/>
      </w:r>
      <w:r>
        <w:instrText xml:space="preserve"> TOC \h \z \u \t "Heading 2,1,Heading 3,2,Heading 4,3" </w:instrText>
      </w:r>
      <w:r>
        <w:fldChar w:fldCharType="separate"/>
      </w:r>
      <w:hyperlink w:anchor="_Toc235003047" w:history="1">
        <w:r w:rsidR="00EA27C4" w:rsidRPr="00E32836">
          <w:rPr>
            <w:rStyle w:val="Hyperlink"/>
            <w:noProof/>
          </w:rPr>
          <w:t>Statement of Regulatory Expectations</w:t>
        </w:r>
        <w:r w:rsidR="00EA27C4">
          <w:rPr>
            <w:noProof/>
            <w:webHidden/>
          </w:rPr>
          <w:tab/>
        </w:r>
        <w:r w:rsidR="00EA27C4">
          <w:rPr>
            <w:noProof/>
            <w:webHidden/>
          </w:rPr>
          <w:fldChar w:fldCharType="begin"/>
        </w:r>
        <w:r w:rsidR="00EA27C4">
          <w:rPr>
            <w:noProof/>
            <w:webHidden/>
          </w:rPr>
          <w:instrText xml:space="preserve"> PAGEREF _Toc235003047 \h </w:instrText>
        </w:r>
        <w:r w:rsidR="00EA27C4">
          <w:rPr>
            <w:noProof/>
            <w:webHidden/>
          </w:rPr>
        </w:r>
        <w:r w:rsidR="00EA27C4">
          <w:rPr>
            <w:noProof/>
            <w:webHidden/>
          </w:rPr>
          <w:fldChar w:fldCharType="separate"/>
        </w:r>
        <w:r w:rsidR="00EA27C4">
          <w:rPr>
            <w:noProof/>
            <w:webHidden/>
          </w:rPr>
          <w:t>5</w:t>
        </w:r>
        <w:r w:rsidR="00EA27C4">
          <w:rPr>
            <w:noProof/>
            <w:webHidden/>
          </w:rPr>
          <w:fldChar w:fldCharType="end"/>
        </w:r>
      </w:hyperlink>
    </w:p>
    <w:p w14:paraId="2906E108" w14:textId="5199C427" w:rsidR="00EA27C4" w:rsidRDefault="00EA27C4">
      <w:pPr>
        <w:pStyle w:val="TOC1"/>
        <w:rPr>
          <w:rFonts w:eastAsiaTheme="minorEastAsia"/>
          <w:noProof/>
          <w:kern w:val="2"/>
          <w:sz w:val="24"/>
          <w:szCs w:val="24"/>
          <w:lang w:eastAsia="en-AU"/>
          <w14:ligatures w14:val="standardContextual"/>
        </w:rPr>
      </w:pPr>
      <w:hyperlink w:anchor="_Toc235003048" w:history="1">
        <w:r w:rsidRPr="00E32836">
          <w:rPr>
            <w:rStyle w:val="Hyperlink"/>
            <w:rFonts w:eastAsia="Times New Roman"/>
            <w:noProof/>
            <w:lang w:eastAsia="en-AU"/>
          </w:rPr>
          <w:t>Part 1: Considerations shaping regulatory expectations</w:t>
        </w:r>
        <w:r>
          <w:rPr>
            <w:noProof/>
            <w:webHidden/>
          </w:rPr>
          <w:tab/>
        </w:r>
        <w:r>
          <w:rPr>
            <w:noProof/>
            <w:webHidden/>
          </w:rPr>
          <w:fldChar w:fldCharType="begin"/>
        </w:r>
        <w:r>
          <w:rPr>
            <w:noProof/>
            <w:webHidden/>
          </w:rPr>
          <w:instrText xml:space="preserve"> PAGEREF _Toc235003048 \h </w:instrText>
        </w:r>
        <w:r>
          <w:rPr>
            <w:noProof/>
            <w:webHidden/>
          </w:rPr>
        </w:r>
        <w:r>
          <w:rPr>
            <w:noProof/>
            <w:webHidden/>
          </w:rPr>
          <w:fldChar w:fldCharType="separate"/>
        </w:r>
        <w:r>
          <w:rPr>
            <w:noProof/>
            <w:webHidden/>
          </w:rPr>
          <w:t>6</w:t>
        </w:r>
        <w:r>
          <w:rPr>
            <w:noProof/>
            <w:webHidden/>
          </w:rPr>
          <w:fldChar w:fldCharType="end"/>
        </w:r>
      </w:hyperlink>
    </w:p>
    <w:p w14:paraId="07F3BF2F" w14:textId="0CDA9392"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49" w:history="1">
        <w:r w:rsidRPr="00E32836">
          <w:rPr>
            <w:rStyle w:val="Hyperlink"/>
            <w:noProof/>
          </w:rPr>
          <w:t>Confidentiality practices and the National Code</w:t>
        </w:r>
        <w:r>
          <w:rPr>
            <w:noProof/>
            <w:webHidden/>
          </w:rPr>
          <w:tab/>
        </w:r>
        <w:r>
          <w:rPr>
            <w:noProof/>
            <w:webHidden/>
          </w:rPr>
          <w:fldChar w:fldCharType="begin"/>
        </w:r>
        <w:r>
          <w:rPr>
            <w:noProof/>
            <w:webHidden/>
          </w:rPr>
          <w:instrText xml:space="preserve"> PAGEREF _Toc235003049 \h </w:instrText>
        </w:r>
        <w:r>
          <w:rPr>
            <w:noProof/>
            <w:webHidden/>
          </w:rPr>
        </w:r>
        <w:r>
          <w:rPr>
            <w:noProof/>
            <w:webHidden/>
          </w:rPr>
          <w:fldChar w:fldCharType="separate"/>
        </w:r>
        <w:r>
          <w:rPr>
            <w:noProof/>
            <w:webHidden/>
          </w:rPr>
          <w:t>6</w:t>
        </w:r>
        <w:r>
          <w:rPr>
            <w:noProof/>
            <w:webHidden/>
          </w:rPr>
          <w:fldChar w:fldCharType="end"/>
        </w:r>
      </w:hyperlink>
    </w:p>
    <w:p w14:paraId="2CFA284C" w14:textId="3DE37092" w:rsidR="00EA27C4" w:rsidRDefault="00EA27C4">
      <w:pPr>
        <w:pStyle w:val="TOC1"/>
        <w:rPr>
          <w:rFonts w:eastAsiaTheme="minorEastAsia"/>
          <w:noProof/>
          <w:kern w:val="2"/>
          <w:sz w:val="24"/>
          <w:szCs w:val="24"/>
          <w:lang w:eastAsia="en-AU"/>
          <w14:ligatures w14:val="standardContextual"/>
        </w:rPr>
      </w:pPr>
      <w:hyperlink w:anchor="_Toc235003050" w:history="1">
        <w:r w:rsidRPr="00E32836">
          <w:rPr>
            <w:rStyle w:val="Hyperlink"/>
            <w:noProof/>
          </w:rPr>
          <w:t>Part 2: The GBV Regulator’s regulatory expectations</w:t>
        </w:r>
        <w:r>
          <w:rPr>
            <w:noProof/>
            <w:webHidden/>
          </w:rPr>
          <w:tab/>
        </w:r>
        <w:r>
          <w:rPr>
            <w:noProof/>
            <w:webHidden/>
          </w:rPr>
          <w:fldChar w:fldCharType="begin"/>
        </w:r>
        <w:r>
          <w:rPr>
            <w:noProof/>
            <w:webHidden/>
          </w:rPr>
          <w:instrText xml:space="preserve"> PAGEREF _Toc235003050 \h </w:instrText>
        </w:r>
        <w:r>
          <w:rPr>
            <w:noProof/>
            <w:webHidden/>
          </w:rPr>
        </w:r>
        <w:r>
          <w:rPr>
            <w:noProof/>
            <w:webHidden/>
          </w:rPr>
          <w:fldChar w:fldCharType="separate"/>
        </w:r>
        <w:r>
          <w:rPr>
            <w:noProof/>
            <w:webHidden/>
          </w:rPr>
          <w:t>7</w:t>
        </w:r>
        <w:r>
          <w:rPr>
            <w:noProof/>
            <w:webHidden/>
          </w:rPr>
          <w:fldChar w:fldCharType="end"/>
        </w:r>
      </w:hyperlink>
    </w:p>
    <w:p w14:paraId="13E8A442" w14:textId="2FB68AE5"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51" w:history="1">
        <w:r w:rsidRPr="00E32836">
          <w:rPr>
            <w:rStyle w:val="Hyperlink"/>
            <w:noProof/>
          </w:rPr>
          <w:t>Transparency and trauma-informed confidentiality practices</w:t>
        </w:r>
        <w:r>
          <w:rPr>
            <w:noProof/>
            <w:webHidden/>
          </w:rPr>
          <w:tab/>
        </w:r>
        <w:r>
          <w:rPr>
            <w:noProof/>
            <w:webHidden/>
          </w:rPr>
          <w:fldChar w:fldCharType="begin"/>
        </w:r>
        <w:r>
          <w:rPr>
            <w:noProof/>
            <w:webHidden/>
          </w:rPr>
          <w:instrText xml:space="preserve"> PAGEREF _Toc235003051 \h </w:instrText>
        </w:r>
        <w:r>
          <w:rPr>
            <w:noProof/>
            <w:webHidden/>
          </w:rPr>
        </w:r>
        <w:r>
          <w:rPr>
            <w:noProof/>
            <w:webHidden/>
          </w:rPr>
          <w:fldChar w:fldCharType="separate"/>
        </w:r>
        <w:r>
          <w:rPr>
            <w:noProof/>
            <w:webHidden/>
          </w:rPr>
          <w:t>8</w:t>
        </w:r>
        <w:r>
          <w:rPr>
            <w:noProof/>
            <w:webHidden/>
          </w:rPr>
          <w:fldChar w:fldCharType="end"/>
        </w:r>
      </w:hyperlink>
    </w:p>
    <w:p w14:paraId="5EF237BD" w14:textId="293D5ACF"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52" w:history="1">
        <w:r w:rsidRPr="00E32836">
          <w:rPr>
            <w:rStyle w:val="Hyperlink"/>
            <w:noProof/>
          </w:rPr>
          <w:t>Student and staff rights to access support</w:t>
        </w:r>
        <w:r>
          <w:rPr>
            <w:noProof/>
            <w:webHidden/>
          </w:rPr>
          <w:tab/>
        </w:r>
        <w:r>
          <w:rPr>
            <w:noProof/>
            <w:webHidden/>
          </w:rPr>
          <w:fldChar w:fldCharType="begin"/>
        </w:r>
        <w:r>
          <w:rPr>
            <w:noProof/>
            <w:webHidden/>
          </w:rPr>
          <w:instrText xml:space="preserve"> PAGEREF _Toc235003052 \h </w:instrText>
        </w:r>
        <w:r>
          <w:rPr>
            <w:noProof/>
            <w:webHidden/>
          </w:rPr>
        </w:r>
        <w:r>
          <w:rPr>
            <w:noProof/>
            <w:webHidden/>
          </w:rPr>
          <w:fldChar w:fldCharType="separate"/>
        </w:r>
        <w:r>
          <w:rPr>
            <w:noProof/>
            <w:webHidden/>
          </w:rPr>
          <w:t>8</w:t>
        </w:r>
        <w:r>
          <w:rPr>
            <w:noProof/>
            <w:webHidden/>
          </w:rPr>
          <w:fldChar w:fldCharType="end"/>
        </w:r>
      </w:hyperlink>
    </w:p>
    <w:p w14:paraId="0D513D9B" w14:textId="4B7D2EEE"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53" w:history="1">
        <w:r w:rsidRPr="00E32836">
          <w:rPr>
            <w:rStyle w:val="Hyperlink"/>
            <w:noProof/>
          </w:rPr>
          <w:t>Prohibition on the use of non-disclosure agreements</w:t>
        </w:r>
        <w:r>
          <w:rPr>
            <w:noProof/>
            <w:webHidden/>
          </w:rPr>
          <w:tab/>
        </w:r>
        <w:r>
          <w:rPr>
            <w:noProof/>
            <w:webHidden/>
          </w:rPr>
          <w:fldChar w:fldCharType="begin"/>
        </w:r>
        <w:r>
          <w:rPr>
            <w:noProof/>
            <w:webHidden/>
          </w:rPr>
          <w:instrText xml:space="preserve"> PAGEREF _Toc235003053 \h </w:instrText>
        </w:r>
        <w:r>
          <w:rPr>
            <w:noProof/>
            <w:webHidden/>
          </w:rPr>
        </w:r>
        <w:r>
          <w:rPr>
            <w:noProof/>
            <w:webHidden/>
          </w:rPr>
          <w:fldChar w:fldCharType="separate"/>
        </w:r>
        <w:r>
          <w:rPr>
            <w:noProof/>
            <w:webHidden/>
          </w:rPr>
          <w:t>9</w:t>
        </w:r>
        <w:r>
          <w:rPr>
            <w:noProof/>
            <w:webHidden/>
          </w:rPr>
          <w:fldChar w:fldCharType="end"/>
        </w:r>
      </w:hyperlink>
    </w:p>
    <w:p w14:paraId="00B52506" w14:textId="33BD148E"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54" w:history="1">
        <w:r w:rsidRPr="00E32836">
          <w:rPr>
            <w:rStyle w:val="Hyperlink"/>
            <w:noProof/>
          </w:rPr>
          <w:t>Staff capability, training and conduct</w:t>
        </w:r>
        <w:r>
          <w:rPr>
            <w:noProof/>
            <w:webHidden/>
          </w:rPr>
          <w:tab/>
        </w:r>
        <w:r>
          <w:rPr>
            <w:noProof/>
            <w:webHidden/>
          </w:rPr>
          <w:fldChar w:fldCharType="begin"/>
        </w:r>
        <w:r>
          <w:rPr>
            <w:noProof/>
            <w:webHidden/>
          </w:rPr>
          <w:instrText xml:space="preserve"> PAGEREF _Toc235003054 \h </w:instrText>
        </w:r>
        <w:r>
          <w:rPr>
            <w:noProof/>
            <w:webHidden/>
          </w:rPr>
        </w:r>
        <w:r>
          <w:rPr>
            <w:noProof/>
            <w:webHidden/>
          </w:rPr>
          <w:fldChar w:fldCharType="separate"/>
        </w:r>
        <w:r>
          <w:rPr>
            <w:noProof/>
            <w:webHidden/>
          </w:rPr>
          <w:t>9</w:t>
        </w:r>
        <w:r>
          <w:rPr>
            <w:noProof/>
            <w:webHidden/>
          </w:rPr>
          <w:fldChar w:fldCharType="end"/>
        </w:r>
      </w:hyperlink>
    </w:p>
    <w:p w14:paraId="405A161F" w14:textId="2B7C4E71" w:rsidR="00EA27C4" w:rsidRDefault="00EA27C4">
      <w:pPr>
        <w:pStyle w:val="TOC2"/>
        <w:tabs>
          <w:tab w:val="right" w:leader="dot" w:pos="9016"/>
        </w:tabs>
        <w:rPr>
          <w:rFonts w:eastAsiaTheme="minorEastAsia"/>
          <w:noProof/>
          <w:kern w:val="2"/>
          <w:sz w:val="24"/>
          <w:szCs w:val="24"/>
          <w:lang w:eastAsia="en-AU"/>
          <w14:ligatures w14:val="standardContextual"/>
        </w:rPr>
      </w:pPr>
      <w:hyperlink w:anchor="_Toc235003055" w:history="1">
        <w:r w:rsidRPr="00E32836">
          <w:rPr>
            <w:rStyle w:val="Hyperlink"/>
            <w:noProof/>
          </w:rPr>
          <w:t>Governance and continuous improvement</w:t>
        </w:r>
        <w:r>
          <w:rPr>
            <w:noProof/>
            <w:webHidden/>
          </w:rPr>
          <w:tab/>
        </w:r>
        <w:r>
          <w:rPr>
            <w:noProof/>
            <w:webHidden/>
          </w:rPr>
          <w:fldChar w:fldCharType="begin"/>
        </w:r>
        <w:r>
          <w:rPr>
            <w:noProof/>
            <w:webHidden/>
          </w:rPr>
          <w:instrText xml:space="preserve"> PAGEREF _Toc235003055 \h </w:instrText>
        </w:r>
        <w:r>
          <w:rPr>
            <w:noProof/>
            <w:webHidden/>
          </w:rPr>
        </w:r>
        <w:r>
          <w:rPr>
            <w:noProof/>
            <w:webHidden/>
          </w:rPr>
          <w:fldChar w:fldCharType="separate"/>
        </w:r>
        <w:r>
          <w:rPr>
            <w:noProof/>
            <w:webHidden/>
          </w:rPr>
          <w:t>9</w:t>
        </w:r>
        <w:r>
          <w:rPr>
            <w:noProof/>
            <w:webHidden/>
          </w:rPr>
          <w:fldChar w:fldCharType="end"/>
        </w:r>
      </w:hyperlink>
    </w:p>
    <w:p w14:paraId="5B0F6CEB" w14:textId="7BE2EDE1" w:rsidR="00EA27C4" w:rsidRDefault="00EA27C4">
      <w:pPr>
        <w:pStyle w:val="TOC1"/>
        <w:rPr>
          <w:rFonts w:eastAsiaTheme="minorEastAsia"/>
          <w:noProof/>
          <w:kern w:val="2"/>
          <w:sz w:val="24"/>
          <w:szCs w:val="24"/>
          <w:lang w:eastAsia="en-AU"/>
          <w14:ligatures w14:val="standardContextual"/>
        </w:rPr>
      </w:pPr>
      <w:hyperlink w:anchor="_Toc235003056" w:history="1">
        <w:r w:rsidRPr="00E32836">
          <w:rPr>
            <w:rStyle w:val="Hyperlink"/>
            <w:noProof/>
          </w:rPr>
          <w:t>Conclusion</w:t>
        </w:r>
        <w:r>
          <w:rPr>
            <w:noProof/>
            <w:webHidden/>
          </w:rPr>
          <w:tab/>
        </w:r>
        <w:r>
          <w:rPr>
            <w:noProof/>
            <w:webHidden/>
          </w:rPr>
          <w:fldChar w:fldCharType="begin"/>
        </w:r>
        <w:r>
          <w:rPr>
            <w:noProof/>
            <w:webHidden/>
          </w:rPr>
          <w:instrText xml:space="preserve"> PAGEREF _Toc235003056 \h </w:instrText>
        </w:r>
        <w:r>
          <w:rPr>
            <w:noProof/>
            <w:webHidden/>
          </w:rPr>
        </w:r>
        <w:r>
          <w:rPr>
            <w:noProof/>
            <w:webHidden/>
          </w:rPr>
          <w:fldChar w:fldCharType="separate"/>
        </w:r>
        <w:r>
          <w:rPr>
            <w:noProof/>
            <w:webHidden/>
          </w:rPr>
          <w:t>10</w:t>
        </w:r>
        <w:r>
          <w:rPr>
            <w:noProof/>
            <w:webHidden/>
          </w:rPr>
          <w:fldChar w:fldCharType="end"/>
        </w:r>
      </w:hyperlink>
    </w:p>
    <w:p w14:paraId="16E213AF" w14:textId="79D24783" w:rsidR="0017134D" w:rsidRDefault="00AF1F18">
      <w:r>
        <w:fldChar w:fldCharType="end"/>
      </w:r>
      <w:r w:rsidR="0017134D">
        <w:br w:type="page"/>
      </w:r>
    </w:p>
    <w:p w14:paraId="7A19E92D" w14:textId="1F27B6F0" w:rsidR="0017134D" w:rsidRPr="00AD631F" w:rsidRDefault="00EA4F39" w:rsidP="00AD631F">
      <w:pPr>
        <w:pStyle w:val="Heading2"/>
      </w:pPr>
      <w:bookmarkStart w:id="2" w:name="_Toc235003047"/>
      <w:r>
        <w:lastRenderedPageBreak/>
        <w:t>Statement of Regulatory Expectations</w:t>
      </w:r>
      <w:bookmarkEnd w:id="2"/>
      <w:r>
        <w:t xml:space="preserve"> </w:t>
      </w:r>
    </w:p>
    <w:p w14:paraId="0A5C1A01" w14:textId="6DC77812" w:rsidR="00EA4F39" w:rsidRPr="00143620" w:rsidRDefault="00EA4F39" w:rsidP="00EA4F39">
      <w:pPr>
        <w:rPr>
          <w:rFonts w:cstheme="minorHAnsi"/>
        </w:rPr>
      </w:pPr>
      <w:r w:rsidRPr="00143620">
        <w:rPr>
          <w:rFonts w:cstheme="minorHAnsi"/>
        </w:rPr>
        <w:t xml:space="preserve">The Higher Education Gender-based Violence Regulator (GBV Regulator) issues this Statement of Regulatory Expectations to clarify its expectations under the </w:t>
      </w:r>
      <w:r w:rsidRPr="00143620">
        <w:rPr>
          <w:rFonts w:cstheme="minorHAnsi"/>
          <w:i/>
          <w:iCs/>
        </w:rPr>
        <w:t>National Higher Education Code to Prevent and Respond to Gender-based Violence</w:t>
      </w:r>
      <w:r w:rsidRPr="00143620">
        <w:rPr>
          <w:rFonts w:cstheme="minorHAnsi"/>
        </w:rPr>
        <w:t xml:space="preserve"> (National Code)</w:t>
      </w:r>
      <w:r w:rsidRPr="00143620">
        <w:rPr>
          <w:rFonts w:cstheme="minorHAnsi"/>
          <w:i/>
          <w:iCs/>
        </w:rPr>
        <w:t xml:space="preserve"> </w:t>
      </w:r>
      <w:r w:rsidRPr="00143620">
        <w:rPr>
          <w:rFonts w:cstheme="minorHAnsi"/>
        </w:rPr>
        <w:t xml:space="preserve">in relation to the use </w:t>
      </w:r>
      <w:r w:rsidR="00AB2652" w:rsidRPr="00143620">
        <w:rPr>
          <w:rFonts w:cstheme="minorHAnsi"/>
        </w:rPr>
        <w:t xml:space="preserve">of </w:t>
      </w:r>
      <w:r w:rsidRPr="00143620">
        <w:rPr>
          <w:rFonts w:cstheme="minorHAnsi"/>
        </w:rPr>
        <w:t>confidentiality</w:t>
      </w:r>
      <w:r w:rsidR="00132BFE" w:rsidRPr="00143620">
        <w:rPr>
          <w:rFonts w:cstheme="minorHAnsi"/>
        </w:rPr>
        <w:t xml:space="preserve"> and of non-disclosure agreements </w:t>
      </w:r>
      <w:r w:rsidRPr="00143620">
        <w:rPr>
          <w:rFonts w:cstheme="minorHAnsi"/>
        </w:rPr>
        <w:t xml:space="preserve">when responding to gender-based violence (GBV).  </w:t>
      </w:r>
    </w:p>
    <w:p w14:paraId="21416B79" w14:textId="3D7EAAA1" w:rsidR="00AB0962" w:rsidRPr="00143620" w:rsidRDefault="00AB0962" w:rsidP="00EA4F39">
      <w:pPr>
        <w:rPr>
          <w:rFonts w:cstheme="minorHAnsi"/>
        </w:rPr>
      </w:pPr>
      <w:r w:rsidRPr="00143620">
        <w:rPr>
          <w:rFonts w:cstheme="minorHAnsi"/>
        </w:rPr>
        <w:t xml:space="preserve">Through the GBV Regulator’s recent work with the sector, and close engagement with the National Student Ombudsman (NSO) and the Tertiary Education Quality and Standards Agency (TEQSA), the GBV Regulator has identified important opportunities to strengthen higher education providers’ (providers) complaints handling and use of confidentiality when responding to </w:t>
      </w:r>
      <w:r w:rsidR="000906CF" w:rsidRPr="00143620">
        <w:rPr>
          <w:rFonts w:cstheme="minorHAnsi"/>
        </w:rPr>
        <w:t>GBV.</w:t>
      </w:r>
      <w:r w:rsidRPr="00143620">
        <w:rPr>
          <w:rFonts w:cstheme="minorHAnsi"/>
        </w:rPr>
        <w:t xml:space="preserve"> </w:t>
      </w:r>
    </w:p>
    <w:p w14:paraId="3ABABC1D" w14:textId="501ED36D" w:rsidR="00EC2363" w:rsidRPr="00143620" w:rsidRDefault="00EC2363" w:rsidP="00EC2363">
      <w:pPr>
        <w:spacing w:line="278" w:lineRule="auto"/>
        <w:rPr>
          <w:rFonts w:cstheme="minorHAnsi"/>
        </w:rPr>
      </w:pPr>
      <w:r w:rsidRPr="00143620">
        <w:rPr>
          <w:rFonts w:cstheme="minorHAnsi"/>
        </w:rPr>
        <w:t xml:space="preserve">Recent publications by the TEQSA, including its </w:t>
      </w:r>
      <w:hyperlink r:id="rId20" w:history="1">
        <w:r w:rsidRPr="00143620">
          <w:rPr>
            <w:rStyle w:val="Hyperlink"/>
            <w:rFonts w:cstheme="minorHAnsi"/>
            <w:i/>
          </w:rPr>
          <w:t>Statement of Regulatory Expectations: Student grievance and complaints mechanism</w:t>
        </w:r>
      </w:hyperlink>
      <w:r w:rsidRPr="00143620">
        <w:rPr>
          <w:rFonts w:cstheme="minorHAnsi"/>
        </w:rPr>
        <w:t xml:space="preserve"> (October 2025), and the National Student Ombudsman (NSO) report </w:t>
      </w:r>
      <w:hyperlink r:id="rId21" w:history="1">
        <w:r w:rsidRPr="00143620">
          <w:rPr>
            <w:rStyle w:val="Hyperlink"/>
            <w:rFonts w:cstheme="minorHAnsi"/>
          </w:rPr>
          <w:t>‘</w:t>
        </w:r>
        <w:r w:rsidRPr="00143620">
          <w:rPr>
            <w:rStyle w:val="Hyperlink"/>
            <w:rFonts w:cstheme="minorHAnsi"/>
            <w:i/>
            <w:iCs/>
          </w:rPr>
          <w:t>Can I talk about this?’</w:t>
        </w:r>
      </w:hyperlink>
      <w:r w:rsidRPr="00143620">
        <w:rPr>
          <w:rFonts w:cstheme="minorHAnsi"/>
        </w:rPr>
        <w:t xml:space="preserve"> (March 2026), have identified ongoing issues in complaints handling across the higher education sector</w:t>
      </w:r>
      <w:r w:rsidR="000906CF" w:rsidRPr="00143620">
        <w:rPr>
          <w:rFonts w:cstheme="minorHAnsi"/>
        </w:rPr>
        <w:t xml:space="preserve"> broadly</w:t>
      </w:r>
      <w:r w:rsidRPr="00143620">
        <w:rPr>
          <w:rFonts w:cstheme="minorHAnsi"/>
        </w:rPr>
        <w:t>, including in matters relating to GBV.</w:t>
      </w:r>
    </w:p>
    <w:p w14:paraId="28CF85DE" w14:textId="211285A6" w:rsidR="00EC2363" w:rsidRPr="00143620" w:rsidRDefault="00EC2363" w:rsidP="1ADCF96B">
      <w:pPr>
        <w:spacing w:line="278" w:lineRule="auto"/>
      </w:pPr>
      <w:r w:rsidRPr="1ADCF96B">
        <w:t>This statement builds on those publications, which emphasise that complaints handling should be trauma</w:t>
      </w:r>
      <w:r>
        <w:noBreakHyphen/>
      </w:r>
      <w:r w:rsidRPr="1ADCF96B">
        <w:t>informed and person</w:t>
      </w:r>
      <w:r>
        <w:noBreakHyphen/>
      </w:r>
      <w:r w:rsidRPr="1ADCF96B">
        <w:t xml:space="preserve">centred. It does so by clarifying the GBV Regulator’s expectations under the </w:t>
      </w:r>
      <w:r w:rsidR="000906CF" w:rsidRPr="1ADCF96B">
        <w:t xml:space="preserve">National Code </w:t>
      </w:r>
      <w:r w:rsidRPr="1ADCF96B">
        <w:t>as they apply specifically to responses to disclosures of GBV (rather than complaints handling more broadly), including expectations relating to:</w:t>
      </w:r>
    </w:p>
    <w:p w14:paraId="3C4F6D9D" w14:textId="77777777" w:rsidR="00EC2363" w:rsidRPr="00143620" w:rsidRDefault="00EC2363" w:rsidP="00194307">
      <w:pPr>
        <w:pStyle w:val="ListParagraph"/>
        <w:numPr>
          <w:ilvl w:val="0"/>
          <w:numId w:val="7"/>
        </w:numPr>
        <w:rPr>
          <w:rFonts w:cstheme="minorHAnsi"/>
          <w:sz w:val="22"/>
          <w:szCs w:val="22"/>
        </w:rPr>
      </w:pPr>
      <w:r w:rsidRPr="00143620">
        <w:rPr>
          <w:rFonts w:cstheme="minorHAnsi"/>
          <w:sz w:val="22"/>
          <w:szCs w:val="22"/>
        </w:rPr>
        <w:t>complaints handling processes</w:t>
      </w:r>
    </w:p>
    <w:p w14:paraId="4E2D0351" w14:textId="77777777" w:rsidR="00EC2363" w:rsidRPr="00143620" w:rsidRDefault="00EC2363" w:rsidP="00194307">
      <w:pPr>
        <w:pStyle w:val="ListParagraph"/>
        <w:numPr>
          <w:ilvl w:val="0"/>
          <w:numId w:val="7"/>
        </w:numPr>
        <w:rPr>
          <w:rFonts w:cstheme="minorHAnsi"/>
          <w:sz w:val="22"/>
          <w:szCs w:val="22"/>
        </w:rPr>
      </w:pPr>
      <w:r w:rsidRPr="00143620">
        <w:rPr>
          <w:rFonts w:cstheme="minorHAnsi"/>
          <w:sz w:val="22"/>
          <w:szCs w:val="22"/>
        </w:rPr>
        <w:t>the use of confidentiality practices</w:t>
      </w:r>
    </w:p>
    <w:p w14:paraId="2FE507C1" w14:textId="77777777" w:rsidR="00EC2363" w:rsidRPr="00143620" w:rsidRDefault="00EC2363" w:rsidP="1ADCF96B">
      <w:pPr>
        <w:pStyle w:val="ListParagraph"/>
        <w:numPr>
          <w:ilvl w:val="0"/>
          <w:numId w:val="7"/>
        </w:numPr>
        <w:rPr>
          <w:sz w:val="22"/>
          <w:szCs w:val="22"/>
        </w:rPr>
      </w:pPr>
      <w:r w:rsidRPr="1ADCF96B">
        <w:rPr>
          <w:sz w:val="22"/>
          <w:szCs w:val="22"/>
        </w:rPr>
        <w:t>the use of non</w:t>
      </w:r>
      <w:r>
        <w:noBreakHyphen/>
      </w:r>
      <w:r w:rsidRPr="1ADCF96B">
        <w:rPr>
          <w:sz w:val="22"/>
          <w:szCs w:val="22"/>
        </w:rPr>
        <w:t>disclosure agreements (NDAs)</w:t>
      </w:r>
    </w:p>
    <w:p w14:paraId="0EF1E044" w14:textId="09BA2AD1" w:rsidR="00A127E4" w:rsidRPr="00C53EC0" w:rsidRDefault="001A7EA1" w:rsidP="00A127E4">
      <w:pPr>
        <w:spacing w:after="0" w:line="300" w:lineRule="atLeast"/>
        <w:rPr>
          <w:rFonts w:ascii="Segoe UI" w:eastAsia="Times New Roman" w:hAnsi="Segoe UI" w:cs="Segoe UI"/>
          <w:sz w:val="21"/>
          <w:szCs w:val="21"/>
          <w:lang w:eastAsia="en-AU"/>
        </w:rPr>
      </w:pPr>
      <w:bookmarkStart w:id="3" w:name="standards"/>
      <w:r w:rsidRPr="00143620">
        <w:rPr>
          <w:rFonts w:eastAsia="Times New Roman" w:cstheme="minorHAnsi"/>
          <w:lang w:eastAsia="en-AU"/>
        </w:rPr>
        <w:t xml:space="preserve">The National Code establishes requirements for how providers must respond to disclosures and formal reports </w:t>
      </w:r>
      <w:r w:rsidRPr="004C4E56">
        <w:rPr>
          <w:rFonts w:eastAsia="Times New Roman" w:cstheme="minorHAnsi"/>
          <w:lang w:eastAsia="en-AU"/>
        </w:rPr>
        <w:t xml:space="preserve">of </w:t>
      </w:r>
      <w:r w:rsidR="005B337E" w:rsidRPr="004C4E56">
        <w:rPr>
          <w:rFonts w:eastAsia="Times New Roman" w:cstheme="minorHAnsi"/>
          <w:lang w:eastAsia="en-AU"/>
        </w:rPr>
        <w:t>GBV</w:t>
      </w:r>
      <w:r w:rsidR="00454882" w:rsidRPr="004C4E56">
        <w:rPr>
          <w:rFonts w:eastAsia="Times New Roman" w:cstheme="minorHAnsi"/>
          <w:lang w:eastAsia="en-AU"/>
        </w:rPr>
        <w:t xml:space="preserve"> in relation to confidentiality practices and NDAs</w:t>
      </w:r>
      <w:r w:rsidR="00A127E4" w:rsidRPr="004C4E56">
        <w:rPr>
          <w:rFonts w:eastAsia="Times New Roman" w:cstheme="minorHAnsi"/>
          <w:lang w:eastAsia="en-AU"/>
        </w:rPr>
        <w:t xml:space="preserve">. </w:t>
      </w:r>
      <w:r w:rsidR="00A127E4" w:rsidRPr="001C5E85">
        <w:rPr>
          <w:rFonts w:eastAsia="Times New Roman" w:cstheme="minorHAnsi"/>
          <w:lang w:eastAsia="en-AU"/>
        </w:rPr>
        <w:t>Providers should note that confidentiality practices and NDAs may engage the National Code requirements broadly as part of their framework for preventing and responding to GBV, particularly those relating to support, safe processes, procedural fairness, transparency, trauma-informed practice and institutional accountability.</w:t>
      </w:r>
      <w:r w:rsidR="0071650D" w:rsidRPr="001C5E85">
        <w:rPr>
          <w:rFonts w:eastAsia="Times New Roman" w:cstheme="minorHAnsi"/>
          <w:lang w:eastAsia="en-AU"/>
        </w:rPr>
        <w:t xml:space="preserve"> The primary requirements engage</w:t>
      </w:r>
      <w:r w:rsidR="001D54FB" w:rsidRPr="001C5E85">
        <w:rPr>
          <w:rFonts w:eastAsia="Times New Roman" w:cstheme="minorHAnsi"/>
          <w:lang w:eastAsia="en-AU"/>
        </w:rPr>
        <w:t>d include:</w:t>
      </w:r>
    </w:p>
    <w:p w14:paraId="2BEA9DB9" w14:textId="510B2CA8" w:rsidR="001E168E" w:rsidRPr="0079682E" w:rsidRDefault="001E168E" w:rsidP="0079682E">
      <w:pPr>
        <w:spacing w:after="0" w:line="300" w:lineRule="atLeast"/>
        <w:rPr>
          <w:rFonts w:eastAsia="Times New Roman" w:cstheme="minorHAnsi"/>
          <w:lang w:eastAsia="en-AU"/>
        </w:rPr>
      </w:pPr>
      <w:r>
        <w:tab/>
      </w:r>
    </w:p>
    <w:p w14:paraId="09AFC3D3" w14:textId="77777777" w:rsidR="00E1687A" w:rsidRPr="00E72D10" w:rsidRDefault="00E1687A" w:rsidP="0079682E">
      <w:pPr>
        <w:spacing w:after="0" w:line="300" w:lineRule="atLeast"/>
        <w:ind w:firstLine="720"/>
        <w:rPr>
          <w:rFonts w:cstheme="minorHAnsi"/>
          <w:i/>
          <w:iCs/>
        </w:rPr>
      </w:pPr>
      <w:r w:rsidRPr="00E72D10">
        <w:rPr>
          <w:rFonts w:cstheme="minorHAnsi"/>
          <w:i/>
          <w:iCs/>
        </w:rPr>
        <w:t>Standard 2: Safe environments and systems</w:t>
      </w:r>
    </w:p>
    <w:p w14:paraId="36F82083" w14:textId="5CBA3542" w:rsidR="00E1687A" w:rsidRPr="00E72D10" w:rsidRDefault="00E1687A" w:rsidP="00E1687A">
      <w:pPr>
        <w:pStyle w:val="ListParagraph"/>
        <w:numPr>
          <w:ilvl w:val="0"/>
          <w:numId w:val="6"/>
        </w:numPr>
        <w:rPr>
          <w:rFonts w:cstheme="minorHAnsi"/>
          <w:sz w:val="22"/>
          <w:szCs w:val="22"/>
        </w:rPr>
      </w:pPr>
      <w:r w:rsidRPr="00E72D10">
        <w:rPr>
          <w:rFonts w:eastAsia="Times New Roman" w:cstheme="minorHAnsi"/>
          <w:sz w:val="22"/>
          <w:szCs w:val="22"/>
          <w:lang w:eastAsia="en-AU"/>
        </w:rPr>
        <w:t>Providers have a clear, publicly available and trauma</w:t>
      </w:r>
      <w:r w:rsidRPr="00E72D10">
        <w:rPr>
          <w:rFonts w:eastAsia="Times New Roman" w:cstheme="minorHAnsi"/>
          <w:sz w:val="22"/>
          <w:szCs w:val="22"/>
          <w:lang w:eastAsia="en-AU"/>
        </w:rPr>
        <w:noBreakHyphen/>
        <w:t>informed gender</w:t>
      </w:r>
      <w:r w:rsidRPr="00E72D10">
        <w:rPr>
          <w:rFonts w:eastAsia="Times New Roman" w:cstheme="minorHAnsi"/>
          <w:sz w:val="22"/>
          <w:szCs w:val="22"/>
          <w:lang w:eastAsia="en-AU"/>
        </w:rPr>
        <w:noBreakHyphen/>
        <w:t>based violence policy</w:t>
      </w:r>
      <w:r>
        <w:rPr>
          <w:rFonts w:eastAsia="Times New Roman" w:cstheme="minorHAnsi"/>
          <w:sz w:val="22"/>
          <w:szCs w:val="22"/>
          <w:lang w:eastAsia="en-AU"/>
        </w:rPr>
        <w:t xml:space="preserve"> that </w:t>
      </w:r>
      <w:r w:rsidRPr="00E72D10">
        <w:rPr>
          <w:rFonts w:eastAsia="Times New Roman" w:cstheme="minorHAnsi"/>
          <w:sz w:val="22"/>
          <w:szCs w:val="22"/>
          <w:lang w:eastAsia="en-AU"/>
        </w:rPr>
        <w:t xml:space="preserve">sets out available </w:t>
      </w:r>
      <w:r w:rsidR="00EA27C4" w:rsidRPr="00E72D10">
        <w:rPr>
          <w:rFonts w:eastAsia="Times New Roman" w:cstheme="minorHAnsi"/>
          <w:sz w:val="22"/>
          <w:szCs w:val="22"/>
          <w:lang w:eastAsia="en-AU"/>
        </w:rPr>
        <w:t>supports</w:t>
      </w:r>
      <w:r w:rsidR="00EA27C4">
        <w:rPr>
          <w:rFonts w:eastAsia="Times New Roman" w:cstheme="minorHAnsi"/>
          <w:sz w:val="22"/>
          <w:szCs w:val="22"/>
          <w:lang w:eastAsia="en-AU"/>
        </w:rPr>
        <w:t xml:space="preserve"> and</w:t>
      </w:r>
      <w:r>
        <w:rPr>
          <w:rFonts w:eastAsia="Times New Roman" w:cstheme="minorHAnsi"/>
          <w:sz w:val="22"/>
          <w:szCs w:val="22"/>
          <w:lang w:eastAsia="en-AU"/>
        </w:rPr>
        <w:t xml:space="preserve"> </w:t>
      </w:r>
      <w:r w:rsidRPr="00E72D10">
        <w:rPr>
          <w:rFonts w:eastAsia="Times New Roman" w:cstheme="minorHAnsi"/>
          <w:sz w:val="22"/>
          <w:szCs w:val="22"/>
          <w:lang w:eastAsia="en-AU"/>
        </w:rPr>
        <w:t>prohibit</w:t>
      </w:r>
      <w:r>
        <w:rPr>
          <w:rFonts w:eastAsia="Times New Roman" w:cstheme="minorHAnsi"/>
          <w:sz w:val="22"/>
          <w:szCs w:val="22"/>
          <w:lang w:eastAsia="en-AU"/>
        </w:rPr>
        <w:t>s</w:t>
      </w:r>
      <w:r w:rsidRPr="00E72D10">
        <w:rPr>
          <w:rFonts w:eastAsia="Times New Roman" w:cstheme="minorHAnsi"/>
          <w:sz w:val="22"/>
          <w:szCs w:val="22"/>
          <w:lang w:eastAsia="en-AU"/>
        </w:rPr>
        <w:t xml:space="preserve"> non</w:t>
      </w:r>
      <w:r w:rsidRPr="00E72D10">
        <w:rPr>
          <w:rFonts w:eastAsia="Times New Roman" w:cstheme="minorHAnsi"/>
          <w:sz w:val="22"/>
          <w:szCs w:val="22"/>
          <w:lang w:eastAsia="en-AU"/>
        </w:rPr>
        <w:noBreakHyphen/>
        <w:t>disclosure agreements unless requested by the discloser (</w:t>
      </w:r>
      <w:r>
        <w:rPr>
          <w:rFonts w:eastAsia="Times New Roman" w:cstheme="minorHAnsi"/>
          <w:sz w:val="22"/>
          <w:szCs w:val="22"/>
          <w:lang w:eastAsia="en-AU"/>
        </w:rPr>
        <w:t>S</w:t>
      </w:r>
      <w:r w:rsidRPr="00E72D10">
        <w:rPr>
          <w:rFonts w:eastAsia="Times New Roman" w:cstheme="minorHAnsi"/>
          <w:sz w:val="22"/>
          <w:szCs w:val="22"/>
          <w:lang w:eastAsia="en-AU"/>
        </w:rPr>
        <w:t xml:space="preserve">tandards 2.3 and 2.8). </w:t>
      </w:r>
    </w:p>
    <w:p w14:paraId="68041788" w14:textId="77777777" w:rsidR="00E1687A" w:rsidRPr="00E72D10" w:rsidRDefault="00E1687A" w:rsidP="00E1687A">
      <w:pPr>
        <w:pStyle w:val="ListParagraph"/>
        <w:rPr>
          <w:rFonts w:cstheme="minorHAnsi"/>
          <w:sz w:val="22"/>
          <w:szCs w:val="22"/>
        </w:rPr>
      </w:pPr>
    </w:p>
    <w:p w14:paraId="0007A35D" w14:textId="77777777" w:rsidR="00E1687A" w:rsidRPr="00E72D10" w:rsidRDefault="00E1687A" w:rsidP="00E1687A">
      <w:pPr>
        <w:pStyle w:val="ListParagraph"/>
        <w:spacing w:after="0" w:line="300" w:lineRule="atLeast"/>
        <w:rPr>
          <w:rFonts w:eastAsia="Times New Roman" w:cstheme="minorHAnsi"/>
          <w:i/>
          <w:iCs/>
          <w:sz w:val="22"/>
          <w:szCs w:val="22"/>
          <w:lang w:eastAsia="en-AU"/>
        </w:rPr>
      </w:pPr>
      <w:r w:rsidRPr="00E72D10">
        <w:rPr>
          <w:rFonts w:eastAsia="Times New Roman" w:cstheme="minorHAnsi"/>
          <w:i/>
          <w:iCs/>
          <w:sz w:val="22"/>
          <w:szCs w:val="22"/>
          <w:lang w:eastAsia="en-AU"/>
        </w:rPr>
        <w:t xml:space="preserve">Standard 4: Safety and support </w:t>
      </w:r>
    </w:p>
    <w:p w14:paraId="4012C9ED" w14:textId="77777777" w:rsidR="00E1687A" w:rsidRDefault="00E1687A" w:rsidP="00E1687A">
      <w:pPr>
        <w:pStyle w:val="ListParagraph"/>
        <w:numPr>
          <w:ilvl w:val="0"/>
          <w:numId w:val="6"/>
        </w:numPr>
        <w:spacing w:after="0" w:line="300" w:lineRule="atLeast"/>
        <w:rPr>
          <w:rFonts w:eastAsia="Times New Roman" w:cstheme="minorHAnsi"/>
          <w:sz w:val="22"/>
          <w:szCs w:val="22"/>
          <w:lang w:eastAsia="en-AU"/>
        </w:rPr>
      </w:pPr>
      <w:r w:rsidRPr="00E72D10">
        <w:rPr>
          <w:rFonts w:eastAsia="Times New Roman" w:cstheme="minorHAnsi"/>
          <w:sz w:val="22"/>
          <w:szCs w:val="22"/>
          <w:lang w:eastAsia="en-AU"/>
        </w:rPr>
        <w:t>Providers responses to gender</w:t>
      </w:r>
      <w:r w:rsidRPr="00E72D10">
        <w:rPr>
          <w:rFonts w:eastAsia="Times New Roman" w:cstheme="minorHAnsi"/>
          <w:sz w:val="22"/>
          <w:szCs w:val="22"/>
          <w:lang w:eastAsia="en-AU"/>
        </w:rPr>
        <w:noBreakHyphen/>
        <w:t>based violence are safe, person</w:t>
      </w:r>
      <w:r w:rsidRPr="00E72D10">
        <w:rPr>
          <w:rFonts w:eastAsia="Times New Roman" w:cstheme="minorHAnsi"/>
          <w:sz w:val="22"/>
          <w:szCs w:val="22"/>
          <w:lang w:eastAsia="en-AU"/>
        </w:rPr>
        <w:noBreakHyphen/>
        <w:t>centred and trauma</w:t>
      </w:r>
      <w:r w:rsidRPr="00E72D10">
        <w:rPr>
          <w:rFonts w:eastAsia="Times New Roman" w:cstheme="minorHAnsi"/>
          <w:sz w:val="22"/>
          <w:szCs w:val="22"/>
          <w:lang w:eastAsia="en-AU"/>
        </w:rPr>
        <w:noBreakHyphen/>
        <w:t>informed, they provide or facilitate access to appropriate support services</w:t>
      </w:r>
      <w:r>
        <w:rPr>
          <w:rFonts w:eastAsia="Times New Roman" w:cstheme="minorHAnsi"/>
          <w:sz w:val="22"/>
          <w:szCs w:val="22"/>
          <w:lang w:eastAsia="en-AU"/>
        </w:rPr>
        <w:t xml:space="preserve"> and providers</w:t>
      </w:r>
      <w:r w:rsidRPr="00E72D10">
        <w:rPr>
          <w:rFonts w:eastAsia="Times New Roman" w:cstheme="minorHAnsi"/>
          <w:sz w:val="22"/>
          <w:szCs w:val="22"/>
          <w:lang w:eastAsia="en-AU"/>
        </w:rPr>
        <w:t xml:space="preserve"> actively promote clear, accessible information about relevant policies, procedures and supports in formats that reflect the diversity of their student and staff communities (</w:t>
      </w:r>
      <w:r>
        <w:rPr>
          <w:rFonts w:eastAsia="Times New Roman" w:cstheme="minorHAnsi"/>
          <w:sz w:val="22"/>
          <w:szCs w:val="22"/>
          <w:lang w:eastAsia="en-AU"/>
        </w:rPr>
        <w:t>S</w:t>
      </w:r>
      <w:r w:rsidRPr="00E72D10">
        <w:rPr>
          <w:rFonts w:eastAsia="Times New Roman" w:cstheme="minorHAnsi"/>
          <w:sz w:val="22"/>
          <w:szCs w:val="22"/>
          <w:lang w:eastAsia="en-AU"/>
        </w:rPr>
        <w:t>tandards 4.1 and 4.3).</w:t>
      </w:r>
    </w:p>
    <w:p w14:paraId="2BD96A35" w14:textId="48DA8E12" w:rsidR="00E1687A" w:rsidRDefault="00E1687A" w:rsidP="00E1687A">
      <w:pPr>
        <w:pStyle w:val="ListParagraph"/>
        <w:spacing w:after="0" w:line="300" w:lineRule="atLeast"/>
        <w:rPr>
          <w:rFonts w:eastAsia="Times New Roman" w:cstheme="minorHAnsi"/>
          <w:sz w:val="22"/>
          <w:szCs w:val="22"/>
          <w:lang w:eastAsia="en-AU"/>
        </w:rPr>
      </w:pPr>
    </w:p>
    <w:p w14:paraId="51691F17" w14:textId="77777777" w:rsidR="006C51C9" w:rsidRPr="00E72D10" w:rsidRDefault="006C51C9" w:rsidP="00E1687A">
      <w:pPr>
        <w:pStyle w:val="ListParagraph"/>
        <w:spacing w:after="0" w:line="300" w:lineRule="atLeast"/>
        <w:rPr>
          <w:rFonts w:eastAsia="Times New Roman" w:cstheme="minorHAnsi"/>
          <w:sz w:val="22"/>
          <w:szCs w:val="22"/>
          <w:lang w:eastAsia="en-AU"/>
        </w:rPr>
      </w:pPr>
    </w:p>
    <w:p w14:paraId="4ECC43F3" w14:textId="77777777" w:rsidR="00E1687A" w:rsidRPr="00E72D10" w:rsidRDefault="00E1687A" w:rsidP="00E1687A">
      <w:pPr>
        <w:pStyle w:val="ListParagraph"/>
        <w:spacing w:after="0" w:line="300" w:lineRule="atLeast"/>
        <w:rPr>
          <w:rFonts w:eastAsia="Times New Roman" w:cstheme="minorHAnsi"/>
          <w:i/>
          <w:iCs/>
          <w:sz w:val="22"/>
          <w:szCs w:val="22"/>
          <w:lang w:eastAsia="en-AU"/>
        </w:rPr>
      </w:pPr>
      <w:r w:rsidRPr="00E72D10">
        <w:rPr>
          <w:rFonts w:eastAsia="Times New Roman" w:cstheme="minorHAnsi"/>
          <w:i/>
          <w:iCs/>
          <w:sz w:val="22"/>
          <w:szCs w:val="22"/>
          <w:lang w:eastAsia="en-AU"/>
        </w:rPr>
        <w:lastRenderedPageBreak/>
        <w:t>Standard 5: Safe processes</w:t>
      </w:r>
    </w:p>
    <w:p w14:paraId="0D57B32C" w14:textId="77777777" w:rsidR="00E1687A" w:rsidRPr="00C1600D" w:rsidRDefault="00E1687A" w:rsidP="00E1687A">
      <w:pPr>
        <w:pStyle w:val="ListParagraph"/>
        <w:numPr>
          <w:ilvl w:val="0"/>
          <w:numId w:val="6"/>
        </w:numPr>
        <w:spacing w:after="0" w:line="300" w:lineRule="atLeast"/>
        <w:rPr>
          <w:rFonts w:eastAsia="Times New Roman" w:cstheme="minorHAnsi"/>
          <w:sz w:val="22"/>
          <w:szCs w:val="22"/>
          <w:lang w:eastAsia="en-AU"/>
        </w:rPr>
      </w:pPr>
      <w:r w:rsidRPr="00E72D10">
        <w:rPr>
          <w:rFonts w:eastAsia="Times New Roman" w:cstheme="minorHAnsi"/>
          <w:sz w:val="22"/>
          <w:szCs w:val="22"/>
          <w:lang w:eastAsia="en-AU"/>
        </w:rPr>
        <w:t>Providers are procedurally fair when responding to disclosures and reports of gender-based violence</w:t>
      </w:r>
      <w:r>
        <w:rPr>
          <w:rFonts w:eastAsia="Times New Roman" w:cstheme="minorHAnsi"/>
          <w:sz w:val="22"/>
          <w:szCs w:val="22"/>
          <w:lang w:eastAsia="en-AU"/>
        </w:rPr>
        <w:t xml:space="preserve"> and support</w:t>
      </w:r>
      <w:r w:rsidRPr="00E72D10">
        <w:rPr>
          <w:rFonts w:eastAsia="Times New Roman" w:cstheme="minorHAnsi"/>
          <w:sz w:val="22"/>
          <w:szCs w:val="22"/>
          <w:lang w:eastAsia="en-AU"/>
        </w:rPr>
        <w:t xml:space="preserve"> engagement by all parties, including enabling parties to have a support person present when participating in discussions or processes related to a disclosure or formal report (</w:t>
      </w:r>
      <w:r>
        <w:rPr>
          <w:rFonts w:eastAsia="Times New Roman" w:cstheme="minorHAnsi"/>
          <w:sz w:val="22"/>
          <w:szCs w:val="22"/>
          <w:lang w:eastAsia="en-AU"/>
        </w:rPr>
        <w:t>S</w:t>
      </w:r>
      <w:r w:rsidRPr="00E72D10">
        <w:rPr>
          <w:rFonts w:eastAsia="Times New Roman" w:cstheme="minorHAnsi"/>
          <w:sz w:val="22"/>
          <w:szCs w:val="22"/>
          <w:lang w:eastAsia="en-AU"/>
        </w:rPr>
        <w:t xml:space="preserve">tandard 5.11). </w:t>
      </w:r>
    </w:p>
    <w:bookmarkEnd w:id="3"/>
    <w:p w14:paraId="2E26DAE0" w14:textId="77777777" w:rsidR="00C21231" w:rsidRDefault="00C21231" w:rsidP="001A7EA1">
      <w:pPr>
        <w:spacing w:after="0" w:line="300" w:lineRule="atLeast"/>
        <w:rPr>
          <w:rFonts w:eastAsia="Times New Roman" w:cstheme="minorHAnsi"/>
          <w:lang w:eastAsia="en-AU"/>
        </w:rPr>
      </w:pPr>
    </w:p>
    <w:p w14:paraId="15C2E495" w14:textId="78B89D78" w:rsidR="00913293" w:rsidRPr="00143620" w:rsidRDefault="001A7EA1" w:rsidP="001A7EA1">
      <w:pPr>
        <w:spacing w:after="0" w:line="300" w:lineRule="atLeast"/>
        <w:rPr>
          <w:rFonts w:eastAsia="Times New Roman" w:cstheme="minorHAnsi"/>
          <w:lang w:eastAsia="en-AU"/>
        </w:rPr>
      </w:pPr>
      <w:r w:rsidRPr="00143620">
        <w:rPr>
          <w:rFonts w:eastAsia="Times New Roman" w:cstheme="minorHAnsi"/>
          <w:lang w:eastAsia="en-AU"/>
        </w:rPr>
        <w:t>In practice, providers will often become aware of GBV through their student</w:t>
      </w:r>
      <w:r w:rsidR="00B85785" w:rsidRPr="00143620">
        <w:rPr>
          <w:rFonts w:eastAsia="Times New Roman" w:cstheme="minorHAnsi"/>
          <w:lang w:eastAsia="en-AU"/>
        </w:rPr>
        <w:t xml:space="preserve"> or staff</w:t>
      </w:r>
      <w:r w:rsidRPr="00143620">
        <w:rPr>
          <w:rFonts w:eastAsia="Times New Roman" w:cstheme="minorHAnsi"/>
          <w:lang w:eastAsia="en-AU"/>
        </w:rPr>
        <w:t xml:space="preserve"> grievance and complaints mechanisms, including when a person chooses to make a formal report. Regardless of whether a provider responds through its complaints handling framework or through a separate GBV process, the response must meet the requirements of the National Code. </w:t>
      </w:r>
      <w:r w:rsidR="00913293" w:rsidRPr="00EF1900">
        <w:t>This statement should inform the actions that providers take to assure themselves that they are meeting their obligations under the National Code.</w:t>
      </w:r>
    </w:p>
    <w:p w14:paraId="1029E055" w14:textId="77777777" w:rsidR="002C58BE" w:rsidRPr="00143620" w:rsidRDefault="002C58BE" w:rsidP="001A7EA1">
      <w:pPr>
        <w:spacing w:after="0" w:line="300" w:lineRule="atLeast"/>
        <w:rPr>
          <w:rFonts w:eastAsia="Times New Roman" w:cstheme="minorHAnsi"/>
          <w:lang w:eastAsia="en-AU"/>
        </w:rPr>
      </w:pPr>
    </w:p>
    <w:p w14:paraId="01EC3E04" w14:textId="786637AF" w:rsidR="00CB4BE5" w:rsidRPr="00143620" w:rsidRDefault="00143064" w:rsidP="001A7EA1">
      <w:pPr>
        <w:spacing w:after="0" w:line="300" w:lineRule="atLeast"/>
        <w:rPr>
          <w:rFonts w:eastAsia="Times New Roman" w:cstheme="minorHAnsi"/>
          <w:lang w:eastAsia="en-AU"/>
        </w:rPr>
      </w:pPr>
      <w:r w:rsidRPr="00143620">
        <w:rPr>
          <w:rFonts w:eastAsia="Times New Roman" w:cstheme="minorHAnsi"/>
          <w:lang w:eastAsia="en-AU"/>
        </w:rPr>
        <w:t xml:space="preserve">This statement is </w:t>
      </w:r>
      <w:r w:rsidR="00554145">
        <w:rPr>
          <w:rFonts w:eastAsia="Times New Roman" w:cstheme="minorHAnsi"/>
          <w:lang w:eastAsia="en-AU"/>
        </w:rPr>
        <w:t>structured into</w:t>
      </w:r>
      <w:r w:rsidR="00CB4BE5" w:rsidRPr="00143620">
        <w:rPr>
          <w:rFonts w:eastAsia="Times New Roman" w:cstheme="minorHAnsi"/>
          <w:lang w:eastAsia="en-AU"/>
        </w:rPr>
        <w:t xml:space="preserve"> two parts:</w:t>
      </w:r>
    </w:p>
    <w:p w14:paraId="2BFA1E79" w14:textId="77777777" w:rsidR="00CE597F" w:rsidRPr="00143620" w:rsidRDefault="00CE597F" w:rsidP="001A7EA1">
      <w:pPr>
        <w:spacing w:after="0" w:line="300" w:lineRule="atLeast"/>
        <w:rPr>
          <w:rFonts w:eastAsia="Times New Roman" w:cstheme="minorHAnsi"/>
          <w:lang w:eastAsia="en-AU"/>
        </w:rPr>
      </w:pPr>
    </w:p>
    <w:p w14:paraId="597A6F2D" w14:textId="1957B109" w:rsidR="008D621F" w:rsidRPr="00143620" w:rsidRDefault="00D02D1E" w:rsidP="00194307">
      <w:pPr>
        <w:pStyle w:val="ListParagraph"/>
        <w:numPr>
          <w:ilvl w:val="0"/>
          <w:numId w:val="8"/>
        </w:numPr>
        <w:spacing w:after="0" w:line="300" w:lineRule="atLeast"/>
        <w:rPr>
          <w:rFonts w:eastAsia="Times New Roman" w:cstheme="minorHAnsi"/>
          <w:i/>
          <w:iCs/>
          <w:sz w:val="22"/>
          <w:szCs w:val="22"/>
          <w:lang w:eastAsia="en-AU"/>
        </w:rPr>
      </w:pPr>
      <w:hyperlink w:anchor="part1" w:history="1">
        <w:r w:rsidRPr="00D778F2">
          <w:rPr>
            <w:rStyle w:val="Hyperlink"/>
            <w:rFonts w:eastAsia="Times New Roman" w:cstheme="minorHAnsi"/>
            <w:i/>
            <w:iCs/>
            <w:sz w:val="22"/>
            <w:szCs w:val="22"/>
            <w:lang w:eastAsia="en-AU"/>
          </w:rPr>
          <w:t xml:space="preserve">Part 1: </w:t>
        </w:r>
        <w:r w:rsidR="00CB4BE5" w:rsidRPr="00D778F2">
          <w:rPr>
            <w:rStyle w:val="Hyperlink"/>
            <w:rFonts w:eastAsia="Times New Roman" w:cstheme="minorHAnsi"/>
            <w:i/>
            <w:iCs/>
            <w:sz w:val="22"/>
            <w:szCs w:val="22"/>
            <w:lang w:eastAsia="en-AU"/>
          </w:rPr>
          <w:t xml:space="preserve">Considerations shaping regulatory </w:t>
        </w:r>
        <w:r w:rsidR="00565141" w:rsidRPr="00D778F2">
          <w:rPr>
            <w:rStyle w:val="Hyperlink"/>
            <w:rFonts w:eastAsia="Times New Roman" w:cstheme="minorHAnsi"/>
            <w:i/>
            <w:iCs/>
            <w:sz w:val="22"/>
            <w:szCs w:val="22"/>
            <w:lang w:eastAsia="en-AU"/>
          </w:rPr>
          <w:t>expectations</w:t>
        </w:r>
      </w:hyperlink>
      <w:r w:rsidR="00584C8D" w:rsidRPr="00143620">
        <w:rPr>
          <w:rFonts w:eastAsia="Times New Roman" w:cstheme="minorHAnsi"/>
          <w:i/>
          <w:iCs/>
          <w:sz w:val="22"/>
          <w:szCs w:val="22"/>
          <w:lang w:eastAsia="en-AU"/>
        </w:rPr>
        <w:t xml:space="preserve"> </w:t>
      </w:r>
      <w:r w:rsidR="008A2D73" w:rsidRPr="00143620">
        <w:rPr>
          <w:rFonts w:eastAsia="Times New Roman" w:cstheme="minorHAnsi"/>
          <w:sz w:val="22"/>
          <w:szCs w:val="22"/>
          <w:lang w:eastAsia="en-AU"/>
        </w:rPr>
        <w:t>provide</w:t>
      </w:r>
      <w:r w:rsidR="008D621F" w:rsidRPr="00143620">
        <w:rPr>
          <w:rFonts w:eastAsia="Times New Roman" w:cstheme="minorHAnsi"/>
          <w:sz w:val="22"/>
          <w:szCs w:val="22"/>
          <w:lang w:eastAsia="en-AU"/>
        </w:rPr>
        <w:t>s</w:t>
      </w:r>
      <w:r w:rsidR="008A2D73" w:rsidRPr="00143620">
        <w:rPr>
          <w:rFonts w:eastAsia="Times New Roman" w:cstheme="minorHAnsi"/>
          <w:sz w:val="22"/>
          <w:szCs w:val="22"/>
          <w:lang w:eastAsia="en-AU"/>
        </w:rPr>
        <w:t xml:space="preserve"> the background, rationale and context for the expectations set out below, supporting consistent understanding and application across the sector. Collectively, they explain the basis of the </w:t>
      </w:r>
      <w:r w:rsidR="008D621F" w:rsidRPr="00143620">
        <w:rPr>
          <w:rFonts w:eastAsia="Times New Roman" w:cstheme="minorHAnsi"/>
          <w:sz w:val="22"/>
          <w:szCs w:val="22"/>
          <w:lang w:eastAsia="en-AU"/>
        </w:rPr>
        <w:t xml:space="preserve">GBV </w:t>
      </w:r>
      <w:r w:rsidR="008A2D73" w:rsidRPr="00143620">
        <w:rPr>
          <w:rFonts w:eastAsia="Times New Roman" w:cstheme="minorHAnsi"/>
          <w:sz w:val="22"/>
          <w:szCs w:val="22"/>
          <w:lang w:eastAsia="en-AU"/>
        </w:rPr>
        <w:t>Regulator’s approach and clarify how th</w:t>
      </w:r>
      <w:r w:rsidR="008D621F" w:rsidRPr="00143620">
        <w:rPr>
          <w:rFonts w:eastAsia="Times New Roman" w:cstheme="minorHAnsi"/>
          <w:sz w:val="22"/>
          <w:szCs w:val="22"/>
          <w:lang w:eastAsia="en-AU"/>
        </w:rPr>
        <w:t>ese expectations are to be interpreted and applied in practice.</w:t>
      </w:r>
    </w:p>
    <w:p w14:paraId="06C7EE38" w14:textId="02570FDF" w:rsidR="00313BAD" w:rsidRPr="00143620" w:rsidRDefault="00313BAD" w:rsidP="00313BAD">
      <w:pPr>
        <w:spacing w:after="0" w:line="300" w:lineRule="atLeast"/>
        <w:rPr>
          <w:rFonts w:eastAsia="Times New Roman" w:cstheme="minorHAnsi"/>
          <w:lang w:eastAsia="en-AU"/>
        </w:rPr>
      </w:pPr>
    </w:p>
    <w:p w14:paraId="21A696E8" w14:textId="4A8F76D7" w:rsidR="00CE597F" w:rsidRPr="00BE26D6" w:rsidRDefault="00D02D1E" w:rsidP="001A7EA1">
      <w:pPr>
        <w:pStyle w:val="ListParagraph"/>
        <w:numPr>
          <w:ilvl w:val="0"/>
          <w:numId w:val="8"/>
        </w:numPr>
        <w:spacing w:after="0" w:line="300" w:lineRule="atLeast"/>
        <w:rPr>
          <w:rFonts w:eastAsia="Times New Roman" w:cstheme="minorHAnsi"/>
          <w:i/>
          <w:iCs/>
          <w:sz w:val="22"/>
          <w:szCs w:val="22"/>
          <w:lang w:eastAsia="en-AU"/>
        </w:rPr>
      </w:pPr>
      <w:hyperlink w:anchor="part2" w:history="1">
        <w:r w:rsidRPr="00D778F2">
          <w:rPr>
            <w:rStyle w:val="Hyperlink"/>
            <w:rFonts w:eastAsia="Times New Roman" w:cstheme="minorHAnsi"/>
            <w:i/>
            <w:iCs/>
            <w:sz w:val="22"/>
            <w:szCs w:val="22"/>
            <w:lang w:eastAsia="en-AU"/>
          </w:rPr>
          <w:t xml:space="preserve">Part 2: </w:t>
        </w:r>
        <w:r w:rsidR="00CB4BE5" w:rsidRPr="00D778F2">
          <w:rPr>
            <w:rStyle w:val="Hyperlink"/>
            <w:rFonts w:eastAsia="Times New Roman" w:cstheme="minorHAnsi"/>
            <w:i/>
            <w:iCs/>
            <w:sz w:val="22"/>
            <w:szCs w:val="22"/>
            <w:lang w:eastAsia="en-AU"/>
          </w:rPr>
          <w:t xml:space="preserve">The GBV Regulator’s regulatory </w:t>
        </w:r>
        <w:r w:rsidR="00565141" w:rsidRPr="00D778F2">
          <w:rPr>
            <w:rStyle w:val="Hyperlink"/>
            <w:rFonts w:eastAsia="Times New Roman" w:cstheme="minorHAnsi"/>
            <w:i/>
            <w:iCs/>
            <w:sz w:val="22"/>
            <w:szCs w:val="22"/>
            <w:lang w:eastAsia="en-AU"/>
          </w:rPr>
          <w:t>expectations</w:t>
        </w:r>
      </w:hyperlink>
      <w:r w:rsidR="00501A03" w:rsidRPr="00143620">
        <w:rPr>
          <w:rFonts w:eastAsia="Times New Roman" w:cstheme="minorHAnsi"/>
          <w:i/>
          <w:iCs/>
          <w:sz w:val="22"/>
          <w:szCs w:val="22"/>
          <w:lang w:eastAsia="en-AU"/>
        </w:rPr>
        <w:t xml:space="preserve"> </w:t>
      </w:r>
      <w:r w:rsidR="00F97FA3" w:rsidRPr="00143620">
        <w:rPr>
          <w:rFonts w:eastAsia="Times New Roman" w:cstheme="minorHAnsi"/>
          <w:sz w:val="22"/>
          <w:szCs w:val="22"/>
          <w:lang w:eastAsia="en-AU"/>
        </w:rPr>
        <w:t>articulate</w:t>
      </w:r>
      <w:r w:rsidR="00CE597F" w:rsidRPr="00143620">
        <w:rPr>
          <w:rFonts w:eastAsia="Times New Roman" w:cstheme="minorHAnsi"/>
          <w:sz w:val="22"/>
          <w:szCs w:val="22"/>
          <w:lang w:eastAsia="en-AU"/>
        </w:rPr>
        <w:t>s</w:t>
      </w:r>
      <w:r w:rsidR="00F97FA3" w:rsidRPr="00143620">
        <w:rPr>
          <w:rFonts w:eastAsia="Times New Roman" w:cstheme="minorHAnsi"/>
          <w:sz w:val="22"/>
          <w:szCs w:val="22"/>
          <w:lang w:eastAsia="en-AU"/>
        </w:rPr>
        <w:t xml:space="preserve"> the </w:t>
      </w:r>
      <w:r w:rsidR="00CE597F" w:rsidRPr="00143620">
        <w:rPr>
          <w:rFonts w:eastAsia="Times New Roman" w:cstheme="minorHAnsi"/>
          <w:sz w:val="22"/>
          <w:szCs w:val="22"/>
          <w:lang w:eastAsia="en-AU"/>
        </w:rPr>
        <w:t>practices</w:t>
      </w:r>
      <w:r w:rsidR="00F97FA3" w:rsidRPr="00143620">
        <w:rPr>
          <w:rFonts w:eastAsia="Times New Roman" w:cstheme="minorHAnsi"/>
          <w:sz w:val="22"/>
          <w:szCs w:val="22"/>
          <w:lang w:eastAsia="en-AU"/>
        </w:rPr>
        <w:t xml:space="preserve"> the </w:t>
      </w:r>
      <w:r w:rsidR="00CE597F" w:rsidRPr="00143620">
        <w:rPr>
          <w:rFonts w:eastAsia="Times New Roman" w:cstheme="minorHAnsi"/>
          <w:sz w:val="22"/>
          <w:szCs w:val="22"/>
          <w:lang w:eastAsia="en-AU"/>
        </w:rPr>
        <w:t xml:space="preserve">GBV </w:t>
      </w:r>
      <w:r w:rsidR="00F97FA3" w:rsidRPr="00143620">
        <w:rPr>
          <w:rFonts w:eastAsia="Times New Roman" w:cstheme="minorHAnsi"/>
          <w:sz w:val="22"/>
          <w:szCs w:val="22"/>
          <w:lang w:eastAsia="en-AU"/>
        </w:rPr>
        <w:t xml:space="preserve">Regulator expects providers to adopt when complying with the National Code. They reflect the </w:t>
      </w:r>
      <w:r w:rsidR="00CE597F" w:rsidRPr="00143620">
        <w:rPr>
          <w:rFonts w:eastAsia="Times New Roman" w:cstheme="minorHAnsi"/>
          <w:sz w:val="22"/>
          <w:szCs w:val="22"/>
          <w:lang w:eastAsia="en-AU"/>
        </w:rPr>
        <w:t xml:space="preserve">GBV </w:t>
      </w:r>
      <w:r w:rsidR="00F97FA3" w:rsidRPr="00143620">
        <w:rPr>
          <w:rFonts w:eastAsia="Times New Roman" w:cstheme="minorHAnsi"/>
          <w:sz w:val="22"/>
          <w:szCs w:val="22"/>
          <w:lang w:eastAsia="en-AU"/>
        </w:rPr>
        <w:t xml:space="preserve">Regulator’s interpretation of legislative and regulatory </w:t>
      </w:r>
      <w:r w:rsidR="00CE597F" w:rsidRPr="00143620">
        <w:rPr>
          <w:rFonts w:eastAsia="Times New Roman" w:cstheme="minorHAnsi"/>
          <w:sz w:val="22"/>
          <w:szCs w:val="22"/>
          <w:lang w:eastAsia="en-AU"/>
        </w:rPr>
        <w:t>requirements</w:t>
      </w:r>
      <w:r w:rsidR="00565141" w:rsidRPr="00143620">
        <w:rPr>
          <w:rFonts w:eastAsia="Times New Roman" w:cstheme="minorHAnsi"/>
          <w:sz w:val="22"/>
          <w:szCs w:val="22"/>
          <w:lang w:eastAsia="en-AU"/>
        </w:rPr>
        <w:t>,</w:t>
      </w:r>
      <w:r w:rsidR="00CE597F" w:rsidRPr="00143620">
        <w:rPr>
          <w:rFonts w:eastAsia="Times New Roman" w:cstheme="minorHAnsi"/>
          <w:sz w:val="22"/>
          <w:szCs w:val="22"/>
          <w:lang w:eastAsia="en-AU"/>
        </w:rPr>
        <w:t xml:space="preserve"> </w:t>
      </w:r>
      <w:r w:rsidR="004400DC" w:rsidRPr="00143620">
        <w:rPr>
          <w:rFonts w:eastAsia="Times New Roman" w:cstheme="minorHAnsi"/>
          <w:sz w:val="22"/>
          <w:szCs w:val="22"/>
          <w:lang w:eastAsia="en-AU"/>
        </w:rPr>
        <w:t>and outline the practices and outcomes expected of providers</w:t>
      </w:r>
      <w:r w:rsidR="00CE597F" w:rsidRPr="00143620">
        <w:rPr>
          <w:rFonts w:eastAsia="Times New Roman" w:cstheme="minorHAnsi"/>
          <w:sz w:val="22"/>
          <w:szCs w:val="22"/>
          <w:lang w:eastAsia="en-AU"/>
        </w:rPr>
        <w:t>.</w:t>
      </w:r>
    </w:p>
    <w:p w14:paraId="48339927" w14:textId="2D6433AC" w:rsidR="00CE597F" w:rsidRPr="00CE597F" w:rsidRDefault="00D02D1E" w:rsidP="00CE597F">
      <w:pPr>
        <w:pStyle w:val="Heading2"/>
        <w:rPr>
          <w:rFonts w:eastAsia="Times New Roman"/>
          <w:lang w:eastAsia="en-AU"/>
        </w:rPr>
      </w:pPr>
      <w:bookmarkStart w:id="4" w:name="_Toc235003048"/>
      <w:bookmarkStart w:id="5" w:name="part1"/>
      <w:r>
        <w:rPr>
          <w:rFonts w:eastAsia="Times New Roman"/>
          <w:lang w:eastAsia="en-AU"/>
        </w:rPr>
        <w:t xml:space="preserve">Part 1: </w:t>
      </w:r>
      <w:r w:rsidR="00CE597F" w:rsidRPr="00CE597F">
        <w:rPr>
          <w:rFonts w:eastAsia="Times New Roman"/>
          <w:lang w:eastAsia="en-AU"/>
        </w:rPr>
        <w:t>Considerations shaping regulatory expectations</w:t>
      </w:r>
      <w:bookmarkEnd w:id="4"/>
    </w:p>
    <w:bookmarkEnd w:id="5"/>
    <w:p w14:paraId="53D996CB" w14:textId="3378AB42" w:rsidR="001A063A" w:rsidRPr="00C4534A" w:rsidRDefault="00C4534A" w:rsidP="00C4534A">
      <w:pPr>
        <w:rPr>
          <w:color w:val="000000" w:themeColor="text1"/>
        </w:rPr>
      </w:pPr>
      <w:r>
        <w:rPr>
          <w:color w:val="000000" w:themeColor="text1"/>
        </w:rPr>
        <w:t>The GBV Regulator expects that provider’s policies and procedures in relation to GBV are clear, consistent, trauma-informed and meet requirements of the National Code</w:t>
      </w:r>
      <w:r w:rsidR="00C83D8F">
        <w:rPr>
          <w:color w:val="000000" w:themeColor="text1"/>
        </w:rPr>
        <w:t xml:space="preserve">, </w:t>
      </w:r>
      <w:r w:rsidR="005D6478">
        <w:rPr>
          <w:color w:val="000000" w:themeColor="text1"/>
        </w:rPr>
        <w:t xml:space="preserve">with particular </w:t>
      </w:r>
      <w:r w:rsidR="002B4D32">
        <w:rPr>
          <w:color w:val="000000" w:themeColor="text1"/>
        </w:rPr>
        <w:t>re</w:t>
      </w:r>
      <w:r w:rsidR="00A478D2">
        <w:rPr>
          <w:color w:val="000000" w:themeColor="text1"/>
        </w:rPr>
        <w:t xml:space="preserve">ference to Standard </w:t>
      </w:r>
      <w:r w:rsidR="00342998">
        <w:rPr>
          <w:color w:val="000000" w:themeColor="text1"/>
        </w:rPr>
        <w:t xml:space="preserve">3, 4 and 5. </w:t>
      </w:r>
    </w:p>
    <w:p w14:paraId="30A799AE" w14:textId="6FFA5042" w:rsidR="000F26C0" w:rsidRDefault="000F26C0" w:rsidP="000F26C0">
      <w:pPr>
        <w:pStyle w:val="Heading3"/>
      </w:pPr>
      <w:bookmarkStart w:id="6" w:name="_Toc235003049"/>
      <w:r>
        <w:t xml:space="preserve">Confidentiality </w:t>
      </w:r>
      <w:r w:rsidR="00F10D5E">
        <w:t>practices</w:t>
      </w:r>
      <w:r>
        <w:t xml:space="preserve"> and the National Code</w:t>
      </w:r>
      <w:bookmarkEnd w:id="6"/>
    </w:p>
    <w:p w14:paraId="26AE5F74" w14:textId="024CB417" w:rsidR="000906CF" w:rsidRDefault="002F27D9" w:rsidP="000906CF">
      <w:pPr>
        <w:rPr>
          <w:color w:val="000000" w:themeColor="text1"/>
        </w:rPr>
      </w:pPr>
      <w:r w:rsidRPr="479A99A8">
        <w:rPr>
          <w:color w:val="000000" w:themeColor="text1"/>
        </w:rPr>
        <w:t>The National Code does not prohibit the use of confidentiality practices</w:t>
      </w:r>
      <w:r w:rsidR="0084618D" w:rsidRPr="479A99A8">
        <w:rPr>
          <w:color w:val="000000" w:themeColor="text1"/>
        </w:rPr>
        <w:t xml:space="preserve">, </w:t>
      </w:r>
      <w:r w:rsidR="000906CF" w:rsidRPr="479A99A8">
        <w:rPr>
          <w:color w:val="000000" w:themeColor="text1"/>
        </w:rPr>
        <w:t>and appropriately applied, confidentiality protects privacy, dignity and safety while supporting procedural fairness for all parties. When applied in a trauma</w:t>
      </w:r>
      <w:r>
        <w:noBreakHyphen/>
      </w:r>
      <w:r w:rsidR="000906CF" w:rsidRPr="479A99A8">
        <w:rPr>
          <w:color w:val="000000" w:themeColor="text1"/>
        </w:rPr>
        <w:t>informed way, it can empower individuals to exercise choice and control, while still enabling access to support, transparency and accountability.</w:t>
      </w:r>
    </w:p>
    <w:p w14:paraId="3AE409D5" w14:textId="0F567912" w:rsidR="00B8548F" w:rsidRDefault="00B8548F" w:rsidP="000906CF">
      <w:pPr>
        <w:rPr>
          <w:color w:val="000000" w:themeColor="text1"/>
        </w:rPr>
      </w:pPr>
      <w:r>
        <w:rPr>
          <w:color w:val="000000" w:themeColor="text1"/>
        </w:rPr>
        <w:t>While the National Code does not prohibit the use of confidentiality practices it set</w:t>
      </w:r>
      <w:r w:rsidR="0066402E">
        <w:rPr>
          <w:color w:val="000000" w:themeColor="text1"/>
        </w:rPr>
        <w:t>s</w:t>
      </w:r>
      <w:r>
        <w:rPr>
          <w:color w:val="000000" w:themeColor="text1"/>
        </w:rPr>
        <w:t xml:space="preserve"> out </w:t>
      </w:r>
      <w:r w:rsidR="00C52AA0">
        <w:rPr>
          <w:color w:val="000000" w:themeColor="text1"/>
        </w:rPr>
        <w:t xml:space="preserve">two key requirements that </w:t>
      </w:r>
      <w:r w:rsidR="0066402E">
        <w:rPr>
          <w:color w:val="000000" w:themeColor="text1"/>
        </w:rPr>
        <w:t xml:space="preserve">providers </w:t>
      </w:r>
      <w:r w:rsidR="00C52AA0">
        <w:rPr>
          <w:color w:val="000000" w:themeColor="text1"/>
        </w:rPr>
        <w:t>must me</w:t>
      </w:r>
      <w:r w:rsidR="0066402E">
        <w:rPr>
          <w:color w:val="000000" w:themeColor="text1"/>
        </w:rPr>
        <w:t>e</w:t>
      </w:r>
      <w:r w:rsidR="00C52AA0">
        <w:rPr>
          <w:color w:val="000000" w:themeColor="text1"/>
        </w:rPr>
        <w:t>t:</w:t>
      </w:r>
    </w:p>
    <w:p w14:paraId="0C469921" w14:textId="0755475F" w:rsidR="009D0069" w:rsidRPr="00EA27C4" w:rsidRDefault="0077349D" w:rsidP="00EA27C4">
      <w:pPr>
        <w:pStyle w:val="ListParagraph"/>
        <w:numPr>
          <w:ilvl w:val="0"/>
          <w:numId w:val="13"/>
        </w:numPr>
        <w:spacing w:after="0" w:line="300" w:lineRule="atLeast"/>
        <w:rPr>
          <w:rFonts w:ascii="Segoe UI" w:eastAsia="Times New Roman" w:hAnsi="Segoe UI" w:cs="Segoe UI"/>
          <w:sz w:val="21"/>
          <w:szCs w:val="21"/>
          <w:lang w:eastAsia="en-AU"/>
        </w:rPr>
      </w:pPr>
      <w:r w:rsidRPr="0077349D">
        <w:rPr>
          <w:rFonts w:ascii="Segoe UI" w:eastAsia="Times New Roman" w:hAnsi="Segoe UI" w:cs="Segoe UI"/>
          <w:sz w:val="21"/>
          <w:szCs w:val="21"/>
          <w:lang w:eastAsia="en-AU"/>
        </w:rPr>
        <w:t>Requirements for provider responses to GBV disclosures and formal reports</w:t>
      </w:r>
    </w:p>
    <w:p w14:paraId="5726B1D3" w14:textId="6FA780D4" w:rsidR="009D0069" w:rsidRPr="00EA27C4" w:rsidRDefault="0005724A" w:rsidP="00EA27C4">
      <w:pPr>
        <w:pStyle w:val="ListParagraph"/>
        <w:numPr>
          <w:ilvl w:val="0"/>
          <w:numId w:val="13"/>
        </w:numPr>
        <w:rPr>
          <w:color w:val="000000" w:themeColor="text1"/>
          <w:sz w:val="22"/>
          <w:szCs w:val="22"/>
        </w:rPr>
      </w:pPr>
      <w:r w:rsidRPr="001C5E85">
        <w:rPr>
          <w:color w:val="000000" w:themeColor="text1"/>
          <w:sz w:val="22"/>
          <w:szCs w:val="22"/>
        </w:rPr>
        <w:t xml:space="preserve">Prohibiting the use of </w:t>
      </w:r>
      <w:r w:rsidR="009D0069" w:rsidRPr="001C5E85">
        <w:rPr>
          <w:color w:val="000000" w:themeColor="text1"/>
          <w:sz w:val="22"/>
          <w:szCs w:val="22"/>
        </w:rPr>
        <w:t>NDAs</w:t>
      </w:r>
      <w:r w:rsidR="00A33038" w:rsidRPr="001C5E85">
        <w:rPr>
          <w:color w:val="000000" w:themeColor="text1"/>
          <w:sz w:val="22"/>
          <w:szCs w:val="22"/>
        </w:rPr>
        <w:t xml:space="preserve"> </w:t>
      </w:r>
      <w:r w:rsidR="0051770F" w:rsidRPr="001C5E85">
        <w:rPr>
          <w:color w:val="000000" w:themeColor="text1"/>
          <w:sz w:val="22"/>
          <w:szCs w:val="22"/>
        </w:rPr>
        <w:t xml:space="preserve">unless </w:t>
      </w:r>
      <w:r w:rsidR="00A33038" w:rsidRPr="001C5E85">
        <w:rPr>
          <w:color w:val="000000" w:themeColor="text1"/>
          <w:sz w:val="22"/>
          <w:szCs w:val="22"/>
        </w:rPr>
        <w:t>it is</w:t>
      </w:r>
      <w:r w:rsidR="00011BBB" w:rsidRPr="001C5E85">
        <w:rPr>
          <w:color w:val="000000" w:themeColor="text1"/>
          <w:sz w:val="22"/>
          <w:szCs w:val="22"/>
        </w:rPr>
        <w:t xml:space="preserve"> expressly requested by the discloser</w:t>
      </w:r>
      <w:r w:rsidR="0051770F" w:rsidRPr="00EA27C4">
        <w:rPr>
          <w:color w:val="000000" w:themeColor="text1"/>
        </w:rPr>
        <w:t xml:space="preserve"> </w:t>
      </w:r>
    </w:p>
    <w:p w14:paraId="2F77F96A" w14:textId="5819B966" w:rsidR="00832942" w:rsidRPr="001C5E85" w:rsidRDefault="00011BBB" w:rsidP="000F26C0">
      <w:pPr>
        <w:rPr>
          <w:i/>
          <w:iCs/>
        </w:rPr>
      </w:pPr>
      <w:r w:rsidRPr="001C5E85">
        <w:rPr>
          <w:i/>
          <w:iCs/>
        </w:rPr>
        <w:lastRenderedPageBreak/>
        <w:t>Responding to disclosures and formal reports of GBV</w:t>
      </w:r>
    </w:p>
    <w:p w14:paraId="2025F46E" w14:textId="6F0D3838" w:rsidR="00726779" w:rsidRDefault="00726779" w:rsidP="000F26C0">
      <w:pPr>
        <w:rPr>
          <w:color w:val="000000" w:themeColor="text1"/>
        </w:rPr>
      </w:pPr>
      <w:r>
        <w:t xml:space="preserve">The National Code </w:t>
      </w:r>
      <w:hyperlink w:anchor="standards" w:history="1">
        <w:r w:rsidRPr="001730A9">
          <w:rPr>
            <w:rStyle w:val="Hyperlink"/>
          </w:rPr>
          <w:t>establishes requirements</w:t>
        </w:r>
      </w:hyperlink>
      <w:r>
        <w:t xml:space="preserve"> for how providers must respond to disclosures and formal reports of GBV, including that responses are trauma</w:t>
      </w:r>
      <w:r>
        <w:noBreakHyphen/>
        <w:t>informed, person</w:t>
      </w:r>
      <w:r>
        <w:noBreakHyphen/>
        <w:t>centred, procedurally fair and prioritise safety</w:t>
      </w:r>
      <w:r w:rsidRPr="00E97BA8">
        <w:t>.</w:t>
      </w:r>
      <w:r>
        <w:t xml:space="preserve"> Providers will often become aware of GBV through student or staff grievance and complaints mechanisms, and confidentiality is commonly applied through th</w:t>
      </w:r>
      <w:r w:rsidR="00990A53">
        <w:t>ese</w:t>
      </w:r>
      <w:r>
        <w:t xml:space="preserve"> processes. Providers must ensure that any response to GBV, and any confidentiality practices </w:t>
      </w:r>
      <w:r w:rsidRPr="00726779">
        <w:rPr>
          <w:color w:val="000000" w:themeColor="text1"/>
        </w:rPr>
        <w:t>applied, comply with the National Code</w:t>
      </w:r>
      <w:r w:rsidR="000B1C0D">
        <w:rPr>
          <w:color w:val="000000" w:themeColor="text1"/>
        </w:rPr>
        <w:t xml:space="preserve"> </w:t>
      </w:r>
      <w:r w:rsidRPr="00726779">
        <w:rPr>
          <w:color w:val="000000" w:themeColor="text1"/>
        </w:rPr>
        <w:t>whether the matter is managed under complaints handling arrangements, a dedicated GBV process, or a combination of both.</w:t>
      </w:r>
    </w:p>
    <w:p w14:paraId="1D17D3DA" w14:textId="2B3DD6E0" w:rsidR="00D308B9" w:rsidRPr="008A7252" w:rsidRDefault="008A7252" w:rsidP="008A7252">
      <w:pPr>
        <w:rPr>
          <w:color w:val="000000"/>
        </w:rPr>
      </w:pPr>
      <w:r w:rsidRPr="008A7252">
        <w:rPr>
          <w:color w:val="000000"/>
        </w:rPr>
        <w:t>When confidentiality practices do not meet these requirements, or are applied too broadly or without clear explanation, they can silence disclosers, increase distress, limit access to support, and undermine trust in providers. Providers should also be alert to the risk that confidentiality requirements with these effects may, in substance, operate as a</w:t>
      </w:r>
      <w:r w:rsidR="00900A19">
        <w:rPr>
          <w:color w:val="000000"/>
        </w:rPr>
        <w:t>n NDA.</w:t>
      </w:r>
      <w:r w:rsidR="001249D1">
        <w:rPr>
          <w:color w:val="000000"/>
        </w:rPr>
        <w:t xml:space="preserve"> A</w:t>
      </w:r>
      <w:r w:rsidR="001249D1" w:rsidRPr="008A7252">
        <w:rPr>
          <w:color w:val="000000"/>
        </w:rPr>
        <w:t>ny</w:t>
      </w:r>
      <w:r w:rsidR="001249D1">
        <w:rPr>
          <w:color w:val="000000"/>
        </w:rPr>
        <w:t xml:space="preserve"> confidentiality agreement or</w:t>
      </w:r>
      <w:r w:rsidR="001249D1" w:rsidRPr="008A7252">
        <w:rPr>
          <w:color w:val="000000"/>
        </w:rPr>
        <w:t xml:space="preserve"> </w:t>
      </w:r>
      <w:r w:rsidR="001249D1">
        <w:rPr>
          <w:color w:val="000000"/>
        </w:rPr>
        <w:t>NDA</w:t>
      </w:r>
      <w:r w:rsidR="001249D1" w:rsidRPr="008A7252">
        <w:rPr>
          <w:color w:val="000000"/>
        </w:rPr>
        <w:t xml:space="preserve"> must not restrict a person from speaking about their lived experience </w:t>
      </w:r>
      <w:r w:rsidR="001249D1">
        <w:rPr>
          <w:color w:val="000000"/>
        </w:rPr>
        <w:t>and</w:t>
      </w:r>
      <w:r w:rsidR="001249D1" w:rsidRPr="008A7252">
        <w:rPr>
          <w:color w:val="000000"/>
        </w:rPr>
        <w:t xml:space="preserve"> seeking support, advice or justice.</w:t>
      </w:r>
      <w:r w:rsidR="00D308B9">
        <w:rPr>
          <w:color w:val="000000"/>
        </w:rPr>
        <w:t xml:space="preserve"> </w:t>
      </w:r>
    </w:p>
    <w:p w14:paraId="634B1A7D" w14:textId="152CFEDD" w:rsidR="00A33038" w:rsidRPr="001C5E85" w:rsidRDefault="00A33038" w:rsidP="008A7252">
      <w:pPr>
        <w:rPr>
          <w:i/>
          <w:iCs/>
          <w:color w:val="000000"/>
        </w:rPr>
      </w:pPr>
      <w:r w:rsidRPr="001C5E85">
        <w:rPr>
          <w:i/>
          <w:iCs/>
          <w:color w:val="000000"/>
        </w:rPr>
        <w:t>Prohibiting the use of an NDA unless it is expressly requested by the discloser</w:t>
      </w:r>
    </w:p>
    <w:p w14:paraId="7E8F6588" w14:textId="48AE1D84" w:rsidR="008A7252" w:rsidRPr="008A7252" w:rsidRDefault="008A7252" w:rsidP="008A7252">
      <w:pPr>
        <w:rPr>
          <w:color w:val="000000"/>
        </w:rPr>
      </w:pPr>
      <w:r w:rsidRPr="008A7252">
        <w:rPr>
          <w:color w:val="000000"/>
        </w:rPr>
        <w:t>A</w:t>
      </w:r>
      <w:r>
        <w:rPr>
          <w:color w:val="000000"/>
        </w:rPr>
        <w:t>n NDA</w:t>
      </w:r>
      <w:r w:rsidR="00900A19">
        <w:rPr>
          <w:color w:val="000000"/>
        </w:rPr>
        <w:t>,</w:t>
      </w:r>
      <w:r>
        <w:rPr>
          <w:color w:val="000000"/>
        </w:rPr>
        <w:t xml:space="preserve"> </w:t>
      </w:r>
      <w:r w:rsidR="000A12BA">
        <w:rPr>
          <w:color w:val="000000"/>
        </w:rPr>
        <w:t xml:space="preserve">which is a form of a </w:t>
      </w:r>
      <w:r w:rsidRPr="008A7252">
        <w:rPr>
          <w:color w:val="000000"/>
        </w:rPr>
        <w:t>confidentiality agreement</w:t>
      </w:r>
      <w:r w:rsidR="000A3E2D">
        <w:rPr>
          <w:color w:val="000000"/>
        </w:rPr>
        <w:t xml:space="preserve"> and can sometimes be used interchangeably as a confidentiality agreement</w:t>
      </w:r>
      <w:r w:rsidR="00900A19">
        <w:rPr>
          <w:color w:val="000000"/>
        </w:rPr>
        <w:t>,</w:t>
      </w:r>
      <w:r>
        <w:rPr>
          <w:color w:val="000000"/>
        </w:rPr>
        <w:t xml:space="preserve"> </w:t>
      </w:r>
      <w:r w:rsidRPr="008A7252">
        <w:rPr>
          <w:color w:val="000000"/>
        </w:rPr>
        <w:t xml:space="preserve">is a legal instrument commonly used to control the sharing of information, including in </w:t>
      </w:r>
      <w:r w:rsidR="00900A19">
        <w:rPr>
          <w:color w:val="000000"/>
        </w:rPr>
        <w:t>settlements</w:t>
      </w:r>
      <w:r w:rsidRPr="008A7252">
        <w:rPr>
          <w:color w:val="000000"/>
        </w:rPr>
        <w:t xml:space="preserve"> and dispute resolution. There is extensive </w:t>
      </w:r>
      <w:r w:rsidR="00D308B9" w:rsidRPr="008A7252">
        <w:rPr>
          <w:color w:val="000000"/>
        </w:rPr>
        <w:t>evidence that</w:t>
      </w:r>
      <w:r w:rsidRPr="008A7252">
        <w:rPr>
          <w:color w:val="000000"/>
        </w:rPr>
        <w:t xml:space="preserve"> NDAs have also been used in GBV matters</w:t>
      </w:r>
      <w:r>
        <w:rPr>
          <w:color w:val="000000"/>
        </w:rPr>
        <w:t xml:space="preserve">, </w:t>
      </w:r>
      <w:r w:rsidRPr="008A7252">
        <w:rPr>
          <w:color w:val="000000"/>
        </w:rPr>
        <w:t>particularly sexual violence and sexual harassment</w:t>
      </w:r>
      <w:r>
        <w:rPr>
          <w:color w:val="000000"/>
        </w:rPr>
        <w:t xml:space="preserve">, </w:t>
      </w:r>
      <w:r w:rsidRPr="008A7252">
        <w:rPr>
          <w:color w:val="000000"/>
        </w:rPr>
        <w:t>in ways that silence victim</w:t>
      </w:r>
      <w:r w:rsidRPr="008A7252">
        <w:rPr>
          <w:color w:val="000000"/>
        </w:rPr>
        <w:noBreakHyphen/>
        <w:t>survivors, discourage help</w:t>
      </w:r>
      <w:r w:rsidRPr="008A7252">
        <w:rPr>
          <w:color w:val="000000"/>
        </w:rPr>
        <w:noBreakHyphen/>
        <w:t xml:space="preserve">seeking, and cause significant harm. For this reason, Standard 2.8 of the National Code prohibits the use of NDAs unless they are expressly requested by the discloser. </w:t>
      </w:r>
    </w:p>
    <w:p w14:paraId="5E370C8A" w14:textId="01B347C2" w:rsidR="008A7252" w:rsidRPr="008A7252" w:rsidRDefault="008A7252" w:rsidP="008A7252">
      <w:pPr>
        <w:rPr>
          <w:color w:val="000000"/>
        </w:rPr>
      </w:pPr>
      <w:r w:rsidRPr="008A7252">
        <w:rPr>
          <w:color w:val="000000"/>
        </w:rPr>
        <w:t>Where providers ensure that confidentiality practices align with the National Code</w:t>
      </w:r>
      <w:r>
        <w:rPr>
          <w:color w:val="000000"/>
        </w:rPr>
        <w:t xml:space="preserve">, </w:t>
      </w:r>
      <w:r w:rsidRPr="008A7252">
        <w:rPr>
          <w:color w:val="000000"/>
        </w:rPr>
        <w:t>particularly by being trauma</w:t>
      </w:r>
      <w:r w:rsidRPr="008A7252">
        <w:rPr>
          <w:color w:val="000000"/>
        </w:rPr>
        <w:noBreakHyphen/>
        <w:t>informed, person</w:t>
      </w:r>
      <w:r w:rsidRPr="008A7252">
        <w:rPr>
          <w:color w:val="000000"/>
        </w:rPr>
        <w:noBreakHyphen/>
        <w:t>centred and procedurally fair</w:t>
      </w:r>
      <w:r>
        <w:rPr>
          <w:color w:val="000000"/>
        </w:rPr>
        <w:t xml:space="preserve">, </w:t>
      </w:r>
      <w:r w:rsidRPr="008A7252">
        <w:rPr>
          <w:color w:val="000000"/>
        </w:rPr>
        <w:t>confidentiality can support safety, dignity and privacy and form a constructive part of the provider’s response to disclosures of gender</w:t>
      </w:r>
      <w:r w:rsidRPr="008A7252">
        <w:rPr>
          <w:color w:val="000000"/>
        </w:rPr>
        <w:noBreakHyphen/>
        <w:t>based violence.</w:t>
      </w:r>
    </w:p>
    <w:p w14:paraId="1AE92D83" w14:textId="2EB79420" w:rsidR="00EA4F39" w:rsidRPr="00EF1900" w:rsidRDefault="00EA4F39" w:rsidP="00EA4F39">
      <w:pPr>
        <w:rPr>
          <w:b/>
          <w:i/>
          <w:color w:val="000000" w:themeColor="text1"/>
        </w:rPr>
      </w:pPr>
      <w:r w:rsidRPr="00EF1900">
        <w:t xml:space="preserve">The GBV Regulator recognises that providers will meet these expectations in different ways depending on their student and staff cohort, operating environment, and the various legislative requirements under which they operate. </w:t>
      </w:r>
    </w:p>
    <w:p w14:paraId="49DEF47D" w14:textId="2A03D75E" w:rsidR="1A0A8709" w:rsidRDefault="00D02D1E" w:rsidP="00C1600D">
      <w:pPr>
        <w:pStyle w:val="Heading2"/>
      </w:pPr>
      <w:bookmarkStart w:id="7" w:name="_Toc235003050"/>
      <w:bookmarkStart w:id="8" w:name="part2"/>
      <w:r>
        <w:t xml:space="preserve">Part 2: </w:t>
      </w:r>
      <w:r w:rsidR="00C1600D">
        <w:t>The GBV Regulator’s regulatory expectations</w:t>
      </w:r>
      <w:bookmarkEnd w:id="7"/>
      <w:r w:rsidR="00C1600D">
        <w:t xml:space="preserve"> </w:t>
      </w:r>
    </w:p>
    <w:bookmarkEnd w:id="8"/>
    <w:p w14:paraId="7818283E" w14:textId="01D8DAE9" w:rsidR="00D03565" w:rsidRPr="00D03565" w:rsidRDefault="00D03565" w:rsidP="00D03565">
      <w:r w:rsidRPr="001C5E85">
        <w:t xml:space="preserve">The GBV Regulator’s regulatory expectations set out the approaches and practices providers are expected to adopt when complying with the National Code in relation to confidentiality practices and NDAs. They clarify how the GBV Regulator interprets the relevant </w:t>
      </w:r>
      <w:r w:rsidR="00487CD0" w:rsidRPr="00487CD0">
        <w:t>standards,</w:t>
      </w:r>
      <w:r w:rsidRPr="001C5E85">
        <w:t xml:space="preserve"> and the outcomes providers are expected to achieve to support transparent, trauma-informed and person-centred responses to GBV.</w:t>
      </w:r>
    </w:p>
    <w:p w14:paraId="456C75FF" w14:textId="4EFF51BD" w:rsidR="00EA27C4" w:rsidRDefault="00D03565" w:rsidP="00EA27C4">
      <w:r w:rsidRPr="001C5E85">
        <w:lastRenderedPageBreak/>
        <w:t>These expectations have been developed through detailed research, analysis and consultation, and draw on contemporary evidence, trauma-informed practice, specialist guidance, and engagement with relevant organisations, peak bodies and government agencies</w:t>
      </w:r>
      <w:r w:rsidR="006C7EE2">
        <w:t>.</w:t>
      </w:r>
      <w:r w:rsidR="00EA27C4">
        <w:t xml:space="preserve"> </w:t>
      </w:r>
      <w:r w:rsidRPr="00EA27C4">
        <w:t>They are intended to support practical implementation of the National Code. They do not create additional obligations, but provide guidance on the standards, behaviours and practices the GBV Regulator considers consistent with effective compliance, including lawful, transparent and trauma-informed responses that support reporting, help-seeking and access to support and justice.</w:t>
      </w:r>
    </w:p>
    <w:p w14:paraId="2F084414" w14:textId="2B4D0959" w:rsidR="005072D4" w:rsidRPr="003A39C8" w:rsidRDefault="005072D4" w:rsidP="005072D4">
      <w:pPr>
        <w:pStyle w:val="Heading3"/>
      </w:pPr>
      <w:bookmarkStart w:id="9" w:name="_Toc235003051"/>
      <w:r w:rsidRPr="003A39C8">
        <w:t xml:space="preserve">Transparency and </w:t>
      </w:r>
      <w:r>
        <w:t>trauma-informed</w:t>
      </w:r>
      <w:r w:rsidRPr="003A39C8">
        <w:t xml:space="preserve"> confidentiality</w:t>
      </w:r>
      <w:r>
        <w:t xml:space="preserve"> practices</w:t>
      </w:r>
      <w:bookmarkEnd w:id="9"/>
      <w:r w:rsidRPr="003A39C8">
        <w:t xml:space="preserve"> </w:t>
      </w:r>
    </w:p>
    <w:p w14:paraId="6B286FF5" w14:textId="77777777" w:rsidR="005072D4" w:rsidRPr="00CC343F" w:rsidRDefault="005072D4" w:rsidP="00194307">
      <w:pPr>
        <w:pStyle w:val="ListParagraph"/>
        <w:numPr>
          <w:ilvl w:val="0"/>
          <w:numId w:val="9"/>
        </w:numPr>
        <w:rPr>
          <w:bCs/>
          <w:color w:val="000000" w:themeColor="text1"/>
          <w:sz w:val="22"/>
          <w:szCs w:val="22"/>
        </w:rPr>
      </w:pPr>
      <w:r w:rsidRPr="00CC343F">
        <w:rPr>
          <w:bCs/>
          <w:color w:val="000000" w:themeColor="text1"/>
          <w:sz w:val="22"/>
          <w:szCs w:val="22"/>
        </w:rPr>
        <w:t>Providers must publish and maintain clear, accessible GBV-related policies and procedures ensuring they are:</w:t>
      </w:r>
    </w:p>
    <w:p w14:paraId="095BE8CB" w14:textId="77777777" w:rsidR="005072D4" w:rsidRPr="00CC343F" w:rsidRDefault="005072D4" w:rsidP="00194307">
      <w:pPr>
        <w:pStyle w:val="ListParagraph"/>
        <w:numPr>
          <w:ilvl w:val="1"/>
          <w:numId w:val="11"/>
        </w:numPr>
        <w:rPr>
          <w:bCs/>
          <w:color w:val="000000" w:themeColor="text1"/>
          <w:sz w:val="22"/>
          <w:szCs w:val="22"/>
        </w:rPr>
      </w:pPr>
      <w:r w:rsidRPr="00CC343F">
        <w:rPr>
          <w:bCs/>
          <w:color w:val="000000" w:themeColor="text1"/>
          <w:sz w:val="22"/>
          <w:szCs w:val="22"/>
        </w:rPr>
        <w:t>Publicly available.</w:t>
      </w:r>
    </w:p>
    <w:p w14:paraId="25FE5EAF" w14:textId="77777777" w:rsidR="005072D4" w:rsidRPr="00CC343F" w:rsidRDefault="005072D4" w:rsidP="00194307">
      <w:pPr>
        <w:pStyle w:val="ListParagraph"/>
        <w:numPr>
          <w:ilvl w:val="1"/>
          <w:numId w:val="11"/>
        </w:numPr>
        <w:rPr>
          <w:bCs/>
          <w:color w:val="000000" w:themeColor="text1"/>
          <w:sz w:val="22"/>
          <w:szCs w:val="22"/>
        </w:rPr>
      </w:pPr>
      <w:r w:rsidRPr="00CC343F">
        <w:rPr>
          <w:bCs/>
          <w:color w:val="000000" w:themeColor="text1"/>
          <w:sz w:val="22"/>
          <w:szCs w:val="22"/>
        </w:rPr>
        <w:t>Written in plain English (with the ability to be translated).</w:t>
      </w:r>
    </w:p>
    <w:p w14:paraId="2A831620" w14:textId="77777777" w:rsidR="005072D4" w:rsidRPr="00CC343F" w:rsidRDefault="005072D4" w:rsidP="00194307">
      <w:pPr>
        <w:pStyle w:val="ListParagraph"/>
        <w:numPr>
          <w:ilvl w:val="1"/>
          <w:numId w:val="11"/>
        </w:numPr>
        <w:rPr>
          <w:bCs/>
          <w:color w:val="000000" w:themeColor="text1"/>
          <w:sz w:val="22"/>
          <w:szCs w:val="22"/>
        </w:rPr>
      </w:pPr>
      <w:r w:rsidRPr="00CC343F">
        <w:rPr>
          <w:bCs/>
          <w:color w:val="000000" w:themeColor="text1"/>
          <w:sz w:val="22"/>
          <w:szCs w:val="22"/>
        </w:rPr>
        <w:t>Apply to both students and staff.</w:t>
      </w:r>
    </w:p>
    <w:p w14:paraId="01F48619" w14:textId="77777777" w:rsidR="005072D4" w:rsidRPr="00CC343F" w:rsidRDefault="005072D4" w:rsidP="00194307">
      <w:pPr>
        <w:pStyle w:val="ListParagraph"/>
        <w:numPr>
          <w:ilvl w:val="1"/>
          <w:numId w:val="11"/>
        </w:numPr>
        <w:rPr>
          <w:bCs/>
          <w:color w:val="000000" w:themeColor="text1"/>
          <w:sz w:val="22"/>
          <w:szCs w:val="22"/>
        </w:rPr>
      </w:pPr>
      <w:r w:rsidRPr="00CC343F">
        <w:rPr>
          <w:bCs/>
          <w:color w:val="000000" w:themeColor="text1"/>
          <w:sz w:val="22"/>
          <w:szCs w:val="22"/>
        </w:rPr>
        <w:t xml:space="preserve">Accessible to students and staff with diverse needs. </w:t>
      </w:r>
    </w:p>
    <w:p w14:paraId="1CC9109A" w14:textId="0802509B" w:rsidR="005072D4" w:rsidRPr="00CC343F" w:rsidRDefault="005072D4" w:rsidP="00194307">
      <w:pPr>
        <w:pStyle w:val="ListParagraph"/>
        <w:numPr>
          <w:ilvl w:val="0"/>
          <w:numId w:val="9"/>
        </w:numPr>
        <w:rPr>
          <w:bCs/>
          <w:color w:val="000000" w:themeColor="text1"/>
          <w:sz w:val="22"/>
          <w:szCs w:val="22"/>
        </w:rPr>
      </w:pPr>
      <w:r w:rsidRPr="00CC343F">
        <w:rPr>
          <w:bCs/>
          <w:color w:val="000000" w:themeColor="text1"/>
          <w:sz w:val="22"/>
          <w:szCs w:val="22"/>
        </w:rPr>
        <w:t>Where a provider choose</w:t>
      </w:r>
      <w:r w:rsidR="00B823E5">
        <w:rPr>
          <w:bCs/>
          <w:color w:val="000000" w:themeColor="text1"/>
          <w:sz w:val="22"/>
          <w:szCs w:val="22"/>
        </w:rPr>
        <w:t>s</w:t>
      </w:r>
      <w:r w:rsidRPr="00CC343F">
        <w:rPr>
          <w:bCs/>
          <w:color w:val="000000" w:themeColor="text1"/>
          <w:sz w:val="22"/>
          <w:szCs w:val="22"/>
        </w:rPr>
        <w:t xml:space="preserve"> to use confidentiality in any of their GBV-related policies or procedures, the provider must ensure they: </w:t>
      </w:r>
    </w:p>
    <w:p w14:paraId="688E9B2B" w14:textId="77777777"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Clearly articulate the purpose of confidentiality and why it is necessary.</w:t>
      </w:r>
    </w:p>
    <w:p w14:paraId="41E3AC71" w14:textId="402ED2F3"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 xml:space="preserve">Clearly define what information is confidential and what is not, including when confidentiality begins </w:t>
      </w:r>
      <w:r w:rsidRPr="00FD6AB8">
        <w:rPr>
          <w:bCs/>
          <w:color w:val="000000" w:themeColor="text1"/>
          <w:sz w:val="22"/>
          <w:szCs w:val="22"/>
        </w:rPr>
        <w:t>and ends</w:t>
      </w:r>
      <w:r w:rsidR="00584FC3" w:rsidRPr="00FD6AB8">
        <w:rPr>
          <w:bCs/>
          <w:color w:val="000000" w:themeColor="text1"/>
          <w:sz w:val="22"/>
          <w:szCs w:val="22"/>
        </w:rPr>
        <w:t>.</w:t>
      </w:r>
      <w:r w:rsidR="00FA47EF" w:rsidRPr="00FD6AB8">
        <w:rPr>
          <w:bCs/>
          <w:color w:val="000000" w:themeColor="text1"/>
          <w:sz w:val="22"/>
          <w:szCs w:val="22"/>
        </w:rPr>
        <w:t xml:space="preserve"> This definition must note that confidentiality ceases at the end of each process. Each process that applies to confidentiality should be clearly defined.</w:t>
      </w:r>
      <w:r w:rsidRPr="00CC343F">
        <w:rPr>
          <w:bCs/>
          <w:color w:val="000000" w:themeColor="text1"/>
          <w:sz w:val="22"/>
          <w:szCs w:val="22"/>
        </w:rPr>
        <w:t xml:space="preserve"> </w:t>
      </w:r>
    </w:p>
    <w:p w14:paraId="565B5380" w14:textId="77777777"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Specify who confidentiality applies to, who information may be shared with, and all exceptions to confidentiality.</w:t>
      </w:r>
    </w:p>
    <w:p w14:paraId="089F3749" w14:textId="446E4FD2"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 xml:space="preserve">Clearly distinguish process confidentiality (e.g. protecting the integrity of an investigation) from any restriction on discussing lived experience, noting that confidentiality must never be used to limit a discloser’s right to </w:t>
      </w:r>
      <w:r w:rsidR="00B823E5">
        <w:rPr>
          <w:bCs/>
          <w:color w:val="000000" w:themeColor="text1"/>
          <w:sz w:val="22"/>
          <w:szCs w:val="22"/>
        </w:rPr>
        <w:t>seek support</w:t>
      </w:r>
      <w:r w:rsidR="006B1B06">
        <w:rPr>
          <w:bCs/>
          <w:color w:val="000000" w:themeColor="text1"/>
          <w:sz w:val="22"/>
          <w:szCs w:val="22"/>
        </w:rPr>
        <w:t xml:space="preserve">. </w:t>
      </w:r>
    </w:p>
    <w:p w14:paraId="5F18A091" w14:textId="77777777"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Explain confidentiality obligations in a trauma</w:t>
      </w:r>
      <w:r w:rsidRPr="00CC343F">
        <w:rPr>
          <w:bCs/>
          <w:color w:val="000000" w:themeColor="text1"/>
          <w:sz w:val="22"/>
          <w:szCs w:val="22"/>
        </w:rPr>
        <w:noBreakHyphen/>
        <w:t>informed way, emphasising protection, choice and safety rather than restriction.</w:t>
      </w:r>
    </w:p>
    <w:p w14:paraId="122B1612" w14:textId="59D1D917" w:rsidR="00EC051F"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Be provided to all parties at the commencement of any process, accompanied by a clear explanation of their purpose, scope and exceptions, including explicit advice that students and staff</w:t>
      </w:r>
      <w:r w:rsidR="00EC051F" w:rsidRPr="00CC343F">
        <w:rPr>
          <w:bCs/>
          <w:color w:val="000000" w:themeColor="text1"/>
          <w:sz w:val="22"/>
          <w:szCs w:val="22"/>
        </w:rPr>
        <w:t xml:space="preserve"> are not required to treat their experience of GBV as confidential and can share their experience for the purpose of seeking support and advice. </w:t>
      </w:r>
      <w:r w:rsidRPr="00CC343F">
        <w:rPr>
          <w:bCs/>
          <w:color w:val="000000" w:themeColor="text1"/>
          <w:sz w:val="22"/>
          <w:szCs w:val="22"/>
        </w:rPr>
        <w:t xml:space="preserve"> </w:t>
      </w:r>
    </w:p>
    <w:p w14:paraId="549355CB" w14:textId="77777777" w:rsidR="005072D4" w:rsidRPr="00CC343F" w:rsidRDefault="005072D4" w:rsidP="00194307">
      <w:pPr>
        <w:pStyle w:val="ListParagraph"/>
        <w:numPr>
          <w:ilvl w:val="1"/>
          <w:numId w:val="10"/>
        </w:numPr>
        <w:rPr>
          <w:bCs/>
          <w:color w:val="000000" w:themeColor="text1"/>
          <w:sz w:val="22"/>
          <w:szCs w:val="22"/>
        </w:rPr>
      </w:pPr>
      <w:r w:rsidRPr="00CC343F">
        <w:rPr>
          <w:bCs/>
          <w:color w:val="000000" w:themeColor="text1"/>
          <w:sz w:val="22"/>
          <w:szCs w:val="22"/>
        </w:rPr>
        <w:t>Be drafted in plain English and made publicly available.</w:t>
      </w:r>
    </w:p>
    <w:p w14:paraId="1E3A2C22" w14:textId="77777777" w:rsidR="005072D4" w:rsidRPr="000F2CF2" w:rsidRDefault="005072D4" w:rsidP="005072D4">
      <w:pPr>
        <w:pStyle w:val="Heading3"/>
        <w:rPr>
          <w:rFonts w:eastAsiaTheme="minorHAnsi"/>
        </w:rPr>
      </w:pPr>
      <w:bookmarkStart w:id="10" w:name="_Toc235003052"/>
      <w:r w:rsidRPr="000F2CF2">
        <w:rPr>
          <w:rFonts w:eastAsiaTheme="minorHAnsi"/>
        </w:rPr>
        <w:t>Student and staff rights to access support</w:t>
      </w:r>
      <w:bookmarkEnd w:id="10"/>
      <w:r w:rsidRPr="000F2CF2">
        <w:rPr>
          <w:rFonts w:eastAsiaTheme="minorHAnsi"/>
        </w:rPr>
        <w:t xml:space="preserve"> </w:t>
      </w:r>
    </w:p>
    <w:p w14:paraId="38BBCFFF" w14:textId="77777777" w:rsidR="005072D4" w:rsidRPr="007A7525" w:rsidRDefault="005072D4" w:rsidP="00194307">
      <w:pPr>
        <w:pStyle w:val="ListParagraph"/>
        <w:numPr>
          <w:ilvl w:val="0"/>
          <w:numId w:val="9"/>
        </w:numPr>
        <w:rPr>
          <w:bCs/>
          <w:color w:val="000000" w:themeColor="text1"/>
          <w:sz w:val="22"/>
          <w:szCs w:val="22"/>
        </w:rPr>
      </w:pPr>
      <w:r w:rsidRPr="007A7525">
        <w:rPr>
          <w:bCs/>
          <w:color w:val="000000" w:themeColor="text1"/>
          <w:sz w:val="22"/>
          <w:szCs w:val="22"/>
        </w:rPr>
        <w:t>Providers must not restrict or discourage disclosers from speaking with family members, friends, or trusted individuals about their experience of GBV.</w:t>
      </w:r>
    </w:p>
    <w:p w14:paraId="18273398" w14:textId="77777777" w:rsidR="005072D4" w:rsidRPr="007A7525" w:rsidRDefault="005072D4" w:rsidP="00194307">
      <w:pPr>
        <w:pStyle w:val="ListParagraph"/>
        <w:numPr>
          <w:ilvl w:val="0"/>
          <w:numId w:val="9"/>
        </w:numPr>
        <w:rPr>
          <w:bCs/>
          <w:color w:val="000000" w:themeColor="text1"/>
          <w:sz w:val="22"/>
          <w:szCs w:val="22"/>
        </w:rPr>
      </w:pPr>
      <w:r w:rsidRPr="007A7525">
        <w:rPr>
          <w:bCs/>
          <w:color w:val="000000" w:themeColor="text1"/>
          <w:sz w:val="22"/>
          <w:szCs w:val="22"/>
        </w:rPr>
        <w:t xml:space="preserve">Providers must not prevent or impede disclosers from seeking or accessing support, including (but not limited to) psychosocial support, legal advice, advocacy services, or external complaint, or external reviews. </w:t>
      </w:r>
    </w:p>
    <w:p w14:paraId="5B10CFFF" w14:textId="7916D134" w:rsidR="005072D4" w:rsidRPr="007A7525" w:rsidRDefault="005072D4" w:rsidP="00194307">
      <w:pPr>
        <w:pStyle w:val="ListParagraph"/>
        <w:numPr>
          <w:ilvl w:val="0"/>
          <w:numId w:val="9"/>
        </w:numPr>
        <w:rPr>
          <w:bCs/>
          <w:color w:val="000000" w:themeColor="text1"/>
          <w:sz w:val="22"/>
          <w:szCs w:val="22"/>
        </w:rPr>
      </w:pPr>
      <w:r w:rsidRPr="007A7525">
        <w:rPr>
          <w:bCs/>
          <w:color w:val="000000" w:themeColor="text1"/>
          <w:sz w:val="22"/>
          <w:szCs w:val="22"/>
        </w:rPr>
        <w:t>Providers must ensure that no policy, procedure, or operational practice restricts access to support services, or restricts the type of support a discloser may choose to engage.</w:t>
      </w:r>
    </w:p>
    <w:p w14:paraId="2E3156AD" w14:textId="77777777" w:rsidR="00F87EB0" w:rsidRPr="00A57F7F" w:rsidRDefault="00F87EB0" w:rsidP="00F87EB0">
      <w:pPr>
        <w:pStyle w:val="Heading3"/>
      </w:pPr>
      <w:bookmarkStart w:id="11" w:name="_Toc235003053"/>
      <w:r>
        <w:lastRenderedPageBreak/>
        <w:t>Prohibition on the use of n</w:t>
      </w:r>
      <w:r w:rsidRPr="00A57F7F">
        <w:t>on-disclosure agreements</w:t>
      </w:r>
      <w:bookmarkEnd w:id="11"/>
    </w:p>
    <w:p w14:paraId="35D6E4FE" w14:textId="77777777" w:rsidR="00F87EB0" w:rsidRPr="007A7525" w:rsidRDefault="00F87EB0" w:rsidP="00194307">
      <w:pPr>
        <w:pStyle w:val="ListParagraph"/>
        <w:numPr>
          <w:ilvl w:val="0"/>
          <w:numId w:val="9"/>
        </w:numPr>
        <w:tabs>
          <w:tab w:val="left" w:pos="1421"/>
        </w:tabs>
        <w:rPr>
          <w:color w:val="000000" w:themeColor="text1"/>
          <w:sz w:val="22"/>
          <w:szCs w:val="22"/>
        </w:rPr>
      </w:pPr>
      <w:r w:rsidRPr="007A7525">
        <w:rPr>
          <w:color w:val="000000" w:themeColor="text1"/>
          <w:sz w:val="22"/>
          <w:szCs w:val="22"/>
        </w:rPr>
        <w:t>Providers must not use NDAs in GBV matters, except where an NDA is explicitly and voluntarily requested by the discloser.</w:t>
      </w:r>
    </w:p>
    <w:p w14:paraId="101BBC51" w14:textId="77777777" w:rsidR="00F87EB0" w:rsidRPr="007A7525" w:rsidRDefault="00F87EB0" w:rsidP="00194307">
      <w:pPr>
        <w:pStyle w:val="ListParagraph"/>
        <w:numPr>
          <w:ilvl w:val="0"/>
          <w:numId w:val="9"/>
        </w:numPr>
        <w:tabs>
          <w:tab w:val="left" w:pos="1421"/>
        </w:tabs>
        <w:rPr>
          <w:color w:val="000000" w:themeColor="text1"/>
          <w:sz w:val="22"/>
          <w:szCs w:val="22"/>
        </w:rPr>
      </w:pPr>
      <w:r w:rsidRPr="007A7525">
        <w:rPr>
          <w:color w:val="000000" w:themeColor="text1"/>
          <w:sz w:val="22"/>
          <w:szCs w:val="22"/>
        </w:rPr>
        <w:t xml:space="preserve">Providers must not apply pressure, explicitly or implicitly, on a discloser to enter an NDA, and must not represent or imply that access to support, remedies, or resolution is contingent on agreeing to an NDA. </w:t>
      </w:r>
    </w:p>
    <w:p w14:paraId="7C071198" w14:textId="2AD1C625" w:rsidR="00F34600" w:rsidRPr="007A7525" w:rsidRDefault="00F87EB0" w:rsidP="00194307">
      <w:pPr>
        <w:pStyle w:val="ListParagraph"/>
        <w:numPr>
          <w:ilvl w:val="0"/>
          <w:numId w:val="9"/>
        </w:numPr>
        <w:tabs>
          <w:tab w:val="left" w:pos="1421"/>
        </w:tabs>
        <w:rPr>
          <w:color w:val="000000" w:themeColor="text1"/>
          <w:sz w:val="22"/>
          <w:szCs w:val="22"/>
        </w:rPr>
      </w:pPr>
      <w:r w:rsidRPr="007A7525">
        <w:rPr>
          <w:color w:val="000000" w:themeColor="text1"/>
          <w:sz w:val="22"/>
          <w:szCs w:val="22"/>
        </w:rPr>
        <w:t xml:space="preserve">Providers must ensure that any confidentiality policies, clauses or procedures they adopt do not </w:t>
      </w:r>
      <w:r w:rsidR="00F34600" w:rsidRPr="007A7525">
        <w:rPr>
          <w:color w:val="000000" w:themeColor="text1"/>
          <w:sz w:val="22"/>
          <w:szCs w:val="22"/>
        </w:rPr>
        <w:t xml:space="preserve">require a discloser to keep their experience of GBV as confidential and are lawful in their entirety. </w:t>
      </w:r>
    </w:p>
    <w:p w14:paraId="0A1E7242" w14:textId="3B1A08DE" w:rsidR="00761FBF" w:rsidRPr="007A7525" w:rsidRDefault="008070A3" w:rsidP="00194307">
      <w:pPr>
        <w:pStyle w:val="ListParagraph"/>
        <w:numPr>
          <w:ilvl w:val="0"/>
          <w:numId w:val="9"/>
        </w:numPr>
        <w:tabs>
          <w:tab w:val="left" w:pos="1421"/>
        </w:tabs>
        <w:rPr>
          <w:color w:val="000000" w:themeColor="text1"/>
          <w:sz w:val="22"/>
          <w:szCs w:val="22"/>
        </w:rPr>
      </w:pPr>
      <w:r w:rsidRPr="007A7525">
        <w:rPr>
          <w:color w:val="000000" w:themeColor="text1"/>
          <w:sz w:val="22"/>
          <w:szCs w:val="22"/>
        </w:rPr>
        <w:t>When an NDA is requested by the discloser and is to be used it must not:</w:t>
      </w:r>
    </w:p>
    <w:p w14:paraId="4753D770" w14:textId="4C5A6E39" w:rsidR="008070A3" w:rsidRPr="007A7525" w:rsidRDefault="008070A3" w:rsidP="00194307">
      <w:pPr>
        <w:pStyle w:val="ListParagraph"/>
        <w:numPr>
          <w:ilvl w:val="1"/>
          <w:numId w:val="12"/>
        </w:numPr>
        <w:tabs>
          <w:tab w:val="left" w:pos="1421"/>
        </w:tabs>
        <w:rPr>
          <w:color w:val="000000" w:themeColor="text1"/>
          <w:sz w:val="22"/>
          <w:szCs w:val="22"/>
        </w:rPr>
      </w:pPr>
      <w:r w:rsidRPr="007A7525">
        <w:rPr>
          <w:color w:val="000000" w:themeColor="text1"/>
          <w:sz w:val="22"/>
          <w:szCs w:val="22"/>
        </w:rPr>
        <w:t xml:space="preserve">Stop the discloser from sharing their </w:t>
      </w:r>
      <w:r w:rsidR="003E5912" w:rsidRPr="007A7525">
        <w:rPr>
          <w:color w:val="000000" w:themeColor="text1"/>
          <w:sz w:val="22"/>
          <w:szCs w:val="22"/>
        </w:rPr>
        <w:t>experience</w:t>
      </w:r>
      <w:r w:rsidRPr="007A7525">
        <w:rPr>
          <w:color w:val="000000" w:themeColor="text1"/>
          <w:sz w:val="22"/>
          <w:szCs w:val="22"/>
        </w:rPr>
        <w:t xml:space="preserve"> of GBV</w:t>
      </w:r>
      <w:r w:rsidR="003E5912" w:rsidRPr="007A7525">
        <w:rPr>
          <w:color w:val="000000" w:themeColor="text1"/>
          <w:sz w:val="22"/>
          <w:szCs w:val="22"/>
        </w:rPr>
        <w:t xml:space="preserve"> for the purpose of seeking support or advice</w:t>
      </w:r>
      <w:r w:rsidR="00EA3FF4" w:rsidRPr="007A7525">
        <w:rPr>
          <w:color w:val="000000" w:themeColor="text1"/>
          <w:sz w:val="22"/>
          <w:szCs w:val="22"/>
        </w:rPr>
        <w:t>.</w:t>
      </w:r>
    </w:p>
    <w:p w14:paraId="4A3CEBD2" w14:textId="004E73FA" w:rsidR="00A24B09" w:rsidRPr="007A7525" w:rsidRDefault="00EA3FF4" w:rsidP="00194307">
      <w:pPr>
        <w:pStyle w:val="ListParagraph"/>
        <w:numPr>
          <w:ilvl w:val="1"/>
          <w:numId w:val="12"/>
        </w:numPr>
        <w:tabs>
          <w:tab w:val="left" w:pos="1421"/>
        </w:tabs>
        <w:rPr>
          <w:color w:val="000000" w:themeColor="text1"/>
          <w:sz w:val="22"/>
          <w:szCs w:val="22"/>
        </w:rPr>
      </w:pPr>
      <w:r w:rsidRPr="007A7525">
        <w:rPr>
          <w:color w:val="000000" w:themeColor="text1"/>
          <w:sz w:val="22"/>
          <w:szCs w:val="22"/>
        </w:rPr>
        <w:t xml:space="preserve">Prevent the provider from complying with their reporting obligations under the National Code. </w:t>
      </w:r>
    </w:p>
    <w:p w14:paraId="13B50A18" w14:textId="77777777" w:rsidR="00F87EB0" w:rsidRDefault="00F87EB0" w:rsidP="00F87EB0">
      <w:pPr>
        <w:pStyle w:val="Heading3"/>
      </w:pPr>
      <w:bookmarkStart w:id="12" w:name="_Toc235003054"/>
      <w:r>
        <w:t>Staff capability, training and conduct</w:t>
      </w:r>
      <w:bookmarkEnd w:id="12"/>
      <w:r>
        <w:t xml:space="preserve"> </w:t>
      </w:r>
    </w:p>
    <w:p w14:paraId="2350F6F7" w14:textId="77777777" w:rsidR="00F87EB0" w:rsidRPr="008974B9" w:rsidRDefault="00F87EB0" w:rsidP="00194307">
      <w:pPr>
        <w:pStyle w:val="ListParagraph"/>
        <w:numPr>
          <w:ilvl w:val="0"/>
          <w:numId w:val="9"/>
        </w:numPr>
        <w:tabs>
          <w:tab w:val="left" w:pos="1421"/>
        </w:tabs>
        <w:rPr>
          <w:bCs/>
          <w:color w:val="000000" w:themeColor="text1"/>
          <w:sz w:val="22"/>
          <w:szCs w:val="22"/>
        </w:rPr>
      </w:pPr>
      <w:r w:rsidRPr="008974B9">
        <w:rPr>
          <w:bCs/>
          <w:color w:val="000000" w:themeColor="text1"/>
          <w:sz w:val="22"/>
          <w:szCs w:val="22"/>
        </w:rPr>
        <w:t>Providers must ensure that all relevant staff, particularly frontline advisors, complaint handlers, legal and governance teams, student conduct staff, and senior decision</w:t>
      </w:r>
      <w:r w:rsidRPr="008974B9">
        <w:rPr>
          <w:bCs/>
          <w:color w:val="000000" w:themeColor="text1"/>
          <w:sz w:val="22"/>
          <w:szCs w:val="22"/>
        </w:rPr>
        <w:noBreakHyphen/>
        <w:t xml:space="preserve">makers, understand the requirements of the National Code.  </w:t>
      </w:r>
    </w:p>
    <w:p w14:paraId="741F16B4" w14:textId="77777777" w:rsidR="00F87EB0" w:rsidRPr="008974B9" w:rsidRDefault="00F87EB0" w:rsidP="00194307">
      <w:pPr>
        <w:pStyle w:val="ListParagraph"/>
        <w:numPr>
          <w:ilvl w:val="0"/>
          <w:numId w:val="9"/>
        </w:numPr>
        <w:tabs>
          <w:tab w:val="left" w:pos="1421"/>
        </w:tabs>
        <w:rPr>
          <w:bCs/>
          <w:color w:val="000000" w:themeColor="text1"/>
          <w:sz w:val="22"/>
          <w:szCs w:val="22"/>
        </w:rPr>
      </w:pPr>
      <w:r w:rsidRPr="008974B9">
        <w:rPr>
          <w:bCs/>
          <w:color w:val="000000" w:themeColor="text1"/>
          <w:sz w:val="22"/>
          <w:szCs w:val="22"/>
        </w:rPr>
        <w:t xml:space="preserve">Providers must provide training to ensure staff understand the purpose, scope and limitations of any confidentiality practices the provider adopts, including all exceptions. </w:t>
      </w:r>
    </w:p>
    <w:p w14:paraId="67B6E156" w14:textId="77777777" w:rsidR="00F87EB0" w:rsidRPr="008974B9" w:rsidRDefault="00F87EB0" w:rsidP="00194307">
      <w:pPr>
        <w:pStyle w:val="ListParagraph"/>
        <w:numPr>
          <w:ilvl w:val="0"/>
          <w:numId w:val="9"/>
        </w:numPr>
        <w:tabs>
          <w:tab w:val="left" w:pos="1421"/>
        </w:tabs>
        <w:rPr>
          <w:bCs/>
          <w:color w:val="000000" w:themeColor="text1"/>
          <w:sz w:val="22"/>
          <w:szCs w:val="22"/>
        </w:rPr>
      </w:pPr>
      <w:r w:rsidRPr="008974B9">
        <w:rPr>
          <w:bCs/>
          <w:color w:val="000000" w:themeColor="text1"/>
          <w:sz w:val="22"/>
          <w:szCs w:val="22"/>
        </w:rPr>
        <w:t xml:space="preserve">Providers must ensure that staff do not suggest, imply, or apply confidentiality in ways that deter or inhibit students or staff from seeking external support, legal advice, or review. </w:t>
      </w:r>
    </w:p>
    <w:p w14:paraId="6DEF9A73" w14:textId="77777777" w:rsidR="00F87EB0" w:rsidRPr="008974B9" w:rsidRDefault="00F87EB0" w:rsidP="00194307">
      <w:pPr>
        <w:pStyle w:val="ListParagraph"/>
        <w:numPr>
          <w:ilvl w:val="0"/>
          <w:numId w:val="9"/>
        </w:numPr>
        <w:tabs>
          <w:tab w:val="left" w:pos="1421"/>
        </w:tabs>
        <w:rPr>
          <w:bCs/>
          <w:color w:val="000000" w:themeColor="text1"/>
          <w:sz w:val="22"/>
          <w:szCs w:val="22"/>
        </w:rPr>
      </w:pPr>
      <w:r w:rsidRPr="008974B9">
        <w:rPr>
          <w:bCs/>
          <w:color w:val="000000" w:themeColor="text1"/>
          <w:sz w:val="22"/>
          <w:szCs w:val="22"/>
        </w:rPr>
        <w:t>Providers must actively prevent indirect silencing, including through warnings about institutional reputation, ambiguous or overly broad confidentiality instructions, or language that could reasonably be interpreted as discouraging disclosure or complaint.</w:t>
      </w:r>
    </w:p>
    <w:p w14:paraId="1C05116F" w14:textId="77777777" w:rsidR="00F87EB0" w:rsidRPr="0003064D" w:rsidRDefault="00F87EB0" w:rsidP="00F87EB0">
      <w:pPr>
        <w:pStyle w:val="Heading3"/>
      </w:pPr>
      <w:bookmarkStart w:id="13" w:name="_Toc235003055"/>
      <w:r>
        <w:t>Governance and continuous improvement</w:t>
      </w:r>
      <w:bookmarkEnd w:id="13"/>
      <w:r>
        <w:t xml:space="preserve"> </w:t>
      </w:r>
    </w:p>
    <w:p w14:paraId="097A9948" w14:textId="77777777" w:rsidR="00F87EB0" w:rsidRPr="001A1CDB" w:rsidRDefault="00F87EB0" w:rsidP="00194307">
      <w:pPr>
        <w:pStyle w:val="ListParagraph"/>
        <w:numPr>
          <w:ilvl w:val="0"/>
          <w:numId w:val="9"/>
        </w:numPr>
        <w:rPr>
          <w:color w:val="000000" w:themeColor="text1"/>
          <w:sz w:val="22"/>
          <w:szCs w:val="22"/>
        </w:rPr>
      </w:pPr>
      <w:r w:rsidRPr="001A1CDB">
        <w:rPr>
          <w:color w:val="000000" w:themeColor="text1"/>
          <w:sz w:val="22"/>
          <w:szCs w:val="22"/>
        </w:rPr>
        <w:t>Providers must regularly review all GBV</w:t>
      </w:r>
      <w:r w:rsidRPr="001A1CDB">
        <w:rPr>
          <w:color w:val="000000" w:themeColor="text1"/>
          <w:sz w:val="22"/>
          <w:szCs w:val="22"/>
        </w:rPr>
        <w:noBreakHyphen/>
        <w:t>related policies, procedures and practices, including any confidentiality practices, to ensure compliance with the National Code and that they are procedurally fair, trauma</w:t>
      </w:r>
      <w:r w:rsidRPr="001A1CDB">
        <w:rPr>
          <w:color w:val="000000" w:themeColor="text1"/>
          <w:sz w:val="22"/>
          <w:szCs w:val="22"/>
        </w:rPr>
        <w:noBreakHyphen/>
        <w:t>informed, and person</w:t>
      </w:r>
      <w:r w:rsidRPr="001A1CDB">
        <w:rPr>
          <w:color w:val="000000" w:themeColor="text1"/>
          <w:sz w:val="22"/>
          <w:szCs w:val="22"/>
        </w:rPr>
        <w:noBreakHyphen/>
        <w:t xml:space="preserve">centred. </w:t>
      </w:r>
    </w:p>
    <w:p w14:paraId="3F571D59" w14:textId="77777777" w:rsidR="00F87EB0" w:rsidRPr="001A1CDB" w:rsidRDefault="00F87EB0" w:rsidP="00194307">
      <w:pPr>
        <w:pStyle w:val="ListParagraph"/>
        <w:numPr>
          <w:ilvl w:val="0"/>
          <w:numId w:val="9"/>
        </w:numPr>
        <w:rPr>
          <w:color w:val="000000" w:themeColor="text1"/>
          <w:sz w:val="22"/>
          <w:szCs w:val="22"/>
        </w:rPr>
      </w:pPr>
      <w:r w:rsidRPr="001A1CDB">
        <w:rPr>
          <w:color w:val="000000" w:themeColor="text1"/>
          <w:sz w:val="22"/>
          <w:szCs w:val="22"/>
        </w:rPr>
        <w:t xml:space="preserve">In conducting reviews, providers must ensure that no policy, procedure, or practice could reasonably be interpreted as silencing complainants, deterring reporting, or restricting access to justice. </w:t>
      </w:r>
    </w:p>
    <w:p w14:paraId="0C0DB009" w14:textId="77777777" w:rsidR="00F87EB0" w:rsidRPr="001A1CDB" w:rsidRDefault="00F87EB0" w:rsidP="00194307">
      <w:pPr>
        <w:pStyle w:val="ListParagraph"/>
        <w:numPr>
          <w:ilvl w:val="0"/>
          <w:numId w:val="9"/>
        </w:numPr>
        <w:rPr>
          <w:color w:val="000000" w:themeColor="text1"/>
          <w:sz w:val="22"/>
          <w:szCs w:val="22"/>
        </w:rPr>
      </w:pPr>
      <w:r w:rsidRPr="001A1CDB">
        <w:rPr>
          <w:color w:val="000000" w:themeColor="text1"/>
          <w:sz w:val="22"/>
          <w:szCs w:val="22"/>
        </w:rPr>
        <w:t xml:space="preserve">Providers must maintain systems to monitor, review, and report on GBV disclosures and formal reports in accordance with National Code requirements. </w:t>
      </w:r>
    </w:p>
    <w:p w14:paraId="0426EE70" w14:textId="77777777" w:rsidR="00F87EB0" w:rsidRPr="001A1CDB" w:rsidRDefault="00F87EB0" w:rsidP="00194307">
      <w:pPr>
        <w:pStyle w:val="ListParagraph"/>
        <w:numPr>
          <w:ilvl w:val="0"/>
          <w:numId w:val="9"/>
        </w:numPr>
        <w:rPr>
          <w:color w:val="000000" w:themeColor="text1"/>
          <w:sz w:val="22"/>
          <w:szCs w:val="22"/>
        </w:rPr>
      </w:pPr>
      <w:r w:rsidRPr="001A1CDB">
        <w:rPr>
          <w:color w:val="000000" w:themeColor="text1"/>
          <w:sz w:val="22"/>
          <w:szCs w:val="22"/>
        </w:rPr>
        <w:t>Governing bodies must assure themselves that confidentiality practices, complaint mechanisms, and responses to GBV are lawful, trauma</w:t>
      </w:r>
      <w:r w:rsidRPr="001A1CDB">
        <w:rPr>
          <w:color w:val="000000" w:themeColor="text1"/>
          <w:sz w:val="22"/>
          <w:szCs w:val="22"/>
        </w:rPr>
        <w:noBreakHyphen/>
        <w:t xml:space="preserve">informed, and compliant with regulatory expectations. </w:t>
      </w:r>
    </w:p>
    <w:p w14:paraId="6495F5C2" w14:textId="77718C49" w:rsidR="00F87EB0" w:rsidRPr="001A1CDB" w:rsidRDefault="00F87EB0" w:rsidP="00194307">
      <w:pPr>
        <w:pStyle w:val="ListParagraph"/>
        <w:numPr>
          <w:ilvl w:val="0"/>
          <w:numId w:val="9"/>
        </w:numPr>
        <w:rPr>
          <w:color w:val="000000" w:themeColor="text1"/>
          <w:sz w:val="22"/>
          <w:szCs w:val="22"/>
        </w:rPr>
      </w:pPr>
      <w:r w:rsidRPr="001A1CDB">
        <w:rPr>
          <w:color w:val="000000" w:themeColor="text1"/>
          <w:sz w:val="22"/>
          <w:szCs w:val="22"/>
        </w:rPr>
        <w:t xml:space="preserve">Providers must monitor and document any improvements made in response to NSO findings and recommendations from the </w:t>
      </w:r>
      <w:r w:rsidR="001A598A">
        <w:rPr>
          <w:color w:val="000000" w:themeColor="text1"/>
          <w:sz w:val="22"/>
          <w:szCs w:val="22"/>
        </w:rPr>
        <w:t xml:space="preserve">NSO’s </w:t>
      </w:r>
      <w:r w:rsidR="001A598A">
        <w:rPr>
          <w:i/>
          <w:iCs/>
          <w:color w:val="000000" w:themeColor="text1"/>
          <w:sz w:val="22"/>
          <w:szCs w:val="22"/>
        </w:rPr>
        <w:t>‘Can I talk about this?’</w:t>
      </w:r>
      <w:r w:rsidRPr="001A1CDB">
        <w:rPr>
          <w:color w:val="000000" w:themeColor="text1"/>
          <w:sz w:val="22"/>
          <w:szCs w:val="22"/>
        </w:rPr>
        <w:t xml:space="preserve"> </w:t>
      </w:r>
      <w:r w:rsidR="00A85868" w:rsidRPr="001A1CDB">
        <w:rPr>
          <w:color w:val="000000" w:themeColor="text1"/>
          <w:sz w:val="22"/>
          <w:szCs w:val="22"/>
        </w:rPr>
        <w:t>report and</w:t>
      </w:r>
      <w:r w:rsidRPr="001A1CDB">
        <w:rPr>
          <w:color w:val="000000" w:themeColor="text1"/>
          <w:sz w:val="22"/>
          <w:szCs w:val="22"/>
        </w:rPr>
        <w:t xml:space="preserve"> make this information available to the GBV Regulator upon request.</w:t>
      </w:r>
    </w:p>
    <w:p w14:paraId="680200B8" w14:textId="77777777" w:rsidR="00F87EB0" w:rsidRPr="00EF16C6" w:rsidRDefault="00F87EB0" w:rsidP="00F87EB0">
      <w:pPr>
        <w:pStyle w:val="Heading2"/>
      </w:pPr>
      <w:bookmarkStart w:id="14" w:name="_Toc235003056"/>
      <w:r w:rsidRPr="00EF16C6">
        <w:lastRenderedPageBreak/>
        <w:t>Conclusion</w:t>
      </w:r>
      <w:bookmarkEnd w:id="14"/>
    </w:p>
    <w:p w14:paraId="2FE28C9B" w14:textId="08D312F0" w:rsidR="00F87EB0" w:rsidRPr="00EF16C6" w:rsidRDefault="00F87EB0" w:rsidP="00F87EB0">
      <w:r w:rsidRPr="00EF16C6">
        <w:t>The GBV Regulator expects all providers to immediately review</w:t>
      </w:r>
      <w:r w:rsidR="00B12063">
        <w:t>,</w:t>
      </w:r>
      <w:r w:rsidRPr="00EF16C6">
        <w:t xml:space="preserve"> and </w:t>
      </w:r>
      <w:r>
        <w:t xml:space="preserve">if </w:t>
      </w:r>
      <w:r w:rsidR="00B12063">
        <w:t xml:space="preserve">necessary, </w:t>
      </w:r>
      <w:r w:rsidRPr="00EF16C6">
        <w:t xml:space="preserve">amend their </w:t>
      </w:r>
      <w:r w:rsidR="00631554">
        <w:t>complaints handling processes and</w:t>
      </w:r>
      <w:r w:rsidR="00E86C35">
        <w:t xml:space="preserve"> any </w:t>
      </w:r>
      <w:r w:rsidRPr="00EF16C6">
        <w:t xml:space="preserve">confidentiality </w:t>
      </w:r>
      <w:r w:rsidR="00E01F13">
        <w:t xml:space="preserve">practices </w:t>
      </w:r>
      <w:r>
        <w:t>in relation to GBV</w:t>
      </w:r>
      <w:r w:rsidR="00E86C35">
        <w:t xml:space="preserve">, to </w:t>
      </w:r>
      <w:r>
        <w:t xml:space="preserve">ensure </w:t>
      </w:r>
      <w:r w:rsidRPr="00EF16C6">
        <w:t>full compliance with the National Code</w:t>
      </w:r>
      <w:r w:rsidR="00E86C35">
        <w:t xml:space="preserve">. </w:t>
      </w:r>
      <w:r>
        <w:t>Policies and procedures</w:t>
      </w:r>
      <w:r w:rsidRPr="00EF16C6">
        <w:t xml:space="preserve"> must prioritise student</w:t>
      </w:r>
      <w:r>
        <w:t xml:space="preserve"> and staff</w:t>
      </w:r>
      <w:r w:rsidRPr="00EF16C6">
        <w:t xml:space="preserve"> safety, trauma</w:t>
      </w:r>
      <w:r w:rsidRPr="00EF16C6">
        <w:noBreakHyphen/>
        <w:t>informed approaches</w:t>
      </w:r>
      <w:r w:rsidR="002E75DF">
        <w:t xml:space="preserve"> and</w:t>
      </w:r>
      <w:r w:rsidRPr="00EF16C6">
        <w:t xml:space="preserve"> transparency</w:t>
      </w:r>
      <w:r w:rsidR="00621FE5">
        <w:t xml:space="preserve">. </w:t>
      </w:r>
    </w:p>
    <w:p w14:paraId="6BE7DC6F" w14:textId="248A3AA9" w:rsidR="00E36DFB" w:rsidRPr="002E75DF" w:rsidRDefault="00F87EB0" w:rsidP="00E36DFB">
      <w:r w:rsidRPr="00491188">
        <w:t>The</w:t>
      </w:r>
      <w:r w:rsidRPr="008A7252">
        <w:rPr>
          <w:i/>
          <w:iCs/>
        </w:rPr>
        <w:t xml:space="preserve"> </w:t>
      </w:r>
      <w:r w:rsidRPr="00491188">
        <w:t xml:space="preserve">GBV </w:t>
      </w:r>
      <w:r w:rsidR="00E36DFB" w:rsidRPr="00491188">
        <w:t>Regulator</w:t>
      </w:r>
      <w:r w:rsidR="00583384" w:rsidRPr="002E75DF">
        <w:t xml:space="preserve"> assess non-compliance using its </w:t>
      </w:r>
      <w:r w:rsidR="00E36DFB" w:rsidRPr="002E75DF">
        <w:t>risk</w:t>
      </w:r>
      <w:r w:rsidR="00E36DFB" w:rsidRPr="002E75DF">
        <w:noBreakHyphen/>
        <w:t>based framework</w:t>
      </w:r>
      <w:r w:rsidR="00A128B5" w:rsidRPr="002E75DF">
        <w:t xml:space="preserve">, </w:t>
      </w:r>
      <w:r w:rsidR="00E36DFB" w:rsidRPr="002E75DF">
        <w:t>considering both the harm or risk of harm to students and staff and the provider’s culpability or commitment to compliance. Enforcement action will be determined case</w:t>
      </w:r>
      <w:r w:rsidR="00E36DFB" w:rsidRPr="002E75DF">
        <w:noBreakHyphen/>
        <w:t>by</w:t>
      </w:r>
      <w:r w:rsidR="00E36DFB" w:rsidRPr="002E75DF">
        <w:noBreakHyphen/>
        <w:t xml:space="preserve">case </w:t>
      </w:r>
      <w:r w:rsidR="00463ADA" w:rsidRPr="002E75DF">
        <w:t>in line</w:t>
      </w:r>
      <w:r w:rsidR="00E36DFB" w:rsidRPr="002E75DF">
        <w:t xml:space="preserve"> with </w:t>
      </w:r>
      <w:r w:rsidR="00463ADA" w:rsidRPr="002E75DF">
        <w:t>the GBV Regulator’s</w:t>
      </w:r>
      <w:r w:rsidR="00E36DFB" w:rsidRPr="002E75DF">
        <w:t xml:space="preserve"> </w:t>
      </w:r>
      <w:hyperlink r:id="rId22" w:history="1">
        <w:r w:rsidR="00E36DFB" w:rsidRPr="002E75DF">
          <w:rPr>
            <w:rStyle w:val="Hyperlink"/>
          </w:rPr>
          <w:t>Compliance and Enforcement Policy</w:t>
        </w:r>
      </w:hyperlink>
      <w:r w:rsidR="00E36DFB" w:rsidRPr="002E75DF">
        <w:t xml:space="preserve"> and </w:t>
      </w:r>
      <w:r w:rsidR="00463ADA" w:rsidRPr="002E75DF">
        <w:t>regulatory</w:t>
      </w:r>
      <w:r w:rsidR="00E36DFB" w:rsidRPr="002E75DF">
        <w:t xml:space="preserve"> principles. </w:t>
      </w:r>
    </w:p>
    <w:p w14:paraId="1B964AB4" w14:textId="457C76FA" w:rsidR="00F87EB0" w:rsidRDefault="00F87EB0" w:rsidP="00F87EB0"/>
    <w:p w14:paraId="59039A5C" w14:textId="17A426E4" w:rsidR="0017134D" w:rsidRDefault="0017134D" w:rsidP="00EA4F39"/>
    <w:sectPr w:rsidR="0017134D">
      <w:footerReference w:type="default" r:id="rId23"/>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CE4785" w14:textId="77777777" w:rsidR="00571996" w:rsidRDefault="00571996" w:rsidP="000A6228">
      <w:pPr>
        <w:spacing w:after="0" w:line="240" w:lineRule="auto"/>
      </w:pPr>
      <w:r>
        <w:separator/>
      </w:r>
    </w:p>
  </w:endnote>
  <w:endnote w:type="continuationSeparator" w:id="0">
    <w:p w14:paraId="4593FF2A" w14:textId="77777777" w:rsidR="00571996" w:rsidRDefault="00571996" w:rsidP="000A62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72A7BF" w14:textId="56B8F5FE" w:rsidR="00221D8F" w:rsidRDefault="00A81216">
    <w:pPr>
      <w:pStyle w:val="Footer"/>
    </w:pPr>
    <w:r w:rsidRPr="00A81216">
      <w:t>Statement of Regulatory Expectation</w:t>
    </w:r>
    <w:r w:rsidR="00B637B1">
      <w:t>s</w:t>
    </w:r>
    <w:r w:rsidR="001E4FC4">
      <w:t xml:space="preserve"> |</w:t>
    </w:r>
    <w:r w:rsidR="00B637B1">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A4488" w14:textId="77777777" w:rsidR="00571996" w:rsidRDefault="00571996" w:rsidP="000A6228">
      <w:pPr>
        <w:spacing w:after="0" w:line="240" w:lineRule="auto"/>
      </w:pPr>
      <w:r>
        <w:separator/>
      </w:r>
    </w:p>
  </w:footnote>
  <w:footnote w:type="continuationSeparator" w:id="0">
    <w:p w14:paraId="23F83ADD" w14:textId="77777777" w:rsidR="00571996" w:rsidRDefault="00571996" w:rsidP="000A6228">
      <w:pPr>
        <w:spacing w:after="0" w:line="240" w:lineRule="auto"/>
      </w:pPr>
      <w:r>
        <w:continuationSeparator/>
      </w:r>
    </w:p>
  </w:footnote>
</w:footnotes>
</file>

<file path=word/intelligence2.xml><?xml version="1.0" encoding="utf-8"?>
<int2:intelligence xmlns:int2="http://schemas.microsoft.com/office/intelligence/2020/intelligence" xmlns:oel="http://schemas.microsoft.com/office/2019/extlst">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D5BF1"/>
    <w:multiLevelType w:val="multilevel"/>
    <w:tmpl w:val="F1C6DE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3" w15:restartNumberingAfterBreak="0">
    <w:nsid w:val="12697A8C"/>
    <w:multiLevelType w:val="hybridMultilevel"/>
    <w:tmpl w:val="1CD6933E"/>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15:restartNumberingAfterBreak="0">
    <w:nsid w:val="26C7483B"/>
    <w:multiLevelType w:val="hybridMultilevel"/>
    <w:tmpl w:val="97EE17D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D721F07"/>
    <w:multiLevelType w:val="hybridMultilevel"/>
    <w:tmpl w:val="3032501A"/>
    <w:lvl w:ilvl="0" w:tplc="5C0CCB70">
      <w:start w:val="1"/>
      <w:numFmt w:val="bullet"/>
      <w:lvlText w:val=""/>
      <w:lvlJc w:val="left"/>
      <w:pPr>
        <w:ind w:left="1080" w:hanging="360"/>
      </w:pPr>
      <w:rPr>
        <w:rFonts w:ascii="Symbol" w:hAnsi="Symbol"/>
      </w:rPr>
    </w:lvl>
    <w:lvl w:ilvl="1" w:tplc="2A849430">
      <w:start w:val="1"/>
      <w:numFmt w:val="bullet"/>
      <w:lvlText w:val=""/>
      <w:lvlJc w:val="left"/>
      <w:pPr>
        <w:ind w:left="1080" w:hanging="360"/>
      </w:pPr>
      <w:rPr>
        <w:rFonts w:ascii="Symbol" w:hAnsi="Symbol"/>
      </w:rPr>
    </w:lvl>
    <w:lvl w:ilvl="2" w:tplc="5ED0D1C0">
      <w:start w:val="1"/>
      <w:numFmt w:val="bullet"/>
      <w:lvlText w:val=""/>
      <w:lvlJc w:val="left"/>
      <w:pPr>
        <w:ind w:left="1080" w:hanging="360"/>
      </w:pPr>
      <w:rPr>
        <w:rFonts w:ascii="Symbol" w:hAnsi="Symbol"/>
      </w:rPr>
    </w:lvl>
    <w:lvl w:ilvl="3" w:tplc="64AA3AA2">
      <w:start w:val="1"/>
      <w:numFmt w:val="bullet"/>
      <w:lvlText w:val=""/>
      <w:lvlJc w:val="left"/>
      <w:pPr>
        <w:ind w:left="1080" w:hanging="360"/>
      </w:pPr>
      <w:rPr>
        <w:rFonts w:ascii="Symbol" w:hAnsi="Symbol"/>
      </w:rPr>
    </w:lvl>
    <w:lvl w:ilvl="4" w:tplc="D67020A4">
      <w:start w:val="1"/>
      <w:numFmt w:val="bullet"/>
      <w:lvlText w:val=""/>
      <w:lvlJc w:val="left"/>
      <w:pPr>
        <w:ind w:left="1080" w:hanging="360"/>
      </w:pPr>
      <w:rPr>
        <w:rFonts w:ascii="Symbol" w:hAnsi="Symbol"/>
      </w:rPr>
    </w:lvl>
    <w:lvl w:ilvl="5" w:tplc="872C2612">
      <w:start w:val="1"/>
      <w:numFmt w:val="bullet"/>
      <w:lvlText w:val=""/>
      <w:lvlJc w:val="left"/>
      <w:pPr>
        <w:ind w:left="1080" w:hanging="360"/>
      </w:pPr>
      <w:rPr>
        <w:rFonts w:ascii="Symbol" w:hAnsi="Symbol"/>
      </w:rPr>
    </w:lvl>
    <w:lvl w:ilvl="6" w:tplc="F0128ACA">
      <w:start w:val="1"/>
      <w:numFmt w:val="bullet"/>
      <w:lvlText w:val=""/>
      <w:lvlJc w:val="left"/>
      <w:pPr>
        <w:ind w:left="1080" w:hanging="360"/>
      </w:pPr>
      <w:rPr>
        <w:rFonts w:ascii="Symbol" w:hAnsi="Symbol"/>
      </w:rPr>
    </w:lvl>
    <w:lvl w:ilvl="7" w:tplc="10D29B36">
      <w:start w:val="1"/>
      <w:numFmt w:val="bullet"/>
      <w:lvlText w:val=""/>
      <w:lvlJc w:val="left"/>
      <w:pPr>
        <w:ind w:left="1080" w:hanging="360"/>
      </w:pPr>
      <w:rPr>
        <w:rFonts w:ascii="Symbol" w:hAnsi="Symbol"/>
      </w:rPr>
    </w:lvl>
    <w:lvl w:ilvl="8" w:tplc="F0C41D90">
      <w:start w:val="1"/>
      <w:numFmt w:val="bullet"/>
      <w:lvlText w:val=""/>
      <w:lvlJc w:val="left"/>
      <w:pPr>
        <w:ind w:left="1080" w:hanging="360"/>
      </w:pPr>
      <w:rPr>
        <w:rFonts w:ascii="Symbol" w:hAnsi="Symbol"/>
      </w:rPr>
    </w:lvl>
  </w:abstractNum>
  <w:abstractNum w:abstractNumId="7" w15:restartNumberingAfterBreak="0">
    <w:nsid w:val="2D886DB6"/>
    <w:multiLevelType w:val="hybridMultilevel"/>
    <w:tmpl w:val="C5DABDA6"/>
    <w:lvl w:ilvl="0" w:tplc="FFFFFFFF">
      <w:start w:val="1"/>
      <w:numFmt w:val="bullet"/>
      <w:lvlText w:val=""/>
      <w:lvlJc w:val="left"/>
      <w:pPr>
        <w:ind w:left="720" w:hanging="360"/>
      </w:pPr>
      <w:rPr>
        <w:rFonts w:ascii="Symbol" w:hAnsi="Symbol" w:hint="default"/>
      </w:rPr>
    </w:lvl>
    <w:lvl w:ilvl="1" w:tplc="0C090017">
      <w:start w:val="1"/>
      <w:numFmt w:val="lowerLetter"/>
      <w:lvlText w:val="%2)"/>
      <w:lvlJc w:val="left"/>
      <w:pPr>
        <w:ind w:left="1440" w:hanging="360"/>
      </w:p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9" w15:restartNumberingAfterBreak="0">
    <w:nsid w:val="35F702E4"/>
    <w:multiLevelType w:val="hybridMultilevel"/>
    <w:tmpl w:val="2CFE646E"/>
    <w:lvl w:ilvl="0" w:tplc="FFFFFFFF">
      <w:start w:val="1"/>
      <w:numFmt w:val="decimal"/>
      <w:lvlText w:val="%1)"/>
      <w:lvlJc w:val="left"/>
      <w:pPr>
        <w:ind w:left="720" w:hanging="360"/>
      </w:pPr>
    </w:lvl>
    <w:lvl w:ilvl="1" w:tplc="0C090017">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0"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46475F22"/>
    <w:multiLevelType w:val="hybridMultilevel"/>
    <w:tmpl w:val="B5DE88E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2" w15:restartNumberingAfterBreak="0">
    <w:nsid w:val="4D1E484E"/>
    <w:multiLevelType w:val="hybridMultilevel"/>
    <w:tmpl w:val="4EB6048A"/>
    <w:lvl w:ilvl="0" w:tplc="0C090011">
      <w:start w:val="1"/>
      <w:numFmt w:val="decimal"/>
      <w:lvlText w:val="%1)"/>
      <w:lvlJc w:val="left"/>
      <w:pPr>
        <w:ind w:left="720" w:hanging="360"/>
      </w:pPr>
    </w:lvl>
    <w:lvl w:ilvl="1" w:tplc="0C090019">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67074B81"/>
    <w:multiLevelType w:val="hybridMultilevel"/>
    <w:tmpl w:val="70DC0158"/>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1760524279">
    <w:abstractNumId w:val="4"/>
  </w:num>
  <w:num w:numId="2" w16cid:durableId="75978829">
    <w:abstractNumId w:val="8"/>
  </w:num>
  <w:num w:numId="3" w16cid:durableId="486242624">
    <w:abstractNumId w:val="2"/>
  </w:num>
  <w:num w:numId="4" w16cid:durableId="807010820">
    <w:abstractNumId w:val="15"/>
  </w:num>
  <w:num w:numId="5" w16cid:durableId="476995438">
    <w:abstractNumId w:val="13"/>
  </w:num>
  <w:num w:numId="6" w16cid:durableId="743840351">
    <w:abstractNumId w:val="0"/>
  </w:num>
  <w:num w:numId="7" w16cid:durableId="869221237">
    <w:abstractNumId w:val="5"/>
  </w:num>
  <w:num w:numId="8" w16cid:durableId="1291788272">
    <w:abstractNumId w:val="14"/>
  </w:num>
  <w:num w:numId="9" w16cid:durableId="2139952144">
    <w:abstractNumId w:val="12"/>
  </w:num>
  <w:num w:numId="10" w16cid:durableId="1020165110">
    <w:abstractNumId w:val="7"/>
  </w:num>
  <w:num w:numId="11" w16cid:durableId="226066380">
    <w:abstractNumId w:val="9"/>
  </w:num>
  <w:num w:numId="12" w16cid:durableId="327561532">
    <w:abstractNumId w:val="3"/>
  </w:num>
  <w:num w:numId="13" w16cid:durableId="239409238">
    <w:abstractNumId w:val="11"/>
  </w:num>
  <w:num w:numId="14" w16cid:durableId="776800644">
    <w:abstractNumId w:val="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B50"/>
    <w:rsid w:val="00001A4C"/>
    <w:rsid w:val="00003978"/>
    <w:rsid w:val="00003B4D"/>
    <w:rsid w:val="00003E89"/>
    <w:rsid w:val="000100C6"/>
    <w:rsid w:val="000102E5"/>
    <w:rsid w:val="00011BBB"/>
    <w:rsid w:val="00012366"/>
    <w:rsid w:val="00016A90"/>
    <w:rsid w:val="0001728E"/>
    <w:rsid w:val="000204B3"/>
    <w:rsid w:val="00021831"/>
    <w:rsid w:val="00021FBE"/>
    <w:rsid w:val="00023520"/>
    <w:rsid w:val="0002602C"/>
    <w:rsid w:val="000318CA"/>
    <w:rsid w:val="00031BBE"/>
    <w:rsid w:val="000322C1"/>
    <w:rsid w:val="000348DE"/>
    <w:rsid w:val="00042CEB"/>
    <w:rsid w:val="00047C79"/>
    <w:rsid w:val="00050C5E"/>
    <w:rsid w:val="0005190B"/>
    <w:rsid w:val="000521D7"/>
    <w:rsid w:val="00052846"/>
    <w:rsid w:val="00052DEA"/>
    <w:rsid w:val="00055D55"/>
    <w:rsid w:val="0005724A"/>
    <w:rsid w:val="000630A5"/>
    <w:rsid w:val="00063915"/>
    <w:rsid w:val="00072323"/>
    <w:rsid w:val="000741D8"/>
    <w:rsid w:val="00074A2B"/>
    <w:rsid w:val="00076235"/>
    <w:rsid w:val="00077E9D"/>
    <w:rsid w:val="000812FF"/>
    <w:rsid w:val="00081C6C"/>
    <w:rsid w:val="00083A53"/>
    <w:rsid w:val="00086B4F"/>
    <w:rsid w:val="0008789C"/>
    <w:rsid w:val="000906CF"/>
    <w:rsid w:val="0009169C"/>
    <w:rsid w:val="00095696"/>
    <w:rsid w:val="0009729D"/>
    <w:rsid w:val="00097640"/>
    <w:rsid w:val="000A0B58"/>
    <w:rsid w:val="000A0C92"/>
    <w:rsid w:val="000A12BA"/>
    <w:rsid w:val="000A1F6E"/>
    <w:rsid w:val="000A1FBA"/>
    <w:rsid w:val="000A3E2D"/>
    <w:rsid w:val="000A6228"/>
    <w:rsid w:val="000A7E40"/>
    <w:rsid w:val="000B1C0D"/>
    <w:rsid w:val="000B3381"/>
    <w:rsid w:val="000B3FC6"/>
    <w:rsid w:val="000B500E"/>
    <w:rsid w:val="000B5D40"/>
    <w:rsid w:val="000B7EC6"/>
    <w:rsid w:val="000C0635"/>
    <w:rsid w:val="000C4A7F"/>
    <w:rsid w:val="000C5B7D"/>
    <w:rsid w:val="000C6EAF"/>
    <w:rsid w:val="000D450E"/>
    <w:rsid w:val="000D4D84"/>
    <w:rsid w:val="000D64D9"/>
    <w:rsid w:val="000D6B19"/>
    <w:rsid w:val="000D6C3D"/>
    <w:rsid w:val="000D73CA"/>
    <w:rsid w:val="000D7D9F"/>
    <w:rsid w:val="000E28EF"/>
    <w:rsid w:val="000E3CB0"/>
    <w:rsid w:val="000E3FB6"/>
    <w:rsid w:val="000E442F"/>
    <w:rsid w:val="000E4CD9"/>
    <w:rsid w:val="000F1530"/>
    <w:rsid w:val="000F2162"/>
    <w:rsid w:val="000F26C0"/>
    <w:rsid w:val="000F27F4"/>
    <w:rsid w:val="000F5185"/>
    <w:rsid w:val="000F5276"/>
    <w:rsid w:val="000F55AC"/>
    <w:rsid w:val="000F70BD"/>
    <w:rsid w:val="00100E1A"/>
    <w:rsid w:val="00103508"/>
    <w:rsid w:val="001046AE"/>
    <w:rsid w:val="00105BA5"/>
    <w:rsid w:val="00107D87"/>
    <w:rsid w:val="00107DD5"/>
    <w:rsid w:val="0011575A"/>
    <w:rsid w:val="00115D2C"/>
    <w:rsid w:val="0012343A"/>
    <w:rsid w:val="001234BE"/>
    <w:rsid w:val="00124693"/>
    <w:rsid w:val="001249D1"/>
    <w:rsid w:val="00125E44"/>
    <w:rsid w:val="0013171B"/>
    <w:rsid w:val="001318EC"/>
    <w:rsid w:val="00132BFE"/>
    <w:rsid w:val="00133B8D"/>
    <w:rsid w:val="00133EB9"/>
    <w:rsid w:val="00134D85"/>
    <w:rsid w:val="001356AF"/>
    <w:rsid w:val="0013611E"/>
    <w:rsid w:val="00136202"/>
    <w:rsid w:val="0013622D"/>
    <w:rsid w:val="001365CC"/>
    <w:rsid w:val="00137712"/>
    <w:rsid w:val="00142294"/>
    <w:rsid w:val="00143064"/>
    <w:rsid w:val="00143620"/>
    <w:rsid w:val="0014652F"/>
    <w:rsid w:val="001465E5"/>
    <w:rsid w:val="001504DF"/>
    <w:rsid w:val="00150BD5"/>
    <w:rsid w:val="00150D36"/>
    <w:rsid w:val="001515BF"/>
    <w:rsid w:val="00154886"/>
    <w:rsid w:val="00155F15"/>
    <w:rsid w:val="001648B3"/>
    <w:rsid w:val="00164FF3"/>
    <w:rsid w:val="001656C8"/>
    <w:rsid w:val="00170EC1"/>
    <w:rsid w:val="0017134D"/>
    <w:rsid w:val="00171F1A"/>
    <w:rsid w:val="00172A45"/>
    <w:rsid w:val="001730A9"/>
    <w:rsid w:val="00173344"/>
    <w:rsid w:val="00182824"/>
    <w:rsid w:val="00187351"/>
    <w:rsid w:val="00187BE4"/>
    <w:rsid w:val="001916D9"/>
    <w:rsid w:val="00194307"/>
    <w:rsid w:val="00196F60"/>
    <w:rsid w:val="001A063A"/>
    <w:rsid w:val="001A1CDB"/>
    <w:rsid w:val="001A2218"/>
    <w:rsid w:val="001A4CD8"/>
    <w:rsid w:val="001A598A"/>
    <w:rsid w:val="001A59B5"/>
    <w:rsid w:val="001A77A8"/>
    <w:rsid w:val="001A7EA1"/>
    <w:rsid w:val="001B2AF2"/>
    <w:rsid w:val="001B475C"/>
    <w:rsid w:val="001C0AA8"/>
    <w:rsid w:val="001C1523"/>
    <w:rsid w:val="001C4A42"/>
    <w:rsid w:val="001C4D1E"/>
    <w:rsid w:val="001C54F9"/>
    <w:rsid w:val="001C5E85"/>
    <w:rsid w:val="001D2470"/>
    <w:rsid w:val="001D32C8"/>
    <w:rsid w:val="001D54FB"/>
    <w:rsid w:val="001D7139"/>
    <w:rsid w:val="001E168E"/>
    <w:rsid w:val="001E290B"/>
    <w:rsid w:val="001E4128"/>
    <w:rsid w:val="001E4FC4"/>
    <w:rsid w:val="001F0566"/>
    <w:rsid w:val="001F1288"/>
    <w:rsid w:val="001F18B8"/>
    <w:rsid w:val="001F1A75"/>
    <w:rsid w:val="001F1F7C"/>
    <w:rsid w:val="001F6350"/>
    <w:rsid w:val="001F6433"/>
    <w:rsid w:val="001F7AD5"/>
    <w:rsid w:val="0021004A"/>
    <w:rsid w:val="0021047F"/>
    <w:rsid w:val="002109B1"/>
    <w:rsid w:val="0021123A"/>
    <w:rsid w:val="00211C35"/>
    <w:rsid w:val="00211D1E"/>
    <w:rsid w:val="00212FA9"/>
    <w:rsid w:val="00221D8F"/>
    <w:rsid w:val="00225E9F"/>
    <w:rsid w:val="00225F81"/>
    <w:rsid w:val="002272DB"/>
    <w:rsid w:val="002301E8"/>
    <w:rsid w:val="0023154C"/>
    <w:rsid w:val="002336EC"/>
    <w:rsid w:val="00241295"/>
    <w:rsid w:val="00241BB4"/>
    <w:rsid w:val="0024310B"/>
    <w:rsid w:val="00245DDF"/>
    <w:rsid w:val="002466BA"/>
    <w:rsid w:val="00250741"/>
    <w:rsid w:val="00252C88"/>
    <w:rsid w:val="002550D5"/>
    <w:rsid w:val="002618A3"/>
    <w:rsid w:val="00261AAD"/>
    <w:rsid w:val="00262362"/>
    <w:rsid w:val="0026265C"/>
    <w:rsid w:val="002626C0"/>
    <w:rsid w:val="00263415"/>
    <w:rsid w:val="00263B40"/>
    <w:rsid w:val="0026608F"/>
    <w:rsid w:val="00272EC5"/>
    <w:rsid w:val="00273477"/>
    <w:rsid w:val="00274B61"/>
    <w:rsid w:val="00276047"/>
    <w:rsid w:val="00277B6F"/>
    <w:rsid w:val="0028236D"/>
    <w:rsid w:val="0028357D"/>
    <w:rsid w:val="00284CD8"/>
    <w:rsid w:val="0028542B"/>
    <w:rsid w:val="002906E7"/>
    <w:rsid w:val="00290D62"/>
    <w:rsid w:val="00295FD9"/>
    <w:rsid w:val="002A07F7"/>
    <w:rsid w:val="002A3FBD"/>
    <w:rsid w:val="002A4458"/>
    <w:rsid w:val="002A6B17"/>
    <w:rsid w:val="002B2B43"/>
    <w:rsid w:val="002B4D32"/>
    <w:rsid w:val="002B682E"/>
    <w:rsid w:val="002C192A"/>
    <w:rsid w:val="002C1985"/>
    <w:rsid w:val="002C2EA7"/>
    <w:rsid w:val="002C303A"/>
    <w:rsid w:val="002C30E3"/>
    <w:rsid w:val="002C34DD"/>
    <w:rsid w:val="002C38C0"/>
    <w:rsid w:val="002C58BE"/>
    <w:rsid w:val="002D0052"/>
    <w:rsid w:val="002D0C34"/>
    <w:rsid w:val="002D589A"/>
    <w:rsid w:val="002E4BBA"/>
    <w:rsid w:val="002E75DF"/>
    <w:rsid w:val="002F00C0"/>
    <w:rsid w:val="002F1897"/>
    <w:rsid w:val="002F27D9"/>
    <w:rsid w:val="002F2A5C"/>
    <w:rsid w:val="002F2DAF"/>
    <w:rsid w:val="002F752C"/>
    <w:rsid w:val="002F7E07"/>
    <w:rsid w:val="00300458"/>
    <w:rsid w:val="0030234F"/>
    <w:rsid w:val="00307B6F"/>
    <w:rsid w:val="003101A8"/>
    <w:rsid w:val="00311A13"/>
    <w:rsid w:val="003121F5"/>
    <w:rsid w:val="003136CF"/>
    <w:rsid w:val="00313779"/>
    <w:rsid w:val="00313BAD"/>
    <w:rsid w:val="0031797B"/>
    <w:rsid w:val="00321871"/>
    <w:rsid w:val="00321EF7"/>
    <w:rsid w:val="00324DAA"/>
    <w:rsid w:val="00337EE7"/>
    <w:rsid w:val="00342998"/>
    <w:rsid w:val="00344506"/>
    <w:rsid w:val="00345E2D"/>
    <w:rsid w:val="00347884"/>
    <w:rsid w:val="003554EC"/>
    <w:rsid w:val="00355552"/>
    <w:rsid w:val="00356ACE"/>
    <w:rsid w:val="00360872"/>
    <w:rsid w:val="00360A4B"/>
    <w:rsid w:val="00361329"/>
    <w:rsid w:val="0036323C"/>
    <w:rsid w:val="00364BB4"/>
    <w:rsid w:val="0036570E"/>
    <w:rsid w:val="003661D2"/>
    <w:rsid w:val="0037541A"/>
    <w:rsid w:val="0037796A"/>
    <w:rsid w:val="00382454"/>
    <w:rsid w:val="003826F7"/>
    <w:rsid w:val="00384FFF"/>
    <w:rsid w:val="0038510F"/>
    <w:rsid w:val="00393397"/>
    <w:rsid w:val="00393954"/>
    <w:rsid w:val="00393B2D"/>
    <w:rsid w:val="00394878"/>
    <w:rsid w:val="00396A8B"/>
    <w:rsid w:val="003975B0"/>
    <w:rsid w:val="003A1DCE"/>
    <w:rsid w:val="003A21E6"/>
    <w:rsid w:val="003A3FB6"/>
    <w:rsid w:val="003A410D"/>
    <w:rsid w:val="003A5A4B"/>
    <w:rsid w:val="003A6B80"/>
    <w:rsid w:val="003B24D8"/>
    <w:rsid w:val="003B2E22"/>
    <w:rsid w:val="003B3AC6"/>
    <w:rsid w:val="003B4047"/>
    <w:rsid w:val="003B4629"/>
    <w:rsid w:val="003B66FE"/>
    <w:rsid w:val="003B76AA"/>
    <w:rsid w:val="003C0214"/>
    <w:rsid w:val="003C3ED5"/>
    <w:rsid w:val="003C5D24"/>
    <w:rsid w:val="003C5E4F"/>
    <w:rsid w:val="003C7D37"/>
    <w:rsid w:val="003C7EE6"/>
    <w:rsid w:val="003D2653"/>
    <w:rsid w:val="003D42FA"/>
    <w:rsid w:val="003D4372"/>
    <w:rsid w:val="003D534B"/>
    <w:rsid w:val="003E459F"/>
    <w:rsid w:val="003E5493"/>
    <w:rsid w:val="003E5912"/>
    <w:rsid w:val="003E741B"/>
    <w:rsid w:val="003E77AA"/>
    <w:rsid w:val="003F2196"/>
    <w:rsid w:val="003F3C27"/>
    <w:rsid w:val="00400B39"/>
    <w:rsid w:val="0040155D"/>
    <w:rsid w:val="00401A4B"/>
    <w:rsid w:val="00403880"/>
    <w:rsid w:val="004051A7"/>
    <w:rsid w:val="00406275"/>
    <w:rsid w:val="00407585"/>
    <w:rsid w:val="004123A1"/>
    <w:rsid w:val="004161CD"/>
    <w:rsid w:val="0041713E"/>
    <w:rsid w:val="00417487"/>
    <w:rsid w:val="00421D3F"/>
    <w:rsid w:val="004221F8"/>
    <w:rsid w:val="00422DE6"/>
    <w:rsid w:val="00423785"/>
    <w:rsid w:val="004251F4"/>
    <w:rsid w:val="00433638"/>
    <w:rsid w:val="004400DC"/>
    <w:rsid w:val="00441BC5"/>
    <w:rsid w:val="00442196"/>
    <w:rsid w:val="00443F76"/>
    <w:rsid w:val="00451782"/>
    <w:rsid w:val="00451F2D"/>
    <w:rsid w:val="00452CEA"/>
    <w:rsid w:val="00452D26"/>
    <w:rsid w:val="00453EED"/>
    <w:rsid w:val="00454882"/>
    <w:rsid w:val="004603B1"/>
    <w:rsid w:val="00460A5D"/>
    <w:rsid w:val="00460F04"/>
    <w:rsid w:val="00463ADA"/>
    <w:rsid w:val="00463E58"/>
    <w:rsid w:val="004649E1"/>
    <w:rsid w:val="0046794D"/>
    <w:rsid w:val="00467D16"/>
    <w:rsid w:val="0047015A"/>
    <w:rsid w:val="00470A9E"/>
    <w:rsid w:val="004711AA"/>
    <w:rsid w:val="0048571A"/>
    <w:rsid w:val="00487CD0"/>
    <w:rsid w:val="00491188"/>
    <w:rsid w:val="00493F2E"/>
    <w:rsid w:val="0049521F"/>
    <w:rsid w:val="00495E4A"/>
    <w:rsid w:val="004A06CD"/>
    <w:rsid w:val="004A25D4"/>
    <w:rsid w:val="004A4311"/>
    <w:rsid w:val="004A4B13"/>
    <w:rsid w:val="004A4B6F"/>
    <w:rsid w:val="004A4CF9"/>
    <w:rsid w:val="004A5228"/>
    <w:rsid w:val="004B23CC"/>
    <w:rsid w:val="004B361F"/>
    <w:rsid w:val="004B3D59"/>
    <w:rsid w:val="004B54BB"/>
    <w:rsid w:val="004B7E63"/>
    <w:rsid w:val="004C330D"/>
    <w:rsid w:val="004C48D5"/>
    <w:rsid w:val="004C4E56"/>
    <w:rsid w:val="004C5573"/>
    <w:rsid w:val="004C5999"/>
    <w:rsid w:val="004C5C7D"/>
    <w:rsid w:val="004D0DCD"/>
    <w:rsid w:val="004D177A"/>
    <w:rsid w:val="004D2965"/>
    <w:rsid w:val="004E19A4"/>
    <w:rsid w:val="004E1BFE"/>
    <w:rsid w:val="004E27DC"/>
    <w:rsid w:val="004E3972"/>
    <w:rsid w:val="004E4BAA"/>
    <w:rsid w:val="004E5919"/>
    <w:rsid w:val="004E6930"/>
    <w:rsid w:val="004F4A90"/>
    <w:rsid w:val="004F63AB"/>
    <w:rsid w:val="004F6D20"/>
    <w:rsid w:val="00500C33"/>
    <w:rsid w:val="00501A03"/>
    <w:rsid w:val="0050233D"/>
    <w:rsid w:val="005028AE"/>
    <w:rsid w:val="00503E61"/>
    <w:rsid w:val="00504B4A"/>
    <w:rsid w:val="00505846"/>
    <w:rsid w:val="005072D4"/>
    <w:rsid w:val="005073E3"/>
    <w:rsid w:val="00510980"/>
    <w:rsid w:val="00511358"/>
    <w:rsid w:val="00515CAA"/>
    <w:rsid w:val="0051770F"/>
    <w:rsid w:val="005228FF"/>
    <w:rsid w:val="00523E26"/>
    <w:rsid w:val="00523EF2"/>
    <w:rsid w:val="00532B45"/>
    <w:rsid w:val="00534CC8"/>
    <w:rsid w:val="005356B3"/>
    <w:rsid w:val="005361A5"/>
    <w:rsid w:val="0054459A"/>
    <w:rsid w:val="00550901"/>
    <w:rsid w:val="00552C71"/>
    <w:rsid w:val="00552CF5"/>
    <w:rsid w:val="00554145"/>
    <w:rsid w:val="00555438"/>
    <w:rsid w:val="00562B64"/>
    <w:rsid w:val="00565141"/>
    <w:rsid w:val="00570807"/>
    <w:rsid w:val="00570939"/>
    <w:rsid w:val="00571996"/>
    <w:rsid w:val="00581E71"/>
    <w:rsid w:val="00582F2B"/>
    <w:rsid w:val="00583384"/>
    <w:rsid w:val="00584C8D"/>
    <w:rsid w:val="00584FC3"/>
    <w:rsid w:val="005859D6"/>
    <w:rsid w:val="00586B5A"/>
    <w:rsid w:val="005932C5"/>
    <w:rsid w:val="005957DA"/>
    <w:rsid w:val="00595B5B"/>
    <w:rsid w:val="00595EA7"/>
    <w:rsid w:val="00597AB0"/>
    <w:rsid w:val="005A11A3"/>
    <w:rsid w:val="005A2195"/>
    <w:rsid w:val="005A31C4"/>
    <w:rsid w:val="005A3CA3"/>
    <w:rsid w:val="005A45C6"/>
    <w:rsid w:val="005A51FA"/>
    <w:rsid w:val="005A75C9"/>
    <w:rsid w:val="005B04B4"/>
    <w:rsid w:val="005B167C"/>
    <w:rsid w:val="005B187D"/>
    <w:rsid w:val="005B337E"/>
    <w:rsid w:val="005B4EC8"/>
    <w:rsid w:val="005B4EE5"/>
    <w:rsid w:val="005B52F3"/>
    <w:rsid w:val="005B59B6"/>
    <w:rsid w:val="005B72D3"/>
    <w:rsid w:val="005C242D"/>
    <w:rsid w:val="005C3666"/>
    <w:rsid w:val="005C4043"/>
    <w:rsid w:val="005C5C92"/>
    <w:rsid w:val="005C5DC3"/>
    <w:rsid w:val="005C7982"/>
    <w:rsid w:val="005D0480"/>
    <w:rsid w:val="005D435F"/>
    <w:rsid w:val="005D4BA3"/>
    <w:rsid w:val="005D592C"/>
    <w:rsid w:val="005D6478"/>
    <w:rsid w:val="005D664A"/>
    <w:rsid w:val="005D6745"/>
    <w:rsid w:val="005E0CC1"/>
    <w:rsid w:val="005E582F"/>
    <w:rsid w:val="005F43BA"/>
    <w:rsid w:val="005F5B4C"/>
    <w:rsid w:val="005F6EF0"/>
    <w:rsid w:val="00600196"/>
    <w:rsid w:val="00605C99"/>
    <w:rsid w:val="006070E4"/>
    <w:rsid w:val="00607DA8"/>
    <w:rsid w:val="00607F4B"/>
    <w:rsid w:val="00611AEB"/>
    <w:rsid w:val="00612EDF"/>
    <w:rsid w:val="00613527"/>
    <w:rsid w:val="00613926"/>
    <w:rsid w:val="00613982"/>
    <w:rsid w:val="006165E4"/>
    <w:rsid w:val="00621FE5"/>
    <w:rsid w:val="006232DC"/>
    <w:rsid w:val="00624D76"/>
    <w:rsid w:val="00625767"/>
    <w:rsid w:val="006259E1"/>
    <w:rsid w:val="00625F10"/>
    <w:rsid w:val="0063094F"/>
    <w:rsid w:val="00631554"/>
    <w:rsid w:val="0063723D"/>
    <w:rsid w:val="00640BB2"/>
    <w:rsid w:val="00640F48"/>
    <w:rsid w:val="00643A6A"/>
    <w:rsid w:val="00643C34"/>
    <w:rsid w:val="00656613"/>
    <w:rsid w:val="006572B6"/>
    <w:rsid w:val="00657BF6"/>
    <w:rsid w:val="00663BC2"/>
    <w:rsid w:val="0066402E"/>
    <w:rsid w:val="00664521"/>
    <w:rsid w:val="006657A7"/>
    <w:rsid w:val="00665A26"/>
    <w:rsid w:val="006715CB"/>
    <w:rsid w:val="0067512D"/>
    <w:rsid w:val="006815CD"/>
    <w:rsid w:val="00684F25"/>
    <w:rsid w:val="00686137"/>
    <w:rsid w:val="0069089B"/>
    <w:rsid w:val="00691402"/>
    <w:rsid w:val="00691A35"/>
    <w:rsid w:val="006942EE"/>
    <w:rsid w:val="00695356"/>
    <w:rsid w:val="00695DA5"/>
    <w:rsid w:val="006A29B9"/>
    <w:rsid w:val="006B183E"/>
    <w:rsid w:val="006B1B06"/>
    <w:rsid w:val="006B2151"/>
    <w:rsid w:val="006B2BE2"/>
    <w:rsid w:val="006B333F"/>
    <w:rsid w:val="006B33E7"/>
    <w:rsid w:val="006B4537"/>
    <w:rsid w:val="006B4AD0"/>
    <w:rsid w:val="006B5202"/>
    <w:rsid w:val="006B72F6"/>
    <w:rsid w:val="006B7731"/>
    <w:rsid w:val="006C0F4B"/>
    <w:rsid w:val="006C3620"/>
    <w:rsid w:val="006C3F1E"/>
    <w:rsid w:val="006C51C9"/>
    <w:rsid w:val="006C595B"/>
    <w:rsid w:val="006C7EE2"/>
    <w:rsid w:val="006D67F3"/>
    <w:rsid w:val="006E1279"/>
    <w:rsid w:val="006E2A8D"/>
    <w:rsid w:val="006E5426"/>
    <w:rsid w:val="006F1FFF"/>
    <w:rsid w:val="006F486F"/>
    <w:rsid w:val="006F6D10"/>
    <w:rsid w:val="00702DFC"/>
    <w:rsid w:val="00705428"/>
    <w:rsid w:val="007078C8"/>
    <w:rsid w:val="00711694"/>
    <w:rsid w:val="00712B94"/>
    <w:rsid w:val="007141D3"/>
    <w:rsid w:val="0071565F"/>
    <w:rsid w:val="0071650D"/>
    <w:rsid w:val="00720E52"/>
    <w:rsid w:val="00726779"/>
    <w:rsid w:val="00730380"/>
    <w:rsid w:val="00731389"/>
    <w:rsid w:val="00733280"/>
    <w:rsid w:val="007359D0"/>
    <w:rsid w:val="00735F3E"/>
    <w:rsid w:val="007409F6"/>
    <w:rsid w:val="00741A8E"/>
    <w:rsid w:val="00741D4C"/>
    <w:rsid w:val="00745071"/>
    <w:rsid w:val="007455E3"/>
    <w:rsid w:val="00745DB2"/>
    <w:rsid w:val="00747D19"/>
    <w:rsid w:val="00754C60"/>
    <w:rsid w:val="00756A00"/>
    <w:rsid w:val="00761FBF"/>
    <w:rsid w:val="00771DD7"/>
    <w:rsid w:val="007720AA"/>
    <w:rsid w:val="00772C0E"/>
    <w:rsid w:val="00773130"/>
    <w:rsid w:val="0077349D"/>
    <w:rsid w:val="007734EB"/>
    <w:rsid w:val="0077352B"/>
    <w:rsid w:val="00774205"/>
    <w:rsid w:val="00774D64"/>
    <w:rsid w:val="00776341"/>
    <w:rsid w:val="007766A4"/>
    <w:rsid w:val="00782520"/>
    <w:rsid w:val="00783AE8"/>
    <w:rsid w:val="00785B1E"/>
    <w:rsid w:val="00794C46"/>
    <w:rsid w:val="0079682E"/>
    <w:rsid w:val="007969CF"/>
    <w:rsid w:val="007A4AC6"/>
    <w:rsid w:val="007A7525"/>
    <w:rsid w:val="007B22C3"/>
    <w:rsid w:val="007B2CA1"/>
    <w:rsid w:val="007B4DB6"/>
    <w:rsid w:val="007B5073"/>
    <w:rsid w:val="007D0718"/>
    <w:rsid w:val="007D0ABC"/>
    <w:rsid w:val="007D1972"/>
    <w:rsid w:val="007D43E2"/>
    <w:rsid w:val="007D4A37"/>
    <w:rsid w:val="007D5A9C"/>
    <w:rsid w:val="007D78F6"/>
    <w:rsid w:val="007D7F05"/>
    <w:rsid w:val="007E3DDB"/>
    <w:rsid w:val="007E59AD"/>
    <w:rsid w:val="007E71A4"/>
    <w:rsid w:val="007F0886"/>
    <w:rsid w:val="007F3562"/>
    <w:rsid w:val="007F3C34"/>
    <w:rsid w:val="007F73C5"/>
    <w:rsid w:val="007F7763"/>
    <w:rsid w:val="008042F5"/>
    <w:rsid w:val="00805587"/>
    <w:rsid w:val="00805727"/>
    <w:rsid w:val="00806B59"/>
    <w:rsid w:val="008070A3"/>
    <w:rsid w:val="00807D5E"/>
    <w:rsid w:val="00814538"/>
    <w:rsid w:val="00820073"/>
    <w:rsid w:val="00821278"/>
    <w:rsid w:val="00822E96"/>
    <w:rsid w:val="00823733"/>
    <w:rsid w:val="008249AC"/>
    <w:rsid w:val="008305C1"/>
    <w:rsid w:val="00830695"/>
    <w:rsid w:val="0083086D"/>
    <w:rsid w:val="008324C2"/>
    <w:rsid w:val="008325DD"/>
    <w:rsid w:val="00832942"/>
    <w:rsid w:val="00835D93"/>
    <w:rsid w:val="00837677"/>
    <w:rsid w:val="008408B8"/>
    <w:rsid w:val="0084105E"/>
    <w:rsid w:val="008455FA"/>
    <w:rsid w:val="0084618D"/>
    <w:rsid w:val="0085199F"/>
    <w:rsid w:val="00854195"/>
    <w:rsid w:val="00864B94"/>
    <w:rsid w:val="00865055"/>
    <w:rsid w:val="008661D8"/>
    <w:rsid w:val="00874748"/>
    <w:rsid w:val="00874934"/>
    <w:rsid w:val="00874ADC"/>
    <w:rsid w:val="00876640"/>
    <w:rsid w:val="0087775C"/>
    <w:rsid w:val="00881821"/>
    <w:rsid w:val="00881E2C"/>
    <w:rsid w:val="008830EF"/>
    <w:rsid w:val="00884C35"/>
    <w:rsid w:val="00886959"/>
    <w:rsid w:val="00886A4A"/>
    <w:rsid w:val="00886E59"/>
    <w:rsid w:val="008905EC"/>
    <w:rsid w:val="008974B9"/>
    <w:rsid w:val="008A129E"/>
    <w:rsid w:val="008A185A"/>
    <w:rsid w:val="008A1F83"/>
    <w:rsid w:val="008A20FC"/>
    <w:rsid w:val="008A2D4F"/>
    <w:rsid w:val="008A2D73"/>
    <w:rsid w:val="008A36E1"/>
    <w:rsid w:val="008A37A7"/>
    <w:rsid w:val="008A495A"/>
    <w:rsid w:val="008A4F01"/>
    <w:rsid w:val="008A5054"/>
    <w:rsid w:val="008A7252"/>
    <w:rsid w:val="008B0736"/>
    <w:rsid w:val="008B7E02"/>
    <w:rsid w:val="008D08AE"/>
    <w:rsid w:val="008D3FD6"/>
    <w:rsid w:val="008D42D2"/>
    <w:rsid w:val="008D4706"/>
    <w:rsid w:val="008D4EE2"/>
    <w:rsid w:val="008D6031"/>
    <w:rsid w:val="008D621F"/>
    <w:rsid w:val="008D79C7"/>
    <w:rsid w:val="008E1059"/>
    <w:rsid w:val="008E1542"/>
    <w:rsid w:val="008E343F"/>
    <w:rsid w:val="008E49B7"/>
    <w:rsid w:val="008F05CD"/>
    <w:rsid w:val="008F6377"/>
    <w:rsid w:val="00900A19"/>
    <w:rsid w:val="00902223"/>
    <w:rsid w:val="0090383A"/>
    <w:rsid w:val="00903C14"/>
    <w:rsid w:val="00911176"/>
    <w:rsid w:val="00913293"/>
    <w:rsid w:val="009158D9"/>
    <w:rsid w:val="00920446"/>
    <w:rsid w:val="00921785"/>
    <w:rsid w:val="00922B01"/>
    <w:rsid w:val="00930C7B"/>
    <w:rsid w:val="00930DD3"/>
    <w:rsid w:val="009333A9"/>
    <w:rsid w:val="00940BD4"/>
    <w:rsid w:val="009417A4"/>
    <w:rsid w:val="00943FE4"/>
    <w:rsid w:val="009446DD"/>
    <w:rsid w:val="009464CF"/>
    <w:rsid w:val="009503DC"/>
    <w:rsid w:val="00950B06"/>
    <w:rsid w:val="00950DB3"/>
    <w:rsid w:val="00954B57"/>
    <w:rsid w:val="0095548F"/>
    <w:rsid w:val="009577C6"/>
    <w:rsid w:val="00965583"/>
    <w:rsid w:val="009655DD"/>
    <w:rsid w:val="0096611B"/>
    <w:rsid w:val="00970069"/>
    <w:rsid w:val="009721EB"/>
    <w:rsid w:val="009749BF"/>
    <w:rsid w:val="00980C44"/>
    <w:rsid w:val="0098120A"/>
    <w:rsid w:val="0098165E"/>
    <w:rsid w:val="00983A3B"/>
    <w:rsid w:val="00984A20"/>
    <w:rsid w:val="00985DB9"/>
    <w:rsid w:val="00986392"/>
    <w:rsid w:val="00990A53"/>
    <w:rsid w:val="00990BB1"/>
    <w:rsid w:val="00993491"/>
    <w:rsid w:val="009A1A82"/>
    <w:rsid w:val="009A2EDE"/>
    <w:rsid w:val="009A3756"/>
    <w:rsid w:val="009A3F66"/>
    <w:rsid w:val="009A635B"/>
    <w:rsid w:val="009A6556"/>
    <w:rsid w:val="009B0458"/>
    <w:rsid w:val="009B266C"/>
    <w:rsid w:val="009B2B65"/>
    <w:rsid w:val="009B551D"/>
    <w:rsid w:val="009B5827"/>
    <w:rsid w:val="009B706E"/>
    <w:rsid w:val="009C0325"/>
    <w:rsid w:val="009C423A"/>
    <w:rsid w:val="009C5A95"/>
    <w:rsid w:val="009C5DB9"/>
    <w:rsid w:val="009C5E4A"/>
    <w:rsid w:val="009D0069"/>
    <w:rsid w:val="009D15DA"/>
    <w:rsid w:val="009D1A1C"/>
    <w:rsid w:val="009D321C"/>
    <w:rsid w:val="009D68C5"/>
    <w:rsid w:val="009D7447"/>
    <w:rsid w:val="009E1595"/>
    <w:rsid w:val="009E1845"/>
    <w:rsid w:val="009E224A"/>
    <w:rsid w:val="009E3F11"/>
    <w:rsid w:val="009E4F39"/>
    <w:rsid w:val="009E79ED"/>
    <w:rsid w:val="009F6B8D"/>
    <w:rsid w:val="00A0353F"/>
    <w:rsid w:val="00A07596"/>
    <w:rsid w:val="00A07603"/>
    <w:rsid w:val="00A10444"/>
    <w:rsid w:val="00A106E0"/>
    <w:rsid w:val="00A12752"/>
    <w:rsid w:val="00A127E4"/>
    <w:rsid w:val="00A128A3"/>
    <w:rsid w:val="00A128B5"/>
    <w:rsid w:val="00A129F8"/>
    <w:rsid w:val="00A1325E"/>
    <w:rsid w:val="00A14E96"/>
    <w:rsid w:val="00A14FB0"/>
    <w:rsid w:val="00A161E4"/>
    <w:rsid w:val="00A17A08"/>
    <w:rsid w:val="00A21452"/>
    <w:rsid w:val="00A22813"/>
    <w:rsid w:val="00A24B09"/>
    <w:rsid w:val="00A25254"/>
    <w:rsid w:val="00A263AD"/>
    <w:rsid w:val="00A30C43"/>
    <w:rsid w:val="00A31A51"/>
    <w:rsid w:val="00A31E20"/>
    <w:rsid w:val="00A33038"/>
    <w:rsid w:val="00A34A2A"/>
    <w:rsid w:val="00A406F9"/>
    <w:rsid w:val="00A42489"/>
    <w:rsid w:val="00A46BB9"/>
    <w:rsid w:val="00A46D1B"/>
    <w:rsid w:val="00A47802"/>
    <w:rsid w:val="00A478D2"/>
    <w:rsid w:val="00A5154A"/>
    <w:rsid w:val="00A5317F"/>
    <w:rsid w:val="00A534B3"/>
    <w:rsid w:val="00A60673"/>
    <w:rsid w:val="00A664FD"/>
    <w:rsid w:val="00A678CE"/>
    <w:rsid w:val="00A70E7D"/>
    <w:rsid w:val="00A70F56"/>
    <w:rsid w:val="00A72E68"/>
    <w:rsid w:val="00A81216"/>
    <w:rsid w:val="00A81ED9"/>
    <w:rsid w:val="00A843E3"/>
    <w:rsid w:val="00A84ACC"/>
    <w:rsid w:val="00A85868"/>
    <w:rsid w:val="00A86BD3"/>
    <w:rsid w:val="00A878AA"/>
    <w:rsid w:val="00A91C3F"/>
    <w:rsid w:val="00A92174"/>
    <w:rsid w:val="00A93BFF"/>
    <w:rsid w:val="00A9569C"/>
    <w:rsid w:val="00A963CF"/>
    <w:rsid w:val="00A96C4F"/>
    <w:rsid w:val="00A970CB"/>
    <w:rsid w:val="00A974BB"/>
    <w:rsid w:val="00AA1AEC"/>
    <w:rsid w:val="00AA2980"/>
    <w:rsid w:val="00AA54C2"/>
    <w:rsid w:val="00AA7431"/>
    <w:rsid w:val="00AB0962"/>
    <w:rsid w:val="00AB2652"/>
    <w:rsid w:val="00AB66E5"/>
    <w:rsid w:val="00AC0142"/>
    <w:rsid w:val="00AC1080"/>
    <w:rsid w:val="00AC1088"/>
    <w:rsid w:val="00AC110A"/>
    <w:rsid w:val="00AC1530"/>
    <w:rsid w:val="00AC1872"/>
    <w:rsid w:val="00AC3B5E"/>
    <w:rsid w:val="00AC453C"/>
    <w:rsid w:val="00AC7341"/>
    <w:rsid w:val="00AD1D25"/>
    <w:rsid w:val="00AD2171"/>
    <w:rsid w:val="00AD5CFA"/>
    <w:rsid w:val="00AD631F"/>
    <w:rsid w:val="00AE0084"/>
    <w:rsid w:val="00AE205A"/>
    <w:rsid w:val="00AE21FF"/>
    <w:rsid w:val="00AE2B90"/>
    <w:rsid w:val="00AE2DC2"/>
    <w:rsid w:val="00AE30F3"/>
    <w:rsid w:val="00AE425A"/>
    <w:rsid w:val="00AE64F0"/>
    <w:rsid w:val="00AF103D"/>
    <w:rsid w:val="00AF1F18"/>
    <w:rsid w:val="00AF3118"/>
    <w:rsid w:val="00AF45A3"/>
    <w:rsid w:val="00AF526F"/>
    <w:rsid w:val="00B0053A"/>
    <w:rsid w:val="00B00E70"/>
    <w:rsid w:val="00B01013"/>
    <w:rsid w:val="00B019A2"/>
    <w:rsid w:val="00B0557C"/>
    <w:rsid w:val="00B0726E"/>
    <w:rsid w:val="00B11953"/>
    <w:rsid w:val="00B12063"/>
    <w:rsid w:val="00B15CA6"/>
    <w:rsid w:val="00B219D1"/>
    <w:rsid w:val="00B22D42"/>
    <w:rsid w:val="00B251A7"/>
    <w:rsid w:val="00B256CB"/>
    <w:rsid w:val="00B263EE"/>
    <w:rsid w:val="00B26BCA"/>
    <w:rsid w:val="00B27CFC"/>
    <w:rsid w:val="00B30CEF"/>
    <w:rsid w:val="00B432B8"/>
    <w:rsid w:val="00B5362A"/>
    <w:rsid w:val="00B5618D"/>
    <w:rsid w:val="00B570C9"/>
    <w:rsid w:val="00B60A34"/>
    <w:rsid w:val="00B637B1"/>
    <w:rsid w:val="00B646C2"/>
    <w:rsid w:val="00B662EC"/>
    <w:rsid w:val="00B67286"/>
    <w:rsid w:val="00B75909"/>
    <w:rsid w:val="00B762E4"/>
    <w:rsid w:val="00B76748"/>
    <w:rsid w:val="00B77B0F"/>
    <w:rsid w:val="00B81C21"/>
    <w:rsid w:val="00B81FA4"/>
    <w:rsid w:val="00B823E5"/>
    <w:rsid w:val="00B82C5B"/>
    <w:rsid w:val="00B8548F"/>
    <w:rsid w:val="00B85785"/>
    <w:rsid w:val="00B8794C"/>
    <w:rsid w:val="00B90350"/>
    <w:rsid w:val="00B93C1D"/>
    <w:rsid w:val="00B95834"/>
    <w:rsid w:val="00B95EF4"/>
    <w:rsid w:val="00B96534"/>
    <w:rsid w:val="00BA0905"/>
    <w:rsid w:val="00BA095A"/>
    <w:rsid w:val="00BA233A"/>
    <w:rsid w:val="00BA3AC8"/>
    <w:rsid w:val="00BA3E35"/>
    <w:rsid w:val="00BA4F89"/>
    <w:rsid w:val="00BA7E83"/>
    <w:rsid w:val="00BB1B4B"/>
    <w:rsid w:val="00BB2780"/>
    <w:rsid w:val="00BB3078"/>
    <w:rsid w:val="00BB36CC"/>
    <w:rsid w:val="00BB54C1"/>
    <w:rsid w:val="00BB5F58"/>
    <w:rsid w:val="00BB6509"/>
    <w:rsid w:val="00BB66A0"/>
    <w:rsid w:val="00BB73AA"/>
    <w:rsid w:val="00BC1B02"/>
    <w:rsid w:val="00BC248C"/>
    <w:rsid w:val="00BC387F"/>
    <w:rsid w:val="00BD07BF"/>
    <w:rsid w:val="00BD3643"/>
    <w:rsid w:val="00BD3F8B"/>
    <w:rsid w:val="00BD637C"/>
    <w:rsid w:val="00BE26D6"/>
    <w:rsid w:val="00BE62C0"/>
    <w:rsid w:val="00BF4BC6"/>
    <w:rsid w:val="00BF730C"/>
    <w:rsid w:val="00C0034F"/>
    <w:rsid w:val="00C01EC0"/>
    <w:rsid w:val="00C02001"/>
    <w:rsid w:val="00C03918"/>
    <w:rsid w:val="00C03FE9"/>
    <w:rsid w:val="00C062F4"/>
    <w:rsid w:val="00C069EB"/>
    <w:rsid w:val="00C07CE3"/>
    <w:rsid w:val="00C1157C"/>
    <w:rsid w:val="00C1290D"/>
    <w:rsid w:val="00C133A9"/>
    <w:rsid w:val="00C1433B"/>
    <w:rsid w:val="00C1600D"/>
    <w:rsid w:val="00C1651F"/>
    <w:rsid w:val="00C16BCA"/>
    <w:rsid w:val="00C20438"/>
    <w:rsid w:val="00C21231"/>
    <w:rsid w:val="00C233A6"/>
    <w:rsid w:val="00C244EE"/>
    <w:rsid w:val="00C26401"/>
    <w:rsid w:val="00C27092"/>
    <w:rsid w:val="00C2736C"/>
    <w:rsid w:val="00C309FF"/>
    <w:rsid w:val="00C33223"/>
    <w:rsid w:val="00C33BA2"/>
    <w:rsid w:val="00C3558B"/>
    <w:rsid w:val="00C358B3"/>
    <w:rsid w:val="00C35C17"/>
    <w:rsid w:val="00C3644C"/>
    <w:rsid w:val="00C37536"/>
    <w:rsid w:val="00C41458"/>
    <w:rsid w:val="00C4308E"/>
    <w:rsid w:val="00C4438B"/>
    <w:rsid w:val="00C4534A"/>
    <w:rsid w:val="00C52AA0"/>
    <w:rsid w:val="00C607B7"/>
    <w:rsid w:val="00C61329"/>
    <w:rsid w:val="00C6296D"/>
    <w:rsid w:val="00C62B1F"/>
    <w:rsid w:val="00C62BFE"/>
    <w:rsid w:val="00C6375B"/>
    <w:rsid w:val="00C643D2"/>
    <w:rsid w:val="00C652EA"/>
    <w:rsid w:val="00C72224"/>
    <w:rsid w:val="00C72FC1"/>
    <w:rsid w:val="00C744FD"/>
    <w:rsid w:val="00C75612"/>
    <w:rsid w:val="00C75706"/>
    <w:rsid w:val="00C77711"/>
    <w:rsid w:val="00C80248"/>
    <w:rsid w:val="00C80CA1"/>
    <w:rsid w:val="00C82156"/>
    <w:rsid w:val="00C833F3"/>
    <w:rsid w:val="00C83D8F"/>
    <w:rsid w:val="00C8691D"/>
    <w:rsid w:val="00C870C9"/>
    <w:rsid w:val="00C92408"/>
    <w:rsid w:val="00C93D41"/>
    <w:rsid w:val="00C9413D"/>
    <w:rsid w:val="00C9718D"/>
    <w:rsid w:val="00C97D51"/>
    <w:rsid w:val="00CA287E"/>
    <w:rsid w:val="00CA38B7"/>
    <w:rsid w:val="00CA4815"/>
    <w:rsid w:val="00CA56DF"/>
    <w:rsid w:val="00CA723C"/>
    <w:rsid w:val="00CB0854"/>
    <w:rsid w:val="00CB1669"/>
    <w:rsid w:val="00CB2055"/>
    <w:rsid w:val="00CB34A0"/>
    <w:rsid w:val="00CB3863"/>
    <w:rsid w:val="00CB3D5B"/>
    <w:rsid w:val="00CB3DB4"/>
    <w:rsid w:val="00CB4BE5"/>
    <w:rsid w:val="00CC02C4"/>
    <w:rsid w:val="00CC1D7A"/>
    <w:rsid w:val="00CC343F"/>
    <w:rsid w:val="00CC3ECD"/>
    <w:rsid w:val="00CC4242"/>
    <w:rsid w:val="00CC6549"/>
    <w:rsid w:val="00CD1E2D"/>
    <w:rsid w:val="00CD27C1"/>
    <w:rsid w:val="00CD2815"/>
    <w:rsid w:val="00CD31A3"/>
    <w:rsid w:val="00CD3F60"/>
    <w:rsid w:val="00CD6C5E"/>
    <w:rsid w:val="00CE020E"/>
    <w:rsid w:val="00CE5716"/>
    <w:rsid w:val="00CE597F"/>
    <w:rsid w:val="00CF0F5C"/>
    <w:rsid w:val="00CF1D32"/>
    <w:rsid w:val="00CF59A9"/>
    <w:rsid w:val="00CF6562"/>
    <w:rsid w:val="00CF6757"/>
    <w:rsid w:val="00CF75F4"/>
    <w:rsid w:val="00CF76FB"/>
    <w:rsid w:val="00D02D1E"/>
    <w:rsid w:val="00D03565"/>
    <w:rsid w:val="00D04F9A"/>
    <w:rsid w:val="00D05EDD"/>
    <w:rsid w:val="00D07FDB"/>
    <w:rsid w:val="00D131A0"/>
    <w:rsid w:val="00D13ECE"/>
    <w:rsid w:val="00D15759"/>
    <w:rsid w:val="00D20953"/>
    <w:rsid w:val="00D2234F"/>
    <w:rsid w:val="00D224A9"/>
    <w:rsid w:val="00D235F9"/>
    <w:rsid w:val="00D24E62"/>
    <w:rsid w:val="00D24E71"/>
    <w:rsid w:val="00D26006"/>
    <w:rsid w:val="00D26690"/>
    <w:rsid w:val="00D300DD"/>
    <w:rsid w:val="00D308B9"/>
    <w:rsid w:val="00D32934"/>
    <w:rsid w:val="00D32ABF"/>
    <w:rsid w:val="00D4277D"/>
    <w:rsid w:val="00D5147A"/>
    <w:rsid w:val="00D5155B"/>
    <w:rsid w:val="00D517D5"/>
    <w:rsid w:val="00D51F8F"/>
    <w:rsid w:val="00D52204"/>
    <w:rsid w:val="00D5584F"/>
    <w:rsid w:val="00D5688A"/>
    <w:rsid w:val="00D635FB"/>
    <w:rsid w:val="00D640FF"/>
    <w:rsid w:val="00D64DEB"/>
    <w:rsid w:val="00D662F3"/>
    <w:rsid w:val="00D72151"/>
    <w:rsid w:val="00D7528D"/>
    <w:rsid w:val="00D778F2"/>
    <w:rsid w:val="00D831CC"/>
    <w:rsid w:val="00D851C4"/>
    <w:rsid w:val="00D85578"/>
    <w:rsid w:val="00D85717"/>
    <w:rsid w:val="00D909B2"/>
    <w:rsid w:val="00D913FE"/>
    <w:rsid w:val="00D934D3"/>
    <w:rsid w:val="00D95D1B"/>
    <w:rsid w:val="00D960DC"/>
    <w:rsid w:val="00D9667B"/>
    <w:rsid w:val="00D968C4"/>
    <w:rsid w:val="00D968D6"/>
    <w:rsid w:val="00D9786B"/>
    <w:rsid w:val="00DA4575"/>
    <w:rsid w:val="00DB059A"/>
    <w:rsid w:val="00DB189F"/>
    <w:rsid w:val="00DB467F"/>
    <w:rsid w:val="00DB5176"/>
    <w:rsid w:val="00DB525D"/>
    <w:rsid w:val="00DB6825"/>
    <w:rsid w:val="00DB6C1B"/>
    <w:rsid w:val="00DC0C34"/>
    <w:rsid w:val="00DC5980"/>
    <w:rsid w:val="00DC67DE"/>
    <w:rsid w:val="00DC68B0"/>
    <w:rsid w:val="00DC73E6"/>
    <w:rsid w:val="00DD0843"/>
    <w:rsid w:val="00DD2B46"/>
    <w:rsid w:val="00DD6968"/>
    <w:rsid w:val="00DD69C8"/>
    <w:rsid w:val="00DD7AD7"/>
    <w:rsid w:val="00DE0349"/>
    <w:rsid w:val="00DE1B6E"/>
    <w:rsid w:val="00DE3001"/>
    <w:rsid w:val="00DE4AC9"/>
    <w:rsid w:val="00DE6A08"/>
    <w:rsid w:val="00DE7EEB"/>
    <w:rsid w:val="00DF2858"/>
    <w:rsid w:val="00DF458C"/>
    <w:rsid w:val="00DF6F99"/>
    <w:rsid w:val="00E01B6F"/>
    <w:rsid w:val="00E01F13"/>
    <w:rsid w:val="00E02E12"/>
    <w:rsid w:val="00E11152"/>
    <w:rsid w:val="00E12E29"/>
    <w:rsid w:val="00E15AE2"/>
    <w:rsid w:val="00E16580"/>
    <w:rsid w:val="00E1687A"/>
    <w:rsid w:val="00E21A42"/>
    <w:rsid w:val="00E2404C"/>
    <w:rsid w:val="00E32578"/>
    <w:rsid w:val="00E331DB"/>
    <w:rsid w:val="00E35169"/>
    <w:rsid w:val="00E36DFB"/>
    <w:rsid w:val="00E3702C"/>
    <w:rsid w:val="00E41005"/>
    <w:rsid w:val="00E46EC9"/>
    <w:rsid w:val="00E507F1"/>
    <w:rsid w:val="00E529E5"/>
    <w:rsid w:val="00E562D0"/>
    <w:rsid w:val="00E61416"/>
    <w:rsid w:val="00E62265"/>
    <w:rsid w:val="00E647F3"/>
    <w:rsid w:val="00E65157"/>
    <w:rsid w:val="00E66382"/>
    <w:rsid w:val="00E67210"/>
    <w:rsid w:val="00E72D10"/>
    <w:rsid w:val="00E73907"/>
    <w:rsid w:val="00E8062D"/>
    <w:rsid w:val="00E859EE"/>
    <w:rsid w:val="00E86C35"/>
    <w:rsid w:val="00E94B6D"/>
    <w:rsid w:val="00E9700D"/>
    <w:rsid w:val="00E97BA8"/>
    <w:rsid w:val="00EA071C"/>
    <w:rsid w:val="00EA14A2"/>
    <w:rsid w:val="00EA1985"/>
    <w:rsid w:val="00EA27C4"/>
    <w:rsid w:val="00EA3FF4"/>
    <w:rsid w:val="00EA4F39"/>
    <w:rsid w:val="00EA65E9"/>
    <w:rsid w:val="00EA6BE6"/>
    <w:rsid w:val="00EA6E17"/>
    <w:rsid w:val="00EB2DF9"/>
    <w:rsid w:val="00EB4C2F"/>
    <w:rsid w:val="00EC051F"/>
    <w:rsid w:val="00EC0A74"/>
    <w:rsid w:val="00EC0CB4"/>
    <w:rsid w:val="00EC189A"/>
    <w:rsid w:val="00EC2363"/>
    <w:rsid w:val="00EC3CC8"/>
    <w:rsid w:val="00EC6ACF"/>
    <w:rsid w:val="00ED0DDF"/>
    <w:rsid w:val="00ED2D2E"/>
    <w:rsid w:val="00ED3217"/>
    <w:rsid w:val="00ED536D"/>
    <w:rsid w:val="00ED5AE3"/>
    <w:rsid w:val="00ED67F4"/>
    <w:rsid w:val="00ED79E3"/>
    <w:rsid w:val="00EE1900"/>
    <w:rsid w:val="00EE3A11"/>
    <w:rsid w:val="00EE5A27"/>
    <w:rsid w:val="00EE7719"/>
    <w:rsid w:val="00EF0395"/>
    <w:rsid w:val="00EF135D"/>
    <w:rsid w:val="00EF1900"/>
    <w:rsid w:val="00EF1E29"/>
    <w:rsid w:val="00F02DB3"/>
    <w:rsid w:val="00F07B57"/>
    <w:rsid w:val="00F1000D"/>
    <w:rsid w:val="00F10D5E"/>
    <w:rsid w:val="00F1439E"/>
    <w:rsid w:val="00F16ABC"/>
    <w:rsid w:val="00F226E7"/>
    <w:rsid w:val="00F26C74"/>
    <w:rsid w:val="00F278F2"/>
    <w:rsid w:val="00F31023"/>
    <w:rsid w:val="00F311A4"/>
    <w:rsid w:val="00F34600"/>
    <w:rsid w:val="00F34B94"/>
    <w:rsid w:val="00F3681D"/>
    <w:rsid w:val="00F40FF4"/>
    <w:rsid w:val="00F41F68"/>
    <w:rsid w:val="00F4234A"/>
    <w:rsid w:val="00F42FF0"/>
    <w:rsid w:val="00F4730B"/>
    <w:rsid w:val="00F52A57"/>
    <w:rsid w:val="00F5690A"/>
    <w:rsid w:val="00F62E8A"/>
    <w:rsid w:val="00F63FC3"/>
    <w:rsid w:val="00F65BF0"/>
    <w:rsid w:val="00F65E26"/>
    <w:rsid w:val="00F714F8"/>
    <w:rsid w:val="00F7222A"/>
    <w:rsid w:val="00F76F7A"/>
    <w:rsid w:val="00F81798"/>
    <w:rsid w:val="00F82C2C"/>
    <w:rsid w:val="00F85913"/>
    <w:rsid w:val="00F866B2"/>
    <w:rsid w:val="00F87EB0"/>
    <w:rsid w:val="00F93371"/>
    <w:rsid w:val="00F96540"/>
    <w:rsid w:val="00F96813"/>
    <w:rsid w:val="00F97CD9"/>
    <w:rsid w:val="00F97FA3"/>
    <w:rsid w:val="00FA2A6A"/>
    <w:rsid w:val="00FA46F3"/>
    <w:rsid w:val="00FA47EF"/>
    <w:rsid w:val="00FA77BD"/>
    <w:rsid w:val="00FB08D9"/>
    <w:rsid w:val="00FB0CA7"/>
    <w:rsid w:val="00FB547D"/>
    <w:rsid w:val="00FC0D50"/>
    <w:rsid w:val="00FC41F8"/>
    <w:rsid w:val="00FD4900"/>
    <w:rsid w:val="00FD4A54"/>
    <w:rsid w:val="00FD4D6E"/>
    <w:rsid w:val="00FD68E8"/>
    <w:rsid w:val="00FD6AB8"/>
    <w:rsid w:val="00FE0F22"/>
    <w:rsid w:val="00FE47B1"/>
    <w:rsid w:val="00FE63F6"/>
    <w:rsid w:val="00FE726B"/>
    <w:rsid w:val="00FF03CC"/>
    <w:rsid w:val="00FF0A4A"/>
    <w:rsid w:val="00FF1214"/>
    <w:rsid w:val="00FF160C"/>
    <w:rsid w:val="00FF239C"/>
    <w:rsid w:val="00FF2F80"/>
    <w:rsid w:val="00FF3226"/>
    <w:rsid w:val="00FF3EF2"/>
    <w:rsid w:val="00FF5BC8"/>
    <w:rsid w:val="00FF5E14"/>
    <w:rsid w:val="03D96F0B"/>
    <w:rsid w:val="12675EC1"/>
    <w:rsid w:val="1A0A8709"/>
    <w:rsid w:val="1ADCF96B"/>
    <w:rsid w:val="2097CC01"/>
    <w:rsid w:val="479A99A8"/>
    <w:rsid w:val="6FA2DBD5"/>
    <w:rsid w:val="7702E5FE"/>
    <w:rsid w:val="7ECC2D31"/>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906D7DB"/>
  <w15:chartTrackingRefBased/>
  <w15:docId w15:val="{F678CA20-6651-4255-BCFB-E7BBD8B91E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F6D10"/>
    <w:pPr>
      <w:spacing w:after="240"/>
    </w:pPr>
  </w:style>
  <w:style w:type="paragraph" w:styleId="Heading1">
    <w:name w:val="heading 1"/>
    <w:basedOn w:val="Normal"/>
    <w:next w:val="Normal"/>
    <w:link w:val="Heading1Char"/>
    <w:uiPriority w:val="9"/>
    <w:qFormat/>
    <w:rsid w:val="00FA77BD"/>
    <w:pPr>
      <w:keepNext/>
      <w:keepLines/>
      <w:spacing w:before="1320" w:after="0" w:line="600" w:lineRule="exact"/>
      <w:outlineLvl w:val="0"/>
    </w:pPr>
    <w:rPr>
      <w:rFonts w:ascii="Calibri" w:eastAsiaTheme="majorEastAsia" w:hAnsi="Calibri" w:cstheme="majorBidi"/>
      <w:b/>
      <w:color w:val="FFFFFF" w:themeColor="background1"/>
      <w:sz w:val="52"/>
      <w:szCs w:val="32"/>
    </w:rPr>
  </w:style>
  <w:style w:type="paragraph" w:styleId="Heading2">
    <w:name w:val="heading 2"/>
    <w:basedOn w:val="Normal"/>
    <w:next w:val="Normal"/>
    <w:link w:val="Heading2Char"/>
    <w:uiPriority w:val="9"/>
    <w:unhideWhenUsed/>
    <w:qFormat/>
    <w:rsid w:val="005D435F"/>
    <w:pPr>
      <w:keepNext/>
      <w:keepLines/>
      <w:spacing w:before="720"/>
      <w:outlineLvl w:val="1"/>
    </w:pPr>
    <w:rPr>
      <w:rFonts w:asciiTheme="majorHAnsi" w:eastAsiaTheme="majorEastAsia" w:hAnsiTheme="majorHAnsi" w:cstheme="majorBidi"/>
      <w:b/>
      <w:color w:val="49255F"/>
      <w:sz w:val="44"/>
      <w:szCs w:val="26"/>
    </w:rPr>
  </w:style>
  <w:style w:type="paragraph" w:styleId="Heading3">
    <w:name w:val="heading 3"/>
    <w:basedOn w:val="Normal"/>
    <w:next w:val="Normal"/>
    <w:link w:val="Heading3Char"/>
    <w:uiPriority w:val="9"/>
    <w:unhideWhenUsed/>
    <w:qFormat/>
    <w:rsid w:val="005D435F"/>
    <w:pPr>
      <w:keepNext/>
      <w:keepLines/>
      <w:spacing w:before="320" w:after="60"/>
      <w:outlineLvl w:val="2"/>
    </w:pPr>
    <w:rPr>
      <w:rFonts w:asciiTheme="majorHAnsi" w:eastAsiaTheme="majorEastAsia" w:hAnsiTheme="majorHAnsi" w:cstheme="majorBidi"/>
      <w:b/>
      <w:color w:val="F15D31"/>
      <w:sz w:val="32"/>
      <w:szCs w:val="24"/>
    </w:rPr>
  </w:style>
  <w:style w:type="paragraph" w:styleId="Heading4">
    <w:name w:val="heading 4"/>
    <w:basedOn w:val="Normal"/>
    <w:next w:val="Normal"/>
    <w:link w:val="Heading4Char"/>
    <w:uiPriority w:val="9"/>
    <w:unhideWhenUsed/>
    <w:qFormat/>
    <w:rsid w:val="005D435F"/>
    <w:pPr>
      <w:keepNext/>
      <w:keepLines/>
      <w:spacing w:before="360" w:after="0"/>
      <w:outlineLvl w:val="3"/>
    </w:pPr>
    <w:rPr>
      <w:rFonts w:asciiTheme="majorHAnsi" w:eastAsiaTheme="majorEastAsia" w:hAnsiTheme="majorHAnsi" w:cstheme="majorBidi"/>
      <w:b/>
      <w:iCs/>
      <w:color w:val="49255F"/>
      <w:sz w:val="28"/>
    </w:rPr>
  </w:style>
  <w:style w:type="paragraph" w:styleId="Heading5">
    <w:name w:val="heading 5"/>
    <w:basedOn w:val="Normal"/>
    <w:next w:val="Normal"/>
    <w:link w:val="Heading5Char"/>
    <w:uiPriority w:val="9"/>
    <w:unhideWhenUsed/>
    <w:qFormat/>
    <w:rsid w:val="005B52F3"/>
    <w:pPr>
      <w:keepNext/>
      <w:keepLines/>
      <w:spacing w:before="40" w:after="0"/>
      <w:outlineLvl w:val="4"/>
    </w:pPr>
    <w:rPr>
      <w:rFonts w:asciiTheme="majorHAnsi" w:eastAsiaTheme="majorEastAsia" w:hAnsiTheme="majorHAnsi" w:cstheme="majorBidi"/>
      <w:b/>
      <w:color w:val="49255F"/>
      <w:sz w:val="26"/>
    </w:rPr>
  </w:style>
  <w:style w:type="paragraph" w:styleId="Heading6">
    <w:name w:val="heading 6"/>
    <w:basedOn w:val="Normal"/>
    <w:next w:val="Normal"/>
    <w:link w:val="Heading6Char"/>
    <w:uiPriority w:val="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
    <w:semiHidden/>
    <w:qFormat/>
    <w:rsid w:val="00AD631F"/>
    <w:pPr>
      <w:keepNext/>
      <w:keepLines/>
      <w:spacing w:before="40" w:after="0"/>
      <w:outlineLvl w:val="6"/>
    </w:pPr>
    <w:rPr>
      <w:rFonts w:eastAsiaTheme="majorEastAsia" w:cstheme="majorBidi"/>
      <w:i/>
      <w:iCs/>
      <w:color w:val="55437E" w:themeColor="accent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3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FA77BD"/>
    <w:rPr>
      <w:rFonts w:ascii="Calibri" w:eastAsiaTheme="majorEastAsia" w:hAnsi="Calibri" w:cstheme="majorBidi"/>
      <w:b/>
      <w:color w:val="FFFFFF" w:themeColor="background1"/>
      <w:sz w:val="52"/>
      <w:szCs w:val="32"/>
    </w:rPr>
  </w:style>
  <w:style w:type="character" w:customStyle="1" w:styleId="Heading2Char">
    <w:name w:val="Heading 2 Char"/>
    <w:basedOn w:val="DefaultParagraphFont"/>
    <w:link w:val="Heading2"/>
    <w:uiPriority w:val="9"/>
    <w:rsid w:val="005D435F"/>
    <w:rPr>
      <w:rFonts w:asciiTheme="majorHAnsi" w:eastAsiaTheme="majorEastAsia" w:hAnsiTheme="majorHAnsi" w:cstheme="majorBidi"/>
      <w:b/>
      <w:color w:val="49255F"/>
      <w:sz w:val="44"/>
      <w:szCs w:val="26"/>
    </w:rPr>
  </w:style>
  <w:style w:type="character" w:customStyle="1" w:styleId="Heading3Char">
    <w:name w:val="Heading 3 Char"/>
    <w:basedOn w:val="DefaultParagraphFont"/>
    <w:link w:val="Heading3"/>
    <w:uiPriority w:val="9"/>
    <w:rsid w:val="005D435F"/>
    <w:rPr>
      <w:rFonts w:asciiTheme="majorHAnsi" w:eastAsiaTheme="majorEastAsia" w:hAnsiTheme="majorHAnsi" w:cstheme="majorBidi"/>
      <w:b/>
      <w:color w:val="F15D31"/>
      <w:sz w:val="32"/>
      <w:szCs w:val="24"/>
    </w:rPr>
  </w:style>
  <w:style w:type="character" w:customStyle="1" w:styleId="Heading4Char">
    <w:name w:val="Heading 4 Char"/>
    <w:basedOn w:val="DefaultParagraphFont"/>
    <w:link w:val="Heading4"/>
    <w:uiPriority w:val="9"/>
    <w:rsid w:val="005D435F"/>
    <w:rPr>
      <w:rFonts w:asciiTheme="majorHAnsi" w:eastAsiaTheme="majorEastAsia" w:hAnsiTheme="majorHAnsi" w:cstheme="majorBidi"/>
      <w:b/>
      <w:iCs/>
      <w:color w:val="49255F"/>
      <w:sz w:val="28"/>
    </w:rPr>
  </w:style>
  <w:style w:type="character" w:customStyle="1" w:styleId="Heading5Char">
    <w:name w:val="Heading 5 Char"/>
    <w:basedOn w:val="DefaultParagraphFont"/>
    <w:link w:val="Heading5"/>
    <w:uiPriority w:val="9"/>
    <w:rsid w:val="005B52F3"/>
    <w:rPr>
      <w:rFonts w:asciiTheme="majorHAnsi" w:eastAsiaTheme="majorEastAsia" w:hAnsiTheme="majorHAnsi" w:cstheme="majorBidi"/>
      <w:b/>
      <w:color w:val="49255F"/>
      <w:sz w:val="26"/>
    </w:rPr>
  </w:style>
  <w:style w:type="character" w:customStyle="1" w:styleId="Heading6Char">
    <w:name w:val="Heading 6 Char"/>
    <w:basedOn w:val="DefaultParagraphFont"/>
    <w:link w:val="Heading6"/>
    <w:uiPriority w:val="9"/>
    <w:rsid w:val="00AD631F"/>
    <w:rPr>
      <w:rFonts w:asciiTheme="majorHAnsi" w:eastAsiaTheme="majorEastAsia" w:hAnsiTheme="majorHAnsi" w:cstheme="majorBidi"/>
      <w:b/>
      <w:color w:val="5F636A"/>
    </w:rPr>
  </w:style>
  <w:style w:type="paragraph" w:styleId="Caption">
    <w:name w:val="caption"/>
    <w:basedOn w:val="Normal"/>
    <w:next w:val="Normal"/>
    <w:uiPriority w:val="35"/>
    <w:qFormat/>
    <w:rsid w:val="005D435F"/>
    <w:pPr>
      <w:spacing w:after="120" w:line="240" w:lineRule="auto"/>
    </w:pPr>
    <w:rPr>
      <w:b/>
      <w:iCs/>
      <w:color w:val="49255F"/>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11"/>
    <w:qFormat/>
    <w:rsid w:val="00FA77BD"/>
    <w:pPr>
      <w:numPr>
        <w:ilvl w:val="1"/>
      </w:numPr>
      <w:spacing w:before="160" w:after="140"/>
    </w:pPr>
    <w:rPr>
      <w:rFonts w:eastAsiaTheme="minorEastAsia"/>
      <w:color w:val="F15D31"/>
      <w:spacing w:val="15"/>
      <w:sz w:val="40"/>
    </w:rPr>
  </w:style>
  <w:style w:type="character" w:customStyle="1" w:styleId="SubtitleChar">
    <w:name w:val="Subtitle Char"/>
    <w:basedOn w:val="DefaultParagraphFont"/>
    <w:link w:val="Subtitle"/>
    <w:uiPriority w:val="11"/>
    <w:rsid w:val="00FA77BD"/>
    <w:rPr>
      <w:rFonts w:eastAsiaTheme="minorEastAsia"/>
      <w:color w:val="F15D3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uiPriority w:val="98"/>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8"/>
    <w:qFormat/>
    <w:rsid w:val="008A36E1"/>
    <w:pPr>
      <w:numPr>
        <w:numId w:val="1"/>
      </w:numPr>
      <w:spacing w:after="200"/>
      <w:ind w:left="284" w:hanging="284"/>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5D435F"/>
    <w:pPr>
      <w:spacing w:before="100" w:beforeAutospacing="1" w:after="100" w:afterAutospacing="1" w:line="240" w:lineRule="auto"/>
    </w:pPr>
    <w:tblPr>
      <w:tblStyleRowBandSize w:val="1"/>
    </w:tblPr>
    <w:tcPr>
      <w:vAlign w:val="center"/>
    </w:tcPr>
    <w:tblStylePr w:type="firstRow">
      <w:pPr>
        <w:jc w:val="left"/>
      </w:pPr>
      <w:tblPr/>
      <w:tcPr>
        <w:shd w:val="clear" w:color="auto" w:fill="49255F"/>
      </w:tcPr>
    </w:tblStylePr>
    <w:tblStylePr w:type="firstCol">
      <w:rPr>
        <w:b w:val="0"/>
      </w:rPr>
    </w:tblStylePr>
    <w:tblStylePr w:type="band1Horz">
      <w:tblPr/>
      <w:tcPr>
        <w:tcBorders>
          <w:bottom w:val="single" w:sz="4" w:space="0" w:color="F15D31"/>
        </w:tcBorders>
      </w:tcPr>
    </w:tblStylePr>
    <w:tblStylePr w:type="band2Horz">
      <w:tblPr/>
      <w:tcPr>
        <w:tcBorders>
          <w:bottom w:val="single" w:sz="4" w:space="0" w:color="F15D31"/>
        </w:tcBorders>
      </w:tc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AF1F18"/>
    <w:pPr>
      <w:tabs>
        <w:tab w:val="right" w:leader="dot" w:pos="9016"/>
      </w:tabs>
      <w:spacing w:after="100"/>
    </w:pPr>
  </w:style>
  <w:style w:type="paragraph" w:styleId="TOC2">
    <w:name w:val="toc 2"/>
    <w:basedOn w:val="Normal"/>
    <w:next w:val="Normal"/>
    <w:autoRedefine/>
    <w:uiPriority w:val="39"/>
    <w:unhideWhenUsed/>
    <w:rsid w:val="00AF1F18"/>
    <w:pPr>
      <w:spacing w:after="100"/>
      <w:ind w:left="220"/>
    </w:pPr>
  </w:style>
  <w:style w:type="paragraph" w:styleId="TOC3">
    <w:name w:val="toc 3"/>
    <w:basedOn w:val="Normal"/>
    <w:next w:val="Normal"/>
    <w:autoRedefine/>
    <w:uiPriority w:val="99"/>
    <w:unhideWhenUsed/>
    <w:rsid w:val="00AF1F18"/>
    <w:pPr>
      <w:spacing w:after="100"/>
      <w:ind w:left="440"/>
    </w:pPr>
  </w:style>
  <w:style w:type="paragraph" w:styleId="TOCHeading">
    <w:name w:val="TOC Heading"/>
    <w:basedOn w:val="Heading1"/>
    <w:next w:val="Normal"/>
    <w:uiPriority w:val="99"/>
    <w:unhideWhenUsed/>
    <w:rsid w:val="00AF1F18"/>
    <w:pPr>
      <w:spacing w:before="0" w:after="240" w:line="259" w:lineRule="auto"/>
      <w:outlineLvl w:val="9"/>
    </w:pPr>
    <w:rPr>
      <w:rFonts w:asciiTheme="majorHAnsi" w:hAnsiTheme="majorHAnsi"/>
      <w:color w:val="55437E" w:themeColor="accent2"/>
      <w:sz w:val="44"/>
      <w:lang w:val="en-US"/>
    </w:rPr>
  </w:style>
  <w:style w:type="paragraph" w:styleId="ListParagraph">
    <w:name w:val="List Paragraph"/>
    <w:basedOn w:val="Normal"/>
    <w:link w:val="ListParagraphChar"/>
    <w:uiPriority w:val="34"/>
    <w:qFormat/>
    <w:rsid w:val="00EA4F39"/>
    <w:pPr>
      <w:spacing w:after="160" w:line="278" w:lineRule="auto"/>
      <w:ind w:left="720"/>
      <w:contextualSpacing/>
    </w:pPr>
    <w:rPr>
      <w:kern w:val="2"/>
      <w:sz w:val="24"/>
      <w:szCs w:val="24"/>
      <w14:ligatures w14:val="standardContextual"/>
    </w:rPr>
  </w:style>
  <w:style w:type="character" w:styleId="CommentReference">
    <w:name w:val="annotation reference"/>
    <w:basedOn w:val="DefaultParagraphFont"/>
    <w:uiPriority w:val="99"/>
    <w:semiHidden/>
    <w:unhideWhenUsed/>
    <w:rsid w:val="00EA4F39"/>
    <w:rPr>
      <w:sz w:val="16"/>
      <w:szCs w:val="16"/>
    </w:rPr>
  </w:style>
  <w:style w:type="paragraph" w:styleId="CommentText">
    <w:name w:val="annotation text"/>
    <w:basedOn w:val="Normal"/>
    <w:link w:val="CommentTextChar"/>
    <w:uiPriority w:val="99"/>
    <w:unhideWhenUsed/>
    <w:rsid w:val="00EA4F39"/>
    <w:pPr>
      <w:spacing w:after="160" w:line="240" w:lineRule="auto"/>
    </w:pPr>
    <w:rPr>
      <w:kern w:val="2"/>
      <w:sz w:val="20"/>
      <w:szCs w:val="20"/>
      <w14:ligatures w14:val="standardContextual"/>
    </w:rPr>
  </w:style>
  <w:style w:type="character" w:customStyle="1" w:styleId="CommentTextChar">
    <w:name w:val="Comment Text Char"/>
    <w:basedOn w:val="DefaultParagraphFont"/>
    <w:link w:val="CommentText"/>
    <w:uiPriority w:val="99"/>
    <w:rsid w:val="00EA4F39"/>
    <w:rPr>
      <w:kern w:val="2"/>
      <w:sz w:val="20"/>
      <w:szCs w:val="20"/>
      <w14:ligatures w14:val="standardContextual"/>
    </w:rPr>
  </w:style>
  <w:style w:type="character" w:customStyle="1" w:styleId="ListParagraphChar">
    <w:name w:val="List Paragraph Char"/>
    <w:basedOn w:val="DefaultParagraphFont"/>
    <w:link w:val="ListParagraph"/>
    <w:uiPriority w:val="34"/>
    <w:rsid w:val="00EA4F39"/>
    <w:rPr>
      <w:kern w:val="2"/>
      <w:sz w:val="24"/>
      <w:szCs w:val="24"/>
      <w14:ligatures w14:val="standardContextual"/>
    </w:rPr>
  </w:style>
  <w:style w:type="paragraph" w:styleId="FootnoteText">
    <w:name w:val="footnote text"/>
    <w:basedOn w:val="Normal"/>
    <w:link w:val="FootnoteTextChar"/>
    <w:uiPriority w:val="99"/>
    <w:semiHidden/>
    <w:unhideWhenUsed/>
    <w:rsid w:val="00EA4F39"/>
    <w:pPr>
      <w:spacing w:after="0" w:line="240" w:lineRule="auto"/>
    </w:pPr>
    <w:rPr>
      <w:kern w:val="2"/>
      <w:sz w:val="20"/>
      <w:szCs w:val="20"/>
      <w14:ligatures w14:val="standardContextual"/>
    </w:rPr>
  </w:style>
  <w:style w:type="character" w:customStyle="1" w:styleId="FootnoteTextChar">
    <w:name w:val="Footnote Text Char"/>
    <w:basedOn w:val="DefaultParagraphFont"/>
    <w:link w:val="FootnoteText"/>
    <w:uiPriority w:val="99"/>
    <w:semiHidden/>
    <w:rsid w:val="00EA4F39"/>
    <w:rPr>
      <w:kern w:val="2"/>
      <w:sz w:val="20"/>
      <w:szCs w:val="20"/>
      <w14:ligatures w14:val="standardContextual"/>
    </w:rPr>
  </w:style>
  <w:style w:type="character" w:styleId="FootnoteReference">
    <w:name w:val="footnote reference"/>
    <w:basedOn w:val="DefaultParagraphFont"/>
    <w:uiPriority w:val="99"/>
    <w:semiHidden/>
    <w:unhideWhenUsed/>
    <w:rsid w:val="00EA4F39"/>
    <w:rPr>
      <w:vertAlign w:val="superscript"/>
    </w:rPr>
  </w:style>
  <w:style w:type="paragraph" w:styleId="CommentSubject">
    <w:name w:val="annotation subject"/>
    <w:basedOn w:val="CommentText"/>
    <w:next w:val="CommentText"/>
    <w:link w:val="CommentSubjectChar"/>
    <w:uiPriority w:val="99"/>
    <w:semiHidden/>
    <w:unhideWhenUsed/>
    <w:rsid w:val="009655DD"/>
    <w:pPr>
      <w:spacing w:after="240"/>
    </w:pPr>
    <w:rPr>
      <w:b/>
      <w:bCs/>
      <w:kern w:val="0"/>
      <w14:ligatures w14:val="none"/>
    </w:rPr>
  </w:style>
  <w:style w:type="character" w:customStyle="1" w:styleId="CommentSubjectChar">
    <w:name w:val="Comment Subject Char"/>
    <w:basedOn w:val="CommentTextChar"/>
    <w:link w:val="CommentSubject"/>
    <w:uiPriority w:val="99"/>
    <w:semiHidden/>
    <w:rsid w:val="009655DD"/>
    <w:rPr>
      <w:b/>
      <w:bCs/>
      <w:kern w:val="2"/>
      <w:sz w:val="20"/>
      <w:szCs w:val="20"/>
      <w14:ligatures w14:val="standardContextual"/>
    </w:rPr>
  </w:style>
  <w:style w:type="paragraph" w:styleId="Revision">
    <w:name w:val="Revision"/>
    <w:hidden/>
    <w:uiPriority w:val="99"/>
    <w:semiHidden/>
    <w:rsid w:val="001A7EA1"/>
    <w:pPr>
      <w:spacing w:after="0" w:line="240" w:lineRule="auto"/>
    </w:pPr>
  </w:style>
  <w:style w:type="character" w:styleId="Emphasis">
    <w:name w:val="Emphasis"/>
    <w:basedOn w:val="DefaultParagraphFont"/>
    <w:uiPriority w:val="20"/>
    <w:qFormat/>
    <w:rsid w:val="001A7EA1"/>
    <w:rPr>
      <w:i/>
      <w:iCs/>
    </w:rPr>
  </w:style>
  <w:style w:type="character" w:styleId="FollowedHyperlink">
    <w:name w:val="FollowedHyperlink"/>
    <w:basedOn w:val="DefaultParagraphFont"/>
    <w:uiPriority w:val="99"/>
    <w:semiHidden/>
    <w:unhideWhenUsed/>
    <w:rsid w:val="00CD2815"/>
    <w:rPr>
      <w:color w:val="CE372F" w:themeColor="followedHyperlink"/>
      <w:u w:val="single"/>
    </w:rPr>
  </w:style>
  <w:style w:type="character" w:styleId="Mention">
    <w:name w:val="Mention"/>
    <w:basedOn w:val="DefaultParagraphFont"/>
    <w:uiPriority w:val="99"/>
    <w:unhideWhenUsed/>
    <w:rsid w:val="00922B01"/>
    <w:rPr>
      <w:color w:val="2B579A"/>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jpg"/><Relationship Id="rId18" Type="http://schemas.openxmlformats.org/officeDocument/2006/relationships/hyperlink" Target="https://creativecommons.org/licenses/by/4.0/"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s://www.nso.gov.au/__data/assets/pdf_file/0015/325401/Can-I-talk-about-this-The-use-of-confidentiality-requirements-in-university-complaint-handling.pdf"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40.jpeg"/><Relationship Id="rId25"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hyperlink" Target="https://creativecommons.org/licenses/by/4.0/legalcode" TargetMode="External"/><Relationship Id="rId20" Type="http://schemas.openxmlformats.org/officeDocument/2006/relationships/hyperlink" Target="https://www.teqsa.gov.au/how-we-regulate/statements-regulatory-expectations/statement-regulatory-expectations-student-grievance-and-complaint-mechanisms"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s://creativecommons.org/licenses/by/4.0/"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creativecommons.org/licenses/by/4.0/legalcod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4.jpeg"/><Relationship Id="rId22" Type="http://schemas.openxmlformats.org/officeDocument/2006/relationships/hyperlink" Target="https://www.education.gov.au/download/20021/compliance-and-enforcement-policy/43538/document/pdf" TargetMode="External"/><Relationship Id="rId27" Type="http://schemas.microsoft.com/office/2020/10/relationships/intelligence" Target="intelligence2.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026D9A923AB949B48FD45161E4265184"/>
        <w:category>
          <w:name w:val="General"/>
          <w:gallery w:val="placeholder"/>
        </w:category>
        <w:types>
          <w:type w:val="bbPlcHdr"/>
        </w:types>
        <w:behaviors>
          <w:behavior w:val="content"/>
        </w:behaviors>
        <w:guid w:val="{2308DD34-E889-4D23-B675-EF04BAE904DA}"/>
      </w:docPartPr>
      <w:docPartBody>
        <w:p w:rsidR="002B3ACA" w:rsidRDefault="00785B1E">
          <w:r w:rsidRPr="001C304D">
            <w:rPr>
              <w:rStyle w:val="PlaceholderText"/>
            </w:rPr>
            <w:t>[Title]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charset w:val="80"/>
    <w:family w:val="roman"/>
    <w:pitch w:val="variable"/>
    <w:sig w:usb0="800002E7" w:usb1="2AC7FCFF" w:usb2="00000012" w:usb3="00000000" w:csb0="0002009F" w:csb1="00000000"/>
  </w:font>
  <w:font w:name="Segoe UI">
    <w:panose1 w:val="020B0502040204020203"/>
    <w:charset w:val="00"/>
    <w:family w:val="swiss"/>
    <w:pitch w:val="variable"/>
    <w:sig w:usb0="E4002EFF" w:usb1="C000E47F" w:usb2="00000009" w:usb3="00000000" w:csb0="000001FF"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B1E"/>
    <w:rsid w:val="00021831"/>
    <w:rsid w:val="00040C1B"/>
    <w:rsid w:val="00044808"/>
    <w:rsid w:val="0007176F"/>
    <w:rsid w:val="000C7A56"/>
    <w:rsid w:val="000D7D9F"/>
    <w:rsid w:val="000F70BD"/>
    <w:rsid w:val="00100E1A"/>
    <w:rsid w:val="00135478"/>
    <w:rsid w:val="001552CF"/>
    <w:rsid w:val="00170216"/>
    <w:rsid w:val="00181478"/>
    <w:rsid w:val="001A2218"/>
    <w:rsid w:val="001B197A"/>
    <w:rsid w:val="001D554C"/>
    <w:rsid w:val="001E290B"/>
    <w:rsid w:val="001E4198"/>
    <w:rsid w:val="001F0566"/>
    <w:rsid w:val="001F306D"/>
    <w:rsid w:val="00211D1E"/>
    <w:rsid w:val="00250741"/>
    <w:rsid w:val="002B3ACA"/>
    <w:rsid w:val="002C34DD"/>
    <w:rsid w:val="002F318F"/>
    <w:rsid w:val="003058F8"/>
    <w:rsid w:val="00321EF7"/>
    <w:rsid w:val="003F3C27"/>
    <w:rsid w:val="00400B39"/>
    <w:rsid w:val="00431ACE"/>
    <w:rsid w:val="004360BD"/>
    <w:rsid w:val="00503E61"/>
    <w:rsid w:val="0057005D"/>
    <w:rsid w:val="00591173"/>
    <w:rsid w:val="00625767"/>
    <w:rsid w:val="006345B3"/>
    <w:rsid w:val="0064374D"/>
    <w:rsid w:val="006B4537"/>
    <w:rsid w:val="006C0F4B"/>
    <w:rsid w:val="006F5842"/>
    <w:rsid w:val="00785B1E"/>
    <w:rsid w:val="007D78F6"/>
    <w:rsid w:val="007E3466"/>
    <w:rsid w:val="007F1BED"/>
    <w:rsid w:val="00873195"/>
    <w:rsid w:val="008D4706"/>
    <w:rsid w:val="008E1059"/>
    <w:rsid w:val="00901AF4"/>
    <w:rsid w:val="009A635B"/>
    <w:rsid w:val="009B41B7"/>
    <w:rsid w:val="009D15DA"/>
    <w:rsid w:val="00A27C15"/>
    <w:rsid w:val="00A31A51"/>
    <w:rsid w:val="00A37FCA"/>
    <w:rsid w:val="00A61E88"/>
    <w:rsid w:val="00AC545F"/>
    <w:rsid w:val="00B30CEF"/>
    <w:rsid w:val="00B74CC8"/>
    <w:rsid w:val="00BA3AC8"/>
    <w:rsid w:val="00BB0222"/>
    <w:rsid w:val="00BB5F58"/>
    <w:rsid w:val="00BD3643"/>
    <w:rsid w:val="00C607B7"/>
    <w:rsid w:val="00C74F61"/>
    <w:rsid w:val="00C77711"/>
    <w:rsid w:val="00C83F0F"/>
    <w:rsid w:val="00CA572F"/>
    <w:rsid w:val="00CC1D7A"/>
    <w:rsid w:val="00CF7F2F"/>
    <w:rsid w:val="00D224A9"/>
    <w:rsid w:val="00D22D55"/>
    <w:rsid w:val="00D960DC"/>
    <w:rsid w:val="00D968C4"/>
    <w:rsid w:val="00DD0843"/>
    <w:rsid w:val="00DF1B06"/>
    <w:rsid w:val="00E02E58"/>
    <w:rsid w:val="00E24D77"/>
    <w:rsid w:val="00E71C6B"/>
    <w:rsid w:val="00E94B6D"/>
    <w:rsid w:val="00EC0CB4"/>
    <w:rsid w:val="00EE1900"/>
    <w:rsid w:val="00EE40A3"/>
    <w:rsid w:val="00F45310"/>
    <w:rsid w:val="00F97CD9"/>
    <w:rsid w:val="00FB65F7"/>
    <w:rsid w:val="00FE63F6"/>
    <w:rsid w:val="00FF2F80"/>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44808"/>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3162BA753748F4BB53721499FC70481" ma:contentTypeVersion="15" ma:contentTypeDescription="Create a new document." ma:contentTypeScope="" ma:versionID="67d4a5d81c181566f70d9e75783df939">
  <xsd:schema xmlns:xsd="http://www.w3.org/2001/XMLSchema" xmlns:xs="http://www.w3.org/2001/XMLSchema" xmlns:p="http://schemas.microsoft.com/office/2006/metadata/properties" xmlns:ns2="da72cac6-940c-4742-b333-53bc562b4053" xmlns:ns3="c35adfce-f9b0-4566-a0fa-e4f70df87b41" targetNamespace="http://schemas.microsoft.com/office/2006/metadata/properties" ma:root="true" ma:fieldsID="4753cad2b54da6560eecea6a5511e10a" ns2:_="" ns3:_="">
    <xsd:import namespace="da72cac6-940c-4742-b333-53bc562b4053"/>
    <xsd:import namespace="c35adfce-f9b0-4566-a0fa-e4f70df87b41"/>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72cac6-940c-4742-b333-53bc562b405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7147e460-a74b-4414-8224-31362e5846fd"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ServiceLocation" ma:index="19" nillable="true" ma:displayName="Location" ma:indexed="true" ma:internalName="MediaServiceLocation" ma:readOnly="true">
      <xsd:simpleType>
        <xsd:restriction base="dms:Text"/>
      </xsd:simpleType>
    </xsd:element>
    <xsd:element name="MediaServiceObjectDetectorVersions" ma:index="20" nillable="true" ma:displayName="MediaServiceObjectDetectorVersions" ma:hidden="true" ma:indexed="true" ma:internalName="MediaServiceObjectDetectorVersions"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35adfce-f9b0-4566-a0fa-e4f70df87b41"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a71e8d9d-fbc5-4c5f-be92-0def1f9d0b2d}" ma:internalName="TaxCatchAll" ma:showField="CatchAllData" ma:web="c35adfce-f9b0-4566-a0fa-e4f70df87b41">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TaxCatchAll xmlns="c35adfce-f9b0-4566-a0fa-e4f70df87b41" xsi:nil="true"/>
    <lcf76f155ced4ddcb4097134ff3c332f xmlns="da72cac6-940c-4742-b333-53bc562b4053">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0469C7C-5A60-43D2-9E50-9DC57DE89933}">
  <ds:schemaRefs>
    <ds:schemaRef ds:uri="http://schemas.microsoft.com/sharepoint/v3/contenttype/forms"/>
  </ds:schemaRefs>
</ds:datastoreItem>
</file>

<file path=customXml/itemProps2.xml><?xml version="1.0" encoding="utf-8"?>
<ds:datastoreItem xmlns:ds="http://schemas.openxmlformats.org/officeDocument/2006/customXml" ds:itemID="{923244C0-92E6-4FCE-8C2B-B9FC45B9A68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72cac6-940c-4742-b333-53bc562b4053"/>
    <ds:schemaRef ds:uri="c35adfce-f9b0-4566-a0fa-e4f70df87b4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4.xml><?xml version="1.0" encoding="utf-8"?>
<ds:datastoreItem xmlns:ds="http://schemas.openxmlformats.org/officeDocument/2006/customXml" ds:itemID="{C0D860F7-52D7-453B-A0E3-46758EE2EB3E}">
  <ds:schemaRefs>
    <ds:schemaRef ds:uri="http://schemas.microsoft.com/office/2006/metadata/properties"/>
    <ds:schemaRef ds:uri="http://schemas.microsoft.com/office/infopath/2007/PartnerControls"/>
    <ds:schemaRef ds:uri="c35adfce-f9b0-4566-a0fa-e4f70df87b41"/>
    <ds:schemaRef ds:uri="da72cac6-940c-4742-b333-53bc562b4053"/>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9</Pages>
  <Words>2455</Words>
  <Characters>13997</Characters>
  <Application>Microsoft Office Word</Application>
  <DocSecurity>0</DocSecurity>
  <Lines>116</Lines>
  <Paragraphs>32</Paragraphs>
  <ScaleCrop>false</ScaleCrop>
  <HeadingPairs>
    <vt:vector size="2" baseType="variant">
      <vt:variant>
        <vt:lpstr>Title</vt:lpstr>
      </vt:variant>
      <vt:variant>
        <vt:i4>1</vt:i4>
      </vt:variant>
    </vt:vector>
  </HeadingPairs>
  <TitlesOfParts>
    <vt:vector size="1" baseType="lpstr">
      <vt:lpstr>Statement of Regulatory Expectations</vt:lpstr>
    </vt:vector>
  </TitlesOfParts>
  <Company/>
  <LinksUpToDate>false</LinksUpToDate>
  <CharactersWithSpaces>16420</CharactersWithSpaces>
  <SharedDoc>false</SharedDoc>
  <HLinks>
    <vt:vector size="114" baseType="variant">
      <vt:variant>
        <vt:i4>5046299</vt:i4>
      </vt:variant>
      <vt:variant>
        <vt:i4>93</vt:i4>
      </vt:variant>
      <vt:variant>
        <vt:i4>0</vt:i4>
      </vt:variant>
      <vt:variant>
        <vt:i4>5</vt:i4>
      </vt:variant>
      <vt:variant>
        <vt:lpwstr>https://www.education.gov.au/download/20021/compliance-and-enforcement-policy/43538/document/pdf</vt:lpwstr>
      </vt:variant>
      <vt:variant>
        <vt:lpwstr/>
      </vt:variant>
      <vt:variant>
        <vt:i4>2031620</vt:i4>
      </vt:variant>
      <vt:variant>
        <vt:i4>90</vt:i4>
      </vt:variant>
      <vt:variant>
        <vt:i4>0</vt:i4>
      </vt:variant>
      <vt:variant>
        <vt:i4>5</vt:i4>
      </vt:variant>
      <vt:variant>
        <vt:lpwstr/>
      </vt:variant>
      <vt:variant>
        <vt:lpwstr>standards</vt:lpwstr>
      </vt:variant>
      <vt:variant>
        <vt:i4>1376258</vt:i4>
      </vt:variant>
      <vt:variant>
        <vt:i4>84</vt:i4>
      </vt:variant>
      <vt:variant>
        <vt:i4>0</vt:i4>
      </vt:variant>
      <vt:variant>
        <vt:i4>5</vt:i4>
      </vt:variant>
      <vt:variant>
        <vt:lpwstr/>
      </vt:variant>
      <vt:variant>
        <vt:lpwstr>part2</vt:lpwstr>
      </vt:variant>
      <vt:variant>
        <vt:i4>1376258</vt:i4>
      </vt:variant>
      <vt:variant>
        <vt:i4>81</vt:i4>
      </vt:variant>
      <vt:variant>
        <vt:i4>0</vt:i4>
      </vt:variant>
      <vt:variant>
        <vt:i4>5</vt:i4>
      </vt:variant>
      <vt:variant>
        <vt:lpwstr/>
      </vt:variant>
      <vt:variant>
        <vt:lpwstr>part1</vt:lpwstr>
      </vt:variant>
      <vt:variant>
        <vt:i4>8192087</vt:i4>
      </vt:variant>
      <vt:variant>
        <vt:i4>78</vt:i4>
      </vt:variant>
      <vt:variant>
        <vt:i4>0</vt:i4>
      </vt:variant>
      <vt:variant>
        <vt:i4>5</vt:i4>
      </vt:variant>
      <vt:variant>
        <vt:lpwstr>https://www.nso.gov.au/__data/assets/pdf_file/0015/325401/Can-I-talk-about-this-The-use-of-confidentiality-requirements-in-university-complaint-handling.pdf</vt:lpwstr>
      </vt:variant>
      <vt:variant>
        <vt:lpwstr/>
      </vt:variant>
      <vt:variant>
        <vt:i4>262173</vt:i4>
      </vt:variant>
      <vt:variant>
        <vt:i4>75</vt:i4>
      </vt:variant>
      <vt:variant>
        <vt:i4>0</vt:i4>
      </vt:variant>
      <vt:variant>
        <vt:i4>5</vt:i4>
      </vt:variant>
      <vt:variant>
        <vt:lpwstr>https://www.teqsa.gov.au/how-we-regulate/statements-regulatory-expectations/statement-regulatory-expectations-student-grievance-and-complaint-mechanisms</vt:lpwstr>
      </vt:variant>
      <vt:variant>
        <vt:lpwstr/>
      </vt:variant>
      <vt:variant>
        <vt:i4>1769520</vt:i4>
      </vt:variant>
      <vt:variant>
        <vt:i4>68</vt:i4>
      </vt:variant>
      <vt:variant>
        <vt:i4>0</vt:i4>
      </vt:variant>
      <vt:variant>
        <vt:i4>5</vt:i4>
      </vt:variant>
      <vt:variant>
        <vt:lpwstr/>
      </vt:variant>
      <vt:variant>
        <vt:lpwstr>_Toc228983240</vt:lpwstr>
      </vt:variant>
      <vt:variant>
        <vt:i4>1835056</vt:i4>
      </vt:variant>
      <vt:variant>
        <vt:i4>62</vt:i4>
      </vt:variant>
      <vt:variant>
        <vt:i4>0</vt:i4>
      </vt:variant>
      <vt:variant>
        <vt:i4>5</vt:i4>
      </vt:variant>
      <vt:variant>
        <vt:lpwstr/>
      </vt:variant>
      <vt:variant>
        <vt:lpwstr>_Toc228983239</vt:lpwstr>
      </vt:variant>
      <vt:variant>
        <vt:i4>1835056</vt:i4>
      </vt:variant>
      <vt:variant>
        <vt:i4>56</vt:i4>
      </vt:variant>
      <vt:variant>
        <vt:i4>0</vt:i4>
      </vt:variant>
      <vt:variant>
        <vt:i4>5</vt:i4>
      </vt:variant>
      <vt:variant>
        <vt:lpwstr/>
      </vt:variant>
      <vt:variant>
        <vt:lpwstr>_Toc228983238</vt:lpwstr>
      </vt:variant>
      <vt:variant>
        <vt:i4>1835056</vt:i4>
      </vt:variant>
      <vt:variant>
        <vt:i4>50</vt:i4>
      </vt:variant>
      <vt:variant>
        <vt:i4>0</vt:i4>
      </vt:variant>
      <vt:variant>
        <vt:i4>5</vt:i4>
      </vt:variant>
      <vt:variant>
        <vt:lpwstr/>
      </vt:variant>
      <vt:variant>
        <vt:lpwstr>_Toc228983237</vt:lpwstr>
      </vt:variant>
      <vt:variant>
        <vt:i4>1835056</vt:i4>
      </vt:variant>
      <vt:variant>
        <vt:i4>44</vt:i4>
      </vt:variant>
      <vt:variant>
        <vt:i4>0</vt:i4>
      </vt:variant>
      <vt:variant>
        <vt:i4>5</vt:i4>
      </vt:variant>
      <vt:variant>
        <vt:lpwstr/>
      </vt:variant>
      <vt:variant>
        <vt:lpwstr>_Toc228983236</vt:lpwstr>
      </vt:variant>
      <vt:variant>
        <vt:i4>1835056</vt:i4>
      </vt:variant>
      <vt:variant>
        <vt:i4>38</vt:i4>
      </vt:variant>
      <vt:variant>
        <vt:i4>0</vt:i4>
      </vt:variant>
      <vt:variant>
        <vt:i4>5</vt:i4>
      </vt:variant>
      <vt:variant>
        <vt:lpwstr/>
      </vt:variant>
      <vt:variant>
        <vt:lpwstr>_Toc228983235</vt:lpwstr>
      </vt:variant>
      <vt:variant>
        <vt:i4>1835056</vt:i4>
      </vt:variant>
      <vt:variant>
        <vt:i4>32</vt:i4>
      </vt:variant>
      <vt:variant>
        <vt:i4>0</vt:i4>
      </vt:variant>
      <vt:variant>
        <vt:i4>5</vt:i4>
      </vt:variant>
      <vt:variant>
        <vt:lpwstr/>
      </vt:variant>
      <vt:variant>
        <vt:lpwstr>_Toc228983234</vt:lpwstr>
      </vt:variant>
      <vt:variant>
        <vt:i4>1835056</vt:i4>
      </vt:variant>
      <vt:variant>
        <vt:i4>26</vt:i4>
      </vt:variant>
      <vt:variant>
        <vt:i4>0</vt:i4>
      </vt:variant>
      <vt:variant>
        <vt:i4>5</vt:i4>
      </vt:variant>
      <vt:variant>
        <vt:lpwstr/>
      </vt:variant>
      <vt:variant>
        <vt:lpwstr>_Toc228983233</vt:lpwstr>
      </vt:variant>
      <vt:variant>
        <vt:i4>1835056</vt:i4>
      </vt:variant>
      <vt:variant>
        <vt:i4>20</vt:i4>
      </vt:variant>
      <vt:variant>
        <vt:i4>0</vt:i4>
      </vt:variant>
      <vt:variant>
        <vt:i4>5</vt:i4>
      </vt:variant>
      <vt:variant>
        <vt:lpwstr/>
      </vt:variant>
      <vt:variant>
        <vt:lpwstr>_Toc228983232</vt:lpwstr>
      </vt:variant>
      <vt:variant>
        <vt:i4>1835056</vt:i4>
      </vt:variant>
      <vt:variant>
        <vt:i4>14</vt:i4>
      </vt:variant>
      <vt:variant>
        <vt:i4>0</vt:i4>
      </vt:variant>
      <vt:variant>
        <vt:i4>5</vt:i4>
      </vt:variant>
      <vt:variant>
        <vt:lpwstr/>
      </vt:variant>
      <vt:variant>
        <vt:lpwstr>_Toc228983231</vt:lpwstr>
      </vt:variant>
      <vt:variant>
        <vt:i4>1835056</vt:i4>
      </vt:variant>
      <vt:variant>
        <vt:i4>8</vt:i4>
      </vt:variant>
      <vt:variant>
        <vt:i4>0</vt:i4>
      </vt:variant>
      <vt:variant>
        <vt:i4>5</vt:i4>
      </vt:variant>
      <vt:variant>
        <vt:lpwstr/>
      </vt:variant>
      <vt:variant>
        <vt:lpwstr>_Toc228983230</vt:lpwstr>
      </vt:variant>
      <vt:variant>
        <vt:i4>5373952</vt:i4>
      </vt:variant>
      <vt:variant>
        <vt:i4>3</vt:i4>
      </vt:variant>
      <vt:variant>
        <vt:i4>0</vt:i4>
      </vt:variant>
      <vt:variant>
        <vt:i4>5</vt:i4>
      </vt:variant>
      <vt:variant>
        <vt:lpwstr>https://creativecommons.org/licenses/by/4.0/legalcode</vt:lpwstr>
      </vt:variant>
      <vt:variant>
        <vt:lpwstr/>
      </vt:variant>
      <vt:variant>
        <vt:i4>5308424</vt:i4>
      </vt:variant>
      <vt:variant>
        <vt:i4>0</vt:i4>
      </vt:variant>
      <vt:variant>
        <vt:i4>0</vt:i4>
      </vt:variant>
      <vt:variant>
        <vt:i4>5</vt:i4>
      </vt:variant>
      <vt:variant>
        <vt:lpwstr>https://creativecommons.org/licenses/by/4.0/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Statement of Regulatory Expectations</dc:title>
  <dc:subject/>
  <dc:creator/>
  <cp:keywords/>
  <dc:description/>
  <cp:lastModifiedBy>WALKER,Andrew</cp:lastModifiedBy>
  <cp:revision>7</cp:revision>
  <cp:lastPrinted>2026-08-04T02:31:00Z</cp:lastPrinted>
  <dcterms:created xsi:type="dcterms:W3CDTF">2026-08-03T01:05:00Z</dcterms:created>
  <dcterms:modified xsi:type="dcterms:W3CDTF">2026-08-04T04:35:00Z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0x01010093162BA753748F4BB53721499FC70481</vt:lpwstr>
  </property>
  <property fmtid="{D5CDD505-2E9C-101B-9397-08002B2CF9AE}" pid="10" name="MediaServiceImageTags">
    <vt:lpwstr/>
  </property>
</Properties>
</file>