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107DD5" w:rsidP="00CA4815" w:rsidRDefault="00221D8F" w14:paraId="146F4EEC" w14:textId="74C691E8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F48F19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126923157" w:displacedByCustomXml="next" w:id="0"/>
    <w:bookmarkStart w:name="_Toc126923146" w:displacedByCustomXml="next" w:id="1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221D8F" w:rsidP="00893A34" w:rsidRDefault="00747C5C" w14:paraId="00166DE0" w14:textId="7CB7EDF0">
          <w:pPr>
            <w:pStyle w:val="Heading1"/>
          </w:pPr>
          <w:r>
            <w:t>Learning &amp; Teaching Repos</w:t>
          </w:r>
          <w:r w:rsidR="00CD592F">
            <w:t>itory</w:t>
          </w:r>
        </w:p>
      </w:sdtContent>
    </w:sdt>
    <w:bookmarkEnd w:displacedByCustomXml="prev" w:id="0"/>
    <w:bookmarkEnd w:displacedByCustomXml="prev" w:id="1"/>
    <w:p w:rsidRPr="00E362E1" w:rsidR="00C3264F" w:rsidP="67370156" w:rsidRDefault="00C3264F" w14:paraId="3A1781EC" w14:textId="3864C8DA">
      <w:pPr>
        <w:spacing w:before="120" w:after="140"/>
        <w:rPr>
          <w:rFonts w:eastAsiaTheme="minorEastAsia"/>
          <w:color w:val="006372" w:themeColor="accent1" w:themeShade="BF"/>
          <w:spacing w:val="15"/>
          <w:sz w:val="32"/>
          <w:szCs w:val="32"/>
        </w:rPr>
      </w:pPr>
      <w:r w:rsidRPr="00E362E1">
        <w:rPr>
          <w:rFonts w:eastAsiaTheme="minorEastAsia"/>
          <w:color w:val="006372" w:themeColor="accent1" w:themeShade="BF"/>
          <w:spacing w:val="15"/>
          <w:sz w:val="32"/>
          <w:szCs w:val="32"/>
        </w:rPr>
        <w:t>A step-by-step guide</w:t>
      </w:r>
      <w:r w:rsidRPr="00E362E1" w:rsidR="00836BC3">
        <w:rPr>
          <w:rFonts w:eastAsiaTheme="minorEastAsia"/>
          <w:color w:val="006372" w:themeColor="accent1" w:themeShade="BF"/>
          <w:spacing w:val="15"/>
          <w:sz w:val="32"/>
          <w:szCs w:val="32"/>
        </w:rPr>
        <w:t xml:space="preserve"> </w:t>
      </w:r>
      <w:r w:rsidRPr="00E362E1" w:rsidR="00283B4C">
        <w:rPr>
          <w:rFonts w:eastAsiaTheme="minorEastAsia"/>
          <w:color w:val="006372" w:themeColor="accent1" w:themeShade="BF"/>
          <w:spacing w:val="15"/>
          <w:sz w:val="32"/>
          <w:szCs w:val="32"/>
        </w:rPr>
        <w:t>to</w:t>
      </w:r>
      <w:r w:rsidRPr="00E362E1" w:rsidR="00836BC3">
        <w:rPr>
          <w:rFonts w:eastAsiaTheme="minorEastAsia"/>
          <w:color w:val="006372" w:themeColor="accent1" w:themeShade="BF"/>
          <w:spacing w:val="15"/>
          <w:sz w:val="32"/>
          <w:szCs w:val="32"/>
        </w:rPr>
        <w:t xml:space="preserve"> </w:t>
      </w:r>
      <w:r w:rsidRPr="00E362E1" w:rsidR="00836BC3">
        <w:rPr>
          <w:rFonts w:eastAsiaTheme="minorEastAsia"/>
          <w:color w:val="006372" w:themeColor="accent1" w:themeShade="BF"/>
          <w:sz w:val="32"/>
          <w:szCs w:val="32"/>
        </w:rPr>
        <w:t>locating i</w:t>
      </w:r>
      <w:r w:rsidRPr="00E362E1" w:rsidR="65A246EF">
        <w:rPr>
          <w:rFonts w:eastAsiaTheme="minorEastAsia"/>
          <w:color w:val="006372" w:themeColor="accent1" w:themeShade="BF"/>
          <w:sz w:val="32"/>
          <w:szCs w:val="32"/>
        </w:rPr>
        <w:t>ndividual documents on TROVE</w:t>
      </w:r>
    </w:p>
    <w:p w:rsidR="0017134D" w:rsidP="00062F52" w:rsidRDefault="0017134D" w14:paraId="53966706" w14:textId="1D11F152"/>
    <w:tbl>
      <w:tblPr>
        <w:tblStyle w:val="EDU-Basic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23"/>
      </w:tblGrid>
      <w:tr w:rsidR="00062F52" w:rsidTr="0019086B" w14:paraId="6CA178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:rsidRPr="00AE3FB2" w:rsidR="00062F52" w:rsidP="00062F52" w:rsidRDefault="00062F52" w14:paraId="6B1B5910" w14:textId="77777777">
            <w:pPr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</w:pPr>
            <w:r w:rsidRPr="00AE3FB2"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  <w:t>Step 1</w:t>
            </w:r>
          </w:p>
          <w:p w:rsidR="00062F52" w:rsidP="00062F52" w:rsidRDefault="6AF74E83" w14:paraId="1E8AD951" w14:textId="314DB166">
            <w:r>
              <w:t>Access</w:t>
            </w:r>
            <w:r w:rsidR="68285B86">
              <w:t xml:space="preserve"> the </w:t>
            </w:r>
            <w:hyperlink r:id="rId14">
              <w:r w:rsidRPr="67370156" w:rsidR="68285B86">
                <w:rPr>
                  <w:rStyle w:val="Hyperlink"/>
                </w:rPr>
                <w:t>National Library of Australia (NLA)</w:t>
              </w:r>
            </w:hyperlink>
            <w:r w:rsidR="68285B86">
              <w:t xml:space="preserve"> website </w:t>
            </w:r>
            <w:r w:rsidR="0912EC5B">
              <w:t xml:space="preserve">home page </w:t>
            </w:r>
            <w:r w:rsidR="68285B86">
              <w:t xml:space="preserve">and click on ‘Trove’ on the top </w:t>
            </w:r>
            <w:r w:rsidR="00E85E08">
              <w:t>left</w:t>
            </w:r>
            <w:r w:rsidR="68285B86">
              <w:t xml:space="preserve"> of the screen to be redirected to Trove’s webpage. </w:t>
            </w:r>
          </w:p>
          <w:p w:rsidR="00062F52" w:rsidP="00062F52" w:rsidRDefault="68285B86" w14:paraId="3DAB949F" w14:textId="49F8C6F0">
            <w:r>
              <w:t xml:space="preserve">If this is not found, the screen may be minimised. If so, click on the three striped icon on the top right instead to find ‘Trove’. </w:t>
            </w: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:rsidR="00062F52" w:rsidP="00062F52" w:rsidRDefault="00B1310B" w14:paraId="7A716E4D" w14:textId="686EE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2F52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7AB973B" wp14:editId="098E6D3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810946</wp:posOffset>
                  </wp:positionV>
                  <wp:extent cx="2520000" cy="562737"/>
                  <wp:effectExtent l="0" t="0" r="0" b="8890"/>
                  <wp:wrapThrough wrapText="bothSides">
                    <wp:wrapPolygon edited="0">
                      <wp:start x="0" y="0"/>
                      <wp:lineTo x="0" y="21210"/>
                      <wp:lineTo x="21393" y="21210"/>
                      <wp:lineTo x="21393" y="0"/>
                      <wp:lineTo x="0" y="0"/>
                    </wp:wrapPolygon>
                  </wp:wrapThrough>
                  <wp:docPr id="891616636" name="Picture 1" descr="A website screenshot showing a search interface from National Library of Australia with a black background. The text &quot;What can we help you find?&quot; is centered. A Trove redirect button is located when clicking three striped lines in the top right of the inter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16636" name="Picture 1" descr="A website screenshot showing a search interface from National Library of Australia with a black background. The text &quot;What can we help you find?&quot; is centered. A Trove redirect button is located when clicking three striped lines in the top right of the interface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6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2F52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5AE0ECF" wp14:editId="1DA8C06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1905</wp:posOffset>
                  </wp:positionV>
                  <wp:extent cx="2520000" cy="709490"/>
                  <wp:effectExtent l="0" t="0" r="0" b="0"/>
                  <wp:wrapThrough wrapText="bothSides">
                    <wp:wrapPolygon edited="0">
                      <wp:start x="0" y="0"/>
                      <wp:lineTo x="0" y="20885"/>
                      <wp:lineTo x="21393" y="20885"/>
                      <wp:lineTo x="21393" y="0"/>
                      <wp:lineTo x="0" y="0"/>
                    </wp:wrapPolygon>
                  </wp:wrapThrough>
                  <wp:docPr id="1020691393" name="Picture 1" descr="A website screenshot showing a search interface from National Library of Australia with a black background. The text &quot;What can we help you find?&quot; is centered. A Trove redirect button is located on the top lef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91393" name="Picture 1" descr="A website screenshot showing a search interface from National Library of Australia with a black background. The text &quot;What can we help you find?&quot; is centered. A Trove redirect button is located on the top lef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70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2F52" w:rsidTr="00B61D6F" w14:paraId="64D1B2D7" w14:textId="77777777">
        <w:trPr>
          <w:trHeight w:val="3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AE3FB2" w:rsidR="00062F52" w:rsidP="00062F52" w:rsidRDefault="00B1310B" w14:paraId="123DED5E" w14:textId="77777777">
            <w:pPr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</w:pPr>
            <w:r w:rsidRPr="00AE3FB2"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  <w:t>Step 2</w:t>
            </w:r>
          </w:p>
          <w:p w:rsidR="00AC7AC7" w:rsidP="00062F52" w:rsidRDefault="284283C1" w14:paraId="732BFFA8" w14:textId="43A9198C">
            <w:r>
              <w:t xml:space="preserve">Once on the </w:t>
            </w:r>
            <w:hyperlink r:id="rId17">
              <w:r w:rsidRPr="67370156">
                <w:rPr>
                  <w:rStyle w:val="Hyperlink"/>
                </w:rPr>
                <w:t>Trove</w:t>
              </w:r>
            </w:hyperlink>
            <w:r>
              <w:t xml:space="preserve"> webpage, click on the </w:t>
            </w:r>
            <w:r w:rsidR="17994419">
              <w:t>‘S</w:t>
            </w:r>
            <w:r>
              <w:t>earch</w:t>
            </w:r>
            <w:r w:rsidR="17994419">
              <w:t xml:space="preserve"> Trove’</w:t>
            </w:r>
            <w:r>
              <w:t xml:space="preserve"> b</w:t>
            </w:r>
            <w:r w:rsidR="17994419">
              <w:t>ar</w:t>
            </w:r>
            <w:r>
              <w:t xml:space="preserve"> and begin typing</w:t>
            </w:r>
            <w:r w:rsidR="0E60B34B">
              <w:t xml:space="preserve"> the item name</w:t>
            </w:r>
            <w:r w:rsidR="160CB6F8">
              <w:t xml:space="preserve"> of the article</w:t>
            </w:r>
            <w:r w:rsidR="7C5B6631">
              <w:t xml:space="preserve"> from the LTR </w:t>
            </w:r>
            <w:r w:rsidR="01565BF0">
              <w:t>Catalogue</w:t>
            </w:r>
            <w:r>
              <w:t xml:space="preserve">. </w:t>
            </w:r>
          </w:p>
          <w:p w:rsidR="00AC7AC7" w:rsidP="00062F52" w:rsidRDefault="284283C1" w14:paraId="7F954A83" w14:textId="4B1CC68F">
            <w:r>
              <w:t xml:space="preserve">Filter the search using the category drop-down beside the green box with </w:t>
            </w:r>
            <w:r w:rsidR="76516B88">
              <w:t>the</w:t>
            </w:r>
            <w:r>
              <w:t xml:space="preserve"> magnifying glass.</w:t>
            </w:r>
          </w:p>
          <w:p w:rsidR="00AC7AC7" w:rsidP="00062F52" w:rsidRDefault="34D5299A" w14:paraId="7FF366EC" w14:textId="58F1B49F">
            <w:r>
              <w:t xml:space="preserve">The ‘Research &amp; Reports’ category will likely be of most use. </w:t>
            </w:r>
          </w:p>
          <w:p w:rsidR="00AC7AC7" w:rsidP="00062F52" w:rsidRDefault="284283C1" w14:paraId="006E1FF7" w14:textId="7501A2CF">
            <w:r>
              <w:t>Once a category is selected, click</w:t>
            </w:r>
            <w:r w:rsidR="13B73965">
              <w:t xml:space="preserve"> enter or</w:t>
            </w:r>
            <w:r w:rsidR="1759D115">
              <w:t xml:space="preserve"> click</w:t>
            </w:r>
            <w:r>
              <w:t xml:space="preserve"> on the green box with </w:t>
            </w:r>
            <w:r w:rsidR="76516B88">
              <w:t>the</w:t>
            </w:r>
            <w:r>
              <w:t xml:space="preserve"> magnifying glass to search.</w:t>
            </w:r>
          </w:p>
          <w:p w:rsidR="0019086B" w:rsidP="00062F52" w:rsidRDefault="19683498" w14:paraId="4CB7D1B3" w14:textId="77777777">
            <w:r>
              <w:t xml:space="preserve"> If the document</w:t>
            </w:r>
            <w:r w:rsidR="349725EC">
              <w:t xml:space="preserve"> type is unknown</w:t>
            </w:r>
            <w:r w:rsidR="7F910BBD">
              <w:t xml:space="preserve">, select ‘All </w:t>
            </w:r>
            <w:proofErr w:type="gramStart"/>
            <w:r w:rsidR="7F910BBD">
              <w:t>categories’</w:t>
            </w:r>
            <w:proofErr w:type="gramEnd"/>
            <w:r w:rsidR="7F910BBD">
              <w:t>.</w:t>
            </w:r>
          </w:p>
          <w:p w:rsidRPr="0019086B" w:rsidR="0019086B" w:rsidP="00062F52" w:rsidRDefault="0019086B" w14:paraId="09913DC1" w14:textId="51637FCD"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="00062F52" w:rsidP="00062F52" w:rsidRDefault="00530616" w14:paraId="23FABA81" w14:textId="51B39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616"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7A20946C" wp14:editId="4FEF7620">
                  <wp:simplePos x="0" y="0"/>
                  <wp:positionH relativeFrom="column">
                    <wp:posOffset>-44656</wp:posOffset>
                  </wp:positionH>
                  <wp:positionV relativeFrom="paragraph">
                    <wp:posOffset>32609</wp:posOffset>
                  </wp:positionV>
                  <wp:extent cx="2520950" cy="834390"/>
                  <wp:effectExtent l="0" t="0" r="0" b="3810"/>
                  <wp:wrapThrough wrapText="bothSides">
                    <wp:wrapPolygon edited="0">
                      <wp:start x="0" y="0"/>
                      <wp:lineTo x="0" y="21205"/>
                      <wp:lineTo x="21382" y="21205"/>
                      <wp:lineTo x="21382" y="0"/>
                      <wp:lineTo x="0" y="0"/>
                    </wp:wrapPolygon>
                  </wp:wrapThrough>
                  <wp:docPr id="660524098" name="Picture 1" descr="Screenshot of Trove website homepage header showing navigation menu and a search bar with placeholder text &quot;Search Trove...&quot; beside a green search butt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24098" name="Picture 1" descr="Screenshot of Trove website homepage header showing navigation menu and a search bar with placeholder text &quot;Search Trove...&quot; beside a green search button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2F52" w:rsidTr="0019086B" w14:paraId="0F08A99B" w14:textId="77777777">
        <w:trPr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AE3FB2" w:rsidR="00062F52" w:rsidP="00062F52" w:rsidRDefault="00530616" w14:paraId="2725E2A8" w14:textId="3396034C">
            <w:pPr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</w:pPr>
            <w:r w:rsidRPr="00AE3FB2"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  <w:lastRenderedPageBreak/>
              <w:t>Step 3</w:t>
            </w:r>
          </w:p>
          <w:p w:rsidR="00C432A9" w:rsidP="00062F52" w:rsidRDefault="34D5299A" w14:paraId="1F0FC284" w14:textId="67AD5158">
            <w:r>
              <w:t xml:space="preserve">After being redirected to </w:t>
            </w:r>
            <w:r w:rsidR="20D577A2">
              <w:t>the</w:t>
            </w:r>
            <w:r>
              <w:t xml:space="preserve"> </w:t>
            </w:r>
            <w:r w:rsidR="20D577A2">
              <w:t>search</w:t>
            </w:r>
            <w:r>
              <w:t xml:space="preserve"> page, </w:t>
            </w:r>
            <w:r w:rsidR="206EC7AD">
              <w:t>results will arise, categorised by the publication medium</w:t>
            </w:r>
            <w:r w:rsidR="773BD0B3">
              <w:t>.</w:t>
            </w:r>
          </w:p>
          <w:p w:rsidR="00C432A9" w:rsidP="00062F52" w:rsidRDefault="3C900207" w14:paraId="77016840" w14:textId="0E641C81">
            <w:r>
              <w:t>Navigate through the list by scrolling down.</w:t>
            </w:r>
            <w:r w:rsidR="0E60B34B">
              <w:t xml:space="preserve"> The correct result will most likely be found under ‘Research &amp; Reports’. </w:t>
            </w:r>
          </w:p>
          <w:p w:rsidR="00C432A9" w:rsidP="00062F52" w:rsidRDefault="0E60B34B" w14:paraId="5BC6C2FD" w14:textId="1C46FDAC">
            <w:r>
              <w:t>The result can be cross-checked by</w:t>
            </w:r>
            <w:r w:rsidR="7C5B6631">
              <w:t xml:space="preserve"> identifying the year of publication from the LTR </w:t>
            </w:r>
            <w:r w:rsidR="70BC58BB">
              <w:t>Ca</w:t>
            </w:r>
            <w:r w:rsidR="6B1F7F9C">
              <w:t xml:space="preserve">talogue </w:t>
            </w:r>
            <w:r w:rsidR="7C5B6631">
              <w:t>against the date on the result</w:t>
            </w:r>
            <w:r w:rsidR="37F05E93">
              <w:t>.</w:t>
            </w:r>
          </w:p>
        </w:tc>
        <w:tc>
          <w:tcPr>
            <w:tcW w:w="3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="00062F52" w:rsidP="00062F52" w:rsidRDefault="008E0714" w14:paraId="7333386D" w14:textId="2BE4D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67F"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797EDDA9" wp14:editId="37950891">
                  <wp:simplePos x="0" y="0"/>
                  <wp:positionH relativeFrom="margin">
                    <wp:posOffset>-52070</wp:posOffset>
                  </wp:positionH>
                  <wp:positionV relativeFrom="paragraph">
                    <wp:posOffset>1513148</wp:posOffset>
                  </wp:positionV>
                  <wp:extent cx="2520000" cy="682979"/>
                  <wp:effectExtent l="0" t="0" r="0" b="3175"/>
                  <wp:wrapThrough wrapText="bothSides">
                    <wp:wrapPolygon edited="0">
                      <wp:start x="0" y="0"/>
                      <wp:lineTo x="0" y="21098"/>
                      <wp:lineTo x="21393" y="21098"/>
                      <wp:lineTo x="21393" y="0"/>
                      <wp:lineTo x="0" y="0"/>
                    </wp:wrapPolygon>
                  </wp:wrapThrough>
                  <wp:docPr id="66648886" name="Picture 1" descr="Screenshot of a research and reports webpage featuring a search result listing a government publication book by Australian Learning and Teaching Council, with filters for format types like thesis, article, book chapter, and conference paper on the right 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8886" name="Picture 1" descr="Screenshot of a research and reports webpage featuring a search result listing a government publication book by Australian Learning and Teaching Council, with filters for format types like thesis, article, book chapter, and conference paper on the right side."/>
                          <pic:cNvPicPr/>
                        </pic:nvPicPr>
                        <pic:blipFill rotWithShape="1">
                          <a:blip r:embed="rId19"/>
                          <a:srcRect t="55866" r="32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682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0805" w:rsidR="006D3E19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68DD21C" wp14:editId="2EF7562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64135</wp:posOffset>
                  </wp:positionV>
                  <wp:extent cx="2520000" cy="1232082"/>
                  <wp:effectExtent l="0" t="0" r="0" b="6350"/>
                  <wp:wrapThrough wrapText="bothSides">
                    <wp:wrapPolygon edited="0">
                      <wp:start x="0" y="0"/>
                      <wp:lineTo x="0" y="21377"/>
                      <wp:lineTo x="21393" y="21377"/>
                      <wp:lineTo x="21393" y="0"/>
                      <wp:lineTo x="0" y="0"/>
                    </wp:wrapPolygon>
                  </wp:wrapThrough>
                  <wp:docPr id="186465302" name="Picture 1" descr="Screenshot of a webpage showing search results for &quot;The teaching and assessment of statistical thinking within and across disciplines.&quot; It features two newspaper articles with titles, sources, dates, and brief excerpts, displayed under the &quot;Newspapers &amp; Gazettes&quot; category with a total of 369 results indica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5302" name="Picture 1" descr="Screenshot of a webpage showing search results for &quot;The teaching and assessment of statistical thinking within and across disciplines.&quot; It features two newspaper articles with titles, sources, dates, and brief excerpts, displayed under the &quot;Newspapers &amp; Gazettes&quot; category with a total of 369 results indicated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232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2F52" w:rsidTr="0019086B" w14:paraId="7AACA723" w14:textId="77777777">
        <w:trPr>
          <w:trHeight w:val="3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AE3FB2" w:rsidR="00062F52" w:rsidP="00062F52" w:rsidRDefault="00C432A9" w14:paraId="36C7FE47" w14:textId="679F3BE8">
            <w:pPr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</w:pPr>
            <w:r w:rsidRPr="00AE3FB2"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  <w:t>Step 4</w:t>
            </w:r>
          </w:p>
          <w:p w:rsidR="00C432A9" w:rsidP="00062F52" w:rsidRDefault="7C5B6631" w14:paraId="778D54CA" w14:textId="4DFA2902">
            <w:r>
              <w:t xml:space="preserve">Once the correct result is located, </w:t>
            </w:r>
            <w:r w:rsidR="329DAA16">
              <w:t>click on the blue title.</w:t>
            </w:r>
            <w:r w:rsidR="5C3C9285">
              <w:t xml:space="preserve"> </w:t>
            </w:r>
          </w:p>
          <w:p w:rsidR="00C432A9" w:rsidP="00062F52" w:rsidRDefault="5C3C9285" w14:paraId="3FD05853" w14:textId="7773E9B8">
            <w:r>
              <w:t xml:space="preserve">Click on the purple rectangular icons below the publication image to explore reading options. </w:t>
            </w:r>
          </w:p>
          <w:p w:rsidR="00C432A9" w:rsidP="00062F52" w:rsidRDefault="5C3C9285" w14:paraId="5A5F6A76" w14:textId="6C8525B8">
            <w:r>
              <w:t xml:space="preserve">To gain free reading access, click the ‘Read’ box, then click ‘National </w:t>
            </w:r>
            <w:proofErr w:type="spellStart"/>
            <w:r>
              <w:t>edeposit</w:t>
            </w:r>
            <w:proofErr w:type="spellEnd"/>
            <w:r>
              <w:t>’ to be redirected to the text</w:t>
            </w:r>
            <w:r w:rsidR="3AF593D6">
              <w:t xml:space="preserve"> itself</w:t>
            </w:r>
            <w:r>
              <w:t>.</w:t>
            </w:r>
          </w:p>
        </w:tc>
        <w:tc>
          <w:tcPr>
            <w:tcW w:w="3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="00062F52" w:rsidP="00065D25" w:rsidRDefault="00065D25" w14:paraId="198411D4" w14:textId="5E498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D25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0BF6EBDE" wp14:editId="0DDB7EE0">
                  <wp:simplePos x="0" y="0"/>
                  <wp:positionH relativeFrom="column">
                    <wp:posOffset>-42824</wp:posOffset>
                  </wp:positionH>
                  <wp:positionV relativeFrom="paragraph">
                    <wp:posOffset>457</wp:posOffset>
                  </wp:positionV>
                  <wp:extent cx="2520000" cy="2044364"/>
                  <wp:effectExtent l="0" t="0" r="0" b="0"/>
                  <wp:wrapThrough wrapText="bothSides">
                    <wp:wrapPolygon edited="0">
                      <wp:start x="0" y="0"/>
                      <wp:lineTo x="0" y="21338"/>
                      <wp:lineTo x="21393" y="21338"/>
                      <wp:lineTo x="21393" y="0"/>
                      <wp:lineTo x="0" y="0"/>
                    </wp:wrapPolygon>
                  </wp:wrapThrough>
                  <wp:docPr id="1003855764" name="Picture 1" descr="Screenshot of an online library page on Trove displaying a book published in 2009 found on the &quot;National edeposit&quot; with free access available. The page includes options to read, borrow, buy, and cite the book, with a blue cover image and navigation buttons in dark pur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55764" name="Picture 1" descr="Screenshot of an online library page on Trove displaying a book published in 2009 found on the &quot;National edeposit&quot; with free access available. The page includes options to read, borrow, buy, and cite the book, with a blue cover image and navigation buttons in dark purple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04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2F52" w:rsidTr="00B61D6F" w14:paraId="343FCB86" w14:textId="77777777">
        <w:trPr>
          <w:trHeight w:val="2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color="auto" w:sz="4" w:space="0"/>
              <w:bottom w:val="nil"/>
            </w:tcBorders>
            <w:vAlign w:val="top"/>
          </w:tcPr>
          <w:p w:rsidR="00062F52" w:rsidP="00062F52" w:rsidRDefault="00065D25" w14:paraId="229B00D6" w14:textId="54EA03F2">
            <w:r w:rsidRPr="00AE3FB2">
              <w:rPr>
                <w:rFonts w:asciiTheme="majorHAnsi" w:hAnsiTheme="majorHAnsi" w:eastAsiaTheme="majorEastAsia" w:cstheme="majorBidi"/>
                <w:b/>
                <w:color w:val="004C6C" w:themeColor="background2"/>
                <w:sz w:val="26"/>
              </w:rPr>
              <w:t>Tip</w:t>
            </w:r>
          </w:p>
          <w:p w:rsidR="00065D25" w:rsidP="00062F52" w:rsidRDefault="00065D25" w14:paraId="4C94E19A" w14:textId="28CED363">
            <w:r>
              <w:t xml:space="preserve">If the item cannot be found, click ‘Advanced Search’ underneath the green box with </w:t>
            </w:r>
            <w:r w:rsidR="00841FFA">
              <w:t>the</w:t>
            </w:r>
            <w:r>
              <w:t xml:space="preserve"> magnifying glass, then click ‘Research &amp; Reports’. This enables detailed searching, including by Title, Creator, ISBN, Year and more.</w:t>
            </w:r>
          </w:p>
        </w:tc>
        <w:tc>
          <w:tcPr>
            <w:tcW w:w="3923" w:type="dxa"/>
            <w:tcBorders>
              <w:top w:val="single" w:color="auto" w:sz="4" w:space="0"/>
              <w:bottom w:val="nil"/>
            </w:tcBorders>
            <w:vAlign w:val="top"/>
          </w:tcPr>
          <w:p w:rsidR="00062F52" w:rsidP="00062F52" w:rsidRDefault="00065D25" w14:paraId="069F9C67" w14:textId="1255D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D25"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18CDF7BC" wp14:editId="542F769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125730</wp:posOffset>
                  </wp:positionV>
                  <wp:extent cx="2520000" cy="1609825"/>
                  <wp:effectExtent l="0" t="0" r="0" b="0"/>
                  <wp:wrapThrough wrapText="bothSides">
                    <wp:wrapPolygon edited="0">
                      <wp:start x="0" y="0"/>
                      <wp:lineTo x="0" y="21217"/>
                      <wp:lineTo x="21393" y="21217"/>
                      <wp:lineTo x="21393" y="0"/>
                      <wp:lineTo x="0" y="0"/>
                    </wp:wrapPolygon>
                  </wp:wrapThrough>
                  <wp:docPr id="2130038976" name="Picture 1" descr="Screenshot of an advanced search interface with multiple filter options including keyword, title, creator, subject, and format. The search bar contains the phrase &quot;The teaching and assessment of statistical thinking within and across disciplines,&quot; with checkboxes and fields for Australian content, ISBN, ISSN, and other criteria visible for refining search resul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38976" name="Picture 1" descr="Screenshot of an advanced search interface with multiple filter options including keyword, title, creator, subject, and format. The search bar contains the phrase &quot;The teaching and assessment of statistical thinking within and across disciplines,&quot; with checkboxes and fields for Australian content, ISBN, ISSN, and other criteria visible for refining search results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6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2F52" w:rsidTr="00B61D6F" w14:paraId="636414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il"/>
            </w:tcBorders>
            <w:vAlign w:val="top"/>
          </w:tcPr>
          <w:p w:rsidR="00062F52" w:rsidP="00062F52" w:rsidRDefault="00062F52" w14:paraId="0E6F9EB0" w14:textId="77777777"/>
        </w:tc>
        <w:tc>
          <w:tcPr>
            <w:tcW w:w="3923" w:type="dxa"/>
            <w:tcBorders>
              <w:top w:val="nil"/>
            </w:tcBorders>
            <w:vAlign w:val="top"/>
          </w:tcPr>
          <w:p w:rsidR="00062F52" w:rsidP="00062F52" w:rsidRDefault="00062F52" w14:paraId="6B2772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62F52" w:rsidP="00062F52" w:rsidRDefault="00062F52" w14:paraId="6A97D967" w14:textId="059F875D"/>
    <w:p w:rsidR="00062F52" w:rsidP="00062F52" w:rsidRDefault="00062F52" w14:paraId="5D817A8A" w14:textId="75A364D5"/>
    <w:sectPr w:rsidR="00062F52" w:rsidSect="00D86284">
      <w:footerReference w:type="default" r:id="rId23"/>
      <w:pgSz w:w="11906" w:h="16838" w:orient="portrait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386" w:rsidP="000A6228" w:rsidRDefault="00322386" w14:paraId="7D2FFCA9" w14:textId="77777777">
      <w:pPr>
        <w:spacing w:after="0" w:line="240" w:lineRule="auto"/>
      </w:pPr>
      <w:r>
        <w:separator/>
      </w:r>
    </w:p>
  </w:endnote>
  <w:endnote w:type="continuationSeparator" w:id="0">
    <w:p w:rsidR="00322386" w:rsidP="000A6228" w:rsidRDefault="00322386" w14:paraId="62A233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86284" w:rsidRDefault="00D86284" w14:paraId="3C304C76" w14:textId="32C5A28D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386" w:rsidP="000A6228" w:rsidRDefault="00322386" w14:paraId="729C2D8F" w14:textId="77777777">
      <w:pPr>
        <w:spacing w:after="0" w:line="240" w:lineRule="auto"/>
      </w:pPr>
      <w:r>
        <w:separator/>
      </w:r>
    </w:p>
  </w:footnote>
  <w:footnote w:type="continuationSeparator" w:id="0">
    <w:p w:rsidR="00322386" w:rsidP="000A6228" w:rsidRDefault="00322386" w14:paraId="6BF560A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dirty"/>
  <w:trackRevisions w:val="false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93B"/>
    <w:rsid w:val="00004239"/>
    <w:rsid w:val="00012366"/>
    <w:rsid w:val="00012B03"/>
    <w:rsid w:val="00013809"/>
    <w:rsid w:val="00020A7C"/>
    <w:rsid w:val="00021FBE"/>
    <w:rsid w:val="000363B7"/>
    <w:rsid w:val="000461DD"/>
    <w:rsid w:val="000521D7"/>
    <w:rsid w:val="000563D8"/>
    <w:rsid w:val="00057986"/>
    <w:rsid w:val="00062F52"/>
    <w:rsid w:val="00065D25"/>
    <w:rsid w:val="000812D4"/>
    <w:rsid w:val="000A0B58"/>
    <w:rsid w:val="000A6228"/>
    <w:rsid w:val="000B5D40"/>
    <w:rsid w:val="000B7EC6"/>
    <w:rsid w:val="000C3535"/>
    <w:rsid w:val="0010224D"/>
    <w:rsid w:val="00107245"/>
    <w:rsid w:val="00107D87"/>
    <w:rsid w:val="00107DD5"/>
    <w:rsid w:val="001171EB"/>
    <w:rsid w:val="0012343A"/>
    <w:rsid w:val="00133B8D"/>
    <w:rsid w:val="0013611E"/>
    <w:rsid w:val="00144822"/>
    <w:rsid w:val="001515BF"/>
    <w:rsid w:val="0017134D"/>
    <w:rsid w:val="001778D5"/>
    <w:rsid w:val="0019086B"/>
    <w:rsid w:val="001920DC"/>
    <w:rsid w:val="001C1523"/>
    <w:rsid w:val="001C738D"/>
    <w:rsid w:val="001D6071"/>
    <w:rsid w:val="001E1BBD"/>
    <w:rsid w:val="001E4CCC"/>
    <w:rsid w:val="00200F83"/>
    <w:rsid w:val="00221D8F"/>
    <w:rsid w:val="002272DB"/>
    <w:rsid w:val="00253B8C"/>
    <w:rsid w:val="00276047"/>
    <w:rsid w:val="00283B4C"/>
    <w:rsid w:val="002A4458"/>
    <w:rsid w:val="002B31FE"/>
    <w:rsid w:val="002D589A"/>
    <w:rsid w:val="002E491A"/>
    <w:rsid w:val="003137D3"/>
    <w:rsid w:val="00322386"/>
    <w:rsid w:val="00323B77"/>
    <w:rsid w:val="0032767F"/>
    <w:rsid w:val="00346CBF"/>
    <w:rsid w:val="003713BE"/>
    <w:rsid w:val="00382070"/>
    <w:rsid w:val="003832D9"/>
    <w:rsid w:val="003A234C"/>
    <w:rsid w:val="003C7E38"/>
    <w:rsid w:val="003D2E67"/>
    <w:rsid w:val="003E64B7"/>
    <w:rsid w:val="003F10B4"/>
    <w:rsid w:val="0040155D"/>
    <w:rsid w:val="00406C31"/>
    <w:rsid w:val="0041713E"/>
    <w:rsid w:val="00421D3F"/>
    <w:rsid w:val="00423785"/>
    <w:rsid w:val="0042570E"/>
    <w:rsid w:val="004330A1"/>
    <w:rsid w:val="00452D26"/>
    <w:rsid w:val="004A06CD"/>
    <w:rsid w:val="004A4B6F"/>
    <w:rsid w:val="004A4CF9"/>
    <w:rsid w:val="004C7E9C"/>
    <w:rsid w:val="004D2965"/>
    <w:rsid w:val="004D2D9D"/>
    <w:rsid w:val="004F2515"/>
    <w:rsid w:val="00530616"/>
    <w:rsid w:val="00583AC8"/>
    <w:rsid w:val="005A75C9"/>
    <w:rsid w:val="005B187D"/>
    <w:rsid w:val="005D31E1"/>
    <w:rsid w:val="006232DC"/>
    <w:rsid w:val="0063094F"/>
    <w:rsid w:val="00671064"/>
    <w:rsid w:val="0067142C"/>
    <w:rsid w:val="006C4E21"/>
    <w:rsid w:val="006D3E19"/>
    <w:rsid w:val="006D67F3"/>
    <w:rsid w:val="006F1FFF"/>
    <w:rsid w:val="006F6D10"/>
    <w:rsid w:val="00706C91"/>
    <w:rsid w:val="00712B94"/>
    <w:rsid w:val="00747C5C"/>
    <w:rsid w:val="00770099"/>
    <w:rsid w:val="00785B1E"/>
    <w:rsid w:val="007B2CA1"/>
    <w:rsid w:val="007D0ABC"/>
    <w:rsid w:val="007D16FC"/>
    <w:rsid w:val="00802814"/>
    <w:rsid w:val="008042F5"/>
    <w:rsid w:val="00814C9B"/>
    <w:rsid w:val="00836BC3"/>
    <w:rsid w:val="00841FFA"/>
    <w:rsid w:val="0084500B"/>
    <w:rsid w:val="00851A5D"/>
    <w:rsid w:val="00854443"/>
    <w:rsid w:val="0088668D"/>
    <w:rsid w:val="00886959"/>
    <w:rsid w:val="00893A34"/>
    <w:rsid w:val="008A203E"/>
    <w:rsid w:val="008A36E1"/>
    <w:rsid w:val="008A37A7"/>
    <w:rsid w:val="008B0736"/>
    <w:rsid w:val="008C6DAE"/>
    <w:rsid w:val="008E0714"/>
    <w:rsid w:val="008E269A"/>
    <w:rsid w:val="008E66CD"/>
    <w:rsid w:val="008E70F5"/>
    <w:rsid w:val="00932788"/>
    <w:rsid w:val="009414C8"/>
    <w:rsid w:val="00950B06"/>
    <w:rsid w:val="009632F9"/>
    <w:rsid w:val="00970069"/>
    <w:rsid w:val="009721EB"/>
    <w:rsid w:val="009B706E"/>
    <w:rsid w:val="009C295C"/>
    <w:rsid w:val="009C423A"/>
    <w:rsid w:val="009E476C"/>
    <w:rsid w:val="009E6F77"/>
    <w:rsid w:val="009E79ED"/>
    <w:rsid w:val="009F0805"/>
    <w:rsid w:val="00A07337"/>
    <w:rsid w:val="00A07596"/>
    <w:rsid w:val="00A17A08"/>
    <w:rsid w:val="00A336CA"/>
    <w:rsid w:val="00A50076"/>
    <w:rsid w:val="00A60673"/>
    <w:rsid w:val="00AA2B61"/>
    <w:rsid w:val="00AA4D00"/>
    <w:rsid w:val="00AA5187"/>
    <w:rsid w:val="00AC1872"/>
    <w:rsid w:val="00AC7AC7"/>
    <w:rsid w:val="00AD631F"/>
    <w:rsid w:val="00AE21FF"/>
    <w:rsid w:val="00AE3FB2"/>
    <w:rsid w:val="00AF1F18"/>
    <w:rsid w:val="00AF4265"/>
    <w:rsid w:val="00AF45E5"/>
    <w:rsid w:val="00B0726E"/>
    <w:rsid w:val="00B1310B"/>
    <w:rsid w:val="00B219D1"/>
    <w:rsid w:val="00B24092"/>
    <w:rsid w:val="00B26022"/>
    <w:rsid w:val="00B501C3"/>
    <w:rsid w:val="00B61D6F"/>
    <w:rsid w:val="00B81FA4"/>
    <w:rsid w:val="00B83876"/>
    <w:rsid w:val="00B8794C"/>
    <w:rsid w:val="00B92D87"/>
    <w:rsid w:val="00B95EF4"/>
    <w:rsid w:val="00BB6509"/>
    <w:rsid w:val="00BC248C"/>
    <w:rsid w:val="00BC2F20"/>
    <w:rsid w:val="00C01EC0"/>
    <w:rsid w:val="00C244EE"/>
    <w:rsid w:val="00C3264F"/>
    <w:rsid w:val="00C42DD8"/>
    <w:rsid w:val="00C432A9"/>
    <w:rsid w:val="00C67F10"/>
    <w:rsid w:val="00C72224"/>
    <w:rsid w:val="00C75706"/>
    <w:rsid w:val="00C93C57"/>
    <w:rsid w:val="00CA4815"/>
    <w:rsid w:val="00CD592F"/>
    <w:rsid w:val="00CE5D79"/>
    <w:rsid w:val="00CF1F56"/>
    <w:rsid w:val="00CF6562"/>
    <w:rsid w:val="00D17DB0"/>
    <w:rsid w:val="00D5688A"/>
    <w:rsid w:val="00D578E0"/>
    <w:rsid w:val="00D607A4"/>
    <w:rsid w:val="00D76263"/>
    <w:rsid w:val="00D86284"/>
    <w:rsid w:val="00DB0BF2"/>
    <w:rsid w:val="00DC1A29"/>
    <w:rsid w:val="00DC5980"/>
    <w:rsid w:val="00DD2B46"/>
    <w:rsid w:val="00E06ED6"/>
    <w:rsid w:val="00E23DC4"/>
    <w:rsid w:val="00E24B28"/>
    <w:rsid w:val="00E362E1"/>
    <w:rsid w:val="00E4586D"/>
    <w:rsid w:val="00E529E5"/>
    <w:rsid w:val="00E577C2"/>
    <w:rsid w:val="00E57F16"/>
    <w:rsid w:val="00E73B2D"/>
    <w:rsid w:val="00E85E08"/>
    <w:rsid w:val="00EB4C2F"/>
    <w:rsid w:val="00ED06E3"/>
    <w:rsid w:val="00ED0DDF"/>
    <w:rsid w:val="00F1000D"/>
    <w:rsid w:val="00F311A4"/>
    <w:rsid w:val="00F45E4C"/>
    <w:rsid w:val="00F552E8"/>
    <w:rsid w:val="00F6430E"/>
    <w:rsid w:val="00F82C2C"/>
    <w:rsid w:val="00F85913"/>
    <w:rsid w:val="00FD4D6E"/>
    <w:rsid w:val="00FD6383"/>
    <w:rsid w:val="00FF5BC8"/>
    <w:rsid w:val="01565BF0"/>
    <w:rsid w:val="0912EC5B"/>
    <w:rsid w:val="0BB758DB"/>
    <w:rsid w:val="0E60B34B"/>
    <w:rsid w:val="13B73965"/>
    <w:rsid w:val="1564B503"/>
    <w:rsid w:val="160CB6F8"/>
    <w:rsid w:val="1759D115"/>
    <w:rsid w:val="17994419"/>
    <w:rsid w:val="19683498"/>
    <w:rsid w:val="206EC7AD"/>
    <w:rsid w:val="20BFE779"/>
    <w:rsid w:val="20D577A2"/>
    <w:rsid w:val="284283C1"/>
    <w:rsid w:val="2F57EE0C"/>
    <w:rsid w:val="329DAA16"/>
    <w:rsid w:val="349725EC"/>
    <w:rsid w:val="34D5299A"/>
    <w:rsid w:val="37F05E93"/>
    <w:rsid w:val="3AF593D6"/>
    <w:rsid w:val="3C900207"/>
    <w:rsid w:val="469C64F3"/>
    <w:rsid w:val="4CC22F83"/>
    <w:rsid w:val="5C291101"/>
    <w:rsid w:val="5C3C9285"/>
    <w:rsid w:val="5DFCCCDC"/>
    <w:rsid w:val="5E5C69BA"/>
    <w:rsid w:val="65A246EF"/>
    <w:rsid w:val="67370156"/>
    <w:rsid w:val="68285B86"/>
    <w:rsid w:val="6AF74E83"/>
    <w:rsid w:val="6B1F7F9C"/>
    <w:rsid w:val="70BC58BB"/>
    <w:rsid w:val="73441296"/>
    <w:rsid w:val="76516B88"/>
    <w:rsid w:val="773BD0B3"/>
    <w:rsid w:val="7C5B6631"/>
    <w:rsid w:val="7C9D0F3E"/>
    <w:rsid w:val="7F91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9E820CE0-1241-4501-8F04-C8CB92A3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D86284"/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529E5"/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D6383"/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character" w:styleId="Heading6Char" w:customStyle="1">
    <w:name w:val="Heading 6 Char"/>
    <w:basedOn w:val="DefaultParagraphFont"/>
    <w:link w:val="Heading6"/>
    <w:uiPriority w:val="9"/>
    <w:rsid w:val="00AD631F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svg" Id="rId13" /><Relationship Type="http://schemas.openxmlformats.org/officeDocument/2006/relationships/image" Target="media/image6.pn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trove.nla.gov.au/" TargetMode="Externa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8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image" Target="media/image7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brary.gov.au/" TargetMode="External" Id="rId14" /><Relationship Type="http://schemas.openxmlformats.org/officeDocument/2006/relationships/image" Target="media/image10.png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2C35A2"/>
    <w:rsid w:val="0033332A"/>
    <w:rsid w:val="003713BE"/>
    <w:rsid w:val="00583AC8"/>
    <w:rsid w:val="00785B1E"/>
    <w:rsid w:val="008E269A"/>
    <w:rsid w:val="00934441"/>
    <w:rsid w:val="009414C8"/>
    <w:rsid w:val="00CF1F56"/>
    <w:rsid w:val="00D73CAA"/>
    <w:rsid w:val="00E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DC2577B49E49BFE1D29B2E466DF0" ma:contentTypeVersion="6" ma:contentTypeDescription="Create a new document." ma:contentTypeScope="" ma:versionID="e74cd1a3796e00997f70d9e192e5e375">
  <xsd:schema xmlns:xsd="http://www.w3.org/2001/XMLSchema" xmlns:xs="http://www.w3.org/2001/XMLSchema" xmlns:p="http://schemas.microsoft.com/office/2006/metadata/properties" xmlns:ns2="47a89ebe-818e-4fc0-a582-1bb22e02dc91" xmlns:ns3="ae7c9846-b409-431d-9ec7-76b30568bf70" targetNamespace="http://schemas.microsoft.com/office/2006/metadata/properties" ma:root="true" ma:fieldsID="8994b4ae69ee8ca1dc51fe7e389f1417" ns2:_="" ns3:_="">
    <xsd:import namespace="47a89ebe-818e-4fc0-a582-1bb22e02dc91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89ebe-818e-4fc0-a582-1bb22e0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51C83-D9CB-4675-AC28-254FECC9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89ebe-818e-4fc0-a582-1bb22e02dc91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Learning &amp; Teaching Repository</dc:title>
  <dc:subject/>
  <dc:creator>ASHTON,Michael</dc:creator>
  <keywords/>
  <dc:description/>
  <lastModifiedBy>SAJLER,Mikajla</lastModifiedBy>
  <revision>18</revision>
  <dcterms:created xsi:type="dcterms:W3CDTF">2026-07-21T02:58:00.0000000Z</dcterms:created>
  <dcterms:modified xsi:type="dcterms:W3CDTF">2026-07-24T02:14:46.6949243Z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0x0101009F96DC2577B49E49BFE1D29B2E466DF0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