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0085" w14:textId="77777777" w:rsidR="00107DD5" w:rsidRDefault="00221D8F" w:rsidP="00CA4815">
      <w:r w:rsidRPr="00CA4815">
        <w:rPr>
          <w:b/>
          <w:bCs/>
          <w:noProof/>
        </w:rPr>
        <w:drawing>
          <wp:anchor distT="0" distB="0" distL="114300" distR="114300" simplePos="0" relativeHeight="251658240" behindDoc="1" locked="1" layoutInCell="1" allowOverlap="1" wp14:anchorId="5178C742" wp14:editId="232965CA">
            <wp:simplePos x="0" y="0"/>
            <wp:positionH relativeFrom="page">
              <wp:posOffset>20320</wp:posOffset>
            </wp:positionH>
            <wp:positionV relativeFrom="paragraph">
              <wp:posOffset>-935355</wp:posOffset>
            </wp:positionV>
            <wp:extent cx="7537450" cy="2273300"/>
            <wp:effectExtent l="0" t="0" r="6350" b="0"/>
            <wp:wrapNone/>
            <wp:docPr id="2" name="Picture 2">
              <a:extLst xmlns:a="http://schemas.openxmlformats.org/drawingml/2006/main">
                <a:ext uri="{FF2B5EF4-FFF2-40B4-BE49-F238E27FC236}">
                  <a16:creationId xmlns:a16="http://schemas.microsoft.com/office/drawing/2014/main" id="{38CD4091-364D-4ACF-AA64-8BDF70948B4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7537450" cy="22733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6FDFB8B7" wp14:editId="1B602653">
            <wp:extent cx="2997200" cy="692101"/>
            <wp:effectExtent l="0" t="0" r="0" b="0"/>
            <wp:docPr id="3" name="Graphic 3" descr="Australian Government. Higher Education Gender-based Violence Regulator.">
              <a:extLst xmlns:a="http://schemas.openxmlformats.org/drawingml/2006/main">
                <a:ext uri="{FF2B5EF4-FFF2-40B4-BE49-F238E27FC236}">
                  <a16:creationId xmlns:a16="http://schemas.microsoft.com/office/drawing/2014/main" id="{9284C6D5-5365-4302-A95D-D701EF3B4E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Higher Education Gender-based Violence Regulator."/>
                    <pic:cNvPicPr/>
                  </pic:nvPicPr>
                  <pic:blipFill>
                    <a:blip r:embed="rId11">
                      <a:extLst>
                        <a:ext uri="{28A0092B-C50C-407E-A947-70E740481C1C}">
                          <a14:useLocalDpi xmlns:a14="http://schemas.microsoft.com/office/drawing/2010/main" val="0"/>
                        </a:ext>
                      </a:extLst>
                    </a:blip>
                    <a:stretch>
                      <a:fillRect/>
                    </a:stretch>
                  </pic:blipFill>
                  <pic:spPr>
                    <a:xfrm>
                      <a:off x="0" y="0"/>
                      <a:ext cx="3019513" cy="697253"/>
                    </a:xfrm>
                    <a:prstGeom prst="rect">
                      <a:avLst/>
                    </a:prstGeom>
                  </pic:spPr>
                </pic:pic>
              </a:graphicData>
            </a:graphic>
          </wp:inline>
        </w:drawing>
      </w:r>
    </w:p>
    <w:p w14:paraId="0E90EDE4" w14:textId="77777777" w:rsidR="00604862" w:rsidRDefault="00604862" w:rsidP="00604862">
      <w:pPr>
        <w:pStyle w:val="Heading1"/>
        <w:spacing w:before="120" w:after="120"/>
        <w:rPr>
          <w:sz w:val="48"/>
          <w:szCs w:val="48"/>
        </w:rPr>
      </w:pPr>
      <w:bookmarkStart w:id="0" w:name="_Toc126923157"/>
      <w:bookmarkStart w:id="1" w:name="_Toc126923146"/>
    </w:p>
    <w:p w14:paraId="43012AD4" w14:textId="77777777" w:rsidR="008464A3" w:rsidRPr="000012BA" w:rsidRDefault="008464A3" w:rsidP="000012BA">
      <w:pPr>
        <w:pStyle w:val="Heading1"/>
        <w:spacing w:before="120" w:after="120" w:line="360" w:lineRule="auto"/>
        <w:rPr>
          <w:sz w:val="36"/>
          <w:szCs w:val="36"/>
        </w:rPr>
      </w:pPr>
      <w:r w:rsidRPr="000012BA">
        <w:rPr>
          <w:sz w:val="36"/>
          <w:szCs w:val="36"/>
        </w:rPr>
        <w:t>Higher Education Gender-based Violence (GBV) Equity and Response Uplift Projects.</w:t>
      </w:r>
    </w:p>
    <w:bookmarkEnd w:id="0"/>
    <w:bookmarkEnd w:id="1"/>
    <w:p w14:paraId="578A99AF" w14:textId="6E08ED0A" w:rsidR="008464A3" w:rsidRDefault="008464A3" w:rsidP="006245B7">
      <w:pPr>
        <w:pStyle w:val="Heading2"/>
        <w:spacing w:before="0" w:after="0" w:line="360" w:lineRule="auto"/>
        <w:jc w:val="center"/>
        <w:rPr>
          <w:sz w:val="32"/>
          <w:szCs w:val="32"/>
        </w:rPr>
      </w:pPr>
      <w:r w:rsidRPr="000012BA">
        <w:rPr>
          <w:sz w:val="32"/>
          <w:szCs w:val="32"/>
        </w:rPr>
        <w:t>Grant EOI Questions and Answers</w:t>
      </w:r>
    </w:p>
    <w:p w14:paraId="31C19356" w14:textId="77777777" w:rsidR="00D0270F" w:rsidRPr="008061F3" w:rsidRDefault="00D0270F" w:rsidP="006245B7">
      <w:pPr>
        <w:pStyle w:val="Heading3"/>
        <w:spacing w:before="0" w:after="0"/>
        <w:rPr>
          <w:sz w:val="24"/>
        </w:rPr>
      </w:pPr>
      <w:r w:rsidRPr="008061F3">
        <w:rPr>
          <w:sz w:val="24"/>
        </w:rPr>
        <w:t>About the Grant Program</w:t>
      </w:r>
    </w:p>
    <w:p w14:paraId="6A3E2A13" w14:textId="77777777" w:rsidR="00D0270F" w:rsidRDefault="00D0270F" w:rsidP="00D0270F">
      <w:pPr>
        <w:spacing w:after="160"/>
      </w:pPr>
      <w:r>
        <w:t xml:space="preserve">The </w:t>
      </w:r>
      <w:r w:rsidRPr="00AD4762">
        <w:t>Department of Education</w:t>
      </w:r>
      <w:r>
        <w:t xml:space="preserve"> has opened an Expression of Interest (EOI) process for grant </w:t>
      </w:r>
      <w:r w:rsidRPr="00AD4762">
        <w:t>funding</w:t>
      </w:r>
      <w:r>
        <w:t xml:space="preserve"> to support a small number of</w:t>
      </w:r>
      <w:r w:rsidRPr="007E2404">
        <w:t xml:space="preserve"> </w:t>
      </w:r>
      <w:r w:rsidRPr="00972D1B">
        <w:rPr>
          <w:b/>
          <w:bCs/>
        </w:rPr>
        <w:t>Higher Education Gender-based Violence (GBV) Equity and Response Uplift</w:t>
      </w:r>
      <w:r w:rsidRPr="00AD4762">
        <w:t xml:space="preserve"> </w:t>
      </w:r>
      <w:r>
        <w:t xml:space="preserve">projects. </w:t>
      </w:r>
    </w:p>
    <w:p w14:paraId="6DE100F4" w14:textId="77777777" w:rsidR="00D0270F" w:rsidRDefault="00D0270F" w:rsidP="00D0270F">
      <w:pPr>
        <w:spacing w:after="160"/>
      </w:pPr>
      <w:r>
        <w:t xml:space="preserve">Table A and B higher education providers are eligible to apply. </w:t>
      </w:r>
      <w:r w:rsidRPr="00962D95">
        <w:t xml:space="preserve">Grants will be awarded to support research and trial initiatives that promote equality of opportunity in higher education and strengthen equity practice at both national and institutional levels, with a particular </w:t>
      </w:r>
      <w:r>
        <w:t xml:space="preserve">focus </w:t>
      </w:r>
      <w:r w:rsidRPr="00962D95">
        <w:t>on embedding equity</w:t>
      </w:r>
      <w:r w:rsidRPr="00962D95">
        <w:noBreakHyphen/>
      </w:r>
      <w:r>
        <w:t>centred</w:t>
      </w:r>
      <w:r w:rsidRPr="00962D95">
        <w:t>, trauma</w:t>
      </w:r>
      <w:r w:rsidRPr="00962D95">
        <w:noBreakHyphen/>
        <w:t xml:space="preserve">informed responses to </w:t>
      </w:r>
      <w:r w:rsidRPr="00A51A83">
        <w:t xml:space="preserve">GBV under the </w:t>
      </w:r>
      <w:hyperlink r:id="rId12" w:history="1">
        <w:r w:rsidRPr="0067105D">
          <w:rPr>
            <w:rStyle w:val="Hyperlink"/>
          </w:rPr>
          <w:t>National Higher Education Code to Prevent and Respond to Gender-based Violence (</w:t>
        </w:r>
      </w:hyperlink>
      <w:r w:rsidRPr="00A51A83">
        <w:t>National Code).</w:t>
      </w:r>
    </w:p>
    <w:p w14:paraId="6BEE799D" w14:textId="0C31C2E0" w:rsidR="00D0270F" w:rsidRDefault="00D0270F" w:rsidP="00D0270F">
      <w:pPr>
        <w:spacing w:before="120" w:after="120"/>
      </w:pPr>
      <w:r w:rsidRPr="00516B7B">
        <w:t xml:space="preserve">The EOI process opened on Monday 13 July 2026 and will close at 5:00 pm (AEST) Friday 21 August 2026. </w:t>
      </w:r>
      <w:r>
        <w:t xml:space="preserve">The Guidelines </w:t>
      </w:r>
      <w:r w:rsidRPr="00516B7B">
        <w:t xml:space="preserve">can be found at: </w:t>
      </w:r>
      <w:hyperlink r:id="rId13" w:history="1">
        <w:r w:rsidRPr="005264B2">
          <w:rPr>
            <w:rStyle w:val="Hyperlink"/>
          </w:rPr>
          <w:t>www.education.gov.au/highereducationgbvregulator/grant-program</w:t>
        </w:r>
      </w:hyperlink>
      <w:r w:rsidRPr="00516B7B">
        <w:t xml:space="preserve"> </w:t>
      </w:r>
    </w:p>
    <w:p w14:paraId="36BC684F" w14:textId="77777777" w:rsidR="00D0270F" w:rsidRDefault="00D0270F" w:rsidP="008061F3">
      <w:pPr>
        <w:pStyle w:val="Heading3"/>
        <w:rPr>
          <w:sz w:val="24"/>
        </w:rPr>
      </w:pPr>
      <w:r w:rsidRPr="00645A35">
        <w:rPr>
          <w:sz w:val="24"/>
        </w:rPr>
        <w:t>Questions</w:t>
      </w:r>
    </w:p>
    <w:p w14:paraId="25C0A351" w14:textId="0A880408" w:rsidR="00D54778" w:rsidRPr="00915FB1" w:rsidRDefault="00D0270F" w:rsidP="00D0270F">
      <w:pPr>
        <w:rPr>
          <w:rFonts w:eastAsiaTheme="minorEastAsia"/>
        </w:rPr>
      </w:pPr>
      <w:r>
        <w:rPr>
          <w:rFonts w:eastAsiaTheme="minorEastAsia"/>
        </w:rPr>
        <w:t>Where the d</w:t>
      </w:r>
      <w:r w:rsidRPr="2914DDFC">
        <w:rPr>
          <w:rFonts w:eastAsiaTheme="minorEastAsia"/>
        </w:rPr>
        <w:t xml:space="preserve">epartment has received questions from </w:t>
      </w:r>
      <w:r>
        <w:rPr>
          <w:rFonts w:eastAsiaTheme="minorEastAsia"/>
        </w:rPr>
        <w:t>higher education providers</w:t>
      </w:r>
      <w:r w:rsidRPr="2914DDFC">
        <w:rPr>
          <w:rFonts w:eastAsiaTheme="minorEastAsia"/>
        </w:rPr>
        <w:t xml:space="preserve"> in relation to </w:t>
      </w:r>
      <w:r>
        <w:rPr>
          <w:rFonts w:eastAsiaTheme="minorEastAsia"/>
        </w:rPr>
        <w:t>this EOI, these are published (</w:t>
      </w:r>
      <w:r w:rsidRPr="00B87543">
        <w:rPr>
          <w:rFonts w:eastAsiaTheme="minorEastAsia"/>
        </w:rPr>
        <w:t>unidentified</w:t>
      </w:r>
      <w:r>
        <w:rPr>
          <w:rFonts w:eastAsiaTheme="minorEastAsia"/>
        </w:rPr>
        <w:t xml:space="preserve">) below </w:t>
      </w:r>
      <w:r w:rsidRPr="2914DDFC">
        <w:rPr>
          <w:rFonts w:eastAsiaTheme="minorEastAsia"/>
        </w:rPr>
        <w:t xml:space="preserve">along with the </w:t>
      </w:r>
      <w:r w:rsidR="00265167">
        <w:rPr>
          <w:rFonts w:eastAsiaTheme="minorEastAsia"/>
        </w:rPr>
        <w:t>d</w:t>
      </w:r>
      <w:r w:rsidRPr="2914DDFC">
        <w:rPr>
          <w:rFonts w:eastAsiaTheme="minorEastAsia"/>
        </w:rPr>
        <w:t>epartment’s response</w:t>
      </w:r>
      <w:r>
        <w:rPr>
          <w:rFonts w:eastAsiaTheme="minorEastAsia"/>
        </w:rPr>
        <w:t>.</w:t>
      </w:r>
    </w:p>
    <w:tbl>
      <w:tblPr>
        <w:tblStyle w:val="EDU-Basic"/>
        <w:tblW w:w="9067" w:type="dxa"/>
        <w:tblBorders>
          <w:top w:val="single" w:sz="4" w:space="0" w:color="F15D31"/>
          <w:left w:val="single" w:sz="4" w:space="0" w:color="F15D31"/>
          <w:bottom w:val="single" w:sz="4" w:space="0" w:color="F15D31"/>
          <w:right w:val="single" w:sz="4" w:space="0" w:color="F15D31"/>
          <w:insideH w:val="single" w:sz="4" w:space="0" w:color="F15D31"/>
          <w:insideV w:val="single" w:sz="4" w:space="0" w:color="F15D31"/>
        </w:tblBorders>
        <w:tblLook w:val="04A0" w:firstRow="1" w:lastRow="0" w:firstColumn="1" w:lastColumn="0" w:noHBand="0" w:noVBand="1"/>
      </w:tblPr>
      <w:tblGrid>
        <w:gridCol w:w="3964"/>
        <w:gridCol w:w="5103"/>
      </w:tblGrid>
      <w:tr w:rsidR="00D54778" w14:paraId="2CBB8AF7" w14:textId="77777777" w:rsidTr="00D54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bottom w:val="single" w:sz="4" w:space="0" w:color="F15D31"/>
              <w:right w:val="single" w:sz="4" w:space="0" w:color="F15D31"/>
            </w:tcBorders>
            <w:vAlign w:val="top"/>
          </w:tcPr>
          <w:p w14:paraId="7251CC9A" w14:textId="1D1841D6" w:rsidR="00D54778" w:rsidRPr="00CF5094" w:rsidRDefault="00CF5094" w:rsidP="00BB62F9">
            <w:r w:rsidRPr="00CF5094">
              <w:t>Q&amp;A version</w:t>
            </w:r>
          </w:p>
        </w:tc>
        <w:tc>
          <w:tcPr>
            <w:tcW w:w="5103" w:type="dxa"/>
            <w:tcBorders>
              <w:top w:val="single" w:sz="4" w:space="0" w:color="F15D31"/>
              <w:left w:val="single" w:sz="4" w:space="0" w:color="F15D31"/>
              <w:bottom w:val="single" w:sz="4" w:space="0" w:color="F15D31"/>
              <w:right w:val="single" w:sz="4" w:space="0" w:color="F15D31"/>
            </w:tcBorders>
          </w:tcPr>
          <w:p w14:paraId="4723352B" w14:textId="44F6DE5F" w:rsidR="00D54778" w:rsidRPr="00CF5094" w:rsidRDefault="00CF5094" w:rsidP="00BB62F9">
            <w:pPr>
              <w:cnfStyle w:val="100000000000" w:firstRow="1" w:lastRow="0" w:firstColumn="0" w:lastColumn="0" w:oddVBand="0" w:evenVBand="0" w:oddHBand="0" w:evenHBand="0" w:firstRowFirstColumn="0" w:firstRowLastColumn="0" w:lastRowFirstColumn="0" w:lastRowLastColumn="0"/>
            </w:pPr>
            <w:r w:rsidRPr="00CF5094">
              <w:t>1.0</w:t>
            </w:r>
          </w:p>
        </w:tc>
      </w:tr>
      <w:tr w:rsidR="00D54778" w14:paraId="485A6C1E" w14:textId="77777777" w:rsidTr="006245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shd w:val="clear" w:color="auto" w:fill="49255F"/>
            <w:vAlign w:val="top"/>
          </w:tcPr>
          <w:p w14:paraId="46DEE5D9" w14:textId="62190A6B" w:rsidR="00D54778" w:rsidRPr="00CF5094" w:rsidRDefault="00CF5094" w:rsidP="00BB62F9">
            <w:r w:rsidRPr="00CF5094">
              <w:t>Date Published</w:t>
            </w:r>
          </w:p>
        </w:tc>
        <w:tc>
          <w:tcPr>
            <w:tcW w:w="5103" w:type="dxa"/>
            <w:tcBorders>
              <w:top w:val="single" w:sz="4" w:space="0" w:color="F15D31"/>
              <w:left w:val="single" w:sz="4" w:space="0" w:color="F15D31"/>
              <w:right w:val="single" w:sz="4" w:space="0" w:color="F15D31"/>
            </w:tcBorders>
            <w:shd w:val="clear" w:color="auto" w:fill="49255F"/>
          </w:tcPr>
          <w:p w14:paraId="7024A1A7" w14:textId="275D7698" w:rsidR="00D54778" w:rsidRPr="00CF5094" w:rsidRDefault="00CF5094" w:rsidP="00BB62F9">
            <w:pPr>
              <w:cnfStyle w:val="000000100000" w:firstRow="0" w:lastRow="0" w:firstColumn="0" w:lastColumn="0" w:oddVBand="0" w:evenVBand="0" w:oddHBand="1" w:evenHBand="0" w:firstRowFirstColumn="0" w:firstRowLastColumn="0" w:lastRowFirstColumn="0" w:lastRowLastColumn="0"/>
            </w:pPr>
            <w:r w:rsidRPr="00CF5094">
              <w:t>24 July 2026</w:t>
            </w:r>
          </w:p>
        </w:tc>
      </w:tr>
      <w:tr w:rsidR="00516B7B" w14:paraId="1182610A" w14:textId="77777777" w:rsidTr="006245B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shd w:val="clear" w:color="auto" w:fill="F99D2A"/>
            <w:vAlign w:val="top"/>
          </w:tcPr>
          <w:p w14:paraId="5012E81A" w14:textId="5AB2A3AD" w:rsidR="00516B7B" w:rsidRDefault="00516B7B" w:rsidP="00BB62F9">
            <w:pPr>
              <w:rPr>
                <w:b/>
                <w:bCs/>
              </w:rPr>
            </w:pPr>
            <w:r>
              <w:rPr>
                <w:b/>
                <w:bCs/>
              </w:rPr>
              <w:t>Question</w:t>
            </w:r>
          </w:p>
        </w:tc>
        <w:tc>
          <w:tcPr>
            <w:tcW w:w="5103" w:type="dxa"/>
            <w:tcBorders>
              <w:top w:val="single" w:sz="4" w:space="0" w:color="F15D31"/>
              <w:left w:val="single" w:sz="4" w:space="0" w:color="F15D31"/>
              <w:right w:val="single" w:sz="4" w:space="0" w:color="F15D31"/>
            </w:tcBorders>
            <w:shd w:val="clear" w:color="auto" w:fill="F99D2A"/>
          </w:tcPr>
          <w:p w14:paraId="005F12AD" w14:textId="78DDBF83" w:rsidR="00516B7B" w:rsidRDefault="00516B7B" w:rsidP="00BB62F9">
            <w:pPr>
              <w:cnfStyle w:val="000000010000" w:firstRow="0" w:lastRow="0" w:firstColumn="0" w:lastColumn="0" w:oddVBand="0" w:evenVBand="0" w:oddHBand="0" w:evenHBand="1" w:firstRowFirstColumn="0" w:firstRowLastColumn="0" w:lastRowFirstColumn="0" w:lastRowLastColumn="0"/>
              <w:rPr>
                <w:b/>
                <w:bCs/>
              </w:rPr>
            </w:pPr>
            <w:r>
              <w:rPr>
                <w:b/>
                <w:bCs/>
              </w:rPr>
              <w:t>Answer</w:t>
            </w:r>
          </w:p>
        </w:tc>
      </w:tr>
      <w:tr w:rsidR="00516B7B" w14:paraId="71549F16" w14:textId="77777777" w:rsidTr="001D27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vAlign w:val="top"/>
          </w:tcPr>
          <w:p w14:paraId="5EFAA3C0" w14:textId="0D8F82DD" w:rsidR="00516B7B" w:rsidRPr="005245C0" w:rsidRDefault="00163FB2" w:rsidP="00E31A16">
            <w:r w:rsidRPr="00163FB2">
              <w:rPr>
                <w:b/>
                <w:bCs/>
              </w:rPr>
              <w:t>Q</w:t>
            </w:r>
            <w:r>
              <w:t xml:space="preserve">. </w:t>
            </w:r>
            <w:r w:rsidR="00651572">
              <w:t>Is there a limit to the number of EOIs that may be submitted by a higher education provider?</w:t>
            </w:r>
          </w:p>
        </w:tc>
        <w:tc>
          <w:tcPr>
            <w:tcW w:w="5103" w:type="dxa"/>
            <w:tcBorders>
              <w:top w:val="single" w:sz="4" w:space="0" w:color="F15D31"/>
              <w:left w:val="single" w:sz="4" w:space="0" w:color="F15D31"/>
              <w:right w:val="single" w:sz="4" w:space="0" w:color="F15D31"/>
            </w:tcBorders>
            <w:vAlign w:val="top"/>
          </w:tcPr>
          <w:p w14:paraId="318982E2" w14:textId="77777777" w:rsidR="00516B7B" w:rsidRDefault="00163FB2" w:rsidP="00BB62F9">
            <w:pPr>
              <w:cnfStyle w:val="000000100000" w:firstRow="0" w:lastRow="0" w:firstColumn="0" w:lastColumn="0" w:oddVBand="0" w:evenVBand="0" w:oddHBand="1" w:evenHBand="0" w:firstRowFirstColumn="0" w:firstRowLastColumn="0" w:lastRowFirstColumn="0" w:lastRowLastColumn="0"/>
            </w:pPr>
            <w:r w:rsidRPr="00163FB2">
              <w:rPr>
                <w:b/>
                <w:bCs/>
              </w:rPr>
              <w:t>A.</w:t>
            </w:r>
            <w:r>
              <w:t xml:space="preserve"> </w:t>
            </w:r>
            <w:r w:rsidR="0084570D" w:rsidRPr="0084570D">
              <w:t xml:space="preserve">The department will only accept one EOI proposal as the lead applicant from each Table A or B provider. This limitation reflects the maximum grant funding available overall, and per project, and the anticipated volume of EOI submissions. </w:t>
            </w:r>
          </w:p>
          <w:p w14:paraId="5068F708" w14:textId="32B11056" w:rsidR="00603D9C" w:rsidRDefault="008E0382" w:rsidP="00BB62F9">
            <w:pPr>
              <w:cnfStyle w:val="000000100000" w:firstRow="0" w:lastRow="0" w:firstColumn="0" w:lastColumn="0" w:oddVBand="0" w:evenVBand="0" w:oddHBand="1" w:evenHBand="0" w:firstRowFirstColumn="0" w:firstRowLastColumn="0" w:lastRowFirstColumn="0" w:lastRowLastColumn="0"/>
            </w:pPr>
            <w:r>
              <w:t>See also</w:t>
            </w:r>
            <w:r w:rsidR="00603D9C">
              <w:t xml:space="preserve"> </w:t>
            </w:r>
            <w:r w:rsidR="005C7284">
              <w:t>Q&amp;A below</w:t>
            </w:r>
            <w:r w:rsidR="00603D9C">
              <w:t xml:space="preserve"> regarding joint </w:t>
            </w:r>
            <w:r w:rsidR="00EB79E1">
              <w:t>proposals</w:t>
            </w:r>
            <w:r w:rsidR="00603D9C">
              <w:t xml:space="preserve">. </w:t>
            </w:r>
          </w:p>
        </w:tc>
      </w:tr>
      <w:tr w:rsidR="00516B7B" w14:paraId="1C96EAD9" w14:textId="77777777" w:rsidTr="00E91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vAlign w:val="top"/>
          </w:tcPr>
          <w:p w14:paraId="40122CC6" w14:textId="7DE1AF5C" w:rsidR="00516B7B" w:rsidRPr="005245C0" w:rsidRDefault="001E6156" w:rsidP="000A4778">
            <w:r w:rsidRPr="001E6156">
              <w:rPr>
                <w:b/>
                <w:bCs/>
              </w:rPr>
              <w:t>Q.</w:t>
            </w:r>
            <w:r>
              <w:t xml:space="preserve"> </w:t>
            </w:r>
            <w:r w:rsidR="00C13325">
              <w:t xml:space="preserve">Are higher education providers permitted to </w:t>
            </w:r>
            <w:r w:rsidR="00F53FF5">
              <w:t xml:space="preserve">submit an EOI proposal with </w:t>
            </w:r>
            <w:r w:rsidR="00E85F95">
              <w:t xml:space="preserve">one </w:t>
            </w:r>
            <w:r w:rsidR="008C1E9F">
              <w:t>or more higher education</w:t>
            </w:r>
            <w:r w:rsidR="00F53FF5">
              <w:t xml:space="preserve"> providers?</w:t>
            </w:r>
          </w:p>
        </w:tc>
        <w:tc>
          <w:tcPr>
            <w:tcW w:w="5103" w:type="dxa"/>
            <w:tcBorders>
              <w:top w:val="single" w:sz="4" w:space="0" w:color="F15D31"/>
              <w:left w:val="single" w:sz="4" w:space="0" w:color="F15D31"/>
              <w:right w:val="single" w:sz="4" w:space="0" w:color="F15D31"/>
            </w:tcBorders>
            <w:vAlign w:val="top"/>
          </w:tcPr>
          <w:p w14:paraId="7D130D15" w14:textId="116F3DE0" w:rsidR="0017621E" w:rsidRPr="0017621E" w:rsidRDefault="001E6156" w:rsidP="0017621E">
            <w:pPr>
              <w:cnfStyle w:val="000000010000" w:firstRow="0" w:lastRow="0" w:firstColumn="0" w:lastColumn="0" w:oddVBand="0" w:evenVBand="0" w:oddHBand="0" w:evenHBand="1" w:firstRowFirstColumn="0" w:firstRowLastColumn="0" w:lastRowFirstColumn="0" w:lastRowLastColumn="0"/>
            </w:pPr>
            <w:r w:rsidRPr="001E6156">
              <w:rPr>
                <w:b/>
                <w:bCs/>
              </w:rPr>
              <w:t>A.</w:t>
            </w:r>
            <w:r>
              <w:t xml:space="preserve"> </w:t>
            </w:r>
            <w:r w:rsidR="0017621E" w:rsidRPr="0017621E">
              <w:t xml:space="preserve">As per page 4 of the EOI Guidelines, joint proposals between two Table A or B providers are permitted. One university must be nominated as the lead applicant and will be responsible for submitting the EOI and, if successful, </w:t>
            </w:r>
            <w:proofErr w:type="gramStart"/>
            <w:r w:rsidR="0017621E" w:rsidRPr="0017621E">
              <w:t>entering into</w:t>
            </w:r>
            <w:proofErr w:type="gramEnd"/>
            <w:r w:rsidR="0017621E" w:rsidRPr="0017621E">
              <w:t xml:space="preserve"> the Conditions of Grant. A university may be listed as a partner provider </w:t>
            </w:r>
            <w:r w:rsidR="0017621E" w:rsidRPr="0017621E">
              <w:lastRenderedPageBreak/>
              <w:t>on one or more lead applications while also submitting its own application as a lead applicant.</w:t>
            </w:r>
          </w:p>
          <w:p w14:paraId="4D38E193" w14:textId="1D47A028" w:rsidR="0017621E" w:rsidRPr="0017621E" w:rsidRDefault="0017621E" w:rsidP="0017621E">
            <w:pPr>
              <w:cnfStyle w:val="000000010000" w:firstRow="0" w:lastRow="0" w:firstColumn="0" w:lastColumn="0" w:oddVBand="0" w:evenVBand="0" w:oddHBand="0" w:evenHBand="1" w:firstRowFirstColumn="0" w:firstRowLastColumn="0" w:lastRowFirstColumn="0" w:lastRowLastColumn="0"/>
            </w:pPr>
            <w:r w:rsidRPr="0017621E">
              <w:t>However, lead applicants must demonstrate that the proposed partner provider has the capacity to deliver and address any associated risks. The department would expect that the letter of support that accompan</w:t>
            </w:r>
            <w:r w:rsidR="009C6235">
              <w:t>ies</w:t>
            </w:r>
            <w:r w:rsidRPr="0017621E">
              <w:t xml:space="preserve"> the lead proposal also address</w:t>
            </w:r>
            <w:r w:rsidR="009C6235">
              <w:t>es</w:t>
            </w:r>
            <w:r w:rsidRPr="0017621E">
              <w:t xml:space="preserve"> this. </w:t>
            </w:r>
          </w:p>
          <w:p w14:paraId="223E2A16" w14:textId="77777777" w:rsidR="0017621E" w:rsidRPr="0017621E" w:rsidRDefault="0017621E" w:rsidP="0017621E">
            <w:pPr>
              <w:cnfStyle w:val="000000010000" w:firstRow="0" w:lastRow="0" w:firstColumn="0" w:lastColumn="0" w:oddVBand="0" w:evenVBand="0" w:oddHBand="0" w:evenHBand="1" w:firstRowFirstColumn="0" w:firstRowLastColumn="0" w:lastRowFirstColumn="0" w:lastRowLastColumn="0"/>
            </w:pPr>
            <w:r w:rsidRPr="0017621E">
              <w:t xml:space="preserve">In practice, this means that each Table A or B provider may submit one proposal as a lead applicant but may be listed as a partner applicant on more than one proposal. </w:t>
            </w:r>
          </w:p>
          <w:p w14:paraId="56E74B0E" w14:textId="012141E0" w:rsidR="00516B7B" w:rsidRDefault="0017621E" w:rsidP="00BB62F9">
            <w:pPr>
              <w:cnfStyle w:val="000000010000" w:firstRow="0" w:lastRow="0" w:firstColumn="0" w:lastColumn="0" w:oddVBand="0" w:evenVBand="0" w:oddHBand="0" w:evenHBand="1" w:firstRowFirstColumn="0" w:firstRowLastColumn="0" w:lastRowFirstColumn="0" w:lastRowLastColumn="0"/>
            </w:pPr>
            <w:r w:rsidRPr="0017621E">
              <w:t>As per the EOI Guidelines, note that the Conditions of Grant will be entered into with the lead applicant only, and that the maximum grant amount available remains $400,000 per project, per year.</w:t>
            </w:r>
          </w:p>
        </w:tc>
      </w:tr>
      <w:tr w:rsidR="00516B7B" w14:paraId="0B2E37EC" w14:textId="77777777" w:rsidTr="00E91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vAlign w:val="top"/>
          </w:tcPr>
          <w:p w14:paraId="54527889" w14:textId="2F4CD1D4" w:rsidR="00516B7B" w:rsidRPr="007F04E6" w:rsidRDefault="007D3825" w:rsidP="000A4778">
            <w:pPr>
              <w:rPr>
                <w:rFonts w:ascii="Calibri" w:eastAsia="Times New Roman" w:hAnsi="Calibri" w:cs="Calibri"/>
                <w:lang w:eastAsia="en-AU"/>
              </w:rPr>
            </w:pPr>
            <w:r w:rsidRPr="007D3825">
              <w:rPr>
                <w:rFonts w:ascii="Calibri" w:eastAsia="Times New Roman" w:hAnsi="Calibri" w:cs="Calibri"/>
                <w:b/>
                <w:bCs/>
                <w:lang w:eastAsia="en-AU"/>
              </w:rPr>
              <w:lastRenderedPageBreak/>
              <w:t>Q.</w:t>
            </w:r>
            <w:r>
              <w:rPr>
                <w:rFonts w:ascii="Calibri" w:eastAsia="Times New Roman" w:hAnsi="Calibri" w:cs="Calibri"/>
                <w:lang w:eastAsia="en-AU"/>
              </w:rPr>
              <w:t xml:space="preserve"> </w:t>
            </w:r>
            <w:r w:rsidR="00F73074">
              <w:rPr>
                <w:rFonts w:ascii="Calibri" w:eastAsia="Times New Roman" w:hAnsi="Calibri" w:cs="Calibri"/>
                <w:lang w:eastAsia="en-AU"/>
              </w:rPr>
              <w:t xml:space="preserve">Are non-higher education providers permitted to </w:t>
            </w:r>
            <w:r w:rsidR="008A7171">
              <w:rPr>
                <w:rFonts w:ascii="Calibri" w:eastAsia="Times New Roman" w:hAnsi="Calibri" w:cs="Calibri"/>
                <w:lang w:eastAsia="en-AU"/>
              </w:rPr>
              <w:t>be joint project partners?</w:t>
            </w:r>
          </w:p>
        </w:tc>
        <w:tc>
          <w:tcPr>
            <w:tcW w:w="5103" w:type="dxa"/>
            <w:tcBorders>
              <w:top w:val="single" w:sz="4" w:space="0" w:color="F15D31"/>
              <w:left w:val="single" w:sz="4" w:space="0" w:color="F15D31"/>
              <w:right w:val="single" w:sz="4" w:space="0" w:color="F15D31"/>
            </w:tcBorders>
            <w:vAlign w:val="top"/>
          </w:tcPr>
          <w:p w14:paraId="39467C7F" w14:textId="0CBD92FF" w:rsidR="00E5148D" w:rsidRPr="00E5148D" w:rsidRDefault="007D3825" w:rsidP="00E5148D">
            <w:pPr>
              <w:cnfStyle w:val="000000100000" w:firstRow="0" w:lastRow="0" w:firstColumn="0" w:lastColumn="0" w:oddVBand="0" w:evenVBand="0" w:oddHBand="1" w:evenHBand="0" w:firstRowFirstColumn="0" w:firstRowLastColumn="0" w:lastRowFirstColumn="0" w:lastRowLastColumn="0"/>
            </w:pPr>
            <w:r w:rsidRPr="007D3825">
              <w:rPr>
                <w:b/>
                <w:bCs/>
              </w:rPr>
              <w:t>A.</w:t>
            </w:r>
            <w:r>
              <w:t xml:space="preserve"> </w:t>
            </w:r>
            <w:r w:rsidR="00E5148D" w:rsidRPr="00E5148D">
              <w:t xml:space="preserve">As per the EOI Guidelines, only Table A and Table B providers are eligible to be named as project partners. This is consistent with the eligibility requirements under the </w:t>
            </w:r>
            <w:hyperlink r:id="rId14" w:anchor="_Toc227147670" w:history="1">
              <w:r w:rsidR="00E5148D" w:rsidRPr="00E5148D">
                <w:rPr>
                  <w:rStyle w:val="Hyperlink"/>
                  <w:i/>
                  <w:iCs/>
                </w:rPr>
                <w:t>Higher Education Support (Other Grants) Guidelines 2022</w:t>
              </w:r>
            </w:hyperlink>
            <w:r w:rsidR="00E5148D" w:rsidRPr="00E5148D">
              <w:t xml:space="preserve">. </w:t>
            </w:r>
          </w:p>
          <w:p w14:paraId="34A09D8F" w14:textId="77777777" w:rsidR="00E5148D" w:rsidRPr="00E5148D" w:rsidRDefault="00E5148D" w:rsidP="00E5148D">
            <w:pPr>
              <w:cnfStyle w:val="000000100000" w:firstRow="0" w:lastRow="0" w:firstColumn="0" w:lastColumn="0" w:oddVBand="0" w:evenVBand="0" w:oddHBand="1" w:evenHBand="0" w:firstRowFirstColumn="0" w:firstRowLastColumn="0" w:lastRowFirstColumn="0" w:lastRowLastColumn="0"/>
            </w:pPr>
            <w:r w:rsidRPr="00E5148D">
              <w:t>However, proposals may draw on the expertise of third-party organisations where this supports project delivery. Utilising the expertise of third-party organisations through collaboration (as opposed to partnership) is not precluded, provided that:</w:t>
            </w:r>
          </w:p>
          <w:p w14:paraId="10C935E4" w14:textId="77777777" w:rsidR="00E5148D" w:rsidRPr="00E5148D" w:rsidRDefault="00E5148D">
            <w:pPr>
              <w:numPr>
                <w:ilvl w:val="0"/>
                <w:numId w:val="5"/>
              </w:numPr>
              <w:cnfStyle w:val="000000100000" w:firstRow="0" w:lastRow="0" w:firstColumn="0" w:lastColumn="0" w:oddVBand="0" w:evenVBand="0" w:oddHBand="1" w:evenHBand="0" w:firstRowFirstColumn="0" w:firstRowLastColumn="0" w:lastRowFirstColumn="0" w:lastRowLastColumn="0"/>
            </w:pPr>
            <w:r w:rsidRPr="00E5148D">
              <w:t>The activities fall within the eligible expenditure items in the EOI Guidelines (page 5);</w:t>
            </w:r>
          </w:p>
          <w:p w14:paraId="1225357C" w14:textId="77777777" w:rsidR="00E5148D" w:rsidRPr="00E5148D" w:rsidRDefault="00E5148D">
            <w:pPr>
              <w:numPr>
                <w:ilvl w:val="0"/>
                <w:numId w:val="5"/>
              </w:numPr>
              <w:cnfStyle w:val="000000100000" w:firstRow="0" w:lastRow="0" w:firstColumn="0" w:lastColumn="0" w:oddVBand="0" w:evenVBand="0" w:oddHBand="1" w:evenHBand="0" w:firstRowFirstColumn="0" w:firstRowLastColumn="0" w:lastRowFirstColumn="0" w:lastRowLastColumn="0"/>
            </w:pPr>
            <w:r w:rsidRPr="00E5148D">
              <w:t>The application clearly demonstrates the rationale for collaborating with third party organisations; and</w:t>
            </w:r>
          </w:p>
          <w:p w14:paraId="38819EBA" w14:textId="77777777" w:rsidR="00E5148D" w:rsidRPr="00E5148D" w:rsidRDefault="00E5148D">
            <w:pPr>
              <w:numPr>
                <w:ilvl w:val="0"/>
                <w:numId w:val="5"/>
              </w:numPr>
              <w:cnfStyle w:val="000000100000" w:firstRow="0" w:lastRow="0" w:firstColumn="0" w:lastColumn="0" w:oddVBand="0" w:evenVBand="0" w:oddHBand="1" w:evenHBand="0" w:firstRowFirstColumn="0" w:firstRowLastColumn="0" w:lastRowFirstColumn="0" w:lastRowLastColumn="0"/>
            </w:pPr>
            <w:r w:rsidRPr="00E5148D">
              <w:t xml:space="preserve">The Project Plan, Estimated Funding, and Capacity to Deliver sections of the application form </w:t>
            </w:r>
            <w:proofErr w:type="gramStart"/>
            <w:r w:rsidRPr="00E5148D">
              <w:t>take into account</w:t>
            </w:r>
            <w:proofErr w:type="gramEnd"/>
            <w:r w:rsidRPr="00E5148D">
              <w:t xml:space="preserve"> the provision of expertise by another organisation, including the details of expertise, capacity, risk management and delivery arrangements.</w:t>
            </w:r>
          </w:p>
          <w:p w14:paraId="7AE6FB54" w14:textId="75D79944" w:rsidR="00516B7B" w:rsidRDefault="00E5148D" w:rsidP="0059211C">
            <w:pPr>
              <w:cnfStyle w:val="000000100000" w:firstRow="0" w:lastRow="0" w:firstColumn="0" w:lastColumn="0" w:oddVBand="0" w:evenVBand="0" w:oddHBand="1" w:evenHBand="0" w:firstRowFirstColumn="0" w:firstRowLastColumn="0" w:lastRowFirstColumn="0" w:lastRowLastColumn="0"/>
            </w:pPr>
            <w:r w:rsidRPr="00E5148D">
              <w:t>As per the EOI Guidelines, note that the Conditions of Grant will be entered into with the lead applicant only, and that the maximum grant amount available remains $400,000 per project, per year.</w:t>
            </w:r>
          </w:p>
        </w:tc>
      </w:tr>
      <w:tr w:rsidR="00F4532D" w14:paraId="59DB9848" w14:textId="77777777" w:rsidTr="00E91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vAlign w:val="top"/>
          </w:tcPr>
          <w:p w14:paraId="382039B8" w14:textId="2EBB82CC" w:rsidR="00F4532D" w:rsidRPr="007F04E6" w:rsidRDefault="00ED4F86" w:rsidP="000A4778">
            <w:pPr>
              <w:rPr>
                <w:rFonts w:ascii="Calibri" w:eastAsia="Times New Roman" w:hAnsi="Calibri" w:cs="Calibri"/>
                <w:lang w:eastAsia="en-AU"/>
              </w:rPr>
            </w:pPr>
            <w:r w:rsidRPr="00ED4F86">
              <w:rPr>
                <w:rFonts w:ascii="Calibri" w:eastAsia="Times New Roman" w:hAnsi="Calibri" w:cs="Calibri"/>
                <w:b/>
                <w:bCs/>
                <w:lang w:eastAsia="en-AU"/>
              </w:rPr>
              <w:t>Q.</w:t>
            </w:r>
            <w:r>
              <w:rPr>
                <w:rFonts w:ascii="Calibri" w:eastAsia="Times New Roman" w:hAnsi="Calibri" w:cs="Calibri"/>
                <w:lang w:eastAsia="en-AU"/>
              </w:rPr>
              <w:t xml:space="preserve"> </w:t>
            </w:r>
            <w:r w:rsidR="00F65E5D">
              <w:rPr>
                <w:rFonts w:ascii="Calibri" w:eastAsia="Times New Roman" w:hAnsi="Calibri" w:cs="Calibri"/>
                <w:lang w:eastAsia="en-AU"/>
              </w:rPr>
              <w:t>Will the department consider EOI proposals</w:t>
            </w:r>
            <w:r w:rsidR="00CB1BEA">
              <w:rPr>
                <w:rFonts w:ascii="Calibri" w:eastAsia="Times New Roman" w:hAnsi="Calibri" w:cs="Calibri"/>
                <w:lang w:eastAsia="en-AU"/>
              </w:rPr>
              <w:t xml:space="preserve"> that focus on a particular </w:t>
            </w:r>
            <w:r w:rsidR="0059211C">
              <w:rPr>
                <w:rFonts w:ascii="Calibri" w:eastAsia="Times New Roman" w:hAnsi="Calibri" w:cs="Calibri"/>
                <w:lang w:eastAsia="en-AU"/>
              </w:rPr>
              <w:t>setting or</w:t>
            </w:r>
            <w:r w:rsidR="00CB1BEA">
              <w:rPr>
                <w:rFonts w:ascii="Calibri" w:eastAsia="Times New Roman" w:hAnsi="Calibri" w:cs="Calibri"/>
                <w:lang w:eastAsia="en-AU"/>
              </w:rPr>
              <w:t xml:space="preserve"> context?</w:t>
            </w:r>
          </w:p>
        </w:tc>
        <w:tc>
          <w:tcPr>
            <w:tcW w:w="5103" w:type="dxa"/>
            <w:tcBorders>
              <w:top w:val="single" w:sz="4" w:space="0" w:color="F15D31"/>
              <w:left w:val="single" w:sz="4" w:space="0" w:color="F15D31"/>
              <w:right w:val="single" w:sz="4" w:space="0" w:color="F15D31"/>
            </w:tcBorders>
            <w:vAlign w:val="top"/>
          </w:tcPr>
          <w:p w14:paraId="47531864" w14:textId="2A734EE3" w:rsidR="00F4532D" w:rsidRDefault="00ED4F86" w:rsidP="00BB62F9">
            <w:pPr>
              <w:cnfStyle w:val="000000010000" w:firstRow="0" w:lastRow="0" w:firstColumn="0" w:lastColumn="0" w:oddVBand="0" w:evenVBand="0" w:oddHBand="0" w:evenHBand="1" w:firstRowFirstColumn="0" w:firstRowLastColumn="0" w:lastRowFirstColumn="0" w:lastRowLastColumn="0"/>
            </w:pPr>
            <w:r w:rsidRPr="00ED4F86">
              <w:rPr>
                <w:b/>
                <w:bCs/>
              </w:rPr>
              <w:t>A.</w:t>
            </w:r>
            <w:r>
              <w:t xml:space="preserve"> </w:t>
            </w:r>
            <w:r w:rsidR="00CB1BEA" w:rsidRPr="00CB1BEA">
              <w:t xml:space="preserve">Projects may apply to specific higher education settings or contexts provided that the proposal aligns with the objectives of the program, as specified in the </w:t>
            </w:r>
            <w:r w:rsidR="00CB1BEA" w:rsidRPr="00CB1BEA">
              <w:lastRenderedPageBreak/>
              <w:t>EOI Guidelines, and meets the assessment criteria outlined on pages 5-6.</w:t>
            </w:r>
          </w:p>
        </w:tc>
      </w:tr>
      <w:tr w:rsidR="00516B7B" w14:paraId="07311B9C" w14:textId="77777777" w:rsidTr="00E91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F15D31"/>
              <w:left w:val="single" w:sz="4" w:space="0" w:color="F15D31"/>
              <w:right w:val="single" w:sz="4" w:space="0" w:color="F15D31"/>
            </w:tcBorders>
            <w:vAlign w:val="top"/>
          </w:tcPr>
          <w:p w14:paraId="0E1C66F8" w14:textId="479AB117" w:rsidR="00516B7B" w:rsidRPr="007F04E6" w:rsidRDefault="00260187" w:rsidP="000A4778">
            <w:pPr>
              <w:rPr>
                <w:rFonts w:ascii="Calibri" w:eastAsia="Times New Roman" w:hAnsi="Calibri" w:cs="Calibri"/>
                <w:lang w:eastAsia="en-AU"/>
              </w:rPr>
            </w:pPr>
            <w:r w:rsidRPr="00260187">
              <w:rPr>
                <w:rFonts w:ascii="Calibri" w:eastAsia="Times New Roman" w:hAnsi="Calibri" w:cs="Calibri"/>
                <w:b/>
                <w:bCs/>
                <w:lang w:eastAsia="en-AU"/>
              </w:rPr>
              <w:lastRenderedPageBreak/>
              <w:t>Q.</w:t>
            </w:r>
            <w:r>
              <w:rPr>
                <w:rFonts w:ascii="Calibri" w:eastAsia="Times New Roman" w:hAnsi="Calibri" w:cs="Calibri"/>
                <w:lang w:eastAsia="en-AU"/>
              </w:rPr>
              <w:t xml:space="preserve"> </w:t>
            </w:r>
            <w:r w:rsidR="00114456">
              <w:rPr>
                <w:rFonts w:ascii="Calibri" w:eastAsia="Times New Roman" w:hAnsi="Calibri" w:cs="Calibri"/>
                <w:lang w:eastAsia="en-AU"/>
              </w:rPr>
              <w:t>Would the department consider EOI proposals that</w:t>
            </w:r>
            <w:r w:rsidR="00BA7548">
              <w:rPr>
                <w:rFonts w:ascii="Calibri" w:eastAsia="Times New Roman" w:hAnsi="Calibri" w:cs="Calibri"/>
                <w:lang w:eastAsia="en-AU"/>
              </w:rPr>
              <w:t xml:space="preserve"> incorporate</w:t>
            </w:r>
            <w:r w:rsidR="0086243C">
              <w:rPr>
                <w:rFonts w:ascii="Calibri" w:eastAsia="Times New Roman" w:hAnsi="Calibri" w:cs="Calibri"/>
                <w:lang w:eastAsia="en-AU"/>
              </w:rPr>
              <w:t xml:space="preserve"> the development of</w:t>
            </w:r>
            <w:r w:rsidR="00BA7548">
              <w:rPr>
                <w:rFonts w:ascii="Calibri" w:eastAsia="Times New Roman" w:hAnsi="Calibri" w:cs="Calibri"/>
                <w:lang w:eastAsia="en-AU"/>
              </w:rPr>
              <w:t xml:space="preserve"> sector-wide learnings such as </w:t>
            </w:r>
            <w:r w:rsidR="00332287">
              <w:rPr>
                <w:rFonts w:ascii="Calibri" w:eastAsia="Times New Roman" w:hAnsi="Calibri" w:cs="Calibri"/>
                <w:lang w:eastAsia="en-AU"/>
              </w:rPr>
              <w:t xml:space="preserve">a community of practice, shared implementation tools, </w:t>
            </w:r>
            <w:r w:rsidR="002D3A4D">
              <w:rPr>
                <w:rFonts w:ascii="Calibri" w:eastAsia="Times New Roman" w:hAnsi="Calibri" w:cs="Calibri"/>
                <w:lang w:eastAsia="en-AU"/>
              </w:rPr>
              <w:t>or mechanisms for sector-wide uptake</w:t>
            </w:r>
            <w:r w:rsidR="00332287">
              <w:rPr>
                <w:rFonts w:ascii="Calibri" w:eastAsia="Times New Roman" w:hAnsi="Calibri" w:cs="Calibri"/>
                <w:lang w:eastAsia="en-AU"/>
              </w:rPr>
              <w:t>?</w:t>
            </w:r>
          </w:p>
        </w:tc>
        <w:tc>
          <w:tcPr>
            <w:tcW w:w="5103" w:type="dxa"/>
            <w:tcBorders>
              <w:top w:val="single" w:sz="4" w:space="0" w:color="F15D31"/>
              <w:left w:val="single" w:sz="4" w:space="0" w:color="F15D31"/>
              <w:right w:val="single" w:sz="4" w:space="0" w:color="F15D31"/>
            </w:tcBorders>
            <w:vAlign w:val="top"/>
          </w:tcPr>
          <w:p w14:paraId="11D21329" w14:textId="12F33264" w:rsidR="00A7533B" w:rsidRPr="00A7533B" w:rsidRDefault="00260187" w:rsidP="00A7533B">
            <w:pPr>
              <w:cnfStyle w:val="000000100000" w:firstRow="0" w:lastRow="0" w:firstColumn="0" w:lastColumn="0" w:oddVBand="0" w:evenVBand="0" w:oddHBand="1" w:evenHBand="0" w:firstRowFirstColumn="0" w:firstRowLastColumn="0" w:lastRowFirstColumn="0" w:lastRowLastColumn="0"/>
            </w:pPr>
            <w:r w:rsidRPr="00260187">
              <w:rPr>
                <w:b/>
                <w:bCs/>
              </w:rPr>
              <w:t>A.</w:t>
            </w:r>
            <w:r>
              <w:t xml:space="preserve"> </w:t>
            </w:r>
            <w:r w:rsidR="00A7533B" w:rsidRPr="00A7533B">
              <w:t>The department recognises the value of cross-institutional collaboration, sharing best practice and activities that contribute to sector-wide capability uplift. These considerations are reflected in the Grant Program's objectives and assessment criteria, including expectations that projects contribute to the evidence base, support transferability of approaches and share learnings across the higher education sector.</w:t>
            </w:r>
          </w:p>
          <w:p w14:paraId="4335CBBC" w14:textId="77777777" w:rsidR="00A7533B" w:rsidRPr="00A7533B" w:rsidRDefault="00A7533B" w:rsidP="00A7533B">
            <w:pPr>
              <w:cnfStyle w:val="000000100000" w:firstRow="0" w:lastRow="0" w:firstColumn="0" w:lastColumn="0" w:oddVBand="0" w:evenVBand="0" w:oddHBand="1" w:evenHBand="0" w:firstRowFirstColumn="0" w:firstRowLastColumn="0" w:lastRowFirstColumn="0" w:lastRowLastColumn="0"/>
            </w:pPr>
            <w:r w:rsidRPr="00A7533B">
              <w:t>However, the primary purpose of the funding is to support the design, testing, implementation and evaluation of practical, evidence-informed approaches that strengthen institutional responses to gender-based violence and support implementation of the National Code. The focus is on developing and trialling solutions that improve provider practice in the identified priority response areas and inform equity policy and practice at both institutional and national levels, rather than on dissemination or collaboration activities (such as a community of practice) as a deliverable.</w:t>
            </w:r>
          </w:p>
          <w:p w14:paraId="72A6F469" w14:textId="42D3F780" w:rsidR="00516B7B" w:rsidRDefault="00A7533B" w:rsidP="00BB62F9">
            <w:pPr>
              <w:cnfStyle w:val="000000100000" w:firstRow="0" w:lastRow="0" w:firstColumn="0" w:lastColumn="0" w:oddVBand="0" w:evenVBand="0" w:oddHBand="1" w:evenHBand="0" w:firstRowFirstColumn="0" w:firstRowLastColumn="0" w:lastRowFirstColumn="0" w:lastRowLastColumn="0"/>
            </w:pPr>
            <w:r w:rsidRPr="00A7533B">
              <w:t xml:space="preserve">While collaboration and sector engagement may strengthen a proposal, applicants should ensure these activities are clearly linked to the project's objectives, implementation outcomes and contribution to improved practice. They are intended to support the delivery and impact of the project, rather than being the primary focus of the funding </w:t>
            </w:r>
            <w:proofErr w:type="gramStart"/>
            <w:r w:rsidRPr="00A7533B">
              <w:t>at this time</w:t>
            </w:r>
            <w:proofErr w:type="gramEnd"/>
            <w:r w:rsidRPr="00A7533B">
              <w:t>.</w:t>
            </w:r>
          </w:p>
        </w:tc>
      </w:tr>
    </w:tbl>
    <w:p w14:paraId="30C122AE" w14:textId="4E7D282D" w:rsidR="004C495E" w:rsidRPr="004C495E" w:rsidRDefault="00516B7B" w:rsidP="004C495E">
      <w:pPr>
        <w:pStyle w:val="Heading4"/>
        <w:rPr>
          <w:sz w:val="24"/>
          <w:szCs w:val="24"/>
        </w:rPr>
      </w:pPr>
      <w:r>
        <w:rPr>
          <w:sz w:val="24"/>
          <w:szCs w:val="24"/>
        </w:rPr>
        <w:t>Document History</w:t>
      </w:r>
    </w:p>
    <w:tbl>
      <w:tblPr>
        <w:tblStyle w:val="EDU-Basic"/>
        <w:tblW w:w="9067" w:type="dxa"/>
        <w:tblBorders>
          <w:top w:val="single" w:sz="4" w:space="0" w:color="F15D31"/>
          <w:left w:val="single" w:sz="4" w:space="0" w:color="F15D31"/>
          <w:bottom w:val="single" w:sz="4" w:space="0" w:color="F15D31"/>
          <w:right w:val="single" w:sz="4" w:space="0" w:color="F15D31"/>
          <w:insideH w:val="single" w:sz="4" w:space="0" w:color="F15D31"/>
          <w:insideV w:val="single" w:sz="4" w:space="0" w:color="F15D31"/>
        </w:tblBorders>
        <w:tblLook w:val="04A0" w:firstRow="1" w:lastRow="0" w:firstColumn="1" w:lastColumn="0" w:noHBand="0" w:noVBand="1"/>
      </w:tblPr>
      <w:tblGrid>
        <w:gridCol w:w="3402"/>
        <w:gridCol w:w="5665"/>
      </w:tblGrid>
      <w:tr w:rsidR="00516B7B" w14:paraId="0720740B" w14:textId="77777777" w:rsidTr="006245B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F99D2A"/>
          </w:tcPr>
          <w:p w14:paraId="1785E5E0" w14:textId="50AF8FBD" w:rsidR="00516B7B" w:rsidRPr="008F1272" w:rsidRDefault="00516B7B" w:rsidP="00516B7B">
            <w:pPr>
              <w:rPr>
                <w:b/>
                <w:bCs/>
              </w:rPr>
            </w:pPr>
            <w:r>
              <w:rPr>
                <w:b/>
                <w:bCs/>
              </w:rPr>
              <w:t>Version</w:t>
            </w:r>
          </w:p>
        </w:tc>
        <w:tc>
          <w:tcPr>
            <w:tcW w:w="5665" w:type="dxa"/>
            <w:shd w:val="clear" w:color="auto" w:fill="F99D2A"/>
          </w:tcPr>
          <w:p w14:paraId="06D07B8D" w14:textId="7CF8D62F" w:rsidR="00516B7B" w:rsidRPr="008F1272" w:rsidRDefault="00516B7B" w:rsidP="00516B7B">
            <w:pPr>
              <w:cnfStyle w:val="100000000000" w:firstRow="1" w:lastRow="0" w:firstColumn="0" w:lastColumn="0" w:oddVBand="0" w:evenVBand="0" w:oddHBand="0" w:evenHBand="0" w:firstRowFirstColumn="0" w:firstRowLastColumn="0" w:lastRowFirstColumn="0" w:lastRowLastColumn="0"/>
              <w:rPr>
                <w:b/>
                <w:bCs/>
              </w:rPr>
            </w:pPr>
            <w:r>
              <w:rPr>
                <w:b/>
                <w:bCs/>
              </w:rPr>
              <w:t>Date Published</w:t>
            </w:r>
          </w:p>
        </w:tc>
      </w:tr>
      <w:tr w:rsidR="00516B7B" w14:paraId="356D1BB8" w14:textId="77777777" w:rsidTr="00D46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vAlign w:val="top"/>
          </w:tcPr>
          <w:p w14:paraId="29A7A845" w14:textId="3B2977E6" w:rsidR="00516B7B" w:rsidRDefault="00516B7B" w:rsidP="00516B7B">
            <w:pPr>
              <w:jc w:val="both"/>
            </w:pPr>
            <w:r>
              <w:t>1.0</w:t>
            </w:r>
          </w:p>
        </w:tc>
        <w:tc>
          <w:tcPr>
            <w:tcW w:w="5665" w:type="dxa"/>
            <w:tcBorders>
              <w:top w:val="none" w:sz="0" w:space="0" w:color="auto"/>
              <w:left w:val="none" w:sz="0" w:space="0" w:color="auto"/>
              <w:bottom w:val="none" w:sz="0" w:space="0" w:color="auto"/>
              <w:right w:val="none" w:sz="0" w:space="0" w:color="auto"/>
            </w:tcBorders>
          </w:tcPr>
          <w:p w14:paraId="1FEF2BB9" w14:textId="28083BC5" w:rsidR="00516B7B" w:rsidRPr="00084B40" w:rsidRDefault="00432562" w:rsidP="00516B7B">
            <w:pPr>
              <w:spacing w:after="0"/>
              <w:jc w:val="both"/>
              <w:cnfStyle w:val="000000100000" w:firstRow="0" w:lastRow="0" w:firstColumn="0" w:lastColumn="0" w:oddVBand="0" w:evenVBand="0" w:oddHBand="1" w:evenHBand="0" w:firstRowFirstColumn="0" w:firstRowLastColumn="0" w:lastRowFirstColumn="0" w:lastRowLastColumn="0"/>
            </w:pPr>
            <w:r>
              <w:t>24</w:t>
            </w:r>
            <w:r w:rsidR="00516B7B">
              <w:t xml:space="preserve"> July 2026</w:t>
            </w:r>
          </w:p>
        </w:tc>
      </w:tr>
      <w:tr w:rsidR="00516B7B" w14:paraId="5DE24A88" w14:textId="77777777" w:rsidTr="00D462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none" w:sz="0" w:space="0" w:color="auto"/>
            </w:tcBorders>
            <w:vAlign w:val="top"/>
          </w:tcPr>
          <w:p w14:paraId="1B8070E1" w14:textId="77777777" w:rsidR="00516B7B" w:rsidRDefault="00516B7B" w:rsidP="00BB62F9"/>
        </w:tc>
        <w:tc>
          <w:tcPr>
            <w:tcW w:w="5665" w:type="dxa"/>
            <w:tcBorders>
              <w:bottom w:val="none" w:sz="0" w:space="0" w:color="auto"/>
            </w:tcBorders>
          </w:tcPr>
          <w:p w14:paraId="29773969" w14:textId="77777777" w:rsidR="00516B7B" w:rsidRPr="00084B40" w:rsidRDefault="00516B7B" w:rsidP="00BB62F9">
            <w:pPr>
              <w:pStyle w:val="ListParagraph"/>
              <w:spacing w:after="0"/>
              <w:ind w:left="360"/>
              <w:cnfStyle w:val="000000010000" w:firstRow="0" w:lastRow="0" w:firstColumn="0" w:lastColumn="0" w:oddVBand="0" w:evenVBand="0" w:oddHBand="0" w:evenHBand="1" w:firstRowFirstColumn="0" w:firstRowLastColumn="0" w:lastRowFirstColumn="0" w:lastRowLastColumn="0"/>
            </w:pPr>
          </w:p>
        </w:tc>
      </w:tr>
      <w:tr w:rsidR="00516B7B" w14:paraId="27F9DE38" w14:textId="77777777" w:rsidTr="00D462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left w:val="none" w:sz="0" w:space="0" w:color="auto"/>
              <w:bottom w:val="none" w:sz="0" w:space="0" w:color="auto"/>
              <w:right w:val="none" w:sz="0" w:space="0" w:color="auto"/>
            </w:tcBorders>
            <w:vAlign w:val="top"/>
          </w:tcPr>
          <w:p w14:paraId="663AFD63" w14:textId="77777777" w:rsidR="00516B7B" w:rsidRDefault="00516B7B" w:rsidP="00BB62F9"/>
        </w:tc>
        <w:tc>
          <w:tcPr>
            <w:tcW w:w="5665" w:type="dxa"/>
            <w:tcBorders>
              <w:top w:val="none" w:sz="0" w:space="0" w:color="auto"/>
              <w:left w:val="none" w:sz="0" w:space="0" w:color="auto"/>
              <w:bottom w:val="none" w:sz="0" w:space="0" w:color="auto"/>
              <w:right w:val="none" w:sz="0" w:space="0" w:color="auto"/>
            </w:tcBorders>
          </w:tcPr>
          <w:p w14:paraId="0017B14F" w14:textId="77777777" w:rsidR="00516B7B" w:rsidRPr="00084B40" w:rsidRDefault="00516B7B" w:rsidP="00BB62F9">
            <w:pPr>
              <w:pStyle w:val="ListParagraph"/>
              <w:spacing w:after="0"/>
              <w:ind w:left="360"/>
              <w:cnfStyle w:val="000000100000" w:firstRow="0" w:lastRow="0" w:firstColumn="0" w:lastColumn="0" w:oddVBand="0" w:evenVBand="0" w:oddHBand="1" w:evenHBand="0" w:firstRowFirstColumn="0" w:firstRowLastColumn="0" w:lastRowFirstColumn="0" w:lastRowLastColumn="0"/>
            </w:pPr>
          </w:p>
        </w:tc>
      </w:tr>
    </w:tbl>
    <w:p w14:paraId="7D4C8A98" w14:textId="77777777" w:rsidR="00485CD5" w:rsidRPr="00B81E98" w:rsidRDefault="00485CD5" w:rsidP="00E913B8"/>
    <w:sectPr w:rsidR="00485CD5" w:rsidRPr="00B81E98" w:rsidSect="001D2780">
      <w:headerReference w:type="even" r:id="rId15"/>
      <w:headerReference w:type="default" r:id="rId16"/>
      <w:footerReference w:type="even" r:id="rId17"/>
      <w:footerReference w:type="default" r:id="rId18"/>
      <w:headerReference w:type="first" r:id="rId19"/>
      <w:footerReference w:type="first" r:id="rId20"/>
      <w:pgSz w:w="11906" w:h="16838"/>
      <w:pgMar w:top="1488" w:right="1440" w:bottom="1440" w:left="144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ED51A" w14:textId="77777777" w:rsidR="005366D2" w:rsidRDefault="005366D2" w:rsidP="000A6228">
      <w:pPr>
        <w:spacing w:after="0" w:line="240" w:lineRule="auto"/>
      </w:pPr>
      <w:r>
        <w:separator/>
      </w:r>
    </w:p>
  </w:endnote>
  <w:endnote w:type="continuationSeparator" w:id="0">
    <w:p w14:paraId="261D00C5" w14:textId="77777777" w:rsidR="005366D2" w:rsidRDefault="005366D2"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6B69" w14:textId="77777777" w:rsidR="002A32ED" w:rsidRDefault="002A3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2B955" w14:textId="77777777" w:rsidR="002A32ED" w:rsidRDefault="002A32ED" w:rsidP="00A74240">
    <w:pPr>
      <w:pStyle w:val="Footer"/>
    </w:pPr>
    <w:r>
      <w:t xml:space="preserve">| </w:t>
    </w:r>
    <w:r w:rsidRPr="00AF1F18">
      <w:fldChar w:fldCharType="begin"/>
    </w:r>
    <w:r w:rsidRPr="00AF1F18">
      <w:instrText xml:space="preserve"> PAGE   \* MERGEFORMAT </w:instrText>
    </w:r>
    <w:r w:rsidRPr="00AF1F18">
      <w:fldChar w:fldCharType="separate"/>
    </w:r>
    <w:r>
      <w:t>1</w:t>
    </w:r>
    <w:r w:rsidRPr="00AF1F18">
      <w:fldChar w:fldCharType="end"/>
    </w:r>
  </w:p>
  <w:p w14:paraId="77ACC8B8" w14:textId="77777777" w:rsidR="002A32ED" w:rsidRDefault="002A32ED" w:rsidP="00A74240">
    <w:pPr>
      <w:pStyle w:val="Footer"/>
    </w:pPr>
  </w:p>
  <w:p w14:paraId="3A9D28B0" w14:textId="77777777" w:rsidR="002A32ED" w:rsidRPr="00A74240" w:rsidRDefault="002A32ED" w:rsidP="00A74240">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DDA7E" w14:textId="77777777" w:rsidR="002A32ED" w:rsidRDefault="002A32ED" w:rsidP="00A74240">
    <w:pPr>
      <w:pStyle w:val="Footer"/>
    </w:pPr>
    <w:fldSimple w:instr="DOCPROPERTY  Title  \* MERGEFORMAT">
      <w:r>
        <w:t>Factsheet title</w:t>
      </w:r>
    </w:fldSimple>
    <w:r>
      <w:t xml:space="preserve"> | </w:t>
    </w:r>
    <w:r w:rsidRPr="00AF1F18">
      <w:fldChar w:fldCharType="begin"/>
    </w:r>
    <w:r w:rsidRPr="00AF1F18">
      <w:instrText xml:space="preserve"> PAGE   \* MERGEFORMAT </w:instrText>
    </w:r>
    <w:r w:rsidRPr="00AF1F18">
      <w:fldChar w:fldCharType="separate"/>
    </w:r>
    <w:r>
      <w:t>4</w:t>
    </w:r>
    <w:r w:rsidRPr="00AF1F18">
      <w:fldChar w:fldCharType="end"/>
    </w:r>
  </w:p>
  <w:p w14:paraId="09D415C7" w14:textId="77777777" w:rsidR="002A32ED" w:rsidRDefault="002A3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295CB" w14:textId="77777777" w:rsidR="005366D2" w:rsidRDefault="005366D2" w:rsidP="000A6228">
      <w:pPr>
        <w:spacing w:after="0" w:line="240" w:lineRule="auto"/>
      </w:pPr>
      <w:r>
        <w:separator/>
      </w:r>
    </w:p>
  </w:footnote>
  <w:footnote w:type="continuationSeparator" w:id="0">
    <w:p w14:paraId="37235615" w14:textId="77777777" w:rsidR="005366D2" w:rsidRDefault="005366D2" w:rsidP="000A6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9FB02" w14:textId="77777777" w:rsidR="002A32ED" w:rsidRDefault="002A32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1B80" w14:textId="77777777" w:rsidR="002A32ED" w:rsidRDefault="002A32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2DD3" w14:textId="77777777" w:rsidR="002A32ED" w:rsidRDefault="002A32ED">
    <w:pPr>
      <w:pStyle w:val="Header"/>
    </w:pPr>
  </w:p>
</w:hdr>
</file>

<file path=word/intelligence2.xml><?xml version="1.0" encoding="utf-8"?>
<int2:intelligence xmlns:int2="http://schemas.microsoft.com/office/intelligence/2020/intelligence" xmlns:oel="http://schemas.microsoft.com/office/2019/extlst">
  <int2:observations>
    <int2:textHash int2:hashCode="pEn5WoxKEKU4B/" int2:id="3EHjhzId">
      <int2:state int2:value="Rejected" int2:type="spell"/>
    </int2:textHash>
    <int2:textHash int2:hashCode="YMBNAba5vOr3gh" int2:id="65kFrscC">
      <int2:state int2:value="Rejected" int2:type="spell"/>
    </int2:textHash>
    <int2:textHash int2:hashCode="k9DvBQmXSmdUTT" int2:id="Q19u4rbL">
      <int2:state int2:value="Rejected" int2:type="spell"/>
    </int2:textHash>
    <int2:textHash int2:hashCode="fyWMlliAp/Ma6X" int2:id="Ud19DWQj">
      <int2:state int2:value="Rejected" int2:type="spell"/>
    </int2:textHash>
    <int2:textHash int2:hashCode="09qBZnS2ONBcqm" int2:id="YixKyR4I">
      <int2:state int2:value="Rejected" int2:type="spell"/>
    </int2:textHash>
    <int2:textHash int2:hashCode="8mrVH8Qz0lTpei" int2:id="moRnqcY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93F5F26"/>
    <w:multiLevelType w:val="hybridMultilevel"/>
    <w:tmpl w:val="011E2ED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61833621">
    <w:abstractNumId w:val="7"/>
  </w:num>
  <w:num w:numId="2" w16cid:durableId="147789394">
    <w:abstractNumId w:val="6"/>
  </w:num>
  <w:num w:numId="3" w16cid:durableId="1870803065">
    <w:abstractNumId w:val="3"/>
  </w:num>
  <w:num w:numId="4" w16cid:durableId="657727262">
    <w:abstractNumId w:val="2"/>
  </w:num>
  <w:num w:numId="5" w16cid:durableId="900408569">
    <w:abstractNumId w:val="1"/>
  </w:num>
  <w:num w:numId="6" w16cid:durableId="93455607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12BA"/>
    <w:rsid w:val="00001CDC"/>
    <w:rsid w:val="00001D93"/>
    <w:rsid w:val="000027A0"/>
    <w:rsid w:val="00004CA7"/>
    <w:rsid w:val="000068C6"/>
    <w:rsid w:val="00010418"/>
    <w:rsid w:val="000117C4"/>
    <w:rsid w:val="000119A4"/>
    <w:rsid w:val="00011F92"/>
    <w:rsid w:val="00012366"/>
    <w:rsid w:val="00014043"/>
    <w:rsid w:val="00014AB6"/>
    <w:rsid w:val="000151E7"/>
    <w:rsid w:val="000152CA"/>
    <w:rsid w:val="00015A33"/>
    <w:rsid w:val="00015B77"/>
    <w:rsid w:val="00015EFD"/>
    <w:rsid w:val="00015FD4"/>
    <w:rsid w:val="0001600D"/>
    <w:rsid w:val="00016983"/>
    <w:rsid w:val="000217EF"/>
    <w:rsid w:val="00021FBE"/>
    <w:rsid w:val="000226F6"/>
    <w:rsid w:val="00022B8B"/>
    <w:rsid w:val="00024367"/>
    <w:rsid w:val="0002563C"/>
    <w:rsid w:val="00027095"/>
    <w:rsid w:val="00030535"/>
    <w:rsid w:val="0003229C"/>
    <w:rsid w:val="000329F6"/>
    <w:rsid w:val="00033218"/>
    <w:rsid w:val="000353CC"/>
    <w:rsid w:val="000354F3"/>
    <w:rsid w:val="00037121"/>
    <w:rsid w:val="0004022F"/>
    <w:rsid w:val="00042D43"/>
    <w:rsid w:val="00044385"/>
    <w:rsid w:val="00045770"/>
    <w:rsid w:val="00045BB7"/>
    <w:rsid w:val="00045EF4"/>
    <w:rsid w:val="00045F61"/>
    <w:rsid w:val="0004737F"/>
    <w:rsid w:val="00047753"/>
    <w:rsid w:val="000478BB"/>
    <w:rsid w:val="0005032B"/>
    <w:rsid w:val="0005033F"/>
    <w:rsid w:val="000505E8"/>
    <w:rsid w:val="000521D7"/>
    <w:rsid w:val="000535BC"/>
    <w:rsid w:val="00061EF5"/>
    <w:rsid w:val="00063F50"/>
    <w:rsid w:val="00064946"/>
    <w:rsid w:val="00064E23"/>
    <w:rsid w:val="00066ABC"/>
    <w:rsid w:val="00070724"/>
    <w:rsid w:val="00071220"/>
    <w:rsid w:val="00071CD5"/>
    <w:rsid w:val="000733DC"/>
    <w:rsid w:val="000734A6"/>
    <w:rsid w:val="000752D1"/>
    <w:rsid w:val="00076A34"/>
    <w:rsid w:val="00077EE8"/>
    <w:rsid w:val="000824C2"/>
    <w:rsid w:val="00083D3E"/>
    <w:rsid w:val="00084B40"/>
    <w:rsid w:val="000909F0"/>
    <w:rsid w:val="000932C7"/>
    <w:rsid w:val="00093482"/>
    <w:rsid w:val="00094EE1"/>
    <w:rsid w:val="0009588E"/>
    <w:rsid w:val="000978AE"/>
    <w:rsid w:val="000A0B58"/>
    <w:rsid w:val="000A10AB"/>
    <w:rsid w:val="000A3914"/>
    <w:rsid w:val="000A4729"/>
    <w:rsid w:val="000A4778"/>
    <w:rsid w:val="000A57CA"/>
    <w:rsid w:val="000A6228"/>
    <w:rsid w:val="000B2911"/>
    <w:rsid w:val="000B48D2"/>
    <w:rsid w:val="000B49B1"/>
    <w:rsid w:val="000B546E"/>
    <w:rsid w:val="000B5D40"/>
    <w:rsid w:val="000B7EC6"/>
    <w:rsid w:val="000C17B5"/>
    <w:rsid w:val="000C2459"/>
    <w:rsid w:val="000C2B6E"/>
    <w:rsid w:val="000C3255"/>
    <w:rsid w:val="000C3632"/>
    <w:rsid w:val="000C3C58"/>
    <w:rsid w:val="000C483E"/>
    <w:rsid w:val="000C585A"/>
    <w:rsid w:val="000C734D"/>
    <w:rsid w:val="000C7610"/>
    <w:rsid w:val="000C7BEF"/>
    <w:rsid w:val="000D28B9"/>
    <w:rsid w:val="000D334B"/>
    <w:rsid w:val="000D3E6B"/>
    <w:rsid w:val="000D4393"/>
    <w:rsid w:val="000D6B7D"/>
    <w:rsid w:val="000D7314"/>
    <w:rsid w:val="000E10F0"/>
    <w:rsid w:val="000E1A06"/>
    <w:rsid w:val="000E2B32"/>
    <w:rsid w:val="000E3950"/>
    <w:rsid w:val="000E3F69"/>
    <w:rsid w:val="000E4B35"/>
    <w:rsid w:val="000E4EBC"/>
    <w:rsid w:val="000F03E6"/>
    <w:rsid w:val="000F116F"/>
    <w:rsid w:val="000F1566"/>
    <w:rsid w:val="000F1986"/>
    <w:rsid w:val="000F43CA"/>
    <w:rsid w:val="000F57EA"/>
    <w:rsid w:val="000F598B"/>
    <w:rsid w:val="000F67C3"/>
    <w:rsid w:val="001001EC"/>
    <w:rsid w:val="00100CEA"/>
    <w:rsid w:val="00103ED5"/>
    <w:rsid w:val="00106773"/>
    <w:rsid w:val="00107742"/>
    <w:rsid w:val="00107D87"/>
    <w:rsid w:val="00107DD5"/>
    <w:rsid w:val="00113025"/>
    <w:rsid w:val="00114456"/>
    <w:rsid w:val="00117030"/>
    <w:rsid w:val="001178AF"/>
    <w:rsid w:val="00120CD1"/>
    <w:rsid w:val="0012343A"/>
    <w:rsid w:val="001270CC"/>
    <w:rsid w:val="00131F82"/>
    <w:rsid w:val="00133B8D"/>
    <w:rsid w:val="0013429C"/>
    <w:rsid w:val="0013493D"/>
    <w:rsid w:val="001349DC"/>
    <w:rsid w:val="00134A6D"/>
    <w:rsid w:val="00134A95"/>
    <w:rsid w:val="00134D21"/>
    <w:rsid w:val="00135175"/>
    <w:rsid w:val="001351BC"/>
    <w:rsid w:val="0013611E"/>
    <w:rsid w:val="00136F17"/>
    <w:rsid w:val="00137B23"/>
    <w:rsid w:val="001402DF"/>
    <w:rsid w:val="00141B0E"/>
    <w:rsid w:val="00141EDA"/>
    <w:rsid w:val="00143A2D"/>
    <w:rsid w:val="00144426"/>
    <w:rsid w:val="00145610"/>
    <w:rsid w:val="001502EA"/>
    <w:rsid w:val="001515BF"/>
    <w:rsid w:val="00153E78"/>
    <w:rsid w:val="00156387"/>
    <w:rsid w:val="00156D72"/>
    <w:rsid w:val="00160BAC"/>
    <w:rsid w:val="00160ECC"/>
    <w:rsid w:val="00161AAB"/>
    <w:rsid w:val="00161F09"/>
    <w:rsid w:val="00162371"/>
    <w:rsid w:val="00162409"/>
    <w:rsid w:val="001627DD"/>
    <w:rsid w:val="00162E6E"/>
    <w:rsid w:val="001632E9"/>
    <w:rsid w:val="00163FB2"/>
    <w:rsid w:val="0016426C"/>
    <w:rsid w:val="00166905"/>
    <w:rsid w:val="00170143"/>
    <w:rsid w:val="00170B9C"/>
    <w:rsid w:val="0017134D"/>
    <w:rsid w:val="001719E4"/>
    <w:rsid w:val="00172890"/>
    <w:rsid w:val="00173B54"/>
    <w:rsid w:val="00174D05"/>
    <w:rsid w:val="00175089"/>
    <w:rsid w:val="0017621E"/>
    <w:rsid w:val="00177EA6"/>
    <w:rsid w:val="0018156A"/>
    <w:rsid w:val="00182B9B"/>
    <w:rsid w:val="00182D09"/>
    <w:rsid w:val="00184532"/>
    <w:rsid w:val="00185718"/>
    <w:rsid w:val="00186289"/>
    <w:rsid w:val="001915CB"/>
    <w:rsid w:val="0019287A"/>
    <w:rsid w:val="0019324F"/>
    <w:rsid w:val="00193664"/>
    <w:rsid w:val="00194009"/>
    <w:rsid w:val="00194312"/>
    <w:rsid w:val="00195C93"/>
    <w:rsid w:val="001968FB"/>
    <w:rsid w:val="001A038F"/>
    <w:rsid w:val="001A19F1"/>
    <w:rsid w:val="001A5714"/>
    <w:rsid w:val="001B0559"/>
    <w:rsid w:val="001B1F15"/>
    <w:rsid w:val="001B276D"/>
    <w:rsid w:val="001B2AB0"/>
    <w:rsid w:val="001B2BC2"/>
    <w:rsid w:val="001B49C1"/>
    <w:rsid w:val="001B4AD7"/>
    <w:rsid w:val="001B50FE"/>
    <w:rsid w:val="001B5F1F"/>
    <w:rsid w:val="001B5FB3"/>
    <w:rsid w:val="001B6970"/>
    <w:rsid w:val="001B6F7B"/>
    <w:rsid w:val="001C1523"/>
    <w:rsid w:val="001C1BF0"/>
    <w:rsid w:val="001C3D9E"/>
    <w:rsid w:val="001C455B"/>
    <w:rsid w:val="001C4AAA"/>
    <w:rsid w:val="001C54FD"/>
    <w:rsid w:val="001D0D32"/>
    <w:rsid w:val="001D117F"/>
    <w:rsid w:val="001D2780"/>
    <w:rsid w:val="001D5037"/>
    <w:rsid w:val="001D69CE"/>
    <w:rsid w:val="001D7579"/>
    <w:rsid w:val="001D770C"/>
    <w:rsid w:val="001D7EBE"/>
    <w:rsid w:val="001E0D2D"/>
    <w:rsid w:val="001E1748"/>
    <w:rsid w:val="001E1BBD"/>
    <w:rsid w:val="001E23CE"/>
    <w:rsid w:val="001E3944"/>
    <w:rsid w:val="001E3E1D"/>
    <w:rsid w:val="001E5E8C"/>
    <w:rsid w:val="001E6156"/>
    <w:rsid w:val="001E6EF1"/>
    <w:rsid w:val="001E6FC3"/>
    <w:rsid w:val="001E739A"/>
    <w:rsid w:val="001F0400"/>
    <w:rsid w:val="001F2AE3"/>
    <w:rsid w:val="001F2B22"/>
    <w:rsid w:val="001F3ACA"/>
    <w:rsid w:val="001F56A5"/>
    <w:rsid w:val="001F5A8C"/>
    <w:rsid w:val="001F5B01"/>
    <w:rsid w:val="00200BA2"/>
    <w:rsid w:val="0020324B"/>
    <w:rsid w:val="00204B50"/>
    <w:rsid w:val="002061A2"/>
    <w:rsid w:val="00210700"/>
    <w:rsid w:val="00211220"/>
    <w:rsid w:val="002130CE"/>
    <w:rsid w:val="00216243"/>
    <w:rsid w:val="00220E2B"/>
    <w:rsid w:val="0022112A"/>
    <w:rsid w:val="0022115B"/>
    <w:rsid w:val="00221D8F"/>
    <w:rsid w:val="00224DC1"/>
    <w:rsid w:val="00225546"/>
    <w:rsid w:val="00226635"/>
    <w:rsid w:val="0022710E"/>
    <w:rsid w:val="002272DB"/>
    <w:rsid w:val="002301CF"/>
    <w:rsid w:val="00230BF5"/>
    <w:rsid w:val="002317FC"/>
    <w:rsid w:val="0023356C"/>
    <w:rsid w:val="00241B68"/>
    <w:rsid w:val="00242677"/>
    <w:rsid w:val="00243932"/>
    <w:rsid w:val="00243B50"/>
    <w:rsid w:val="00243C80"/>
    <w:rsid w:val="00244B4E"/>
    <w:rsid w:val="002455E4"/>
    <w:rsid w:val="002459BA"/>
    <w:rsid w:val="002459F1"/>
    <w:rsid w:val="00245B78"/>
    <w:rsid w:val="0024788D"/>
    <w:rsid w:val="00247DB2"/>
    <w:rsid w:val="00247EFF"/>
    <w:rsid w:val="002501E0"/>
    <w:rsid w:val="0025043D"/>
    <w:rsid w:val="00250A24"/>
    <w:rsid w:val="002523AA"/>
    <w:rsid w:val="00253750"/>
    <w:rsid w:val="00253F79"/>
    <w:rsid w:val="002541E5"/>
    <w:rsid w:val="00254F87"/>
    <w:rsid w:val="00255161"/>
    <w:rsid w:val="00260187"/>
    <w:rsid w:val="002612F3"/>
    <w:rsid w:val="00264FC3"/>
    <w:rsid w:val="00265167"/>
    <w:rsid w:val="0026594D"/>
    <w:rsid w:val="00266CFD"/>
    <w:rsid w:val="002674CD"/>
    <w:rsid w:val="00270E62"/>
    <w:rsid w:val="00271262"/>
    <w:rsid w:val="0027272E"/>
    <w:rsid w:val="0027583B"/>
    <w:rsid w:val="00275AE9"/>
    <w:rsid w:val="00276047"/>
    <w:rsid w:val="00281613"/>
    <w:rsid w:val="00281CAB"/>
    <w:rsid w:val="002900CE"/>
    <w:rsid w:val="002907E0"/>
    <w:rsid w:val="00291107"/>
    <w:rsid w:val="00291595"/>
    <w:rsid w:val="00294286"/>
    <w:rsid w:val="00295273"/>
    <w:rsid w:val="00296795"/>
    <w:rsid w:val="00296884"/>
    <w:rsid w:val="00297853"/>
    <w:rsid w:val="002A1DE2"/>
    <w:rsid w:val="002A1E81"/>
    <w:rsid w:val="002A2001"/>
    <w:rsid w:val="002A32ED"/>
    <w:rsid w:val="002A4458"/>
    <w:rsid w:val="002A5651"/>
    <w:rsid w:val="002A63FE"/>
    <w:rsid w:val="002A7D76"/>
    <w:rsid w:val="002B0FAE"/>
    <w:rsid w:val="002B1A5B"/>
    <w:rsid w:val="002B239B"/>
    <w:rsid w:val="002B398A"/>
    <w:rsid w:val="002B4D5A"/>
    <w:rsid w:val="002B4E6A"/>
    <w:rsid w:val="002B5136"/>
    <w:rsid w:val="002B5EFB"/>
    <w:rsid w:val="002B6B4D"/>
    <w:rsid w:val="002B7D13"/>
    <w:rsid w:val="002B7DC0"/>
    <w:rsid w:val="002C0BF3"/>
    <w:rsid w:val="002C1334"/>
    <w:rsid w:val="002C1CE8"/>
    <w:rsid w:val="002C217F"/>
    <w:rsid w:val="002C7067"/>
    <w:rsid w:val="002D06C4"/>
    <w:rsid w:val="002D0BBF"/>
    <w:rsid w:val="002D3A4D"/>
    <w:rsid w:val="002D4C8E"/>
    <w:rsid w:val="002D4E16"/>
    <w:rsid w:val="002D5394"/>
    <w:rsid w:val="002D589A"/>
    <w:rsid w:val="002D60B1"/>
    <w:rsid w:val="002D75E5"/>
    <w:rsid w:val="002E2BE7"/>
    <w:rsid w:val="002E2F6A"/>
    <w:rsid w:val="002E302A"/>
    <w:rsid w:val="002E491A"/>
    <w:rsid w:val="002E4D2F"/>
    <w:rsid w:val="002E5937"/>
    <w:rsid w:val="002E5DE2"/>
    <w:rsid w:val="002F08CB"/>
    <w:rsid w:val="002F402B"/>
    <w:rsid w:val="002F5185"/>
    <w:rsid w:val="002F5C50"/>
    <w:rsid w:val="002F70EC"/>
    <w:rsid w:val="00300B5B"/>
    <w:rsid w:val="00301851"/>
    <w:rsid w:val="00301F2B"/>
    <w:rsid w:val="00302B7F"/>
    <w:rsid w:val="00303EF9"/>
    <w:rsid w:val="00304FAB"/>
    <w:rsid w:val="00305C4F"/>
    <w:rsid w:val="0030623D"/>
    <w:rsid w:val="00306457"/>
    <w:rsid w:val="0031219B"/>
    <w:rsid w:val="00312230"/>
    <w:rsid w:val="003126E9"/>
    <w:rsid w:val="00313203"/>
    <w:rsid w:val="003133DC"/>
    <w:rsid w:val="0031482E"/>
    <w:rsid w:val="00314859"/>
    <w:rsid w:val="00315FAB"/>
    <w:rsid w:val="003203A1"/>
    <w:rsid w:val="00320974"/>
    <w:rsid w:val="003211E4"/>
    <w:rsid w:val="00322142"/>
    <w:rsid w:val="00323155"/>
    <w:rsid w:val="00325E2B"/>
    <w:rsid w:val="00327A3A"/>
    <w:rsid w:val="00327A72"/>
    <w:rsid w:val="00332287"/>
    <w:rsid w:val="00332F2A"/>
    <w:rsid w:val="00334EE2"/>
    <w:rsid w:val="0033503F"/>
    <w:rsid w:val="003362CF"/>
    <w:rsid w:val="003423C0"/>
    <w:rsid w:val="0034251F"/>
    <w:rsid w:val="00343AB2"/>
    <w:rsid w:val="00345910"/>
    <w:rsid w:val="0035008F"/>
    <w:rsid w:val="003500A2"/>
    <w:rsid w:val="0035066A"/>
    <w:rsid w:val="00352104"/>
    <w:rsid w:val="003532E7"/>
    <w:rsid w:val="00353301"/>
    <w:rsid w:val="003553F7"/>
    <w:rsid w:val="00355C00"/>
    <w:rsid w:val="00357842"/>
    <w:rsid w:val="003601FF"/>
    <w:rsid w:val="00360395"/>
    <w:rsid w:val="003621A2"/>
    <w:rsid w:val="00365079"/>
    <w:rsid w:val="0036598B"/>
    <w:rsid w:val="00365A8F"/>
    <w:rsid w:val="00366269"/>
    <w:rsid w:val="003665A6"/>
    <w:rsid w:val="00366715"/>
    <w:rsid w:val="00372CCF"/>
    <w:rsid w:val="003736E4"/>
    <w:rsid w:val="00373B60"/>
    <w:rsid w:val="00375171"/>
    <w:rsid w:val="00376FAC"/>
    <w:rsid w:val="00380512"/>
    <w:rsid w:val="00380727"/>
    <w:rsid w:val="0038221B"/>
    <w:rsid w:val="00382D93"/>
    <w:rsid w:val="003832D9"/>
    <w:rsid w:val="00383BAC"/>
    <w:rsid w:val="0038490E"/>
    <w:rsid w:val="00384B78"/>
    <w:rsid w:val="00384BDF"/>
    <w:rsid w:val="003854B4"/>
    <w:rsid w:val="003929CB"/>
    <w:rsid w:val="00394BD0"/>
    <w:rsid w:val="00395A62"/>
    <w:rsid w:val="003978EA"/>
    <w:rsid w:val="00397B2E"/>
    <w:rsid w:val="0039E982"/>
    <w:rsid w:val="003A081A"/>
    <w:rsid w:val="003A0F65"/>
    <w:rsid w:val="003A231A"/>
    <w:rsid w:val="003A44A4"/>
    <w:rsid w:val="003A4988"/>
    <w:rsid w:val="003A68DC"/>
    <w:rsid w:val="003A70B4"/>
    <w:rsid w:val="003A7ABA"/>
    <w:rsid w:val="003B027D"/>
    <w:rsid w:val="003B1674"/>
    <w:rsid w:val="003B1B36"/>
    <w:rsid w:val="003B41F2"/>
    <w:rsid w:val="003B4A05"/>
    <w:rsid w:val="003B4AC7"/>
    <w:rsid w:val="003B55D8"/>
    <w:rsid w:val="003B68F3"/>
    <w:rsid w:val="003B7319"/>
    <w:rsid w:val="003C0D6D"/>
    <w:rsid w:val="003C573C"/>
    <w:rsid w:val="003C58E7"/>
    <w:rsid w:val="003C78E1"/>
    <w:rsid w:val="003D0BED"/>
    <w:rsid w:val="003D1651"/>
    <w:rsid w:val="003D1855"/>
    <w:rsid w:val="003D1F14"/>
    <w:rsid w:val="003D1F5E"/>
    <w:rsid w:val="003D2954"/>
    <w:rsid w:val="003D2B81"/>
    <w:rsid w:val="003D3B73"/>
    <w:rsid w:val="003D3BD4"/>
    <w:rsid w:val="003D3C86"/>
    <w:rsid w:val="003D3CFE"/>
    <w:rsid w:val="003D41B3"/>
    <w:rsid w:val="003D4EC7"/>
    <w:rsid w:val="003D4F41"/>
    <w:rsid w:val="003D5A72"/>
    <w:rsid w:val="003D5F5E"/>
    <w:rsid w:val="003D6B7D"/>
    <w:rsid w:val="003D709C"/>
    <w:rsid w:val="003D77FB"/>
    <w:rsid w:val="003D793A"/>
    <w:rsid w:val="003D7DC2"/>
    <w:rsid w:val="003E0F6F"/>
    <w:rsid w:val="003E1B35"/>
    <w:rsid w:val="003E3042"/>
    <w:rsid w:val="003E3373"/>
    <w:rsid w:val="003E45B7"/>
    <w:rsid w:val="003E5B0F"/>
    <w:rsid w:val="003E5D02"/>
    <w:rsid w:val="003E61D1"/>
    <w:rsid w:val="003F276C"/>
    <w:rsid w:val="003F295D"/>
    <w:rsid w:val="003F3E9B"/>
    <w:rsid w:val="003F6409"/>
    <w:rsid w:val="003F6E1C"/>
    <w:rsid w:val="0040155D"/>
    <w:rsid w:val="00405031"/>
    <w:rsid w:val="0041070C"/>
    <w:rsid w:val="00410BF7"/>
    <w:rsid w:val="00410D93"/>
    <w:rsid w:val="0041354B"/>
    <w:rsid w:val="00415D8A"/>
    <w:rsid w:val="0041655D"/>
    <w:rsid w:val="0041713E"/>
    <w:rsid w:val="00417728"/>
    <w:rsid w:val="00420E82"/>
    <w:rsid w:val="00421D3F"/>
    <w:rsid w:val="00422A9B"/>
    <w:rsid w:val="00423785"/>
    <w:rsid w:val="0043026A"/>
    <w:rsid w:val="004302D4"/>
    <w:rsid w:val="00431BA1"/>
    <w:rsid w:val="00432562"/>
    <w:rsid w:val="00432F6E"/>
    <w:rsid w:val="004340EE"/>
    <w:rsid w:val="0043472F"/>
    <w:rsid w:val="00435C06"/>
    <w:rsid w:val="004368AF"/>
    <w:rsid w:val="00436918"/>
    <w:rsid w:val="00437E75"/>
    <w:rsid w:val="00440AE7"/>
    <w:rsid w:val="0044100F"/>
    <w:rsid w:val="00441765"/>
    <w:rsid w:val="00441E16"/>
    <w:rsid w:val="004422D2"/>
    <w:rsid w:val="004440B2"/>
    <w:rsid w:val="00450AFC"/>
    <w:rsid w:val="00451135"/>
    <w:rsid w:val="0045179A"/>
    <w:rsid w:val="00452C8C"/>
    <w:rsid w:val="00452D26"/>
    <w:rsid w:val="004601B1"/>
    <w:rsid w:val="00464514"/>
    <w:rsid w:val="00464BE9"/>
    <w:rsid w:val="004707AF"/>
    <w:rsid w:val="00470CF8"/>
    <w:rsid w:val="00472DCA"/>
    <w:rsid w:val="00474FC1"/>
    <w:rsid w:val="00476618"/>
    <w:rsid w:val="0047680B"/>
    <w:rsid w:val="004770C2"/>
    <w:rsid w:val="00477DB5"/>
    <w:rsid w:val="00477E86"/>
    <w:rsid w:val="00481860"/>
    <w:rsid w:val="00481C1A"/>
    <w:rsid w:val="004840C1"/>
    <w:rsid w:val="004855B7"/>
    <w:rsid w:val="00485CD5"/>
    <w:rsid w:val="0048653E"/>
    <w:rsid w:val="00486C6F"/>
    <w:rsid w:val="00487F30"/>
    <w:rsid w:val="00492B70"/>
    <w:rsid w:val="004941B3"/>
    <w:rsid w:val="00494978"/>
    <w:rsid w:val="00494D12"/>
    <w:rsid w:val="004963C2"/>
    <w:rsid w:val="004A06CD"/>
    <w:rsid w:val="004A0FE2"/>
    <w:rsid w:val="004A231D"/>
    <w:rsid w:val="004A2B60"/>
    <w:rsid w:val="004A2EC7"/>
    <w:rsid w:val="004A4B6F"/>
    <w:rsid w:val="004A4BBE"/>
    <w:rsid w:val="004A4CF9"/>
    <w:rsid w:val="004A5386"/>
    <w:rsid w:val="004A5C27"/>
    <w:rsid w:val="004A6DDD"/>
    <w:rsid w:val="004A709B"/>
    <w:rsid w:val="004B1C05"/>
    <w:rsid w:val="004B6443"/>
    <w:rsid w:val="004C14D0"/>
    <w:rsid w:val="004C1BA7"/>
    <w:rsid w:val="004C1EDE"/>
    <w:rsid w:val="004C23FD"/>
    <w:rsid w:val="004C267D"/>
    <w:rsid w:val="004C34CC"/>
    <w:rsid w:val="004C495E"/>
    <w:rsid w:val="004C4A59"/>
    <w:rsid w:val="004C533F"/>
    <w:rsid w:val="004D081B"/>
    <w:rsid w:val="004D17D0"/>
    <w:rsid w:val="004D2965"/>
    <w:rsid w:val="004D2D9D"/>
    <w:rsid w:val="004D419F"/>
    <w:rsid w:val="004D724E"/>
    <w:rsid w:val="004E10FC"/>
    <w:rsid w:val="004E26C6"/>
    <w:rsid w:val="004E393A"/>
    <w:rsid w:val="004E484B"/>
    <w:rsid w:val="004E5B89"/>
    <w:rsid w:val="004E750E"/>
    <w:rsid w:val="004F0AB9"/>
    <w:rsid w:val="004F3DCC"/>
    <w:rsid w:val="004F46F4"/>
    <w:rsid w:val="004F48CC"/>
    <w:rsid w:val="004F49C1"/>
    <w:rsid w:val="004F57DE"/>
    <w:rsid w:val="00502F49"/>
    <w:rsid w:val="00503C0E"/>
    <w:rsid w:val="00504555"/>
    <w:rsid w:val="00504B1E"/>
    <w:rsid w:val="0050556C"/>
    <w:rsid w:val="005103BC"/>
    <w:rsid w:val="00510C15"/>
    <w:rsid w:val="00511CCE"/>
    <w:rsid w:val="00511F12"/>
    <w:rsid w:val="00512C75"/>
    <w:rsid w:val="00513821"/>
    <w:rsid w:val="005138AA"/>
    <w:rsid w:val="00513AB4"/>
    <w:rsid w:val="00513C04"/>
    <w:rsid w:val="00514CD5"/>
    <w:rsid w:val="00514CD6"/>
    <w:rsid w:val="00515FCE"/>
    <w:rsid w:val="00516278"/>
    <w:rsid w:val="00516B7B"/>
    <w:rsid w:val="00517869"/>
    <w:rsid w:val="00517DF1"/>
    <w:rsid w:val="00521C36"/>
    <w:rsid w:val="00522ADB"/>
    <w:rsid w:val="005245C0"/>
    <w:rsid w:val="005264B2"/>
    <w:rsid w:val="00527DC1"/>
    <w:rsid w:val="005317C1"/>
    <w:rsid w:val="00532103"/>
    <w:rsid w:val="00532A00"/>
    <w:rsid w:val="005355DD"/>
    <w:rsid w:val="005366D2"/>
    <w:rsid w:val="00537145"/>
    <w:rsid w:val="00537B3A"/>
    <w:rsid w:val="00537CA3"/>
    <w:rsid w:val="005426A1"/>
    <w:rsid w:val="00550048"/>
    <w:rsid w:val="00551228"/>
    <w:rsid w:val="00552859"/>
    <w:rsid w:val="0055369A"/>
    <w:rsid w:val="00556DF0"/>
    <w:rsid w:val="00556E86"/>
    <w:rsid w:val="00557AD4"/>
    <w:rsid w:val="00563458"/>
    <w:rsid w:val="0056658A"/>
    <w:rsid w:val="00566B17"/>
    <w:rsid w:val="005704C6"/>
    <w:rsid w:val="00571EFE"/>
    <w:rsid w:val="00574ED8"/>
    <w:rsid w:val="005771C6"/>
    <w:rsid w:val="00577F78"/>
    <w:rsid w:val="00580341"/>
    <w:rsid w:val="005808CA"/>
    <w:rsid w:val="005810DE"/>
    <w:rsid w:val="00581BB2"/>
    <w:rsid w:val="005847B5"/>
    <w:rsid w:val="00586308"/>
    <w:rsid w:val="0059211C"/>
    <w:rsid w:val="0059300E"/>
    <w:rsid w:val="00593BC5"/>
    <w:rsid w:val="00594142"/>
    <w:rsid w:val="00594A99"/>
    <w:rsid w:val="00596285"/>
    <w:rsid w:val="0059704B"/>
    <w:rsid w:val="00597972"/>
    <w:rsid w:val="00597BD1"/>
    <w:rsid w:val="00597F8C"/>
    <w:rsid w:val="005A1A4D"/>
    <w:rsid w:val="005A247E"/>
    <w:rsid w:val="005A48CD"/>
    <w:rsid w:val="005A5E1B"/>
    <w:rsid w:val="005A75C9"/>
    <w:rsid w:val="005B0481"/>
    <w:rsid w:val="005B16E2"/>
    <w:rsid w:val="005B187D"/>
    <w:rsid w:val="005B2C16"/>
    <w:rsid w:val="005B53A6"/>
    <w:rsid w:val="005B5F99"/>
    <w:rsid w:val="005C1E39"/>
    <w:rsid w:val="005C2740"/>
    <w:rsid w:val="005C2827"/>
    <w:rsid w:val="005C4546"/>
    <w:rsid w:val="005C6421"/>
    <w:rsid w:val="005C67E2"/>
    <w:rsid w:val="005C7284"/>
    <w:rsid w:val="005D337B"/>
    <w:rsid w:val="005D3513"/>
    <w:rsid w:val="005D44C1"/>
    <w:rsid w:val="005D4DA3"/>
    <w:rsid w:val="005D5ABE"/>
    <w:rsid w:val="005D5F35"/>
    <w:rsid w:val="005D659A"/>
    <w:rsid w:val="005E0175"/>
    <w:rsid w:val="005E05EE"/>
    <w:rsid w:val="005E3130"/>
    <w:rsid w:val="005E4DDE"/>
    <w:rsid w:val="005E6544"/>
    <w:rsid w:val="005F1600"/>
    <w:rsid w:val="005F25DE"/>
    <w:rsid w:val="005F286C"/>
    <w:rsid w:val="005F28BD"/>
    <w:rsid w:val="005F4B06"/>
    <w:rsid w:val="0060199A"/>
    <w:rsid w:val="00603D9C"/>
    <w:rsid w:val="00604862"/>
    <w:rsid w:val="006058DB"/>
    <w:rsid w:val="006074DB"/>
    <w:rsid w:val="00607F39"/>
    <w:rsid w:val="00610942"/>
    <w:rsid w:val="00611087"/>
    <w:rsid w:val="006116C8"/>
    <w:rsid w:val="00611BAC"/>
    <w:rsid w:val="0061259E"/>
    <w:rsid w:val="00615AEA"/>
    <w:rsid w:val="006174DA"/>
    <w:rsid w:val="006207B3"/>
    <w:rsid w:val="00621209"/>
    <w:rsid w:val="0062259E"/>
    <w:rsid w:val="006232DC"/>
    <w:rsid w:val="006245B7"/>
    <w:rsid w:val="0062514F"/>
    <w:rsid w:val="00625F4A"/>
    <w:rsid w:val="0062618F"/>
    <w:rsid w:val="0062685C"/>
    <w:rsid w:val="0063094F"/>
    <w:rsid w:val="00631F1E"/>
    <w:rsid w:val="006336CA"/>
    <w:rsid w:val="00634095"/>
    <w:rsid w:val="0063487E"/>
    <w:rsid w:val="0063542B"/>
    <w:rsid w:val="006356E6"/>
    <w:rsid w:val="0063633F"/>
    <w:rsid w:val="00640383"/>
    <w:rsid w:val="00640741"/>
    <w:rsid w:val="00642D12"/>
    <w:rsid w:val="00643033"/>
    <w:rsid w:val="00643E85"/>
    <w:rsid w:val="00643EA1"/>
    <w:rsid w:val="006445DC"/>
    <w:rsid w:val="00644E05"/>
    <w:rsid w:val="00645A35"/>
    <w:rsid w:val="00647540"/>
    <w:rsid w:val="00650BC1"/>
    <w:rsid w:val="00651572"/>
    <w:rsid w:val="00651C77"/>
    <w:rsid w:val="006520A9"/>
    <w:rsid w:val="00652392"/>
    <w:rsid w:val="006544B1"/>
    <w:rsid w:val="006551CD"/>
    <w:rsid w:val="006559B6"/>
    <w:rsid w:val="00655B84"/>
    <w:rsid w:val="00656BCE"/>
    <w:rsid w:val="00657177"/>
    <w:rsid w:val="00660767"/>
    <w:rsid w:val="0066099E"/>
    <w:rsid w:val="006622AC"/>
    <w:rsid w:val="0066250B"/>
    <w:rsid w:val="0066275B"/>
    <w:rsid w:val="00662CEE"/>
    <w:rsid w:val="00665D92"/>
    <w:rsid w:val="006660FA"/>
    <w:rsid w:val="006661E6"/>
    <w:rsid w:val="0067105D"/>
    <w:rsid w:val="00673EF4"/>
    <w:rsid w:val="00675DDE"/>
    <w:rsid w:val="00676508"/>
    <w:rsid w:val="00677453"/>
    <w:rsid w:val="00681998"/>
    <w:rsid w:val="00682647"/>
    <w:rsid w:val="00683684"/>
    <w:rsid w:val="00690A05"/>
    <w:rsid w:val="00690D09"/>
    <w:rsid w:val="006935D9"/>
    <w:rsid w:val="00697359"/>
    <w:rsid w:val="006A0838"/>
    <w:rsid w:val="006A10A8"/>
    <w:rsid w:val="006A266B"/>
    <w:rsid w:val="006A41FD"/>
    <w:rsid w:val="006A4CC7"/>
    <w:rsid w:val="006A4F73"/>
    <w:rsid w:val="006A52A2"/>
    <w:rsid w:val="006A55EB"/>
    <w:rsid w:val="006A6BCB"/>
    <w:rsid w:val="006A7505"/>
    <w:rsid w:val="006A7D12"/>
    <w:rsid w:val="006B0774"/>
    <w:rsid w:val="006B1EBE"/>
    <w:rsid w:val="006B258D"/>
    <w:rsid w:val="006B272F"/>
    <w:rsid w:val="006B3339"/>
    <w:rsid w:val="006B7176"/>
    <w:rsid w:val="006C119D"/>
    <w:rsid w:val="006C130F"/>
    <w:rsid w:val="006C190D"/>
    <w:rsid w:val="006C2DCB"/>
    <w:rsid w:val="006C3384"/>
    <w:rsid w:val="006C432A"/>
    <w:rsid w:val="006C45A8"/>
    <w:rsid w:val="006C6CFD"/>
    <w:rsid w:val="006C781A"/>
    <w:rsid w:val="006D0132"/>
    <w:rsid w:val="006D1169"/>
    <w:rsid w:val="006D1749"/>
    <w:rsid w:val="006D282B"/>
    <w:rsid w:val="006D4551"/>
    <w:rsid w:val="006D6176"/>
    <w:rsid w:val="006D67F3"/>
    <w:rsid w:val="006E05F6"/>
    <w:rsid w:val="006E25AF"/>
    <w:rsid w:val="006E2E94"/>
    <w:rsid w:val="006E3063"/>
    <w:rsid w:val="006E460B"/>
    <w:rsid w:val="006E6F64"/>
    <w:rsid w:val="006E78ED"/>
    <w:rsid w:val="006F103C"/>
    <w:rsid w:val="006F1C89"/>
    <w:rsid w:val="006F1F37"/>
    <w:rsid w:val="006F1FFF"/>
    <w:rsid w:val="006F225D"/>
    <w:rsid w:val="006F484C"/>
    <w:rsid w:val="006F5D5E"/>
    <w:rsid w:val="006F639C"/>
    <w:rsid w:val="006F6D10"/>
    <w:rsid w:val="006F7720"/>
    <w:rsid w:val="006F7B95"/>
    <w:rsid w:val="0070043E"/>
    <w:rsid w:val="0070237D"/>
    <w:rsid w:val="00703099"/>
    <w:rsid w:val="007035C8"/>
    <w:rsid w:val="007039E5"/>
    <w:rsid w:val="00705E5A"/>
    <w:rsid w:val="00706355"/>
    <w:rsid w:val="007068E2"/>
    <w:rsid w:val="00707A41"/>
    <w:rsid w:val="00707B51"/>
    <w:rsid w:val="00707D2E"/>
    <w:rsid w:val="0071091C"/>
    <w:rsid w:val="00710F53"/>
    <w:rsid w:val="007111A3"/>
    <w:rsid w:val="00711A21"/>
    <w:rsid w:val="00711F45"/>
    <w:rsid w:val="00712AAF"/>
    <w:rsid w:val="00712B94"/>
    <w:rsid w:val="007146CC"/>
    <w:rsid w:val="00716083"/>
    <w:rsid w:val="00717BCB"/>
    <w:rsid w:val="00720ACD"/>
    <w:rsid w:val="00721225"/>
    <w:rsid w:val="0072209E"/>
    <w:rsid w:val="00722EF1"/>
    <w:rsid w:val="00725E17"/>
    <w:rsid w:val="00727638"/>
    <w:rsid w:val="00727D12"/>
    <w:rsid w:val="0073077C"/>
    <w:rsid w:val="007307A2"/>
    <w:rsid w:val="00732123"/>
    <w:rsid w:val="007331BE"/>
    <w:rsid w:val="00734E9E"/>
    <w:rsid w:val="0073544C"/>
    <w:rsid w:val="007364B6"/>
    <w:rsid w:val="00741CE8"/>
    <w:rsid w:val="007420D5"/>
    <w:rsid w:val="00742834"/>
    <w:rsid w:val="00742B17"/>
    <w:rsid w:val="007437A0"/>
    <w:rsid w:val="00743903"/>
    <w:rsid w:val="007462B7"/>
    <w:rsid w:val="007510BD"/>
    <w:rsid w:val="00752502"/>
    <w:rsid w:val="00752F8A"/>
    <w:rsid w:val="0075449F"/>
    <w:rsid w:val="007545A5"/>
    <w:rsid w:val="00754766"/>
    <w:rsid w:val="007553B9"/>
    <w:rsid w:val="00756CD6"/>
    <w:rsid w:val="0075714F"/>
    <w:rsid w:val="00757850"/>
    <w:rsid w:val="00757A33"/>
    <w:rsid w:val="007623E5"/>
    <w:rsid w:val="0076402A"/>
    <w:rsid w:val="00764CAE"/>
    <w:rsid w:val="0076599F"/>
    <w:rsid w:val="0076677F"/>
    <w:rsid w:val="00766BA2"/>
    <w:rsid w:val="00770207"/>
    <w:rsid w:val="007702E7"/>
    <w:rsid w:val="007705C3"/>
    <w:rsid w:val="007728D3"/>
    <w:rsid w:val="00772D6A"/>
    <w:rsid w:val="00776F69"/>
    <w:rsid w:val="00777D8C"/>
    <w:rsid w:val="0078069E"/>
    <w:rsid w:val="007817D0"/>
    <w:rsid w:val="00781AFC"/>
    <w:rsid w:val="00781E15"/>
    <w:rsid w:val="00782544"/>
    <w:rsid w:val="00782E9B"/>
    <w:rsid w:val="007830E9"/>
    <w:rsid w:val="00783868"/>
    <w:rsid w:val="00783FE7"/>
    <w:rsid w:val="00786948"/>
    <w:rsid w:val="00786960"/>
    <w:rsid w:val="00790065"/>
    <w:rsid w:val="007934FA"/>
    <w:rsid w:val="00793C8F"/>
    <w:rsid w:val="00793EDB"/>
    <w:rsid w:val="00794DBC"/>
    <w:rsid w:val="00795271"/>
    <w:rsid w:val="00796AEC"/>
    <w:rsid w:val="007A185A"/>
    <w:rsid w:val="007A3822"/>
    <w:rsid w:val="007A4F62"/>
    <w:rsid w:val="007A5972"/>
    <w:rsid w:val="007A604A"/>
    <w:rsid w:val="007A611B"/>
    <w:rsid w:val="007A6AEC"/>
    <w:rsid w:val="007B2CA1"/>
    <w:rsid w:val="007B5854"/>
    <w:rsid w:val="007B65FF"/>
    <w:rsid w:val="007C0024"/>
    <w:rsid w:val="007C086F"/>
    <w:rsid w:val="007C1157"/>
    <w:rsid w:val="007C27CB"/>
    <w:rsid w:val="007C30B4"/>
    <w:rsid w:val="007C51F9"/>
    <w:rsid w:val="007C5B6F"/>
    <w:rsid w:val="007C6162"/>
    <w:rsid w:val="007D07FF"/>
    <w:rsid w:val="007D0ABC"/>
    <w:rsid w:val="007D3825"/>
    <w:rsid w:val="007D4E18"/>
    <w:rsid w:val="007D5366"/>
    <w:rsid w:val="007D6168"/>
    <w:rsid w:val="007D7727"/>
    <w:rsid w:val="007E09C2"/>
    <w:rsid w:val="007E1B49"/>
    <w:rsid w:val="007E1CB0"/>
    <w:rsid w:val="007E2404"/>
    <w:rsid w:val="007E259C"/>
    <w:rsid w:val="007E2A08"/>
    <w:rsid w:val="007E2A3E"/>
    <w:rsid w:val="007E2C70"/>
    <w:rsid w:val="007E335E"/>
    <w:rsid w:val="007E4E9C"/>
    <w:rsid w:val="007F0BD9"/>
    <w:rsid w:val="007F1359"/>
    <w:rsid w:val="007F160A"/>
    <w:rsid w:val="007F1F60"/>
    <w:rsid w:val="007F33E2"/>
    <w:rsid w:val="007F4355"/>
    <w:rsid w:val="007F4470"/>
    <w:rsid w:val="007F4963"/>
    <w:rsid w:val="007F4E9A"/>
    <w:rsid w:val="007F5A8D"/>
    <w:rsid w:val="008037C6"/>
    <w:rsid w:val="0080388A"/>
    <w:rsid w:val="0080414C"/>
    <w:rsid w:val="008042F5"/>
    <w:rsid w:val="00804B41"/>
    <w:rsid w:val="00804BA6"/>
    <w:rsid w:val="0080534D"/>
    <w:rsid w:val="00805384"/>
    <w:rsid w:val="008061F3"/>
    <w:rsid w:val="00806FA4"/>
    <w:rsid w:val="008111A0"/>
    <w:rsid w:val="008116B6"/>
    <w:rsid w:val="00811D4B"/>
    <w:rsid w:val="00813A3B"/>
    <w:rsid w:val="0081407B"/>
    <w:rsid w:val="0081415D"/>
    <w:rsid w:val="00814BB5"/>
    <w:rsid w:val="00815133"/>
    <w:rsid w:val="0081632F"/>
    <w:rsid w:val="00817728"/>
    <w:rsid w:val="00820CEB"/>
    <w:rsid w:val="00824170"/>
    <w:rsid w:val="008247AD"/>
    <w:rsid w:val="00826594"/>
    <w:rsid w:val="00827296"/>
    <w:rsid w:val="008278CD"/>
    <w:rsid w:val="008309E7"/>
    <w:rsid w:val="00830F45"/>
    <w:rsid w:val="008322E0"/>
    <w:rsid w:val="00832488"/>
    <w:rsid w:val="00832637"/>
    <w:rsid w:val="00832E00"/>
    <w:rsid w:val="00832EF1"/>
    <w:rsid w:val="00833D71"/>
    <w:rsid w:val="0083545A"/>
    <w:rsid w:val="00835892"/>
    <w:rsid w:val="00835ACB"/>
    <w:rsid w:val="00837C68"/>
    <w:rsid w:val="00842E24"/>
    <w:rsid w:val="00843582"/>
    <w:rsid w:val="00843640"/>
    <w:rsid w:val="008448D9"/>
    <w:rsid w:val="0084570D"/>
    <w:rsid w:val="00845AFC"/>
    <w:rsid w:val="008464A3"/>
    <w:rsid w:val="00847304"/>
    <w:rsid w:val="00847731"/>
    <w:rsid w:val="00850F39"/>
    <w:rsid w:val="0085213F"/>
    <w:rsid w:val="00853857"/>
    <w:rsid w:val="008538F2"/>
    <w:rsid w:val="00853D09"/>
    <w:rsid w:val="00854CE9"/>
    <w:rsid w:val="00855B99"/>
    <w:rsid w:val="0086243C"/>
    <w:rsid w:val="00862E6A"/>
    <w:rsid w:val="008635BE"/>
    <w:rsid w:val="00864080"/>
    <w:rsid w:val="00865EC5"/>
    <w:rsid w:val="00867399"/>
    <w:rsid w:val="00867433"/>
    <w:rsid w:val="00867729"/>
    <w:rsid w:val="00867D39"/>
    <w:rsid w:val="008719B2"/>
    <w:rsid w:val="00873996"/>
    <w:rsid w:val="00873E1C"/>
    <w:rsid w:val="00875410"/>
    <w:rsid w:val="00875B1A"/>
    <w:rsid w:val="00876C8E"/>
    <w:rsid w:val="00880BB8"/>
    <w:rsid w:val="008816CB"/>
    <w:rsid w:val="008848D3"/>
    <w:rsid w:val="00886959"/>
    <w:rsid w:val="00887528"/>
    <w:rsid w:val="008905AC"/>
    <w:rsid w:val="00892532"/>
    <w:rsid w:val="00893A34"/>
    <w:rsid w:val="008944D0"/>
    <w:rsid w:val="00896EDA"/>
    <w:rsid w:val="00897C34"/>
    <w:rsid w:val="008A0F7A"/>
    <w:rsid w:val="008A1FB4"/>
    <w:rsid w:val="008A2336"/>
    <w:rsid w:val="008A36E1"/>
    <w:rsid w:val="008A37A7"/>
    <w:rsid w:val="008A5BE7"/>
    <w:rsid w:val="008A7171"/>
    <w:rsid w:val="008B0736"/>
    <w:rsid w:val="008B09E5"/>
    <w:rsid w:val="008B117A"/>
    <w:rsid w:val="008B38D3"/>
    <w:rsid w:val="008B3D29"/>
    <w:rsid w:val="008B4010"/>
    <w:rsid w:val="008B49EB"/>
    <w:rsid w:val="008B4CBD"/>
    <w:rsid w:val="008B70C9"/>
    <w:rsid w:val="008B781B"/>
    <w:rsid w:val="008B796B"/>
    <w:rsid w:val="008C14A0"/>
    <w:rsid w:val="008C1505"/>
    <w:rsid w:val="008C1E9F"/>
    <w:rsid w:val="008C3BB1"/>
    <w:rsid w:val="008C533F"/>
    <w:rsid w:val="008D01BC"/>
    <w:rsid w:val="008D0ACC"/>
    <w:rsid w:val="008D3E86"/>
    <w:rsid w:val="008D3E97"/>
    <w:rsid w:val="008D4174"/>
    <w:rsid w:val="008D50CF"/>
    <w:rsid w:val="008D5471"/>
    <w:rsid w:val="008D6741"/>
    <w:rsid w:val="008E0382"/>
    <w:rsid w:val="008E0FEE"/>
    <w:rsid w:val="008E2F19"/>
    <w:rsid w:val="008E4E16"/>
    <w:rsid w:val="008E70F5"/>
    <w:rsid w:val="008F024E"/>
    <w:rsid w:val="008F056F"/>
    <w:rsid w:val="008F1272"/>
    <w:rsid w:val="008F18FA"/>
    <w:rsid w:val="008F2A22"/>
    <w:rsid w:val="008F7678"/>
    <w:rsid w:val="009009BE"/>
    <w:rsid w:val="00904067"/>
    <w:rsid w:val="009112AE"/>
    <w:rsid w:val="00911E1A"/>
    <w:rsid w:val="00914E07"/>
    <w:rsid w:val="00915FB1"/>
    <w:rsid w:val="00916507"/>
    <w:rsid w:val="009167E4"/>
    <w:rsid w:val="0091707A"/>
    <w:rsid w:val="00923565"/>
    <w:rsid w:val="00923F2E"/>
    <w:rsid w:val="0092501A"/>
    <w:rsid w:val="00925C79"/>
    <w:rsid w:val="0092602A"/>
    <w:rsid w:val="009260FE"/>
    <w:rsid w:val="00930EE8"/>
    <w:rsid w:val="009322DD"/>
    <w:rsid w:val="00934A0B"/>
    <w:rsid w:val="00935EBF"/>
    <w:rsid w:val="00936C0D"/>
    <w:rsid w:val="00941428"/>
    <w:rsid w:val="0094174C"/>
    <w:rsid w:val="00941806"/>
    <w:rsid w:val="00942377"/>
    <w:rsid w:val="009449F8"/>
    <w:rsid w:val="00950B06"/>
    <w:rsid w:val="00951D0D"/>
    <w:rsid w:val="00951DD2"/>
    <w:rsid w:val="009521D5"/>
    <w:rsid w:val="00955692"/>
    <w:rsid w:val="00957767"/>
    <w:rsid w:val="00960CE1"/>
    <w:rsid w:val="00962385"/>
    <w:rsid w:val="00962BCE"/>
    <w:rsid w:val="00962D95"/>
    <w:rsid w:val="009633F7"/>
    <w:rsid w:val="00963988"/>
    <w:rsid w:val="00964674"/>
    <w:rsid w:val="00967180"/>
    <w:rsid w:val="00970069"/>
    <w:rsid w:val="00970274"/>
    <w:rsid w:val="009704DA"/>
    <w:rsid w:val="00970D94"/>
    <w:rsid w:val="0097216B"/>
    <w:rsid w:val="009721EB"/>
    <w:rsid w:val="0097234F"/>
    <w:rsid w:val="00972D1B"/>
    <w:rsid w:val="00973715"/>
    <w:rsid w:val="009740FB"/>
    <w:rsid w:val="009741DD"/>
    <w:rsid w:val="009749DD"/>
    <w:rsid w:val="00976E57"/>
    <w:rsid w:val="00980BAE"/>
    <w:rsid w:val="00981223"/>
    <w:rsid w:val="00981394"/>
    <w:rsid w:val="00981647"/>
    <w:rsid w:val="00981AAF"/>
    <w:rsid w:val="009837AE"/>
    <w:rsid w:val="009855AA"/>
    <w:rsid w:val="00986782"/>
    <w:rsid w:val="00991C07"/>
    <w:rsid w:val="00991F61"/>
    <w:rsid w:val="009A1ACA"/>
    <w:rsid w:val="009A3A17"/>
    <w:rsid w:val="009A3C73"/>
    <w:rsid w:val="009A5D3C"/>
    <w:rsid w:val="009A6129"/>
    <w:rsid w:val="009A78A9"/>
    <w:rsid w:val="009B0CC9"/>
    <w:rsid w:val="009B1559"/>
    <w:rsid w:val="009B1742"/>
    <w:rsid w:val="009B1A40"/>
    <w:rsid w:val="009B26A6"/>
    <w:rsid w:val="009B3B1A"/>
    <w:rsid w:val="009B3F02"/>
    <w:rsid w:val="009B52F7"/>
    <w:rsid w:val="009B571F"/>
    <w:rsid w:val="009B706E"/>
    <w:rsid w:val="009C0829"/>
    <w:rsid w:val="009C1C73"/>
    <w:rsid w:val="009C285D"/>
    <w:rsid w:val="009C423A"/>
    <w:rsid w:val="009C5FD1"/>
    <w:rsid w:val="009C6235"/>
    <w:rsid w:val="009C6FE1"/>
    <w:rsid w:val="009D071A"/>
    <w:rsid w:val="009D1A07"/>
    <w:rsid w:val="009D25B9"/>
    <w:rsid w:val="009D5850"/>
    <w:rsid w:val="009D7D0C"/>
    <w:rsid w:val="009E0D03"/>
    <w:rsid w:val="009E1014"/>
    <w:rsid w:val="009E176F"/>
    <w:rsid w:val="009E2A2D"/>
    <w:rsid w:val="009E3BD7"/>
    <w:rsid w:val="009E436E"/>
    <w:rsid w:val="009E79ED"/>
    <w:rsid w:val="009F473E"/>
    <w:rsid w:val="009F60E4"/>
    <w:rsid w:val="009F65C8"/>
    <w:rsid w:val="00A05C2A"/>
    <w:rsid w:val="00A05FD5"/>
    <w:rsid w:val="00A07596"/>
    <w:rsid w:val="00A077B5"/>
    <w:rsid w:val="00A1176B"/>
    <w:rsid w:val="00A141C8"/>
    <w:rsid w:val="00A1453B"/>
    <w:rsid w:val="00A1695E"/>
    <w:rsid w:val="00A17A08"/>
    <w:rsid w:val="00A205F1"/>
    <w:rsid w:val="00A20D85"/>
    <w:rsid w:val="00A235FE"/>
    <w:rsid w:val="00A25A69"/>
    <w:rsid w:val="00A30921"/>
    <w:rsid w:val="00A320AF"/>
    <w:rsid w:val="00A32C9F"/>
    <w:rsid w:val="00A3344F"/>
    <w:rsid w:val="00A33BCF"/>
    <w:rsid w:val="00A33D26"/>
    <w:rsid w:val="00A3418B"/>
    <w:rsid w:val="00A353D4"/>
    <w:rsid w:val="00A36B2D"/>
    <w:rsid w:val="00A41ED2"/>
    <w:rsid w:val="00A43039"/>
    <w:rsid w:val="00A443BB"/>
    <w:rsid w:val="00A44BDF"/>
    <w:rsid w:val="00A463BB"/>
    <w:rsid w:val="00A46C8F"/>
    <w:rsid w:val="00A46D2A"/>
    <w:rsid w:val="00A46F30"/>
    <w:rsid w:val="00A50D27"/>
    <w:rsid w:val="00A51A83"/>
    <w:rsid w:val="00A5234C"/>
    <w:rsid w:val="00A52C70"/>
    <w:rsid w:val="00A54951"/>
    <w:rsid w:val="00A55F0D"/>
    <w:rsid w:val="00A56024"/>
    <w:rsid w:val="00A6059F"/>
    <w:rsid w:val="00A60673"/>
    <w:rsid w:val="00A61176"/>
    <w:rsid w:val="00A632BE"/>
    <w:rsid w:val="00A63A9B"/>
    <w:rsid w:val="00A657DC"/>
    <w:rsid w:val="00A65C89"/>
    <w:rsid w:val="00A66A32"/>
    <w:rsid w:val="00A7017A"/>
    <w:rsid w:val="00A70E96"/>
    <w:rsid w:val="00A71C44"/>
    <w:rsid w:val="00A721D8"/>
    <w:rsid w:val="00A7268E"/>
    <w:rsid w:val="00A72B35"/>
    <w:rsid w:val="00A732D6"/>
    <w:rsid w:val="00A74240"/>
    <w:rsid w:val="00A7533B"/>
    <w:rsid w:val="00A76B9F"/>
    <w:rsid w:val="00A81583"/>
    <w:rsid w:val="00A81E88"/>
    <w:rsid w:val="00A82038"/>
    <w:rsid w:val="00A83FAB"/>
    <w:rsid w:val="00A84242"/>
    <w:rsid w:val="00A84C35"/>
    <w:rsid w:val="00A86E65"/>
    <w:rsid w:val="00A874F8"/>
    <w:rsid w:val="00A90326"/>
    <w:rsid w:val="00A90E90"/>
    <w:rsid w:val="00A911E3"/>
    <w:rsid w:val="00A92C30"/>
    <w:rsid w:val="00A92F24"/>
    <w:rsid w:val="00A934EE"/>
    <w:rsid w:val="00A93A68"/>
    <w:rsid w:val="00A94D07"/>
    <w:rsid w:val="00A94D35"/>
    <w:rsid w:val="00A958C3"/>
    <w:rsid w:val="00A96091"/>
    <w:rsid w:val="00AA0548"/>
    <w:rsid w:val="00AA2615"/>
    <w:rsid w:val="00AA3114"/>
    <w:rsid w:val="00AA3EA7"/>
    <w:rsid w:val="00AB032F"/>
    <w:rsid w:val="00AB05CB"/>
    <w:rsid w:val="00AB5C35"/>
    <w:rsid w:val="00AB77D8"/>
    <w:rsid w:val="00AC0745"/>
    <w:rsid w:val="00AC1872"/>
    <w:rsid w:val="00AC1B86"/>
    <w:rsid w:val="00AC1D3D"/>
    <w:rsid w:val="00AC2566"/>
    <w:rsid w:val="00AC3581"/>
    <w:rsid w:val="00AC7CAA"/>
    <w:rsid w:val="00AD008D"/>
    <w:rsid w:val="00AD24E0"/>
    <w:rsid w:val="00AD4762"/>
    <w:rsid w:val="00AD4E31"/>
    <w:rsid w:val="00AD52E2"/>
    <w:rsid w:val="00AD546E"/>
    <w:rsid w:val="00AD631F"/>
    <w:rsid w:val="00AD6EC8"/>
    <w:rsid w:val="00AD731C"/>
    <w:rsid w:val="00AD7E69"/>
    <w:rsid w:val="00AE13E3"/>
    <w:rsid w:val="00AE2016"/>
    <w:rsid w:val="00AE21FF"/>
    <w:rsid w:val="00AE45D9"/>
    <w:rsid w:val="00AE6FC2"/>
    <w:rsid w:val="00AF09F1"/>
    <w:rsid w:val="00AF1F18"/>
    <w:rsid w:val="00AF2676"/>
    <w:rsid w:val="00AF2CF2"/>
    <w:rsid w:val="00AF2D5A"/>
    <w:rsid w:val="00AF4F32"/>
    <w:rsid w:val="00B006C9"/>
    <w:rsid w:val="00B027E7"/>
    <w:rsid w:val="00B03643"/>
    <w:rsid w:val="00B03CF8"/>
    <w:rsid w:val="00B0547E"/>
    <w:rsid w:val="00B0575B"/>
    <w:rsid w:val="00B066B6"/>
    <w:rsid w:val="00B06C4E"/>
    <w:rsid w:val="00B0726E"/>
    <w:rsid w:val="00B1035E"/>
    <w:rsid w:val="00B1171F"/>
    <w:rsid w:val="00B1229E"/>
    <w:rsid w:val="00B127D9"/>
    <w:rsid w:val="00B150B6"/>
    <w:rsid w:val="00B153E3"/>
    <w:rsid w:val="00B15854"/>
    <w:rsid w:val="00B16D19"/>
    <w:rsid w:val="00B17236"/>
    <w:rsid w:val="00B219D1"/>
    <w:rsid w:val="00B2331D"/>
    <w:rsid w:val="00B24FFE"/>
    <w:rsid w:val="00B25346"/>
    <w:rsid w:val="00B2584A"/>
    <w:rsid w:val="00B25A4E"/>
    <w:rsid w:val="00B3071F"/>
    <w:rsid w:val="00B3075A"/>
    <w:rsid w:val="00B32362"/>
    <w:rsid w:val="00B323BF"/>
    <w:rsid w:val="00B336EF"/>
    <w:rsid w:val="00B33DA5"/>
    <w:rsid w:val="00B35792"/>
    <w:rsid w:val="00B36742"/>
    <w:rsid w:val="00B3694D"/>
    <w:rsid w:val="00B36A8A"/>
    <w:rsid w:val="00B419E2"/>
    <w:rsid w:val="00B4345C"/>
    <w:rsid w:val="00B43F4F"/>
    <w:rsid w:val="00B4572F"/>
    <w:rsid w:val="00B564DC"/>
    <w:rsid w:val="00B575DD"/>
    <w:rsid w:val="00B612C4"/>
    <w:rsid w:val="00B634FF"/>
    <w:rsid w:val="00B6444A"/>
    <w:rsid w:val="00B64E85"/>
    <w:rsid w:val="00B6561F"/>
    <w:rsid w:val="00B67C14"/>
    <w:rsid w:val="00B70A1D"/>
    <w:rsid w:val="00B7504D"/>
    <w:rsid w:val="00B75553"/>
    <w:rsid w:val="00B75E48"/>
    <w:rsid w:val="00B75F79"/>
    <w:rsid w:val="00B761A5"/>
    <w:rsid w:val="00B7756E"/>
    <w:rsid w:val="00B81E98"/>
    <w:rsid w:val="00B81FA4"/>
    <w:rsid w:val="00B83D31"/>
    <w:rsid w:val="00B87006"/>
    <w:rsid w:val="00B8794C"/>
    <w:rsid w:val="00B911A2"/>
    <w:rsid w:val="00B91E0F"/>
    <w:rsid w:val="00B925EA"/>
    <w:rsid w:val="00B926AB"/>
    <w:rsid w:val="00B954F9"/>
    <w:rsid w:val="00B957B9"/>
    <w:rsid w:val="00B95CB0"/>
    <w:rsid w:val="00B95EF4"/>
    <w:rsid w:val="00B9741C"/>
    <w:rsid w:val="00BA0C8D"/>
    <w:rsid w:val="00BA1800"/>
    <w:rsid w:val="00BA34BC"/>
    <w:rsid w:val="00BA4002"/>
    <w:rsid w:val="00BA44A5"/>
    <w:rsid w:val="00BA6DCF"/>
    <w:rsid w:val="00BA7548"/>
    <w:rsid w:val="00BB0D13"/>
    <w:rsid w:val="00BB3CBA"/>
    <w:rsid w:val="00BB3EC4"/>
    <w:rsid w:val="00BB5F85"/>
    <w:rsid w:val="00BB62F9"/>
    <w:rsid w:val="00BB6509"/>
    <w:rsid w:val="00BC0767"/>
    <w:rsid w:val="00BC0C91"/>
    <w:rsid w:val="00BC0F83"/>
    <w:rsid w:val="00BC1EC7"/>
    <w:rsid w:val="00BC248C"/>
    <w:rsid w:val="00BC5497"/>
    <w:rsid w:val="00BC54FD"/>
    <w:rsid w:val="00BC7392"/>
    <w:rsid w:val="00BC7E8C"/>
    <w:rsid w:val="00BD01F2"/>
    <w:rsid w:val="00BD0895"/>
    <w:rsid w:val="00BD10CC"/>
    <w:rsid w:val="00BD1387"/>
    <w:rsid w:val="00BD3EFA"/>
    <w:rsid w:val="00BD63D3"/>
    <w:rsid w:val="00BD6FA5"/>
    <w:rsid w:val="00BD7374"/>
    <w:rsid w:val="00BD79CC"/>
    <w:rsid w:val="00BE1120"/>
    <w:rsid w:val="00BE1E6F"/>
    <w:rsid w:val="00BE219E"/>
    <w:rsid w:val="00BE24C5"/>
    <w:rsid w:val="00BE2C81"/>
    <w:rsid w:val="00BE4B88"/>
    <w:rsid w:val="00BE4E3D"/>
    <w:rsid w:val="00BE54BD"/>
    <w:rsid w:val="00BE69C8"/>
    <w:rsid w:val="00BF3AEC"/>
    <w:rsid w:val="00BF4BBC"/>
    <w:rsid w:val="00BF56F5"/>
    <w:rsid w:val="00BF59D2"/>
    <w:rsid w:val="00BF5DFC"/>
    <w:rsid w:val="00C0094E"/>
    <w:rsid w:val="00C00AED"/>
    <w:rsid w:val="00C01850"/>
    <w:rsid w:val="00C01EC0"/>
    <w:rsid w:val="00C03949"/>
    <w:rsid w:val="00C03D3A"/>
    <w:rsid w:val="00C05B5C"/>
    <w:rsid w:val="00C07D36"/>
    <w:rsid w:val="00C10896"/>
    <w:rsid w:val="00C1130E"/>
    <w:rsid w:val="00C1149B"/>
    <w:rsid w:val="00C11788"/>
    <w:rsid w:val="00C11F06"/>
    <w:rsid w:val="00C12E16"/>
    <w:rsid w:val="00C1321B"/>
    <w:rsid w:val="00C13325"/>
    <w:rsid w:val="00C152FF"/>
    <w:rsid w:val="00C22124"/>
    <w:rsid w:val="00C244EE"/>
    <w:rsid w:val="00C26B37"/>
    <w:rsid w:val="00C2705B"/>
    <w:rsid w:val="00C279E9"/>
    <w:rsid w:val="00C31880"/>
    <w:rsid w:val="00C34156"/>
    <w:rsid w:val="00C37022"/>
    <w:rsid w:val="00C37ACB"/>
    <w:rsid w:val="00C37CA7"/>
    <w:rsid w:val="00C41CC3"/>
    <w:rsid w:val="00C42811"/>
    <w:rsid w:val="00C44B5D"/>
    <w:rsid w:val="00C45ED2"/>
    <w:rsid w:val="00C46942"/>
    <w:rsid w:val="00C46C15"/>
    <w:rsid w:val="00C4798A"/>
    <w:rsid w:val="00C47F2E"/>
    <w:rsid w:val="00C509BB"/>
    <w:rsid w:val="00C50D73"/>
    <w:rsid w:val="00C56EA9"/>
    <w:rsid w:val="00C5715E"/>
    <w:rsid w:val="00C57499"/>
    <w:rsid w:val="00C60308"/>
    <w:rsid w:val="00C62925"/>
    <w:rsid w:val="00C63B8A"/>
    <w:rsid w:val="00C63D58"/>
    <w:rsid w:val="00C64C8B"/>
    <w:rsid w:val="00C72224"/>
    <w:rsid w:val="00C7317B"/>
    <w:rsid w:val="00C756DB"/>
    <w:rsid w:val="00C75706"/>
    <w:rsid w:val="00C77B18"/>
    <w:rsid w:val="00C807D9"/>
    <w:rsid w:val="00C80BA6"/>
    <w:rsid w:val="00C812C0"/>
    <w:rsid w:val="00C821C7"/>
    <w:rsid w:val="00C83E50"/>
    <w:rsid w:val="00C84157"/>
    <w:rsid w:val="00C84C87"/>
    <w:rsid w:val="00C85F70"/>
    <w:rsid w:val="00C86870"/>
    <w:rsid w:val="00C869D4"/>
    <w:rsid w:val="00C86AAB"/>
    <w:rsid w:val="00C86FA8"/>
    <w:rsid w:val="00C91E08"/>
    <w:rsid w:val="00C9280F"/>
    <w:rsid w:val="00C937C2"/>
    <w:rsid w:val="00C94D42"/>
    <w:rsid w:val="00C95AEF"/>
    <w:rsid w:val="00C96830"/>
    <w:rsid w:val="00C96885"/>
    <w:rsid w:val="00C96CB2"/>
    <w:rsid w:val="00CA224A"/>
    <w:rsid w:val="00CA316D"/>
    <w:rsid w:val="00CA4815"/>
    <w:rsid w:val="00CA55D3"/>
    <w:rsid w:val="00CA5E0B"/>
    <w:rsid w:val="00CA5FC0"/>
    <w:rsid w:val="00CB17A4"/>
    <w:rsid w:val="00CB1BEA"/>
    <w:rsid w:val="00CB2801"/>
    <w:rsid w:val="00CB4015"/>
    <w:rsid w:val="00CB4626"/>
    <w:rsid w:val="00CB4657"/>
    <w:rsid w:val="00CB4F08"/>
    <w:rsid w:val="00CB66A3"/>
    <w:rsid w:val="00CC074E"/>
    <w:rsid w:val="00CC0CB5"/>
    <w:rsid w:val="00CC16A7"/>
    <w:rsid w:val="00CC1EE8"/>
    <w:rsid w:val="00CC1F80"/>
    <w:rsid w:val="00CC2300"/>
    <w:rsid w:val="00CC3C18"/>
    <w:rsid w:val="00CC3C3A"/>
    <w:rsid w:val="00CC44D6"/>
    <w:rsid w:val="00CC47BA"/>
    <w:rsid w:val="00CC61FD"/>
    <w:rsid w:val="00CC66F9"/>
    <w:rsid w:val="00CD14B7"/>
    <w:rsid w:val="00CD28E0"/>
    <w:rsid w:val="00CD3DF1"/>
    <w:rsid w:val="00CD3DF2"/>
    <w:rsid w:val="00CD3F32"/>
    <w:rsid w:val="00CD440B"/>
    <w:rsid w:val="00CD493E"/>
    <w:rsid w:val="00CD4D07"/>
    <w:rsid w:val="00CD5ACC"/>
    <w:rsid w:val="00CD5BF3"/>
    <w:rsid w:val="00CD66FF"/>
    <w:rsid w:val="00CD7926"/>
    <w:rsid w:val="00CD7DA4"/>
    <w:rsid w:val="00CE26A4"/>
    <w:rsid w:val="00CE2A9E"/>
    <w:rsid w:val="00CE46E3"/>
    <w:rsid w:val="00CE48C5"/>
    <w:rsid w:val="00CE6C6D"/>
    <w:rsid w:val="00CF0429"/>
    <w:rsid w:val="00CF2F7A"/>
    <w:rsid w:val="00CF5094"/>
    <w:rsid w:val="00CF5538"/>
    <w:rsid w:val="00CF6562"/>
    <w:rsid w:val="00D0194C"/>
    <w:rsid w:val="00D0215A"/>
    <w:rsid w:val="00D0270F"/>
    <w:rsid w:val="00D03F73"/>
    <w:rsid w:val="00D04B1A"/>
    <w:rsid w:val="00D070B1"/>
    <w:rsid w:val="00D0764E"/>
    <w:rsid w:val="00D10688"/>
    <w:rsid w:val="00D10DD8"/>
    <w:rsid w:val="00D136F3"/>
    <w:rsid w:val="00D13BAF"/>
    <w:rsid w:val="00D144EE"/>
    <w:rsid w:val="00D160B0"/>
    <w:rsid w:val="00D21BE2"/>
    <w:rsid w:val="00D21F89"/>
    <w:rsid w:val="00D229B5"/>
    <w:rsid w:val="00D2376E"/>
    <w:rsid w:val="00D26EFF"/>
    <w:rsid w:val="00D26F79"/>
    <w:rsid w:val="00D3226D"/>
    <w:rsid w:val="00D323CA"/>
    <w:rsid w:val="00D33D75"/>
    <w:rsid w:val="00D33E77"/>
    <w:rsid w:val="00D34BB6"/>
    <w:rsid w:val="00D34C73"/>
    <w:rsid w:val="00D3662A"/>
    <w:rsid w:val="00D37830"/>
    <w:rsid w:val="00D37CC9"/>
    <w:rsid w:val="00D40249"/>
    <w:rsid w:val="00D40985"/>
    <w:rsid w:val="00D40C2A"/>
    <w:rsid w:val="00D415CE"/>
    <w:rsid w:val="00D42CC8"/>
    <w:rsid w:val="00D43DB9"/>
    <w:rsid w:val="00D43FFD"/>
    <w:rsid w:val="00D445BE"/>
    <w:rsid w:val="00D447E8"/>
    <w:rsid w:val="00D458FB"/>
    <w:rsid w:val="00D462FB"/>
    <w:rsid w:val="00D50168"/>
    <w:rsid w:val="00D520DA"/>
    <w:rsid w:val="00D54778"/>
    <w:rsid w:val="00D5688A"/>
    <w:rsid w:val="00D57038"/>
    <w:rsid w:val="00D60A26"/>
    <w:rsid w:val="00D60B73"/>
    <w:rsid w:val="00D60D1F"/>
    <w:rsid w:val="00D61009"/>
    <w:rsid w:val="00D613AC"/>
    <w:rsid w:val="00D65449"/>
    <w:rsid w:val="00D66A1F"/>
    <w:rsid w:val="00D72935"/>
    <w:rsid w:val="00D73716"/>
    <w:rsid w:val="00D73EA6"/>
    <w:rsid w:val="00D741C9"/>
    <w:rsid w:val="00D74F23"/>
    <w:rsid w:val="00D778F6"/>
    <w:rsid w:val="00D80342"/>
    <w:rsid w:val="00D80B3A"/>
    <w:rsid w:val="00D84D76"/>
    <w:rsid w:val="00D850E9"/>
    <w:rsid w:val="00D853B7"/>
    <w:rsid w:val="00D86041"/>
    <w:rsid w:val="00D86284"/>
    <w:rsid w:val="00D86829"/>
    <w:rsid w:val="00D903DC"/>
    <w:rsid w:val="00D90491"/>
    <w:rsid w:val="00D90934"/>
    <w:rsid w:val="00D90E17"/>
    <w:rsid w:val="00D916A9"/>
    <w:rsid w:val="00D91808"/>
    <w:rsid w:val="00D91DD9"/>
    <w:rsid w:val="00D938E3"/>
    <w:rsid w:val="00D93AB4"/>
    <w:rsid w:val="00D93BB9"/>
    <w:rsid w:val="00D94241"/>
    <w:rsid w:val="00D95BAE"/>
    <w:rsid w:val="00DA2C7A"/>
    <w:rsid w:val="00DA4089"/>
    <w:rsid w:val="00DA51E9"/>
    <w:rsid w:val="00DA5E0B"/>
    <w:rsid w:val="00DA7748"/>
    <w:rsid w:val="00DB00B7"/>
    <w:rsid w:val="00DB01BC"/>
    <w:rsid w:val="00DB2953"/>
    <w:rsid w:val="00DB634E"/>
    <w:rsid w:val="00DB652F"/>
    <w:rsid w:val="00DB6939"/>
    <w:rsid w:val="00DB7400"/>
    <w:rsid w:val="00DB7EE9"/>
    <w:rsid w:val="00DC154B"/>
    <w:rsid w:val="00DC45FF"/>
    <w:rsid w:val="00DC4E01"/>
    <w:rsid w:val="00DC5980"/>
    <w:rsid w:val="00DC755F"/>
    <w:rsid w:val="00DD2A14"/>
    <w:rsid w:val="00DD2B46"/>
    <w:rsid w:val="00DD39FF"/>
    <w:rsid w:val="00DD4C9D"/>
    <w:rsid w:val="00DD6FB9"/>
    <w:rsid w:val="00DD7725"/>
    <w:rsid w:val="00DD7F5B"/>
    <w:rsid w:val="00DE2093"/>
    <w:rsid w:val="00DE5E7A"/>
    <w:rsid w:val="00DE6AFD"/>
    <w:rsid w:val="00DE6BAA"/>
    <w:rsid w:val="00DE7D0A"/>
    <w:rsid w:val="00DF1565"/>
    <w:rsid w:val="00DF2193"/>
    <w:rsid w:val="00DF45E5"/>
    <w:rsid w:val="00DF464F"/>
    <w:rsid w:val="00DF4661"/>
    <w:rsid w:val="00DF48EA"/>
    <w:rsid w:val="00DF5470"/>
    <w:rsid w:val="00DF5C30"/>
    <w:rsid w:val="00DF5D8D"/>
    <w:rsid w:val="00E0221B"/>
    <w:rsid w:val="00E03B07"/>
    <w:rsid w:val="00E03FA1"/>
    <w:rsid w:val="00E04556"/>
    <w:rsid w:val="00E04B8A"/>
    <w:rsid w:val="00E05803"/>
    <w:rsid w:val="00E06ED6"/>
    <w:rsid w:val="00E10640"/>
    <w:rsid w:val="00E11AD2"/>
    <w:rsid w:val="00E12248"/>
    <w:rsid w:val="00E142F5"/>
    <w:rsid w:val="00E163CC"/>
    <w:rsid w:val="00E16980"/>
    <w:rsid w:val="00E17929"/>
    <w:rsid w:val="00E17B07"/>
    <w:rsid w:val="00E20434"/>
    <w:rsid w:val="00E210F3"/>
    <w:rsid w:val="00E21349"/>
    <w:rsid w:val="00E22513"/>
    <w:rsid w:val="00E23835"/>
    <w:rsid w:val="00E24925"/>
    <w:rsid w:val="00E2573D"/>
    <w:rsid w:val="00E268E1"/>
    <w:rsid w:val="00E277E8"/>
    <w:rsid w:val="00E31288"/>
    <w:rsid w:val="00E3186D"/>
    <w:rsid w:val="00E31A16"/>
    <w:rsid w:val="00E320A3"/>
    <w:rsid w:val="00E33B41"/>
    <w:rsid w:val="00E3490D"/>
    <w:rsid w:val="00E36416"/>
    <w:rsid w:val="00E40936"/>
    <w:rsid w:val="00E441CE"/>
    <w:rsid w:val="00E458F0"/>
    <w:rsid w:val="00E46618"/>
    <w:rsid w:val="00E4760D"/>
    <w:rsid w:val="00E50696"/>
    <w:rsid w:val="00E50AF0"/>
    <w:rsid w:val="00E50CB3"/>
    <w:rsid w:val="00E512EC"/>
    <w:rsid w:val="00E5148D"/>
    <w:rsid w:val="00E51DDE"/>
    <w:rsid w:val="00E5280F"/>
    <w:rsid w:val="00E529E5"/>
    <w:rsid w:val="00E52ADD"/>
    <w:rsid w:val="00E5647C"/>
    <w:rsid w:val="00E60127"/>
    <w:rsid w:val="00E605AF"/>
    <w:rsid w:val="00E62835"/>
    <w:rsid w:val="00E633F2"/>
    <w:rsid w:val="00E645E2"/>
    <w:rsid w:val="00E64826"/>
    <w:rsid w:val="00E64E22"/>
    <w:rsid w:val="00E66393"/>
    <w:rsid w:val="00E66EBC"/>
    <w:rsid w:val="00E70AC0"/>
    <w:rsid w:val="00E723C6"/>
    <w:rsid w:val="00E7545D"/>
    <w:rsid w:val="00E765C0"/>
    <w:rsid w:val="00E76A2A"/>
    <w:rsid w:val="00E76FBE"/>
    <w:rsid w:val="00E85124"/>
    <w:rsid w:val="00E85F95"/>
    <w:rsid w:val="00E913B8"/>
    <w:rsid w:val="00E91BC7"/>
    <w:rsid w:val="00E934F5"/>
    <w:rsid w:val="00EA1FDD"/>
    <w:rsid w:val="00EA2000"/>
    <w:rsid w:val="00EA2384"/>
    <w:rsid w:val="00EA240C"/>
    <w:rsid w:val="00EA3122"/>
    <w:rsid w:val="00EA377F"/>
    <w:rsid w:val="00EA443F"/>
    <w:rsid w:val="00EA49C7"/>
    <w:rsid w:val="00EA4F27"/>
    <w:rsid w:val="00EA603F"/>
    <w:rsid w:val="00EA6623"/>
    <w:rsid w:val="00EB144D"/>
    <w:rsid w:val="00EB2464"/>
    <w:rsid w:val="00EB25A2"/>
    <w:rsid w:val="00EB4373"/>
    <w:rsid w:val="00EB43FB"/>
    <w:rsid w:val="00EB4C2F"/>
    <w:rsid w:val="00EB50B9"/>
    <w:rsid w:val="00EB50D0"/>
    <w:rsid w:val="00EB545E"/>
    <w:rsid w:val="00EB79E1"/>
    <w:rsid w:val="00EB7F4A"/>
    <w:rsid w:val="00EB7FA1"/>
    <w:rsid w:val="00EC05BB"/>
    <w:rsid w:val="00EC08B9"/>
    <w:rsid w:val="00EC2632"/>
    <w:rsid w:val="00EC2996"/>
    <w:rsid w:val="00EC59D5"/>
    <w:rsid w:val="00EC5ED2"/>
    <w:rsid w:val="00ED0158"/>
    <w:rsid w:val="00ED07BF"/>
    <w:rsid w:val="00ED0DDF"/>
    <w:rsid w:val="00ED3414"/>
    <w:rsid w:val="00ED3691"/>
    <w:rsid w:val="00ED4F86"/>
    <w:rsid w:val="00ED6610"/>
    <w:rsid w:val="00EE0E8B"/>
    <w:rsid w:val="00EE20E9"/>
    <w:rsid w:val="00EE2B2B"/>
    <w:rsid w:val="00EE433C"/>
    <w:rsid w:val="00EE47BD"/>
    <w:rsid w:val="00EE6AD3"/>
    <w:rsid w:val="00EF2365"/>
    <w:rsid w:val="00EF6567"/>
    <w:rsid w:val="00EF7615"/>
    <w:rsid w:val="00F00215"/>
    <w:rsid w:val="00F00346"/>
    <w:rsid w:val="00F00C10"/>
    <w:rsid w:val="00F025A0"/>
    <w:rsid w:val="00F0361C"/>
    <w:rsid w:val="00F04E1E"/>
    <w:rsid w:val="00F1000D"/>
    <w:rsid w:val="00F111BF"/>
    <w:rsid w:val="00F123FF"/>
    <w:rsid w:val="00F12AAC"/>
    <w:rsid w:val="00F12DB8"/>
    <w:rsid w:val="00F1307E"/>
    <w:rsid w:val="00F1538A"/>
    <w:rsid w:val="00F15630"/>
    <w:rsid w:val="00F2024B"/>
    <w:rsid w:val="00F221D6"/>
    <w:rsid w:val="00F228E5"/>
    <w:rsid w:val="00F22A68"/>
    <w:rsid w:val="00F239DC"/>
    <w:rsid w:val="00F24F45"/>
    <w:rsid w:val="00F25D8B"/>
    <w:rsid w:val="00F269E1"/>
    <w:rsid w:val="00F311A4"/>
    <w:rsid w:val="00F31379"/>
    <w:rsid w:val="00F314B3"/>
    <w:rsid w:val="00F33431"/>
    <w:rsid w:val="00F33BCF"/>
    <w:rsid w:val="00F35AFF"/>
    <w:rsid w:val="00F35D32"/>
    <w:rsid w:val="00F36F52"/>
    <w:rsid w:val="00F37102"/>
    <w:rsid w:val="00F37134"/>
    <w:rsid w:val="00F42AEB"/>
    <w:rsid w:val="00F4493F"/>
    <w:rsid w:val="00F4532D"/>
    <w:rsid w:val="00F46169"/>
    <w:rsid w:val="00F46BE2"/>
    <w:rsid w:val="00F47C34"/>
    <w:rsid w:val="00F50F66"/>
    <w:rsid w:val="00F51605"/>
    <w:rsid w:val="00F5165C"/>
    <w:rsid w:val="00F51AA0"/>
    <w:rsid w:val="00F5345D"/>
    <w:rsid w:val="00F53BC2"/>
    <w:rsid w:val="00F53FF5"/>
    <w:rsid w:val="00F54A02"/>
    <w:rsid w:val="00F5699F"/>
    <w:rsid w:val="00F607BE"/>
    <w:rsid w:val="00F6152B"/>
    <w:rsid w:val="00F63A0D"/>
    <w:rsid w:val="00F641EB"/>
    <w:rsid w:val="00F643EB"/>
    <w:rsid w:val="00F65CF4"/>
    <w:rsid w:val="00F65E5D"/>
    <w:rsid w:val="00F66DF9"/>
    <w:rsid w:val="00F70BA6"/>
    <w:rsid w:val="00F7214B"/>
    <w:rsid w:val="00F73074"/>
    <w:rsid w:val="00F753D1"/>
    <w:rsid w:val="00F82C2C"/>
    <w:rsid w:val="00F8375E"/>
    <w:rsid w:val="00F83BE8"/>
    <w:rsid w:val="00F85913"/>
    <w:rsid w:val="00F86406"/>
    <w:rsid w:val="00F86FA9"/>
    <w:rsid w:val="00F90991"/>
    <w:rsid w:val="00F92383"/>
    <w:rsid w:val="00F9249A"/>
    <w:rsid w:val="00F9413F"/>
    <w:rsid w:val="00F970D8"/>
    <w:rsid w:val="00F97159"/>
    <w:rsid w:val="00F97888"/>
    <w:rsid w:val="00FA1A7D"/>
    <w:rsid w:val="00FA6336"/>
    <w:rsid w:val="00FA6727"/>
    <w:rsid w:val="00FA6B2D"/>
    <w:rsid w:val="00FB16DA"/>
    <w:rsid w:val="00FB3AAC"/>
    <w:rsid w:val="00FB3B56"/>
    <w:rsid w:val="00FB4DA5"/>
    <w:rsid w:val="00FB5EE1"/>
    <w:rsid w:val="00FB7135"/>
    <w:rsid w:val="00FC0521"/>
    <w:rsid w:val="00FC0555"/>
    <w:rsid w:val="00FC0621"/>
    <w:rsid w:val="00FC0B2D"/>
    <w:rsid w:val="00FC0DF2"/>
    <w:rsid w:val="00FC28C4"/>
    <w:rsid w:val="00FC324B"/>
    <w:rsid w:val="00FC4EB4"/>
    <w:rsid w:val="00FC5456"/>
    <w:rsid w:val="00FC60B3"/>
    <w:rsid w:val="00FC685B"/>
    <w:rsid w:val="00FC78B0"/>
    <w:rsid w:val="00FD1194"/>
    <w:rsid w:val="00FD2699"/>
    <w:rsid w:val="00FD41C0"/>
    <w:rsid w:val="00FD4D6E"/>
    <w:rsid w:val="00FD6383"/>
    <w:rsid w:val="00FE02E4"/>
    <w:rsid w:val="00FE2204"/>
    <w:rsid w:val="00FE2CD9"/>
    <w:rsid w:val="00FE3950"/>
    <w:rsid w:val="00FE5FB6"/>
    <w:rsid w:val="00FE62BB"/>
    <w:rsid w:val="00FE737A"/>
    <w:rsid w:val="00FE7970"/>
    <w:rsid w:val="00FE7F92"/>
    <w:rsid w:val="00FF177A"/>
    <w:rsid w:val="00FF25CD"/>
    <w:rsid w:val="00FF2F80"/>
    <w:rsid w:val="00FF30F4"/>
    <w:rsid w:val="00FF434C"/>
    <w:rsid w:val="00FF5AAB"/>
    <w:rsid w:val="00FF5BC8"/>
    <w:rsid w:val="00FF62E8"/>
    <w:rsid w:val="00FF6938"/>
    <w:rsid w:val="00FF71E1"/>
    <w:rsid w:val="00FF78FD"/>
    <w:rsid w:val="0147A28D"/>
    <w:rsid w:val="017A0F9E"/>
    <w:rsid w:val="02257EC3"/>
    <w:rsid w:val="030AC076"/>
    <w:rsid w:val="03BFDEF4"/>
    <w:rsid w:val="05A0054F"/>
    <w:rsid w:val="073D2622"/>
    <w:rsid w:val="0C3562FC"/>
    <w:rsid w:val="0FC2633A"/>
    <w:rsid w:val="119D66B2"/>
    <w:rsid w:val="14E3BE53"/>
    <w:rsid w:val="158081B6"/>
    <w:rsid w:val="16D00B44"/>
    <w:rsid w:val="186556C8"/>
    <w:rsid w:val="19054CA7"/>
    <w:rsid w:val="19C5019A"/>
    <w:rsid w:val="19ED45B3"/>
    <w:rsid w:val="1A6BC437"/>
    <w:rsid w:val="1C3A5C31"/>
    <w:rsid w:val="1FC8B654"/>
    <w:rsid w:val="2889E52F"/>
    <w:rsid w:val="29A6B810"/>
    <w:rsid w:val="2ADDD1EE"/>
    <w:rsid w:val="2C7E4B97"/>
    <w:rsid w:val="2DE33166"/>
    <w:rsid w:val="2E94719F"/>
    <w:rsid w:val="34929456"/>
    <w:rsid w:val="38C23E7C"/>
    <w:rsid w:val="3BAA5C22"/>
    <w:rsid w:val="3D84674C"/>
    <w:rsid w:val="3E2E4D5D"/>
    <w:rsid w:val="3E9D6854"/>
    <w:rsid w:val="3EC31164"/>
    <w:rsid w:val="3F7FF659"/>
    <w:rsid w:val="40E3AC1C"/>
    <w:rsid w:val="43549000"/>
    <w:rsid w:val="4458BEC8"/>
    <w:rsid w:val="456C57E0"/>
    <w:rsid w:val="45AC5088"/>
    <w:rsid w:val="523BDEF9"/>
    <w:rsid w:val="5C4152EF"/>
    <w:rsid w:val="5E5872A2"/>
    <w:rsid w:val="5F742BF5"/>
    <w:rsid w:val="636D4CF2"/>
    <w:rsid w:val="659EC9BE"/>
    <w:rsid w:val="6917ABE5"/>
    <w:rsid w:val="6A00B2F4"/>
    <w:rsid w:val="6B2AD8DC"/>
    <w:rsid w:val="6B8C49D8"/>
    <w:rsid w:val="6CEEA5B0"/>
    <w:rsid w:val="6DB2181C"/>
    <w:rsid w:val="736674DA"/>
    <w:rsid w:val="73CBE884"/>
    <w:rsid w:val="75C97B01"/>
    <w:rsid w:val="76287FAF"/>
    <w:rsid w:val="786E6CA6"/>
    <w:rsid w:val="792FF349"/>
    <w:rsid w:val="7AD7E794"/>
    <w:rsid w:val="7B3221BB"/>
    <w:rsid w:val="7B859BDF"/>
    <w:rsid w:val="7CD4EBD5"/>
    <w:rsid w:val="7EE6191C"/>
    <w:rsid w:val="7F0DB1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D78A"/>
  <w15:chartTrackingRefBased/>
  <w15:docId w15:val="{89736209-1705-4C25-85D8-DBD369BD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3A231A"/>
    <w:pPr>
      <w:keepNext/>
      <w:keepLines/>
      <w:spacing w:before="1440" w:after="0" w:line="640" w:lineRule="exact"/>
      <w:outlineLvl w:val="0"/>
    </w:pPr>
    <w:rPr>
      <w:rFonts w:ascii="Calibri" w:eastAsiaTheme="majorEastAsia" w:hAnsi="Calibri" w:cstheme="majorBidi"/>
      <w:b/>
      <w:color w:val="49255F"/>
      <w:sz w:val="60"/>
      <w:szCs w:val="32"/>
    </w:rPr>
  </w:style>
  <w:style w:type="paragraph" w:styleId="Heading2">
    <w:name w:val="heading 2"/>
    <w:basedOn w:val="Normal"/>
    <w:next w:val="Normal"/>
    <w:link w:val="Heading2Char"/>
    <w:uiPriority w:val="9"/>
    <w:unhideWhenUsed/>
    <w:qFormat/>
    <w:rsid w:val="00A74240"/>
    <w:pPr>
      <w:keepNext/>
      <w:keepLines/>
      <w:spacing w:before="720" w:after="160"/>
      <w:outlineLvl w:val="1"/>
    </w:pPr>
    <w:rPr>
      <w:rFonts w:asciiTheme="majorHAnsi" w:eastAsiaTheme="majorEastAsia" w:hAnsiTheme="majorHAnsi" w:cstheme="majorBidi"/>
      <w:b/>
      <w:color w:val="49255F"/>
      <w:sz w:val="44"/>
      <w:szCs w:val="26"/>
    </w:rPr>
  </w:style>
  <w:style w:type="paragraph" w:styleId="Heading3">
    <w:name w:val="heading 3"/>
    <w:basedOn w:val="Normal"/>
    <w:next w:val="Normal"/>
    <w:link w:val="Heading3Char"/>
    <w:uiPriority w:val="9"/>
    <w:unhideWhenUsed/>
    <w:qFormat/>
    <w:rsid w:val="00A74240"/>
    <w:pPr>
      <w:keepNext/>
      <w:keepLines/>
      <w:spacing w:before="320" w:after="60"/>
      <w:outlineLvl w:val="2"/>
    </w:pPr>
    <w:rPr>
      <w:rFonts w:asciiTheme="majorHAnsi" w:eastAsiaTheme="majorEastAsia" w:hAnsiTheme="majorHAnsi" w:cstheme="majorBidi"/>
      <w:b/>
      <w:color w:val="F15D31"/>
      <w:sz w:val="32"/>
      <w:szCs w:val="24"/>
    </w:rPr>
  </w:style>
  <w:style w:type="paragraph" w:styleId="Heading4">
    <w:name w:val="heading 4"/>
    <w:basedOn w:val="Normal"/>
    <w:next w:val="Normal"/>
    <w:link w:val="Heading4Char"/>
    <w:uiPriority w:val="9"/>
    <w:unhideWhenUsed/>
    <w:qFormat/>
    <w:rsid w:val="00A74240"/>
    <w:pPr>
      <w:keepNext/>
      <w:keepLines/>
      <w:spacing w:before="360" w:after="0"/>
      <w:outlineLvl w:val="3"/>
    </w:pPr>
    <w:rPr>
      <w:rFonts w:asciiTheme="majorHAnsi" w:eastAsiaTheme="majorEastAsia" w:hAnsiTheme="majorHAnsi" w:cstheme="majorBidi"/>
      <w:b/>
      <w:iCs/>
      <w:color w:val="49255F"/>
      <w:sz w:val="28"/>
    </w:rPr>
  </w:style>
  <w:style w:type="paragraph" w:styleId="Heading5">
    <w:name w:val="heading 5"/>
    <w:basedOn w:val="Normal"/>
    <w:next w:val="Normal"/>
    <w:link w:val="Heading5Char"/>
    <w:uiPriority w:val="9"/>
    <w:unhideWhenUsed/>
    <w:qFormat/>
    <w:rsid w:val="00A74240"/>
    <w:pPr>
      <w:keepNext/>
      <w:keepLines/>
      <w:spacing w:before="40" w:after="0"/>
      <w:outlineLvl w:val="4"/>
    </w:pPr>
    <w:rPr>
      <w:rFonts w:asciiTheme="majorHAnsi" w:eastAsiaTheme="majorEastAsia" w:hAnsiTheme="majorHAnsi" w:cstheme="majorBidi"/>
      <w:b/>
      <w:color w:val="49255F"/>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A231A"/>
    <w:rPr>
      <w:rFonts w:ascii="Calibri" w:eastAsiaTheme="majorEastAsia" w:hAnsi="Calibri" w:cstheme="majorBidi"/>
      <w:b/>
      <w:color w:val="49255F"/>
      <w:sz w:val="60"/>
      <w:szCs w:val="32"/>
    </w:rPr>
  </w:style>
  <w:style w:type="character" w:customStyle="1" w:styleId="Heading2Char">
    <w:name w:val="Heading 2 Char"/>
    <w:basedOn w:val="DefaultParagraphFont"/>
    <w:link w:val="Heading2"/>
    <w:uiPriority w:val="9"/>
    <w:rsid w:val="00A74240"/>
    <w:rPr>
      <w:rFonts w:asciiTheme="majorHAnsi" w:eastAsiaTheme="majorEastAsia" w:hAnsiTheme="majorHAnsi" w:cstheme="majorBidi"/>
      <w:b/>
      <w:color w:val="49255F"/>
      <w:sz w:val="44"/>
      <w:szCs w:val="26"/>
    </w:rPr>
  </w:style>
  <w:style w:type="character" w:customStyle="1" w:styleId="Heading3Char">
    <w:name w:val="Heading 3 Char"/>
    <w:basedOn w:val="DefaultParagraphFont"/>
    <w:link w:val="Heading3"/>
    <w:uiPriority w:val="9"/>
    <w:rsid w:val="00A74240"/>
    <w:rPr>
      <w:rFonts w:asciiTheme="majorHAnsi" w:eastAsiaTheme="majorEastAsia" w:hAnsiTheme="majorHAnsi" w:cstheme="majorBidi"/>
      <w:b/>
      <w:color w:val="F15D31"/>
      <w:sz w:val="32"/>
      <w:szCs w:val="24"/>
    </w:rPr>
  </w:style>
  <w:style w:type="character" w:customStyle="1" w:styleId="Heading4Char">
    <w:name w:val="Heading 4 Char"/>
    <w:basedOn w:val="DefaultParagraphFont"/>
    <w:link w:val="Heading4"/>
    <w:uiPriority w:val="9"/>
    <w:rsid w:val="00A74240"/>
    <w:rPr>
      <w:rFonts w:asciiTheme="majorHAnsi" w:eastAsiaTheme="majorEastAsia" w:hAnsiTheme="majorHAnsi" w:cstheme="majorBidi"/>
      <w:b/>
      <w:iCs/>
      <w:color w:val="49255F"/>
      <w:sz w:val="28"/>
    </w:rPr>
  </w:style>
  <w:style w:type="character" w:customStyle="1" w:styleId="Heading5Char">
    <w:name w:val="Heading 5 Char"/>
    <w:basedOn w:val="DefaultParagraphFont"/>
    <w:link w:val="Heading5"/>
    <w:uiPriority w:val="9"/>
    <w:rsid w:val="00A74240"/>
    <w:rPr>
      <w:rFonts w:asciiTheme="majorHAnsi" w:eastAsiaTheme="majorEastAsia" w:hAnsiTheme="majorHAnsi" w:cstheme="majorBidi"/>
      <w:b/>
      <w:color w:val="49255F"/>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A74240"/>
    <w:pPr>
      <w:spacing w:after="120" w:line="240" w:lineRule="auto"/>
    </w:pPr>
    <w:rPr>
      <w:b/>
      <w:iCs/>
      <w:color w:val="49255F"/>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3A231A"/>
    <w:pPr>
      <w:numPr>
        <w:ilvl w:val="1"/>
      </w:numPr>
      <w:spacing w:before="120" w:after="140"/>
    </w:pPr>
    <w:rPr>
      <w:rFonts w:eastAsiaTheme="minorEastAsia"/>
      <w:color w:val="F15D31"/>
      <w:spacing w:val="15"/>
      <w:sz w:val="40"/>
    </w:rPr>
  </w:style>
  <w:style w:type="character" w:customStyle="1" w:styleId="SubtitleChar">
    <w:name w:val="Subtitle Char"/>
    <w:basedOn w:val="DefaultParagraphFont"/>
    <w:link w:val="Subtitle"/>
    <w:uiPriority w:val="11"/>
    <w:rsid w:val="003A231A"/>
    <w:rPr>
      <w:rFonts w:eastAsiaTheme="minorEastAsia"/>
      <w:color w:val="F15D31"/>
      <w:spacing w:val="15"/>
      <w:sz w:val="40"/>
    </w:rPr>
  </w:style>
  <w:style w:type="paragraph" w:styleId="List">
    <w:name w:val="List"/>
    <w:basedOn w:val="Normal"/>
    <w:uiPriority w:val="98"/>
    <w:qFormat/>
    <w:rsid w:val="00886959"/>
    <w:pPr>
      <w:numPr>
        <w:numId w:val="2"/>
      </w:numPr>
      <w:spacing w:after="200"/>
      <w:contextualSpacing/>
    </w:pPr>
  </w:style>
  <w:style w:type="paragraph" w:styleId="List2">
    <w:name w:val="List 2"/>
    <w:basedOn w:val="Normal"/>
    <w:uiPriority w:val="98"/>
    <w:qFormat/>
    <w:rsid w:val="00F85913"/>
    <w:pPr>
      <w:numPr>
        <w:ilvl w:val="1"/>
        <w:numId w:val="2"/>
      </w:numPr>
      <w:spacing w:after="200"/>
      <w:contextualSpacing/>
    </w:pPr>
  </w:style>
  <w:style w:type="paragraph" w:styleId="List3">
    <w:name w:val="List 3"/>
    <w:basedOn w:val="Normal"/>
    <w:uiPriority w:val="98"/>
    <w:qFormat/>
    <w:rsid w:val="00BC248C"/>
    <w:pPr>
      <w:numPr>
        <w:ilvl w:val="2"/>
        <w:numId w:val="2"/>
      </w:numPr>
      <w:spacing w:after="200"/>
      <w:contextualSpacing/>
    </w:pPr>
  </w:style>
  <w:style w:type="paragraph" w:styleId="List4">
    <w:name w:val="List 4"/>
    <w:basedOn w:val="Normal"/>
    <w:uiPriority w:val="98"/>
    <w:qFormat/>
    <w:rsid w:val="00BC248C"/>
    <w:pPr>
      <w:numPr>
        <w:ilvl w:val="3"/>
        <w:numId w:val="2"/>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3"/>
      </w:numPr>
      <w:spacing w:after="200"/>
      <w:ind w:left="284" w:hanging="284"/>
      <w:contextualSpacing/>
    </w:pPr>
  </w:style>
  <w:style w:type="paragraph" w:styleId="ListBullet2">
    <w:name w:val="List Bullet 2"/>
    <w:basedOn w:val="Normal"/>
    <w:uiPriority w:val="98"/>
    <w:qFormat/>
    <w:rsid w:val="00C75706"/>
    <w:pPr>
      <w:numPr>
        <w:ilvl w:val="1"/>
        <w:numId w:val="3"/>
      </w:numPr>
      <w:spacing w:after="200"/>
      <w:ind w:left="568" w:hanging="284"/>
      <w:contextualSpacing/>
    </w:pPr>
  </w:style>
  <w:style w:type="paragraph" w:styleId="ListBullet4">
    <w:name w:val="List Bullet 4"/>
    <w:basedOn w:val="Normal"/>
    <w:uiPriority w:val="98"/>
    <w:qFormat/>
    <w:rsid w:val="00C75706"/>
    <w:pPr>
      <w:numPr>
        <w:numId w:val="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A74240"/>
    <w:pPr>
      <w:spacing w:before="100" w:beforeAutospacing="1" w:after="100" w:afterAutospacing="1" w:line="240" w:lineRule="auto"/>
    </w:pPr>
    <w:tblPr>
      <w:tblStyleRowBandSize w:val="1"/>
    </w:tblPr>
    <w:tcPr>
      <w:vAlign w:val="center"/>
    </w:tcPr>
    <w:tblStylePr w:type="firstRow">
      <w:pPr>
        <w:jc w:val="left"/>
      </w:pPr>
      <w:tblPr/>
      <w:tcPr>
        <w:shd w:val="clear" w:color="auto" w:fill="49255F"/>
      </w:tcPr>
    </w:tblStylePr>
    <w:tblStylePr w:type="firstCol">
      <w:rPr>
        <w:b w:val="0"/>
      </w:rPr>
    </w:tblStylePr>
    <w:tblStylePr w:type="band1Horz">
      <w:tblPr/>
      <w:tcPr>
        <w:tcBorders>
          <w:top w:val="nil"/>
          <w:left w:val="nil"/>
          <w:bottom w:val="single" w:sz="4" w:space="0" w:color="F15D31"/>
          <w:right w:val="nil"/>
          <w:insideH w:val="nil"/>
          <w:insideV w:val="nil"/>
        </w:tcBorders>
      </w:tcPr>
    </w:tblStylePr>
    <w:tblStylePr w:type="band2Horz">
      <w:tblPr/>
      <w:tcPr>
        <w:tcBorders>
          <w:bottom w:val="single" w:sz="4" w:space="0" w:color="F15D31"/>
        </w:tcBorders>
      </w:tc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00B954F9"/>
    <w:pPr>
      <w:spacing w:after="160"/>
      <w:ind w:left="720"/>
      <w:contextualSpacing/>
    </w:pPr>
    <w:rPr>
      <w:kern w:val="2"/>
      <w14:ligatures w14:val="standardContextual"/>
    </w:rPr>
  </w:style>
  <w:style w:type="table" w:styleId="TableGridLight">
    <w:name w:val="Grid Table Light"/>
    <w:basedOn w:val="TableNormal"/>
    <w:uiPriority w:val="40"/>
    <w:rsid w:val="00B954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15FAB"/>
    <w:rPr>
      <w:sz w:val="16"/>
      <w:szCs w:val="16"/>
    </w:rPr>
  </w:style>
  <w:style w:type="paragraph" w:styleId="CommentText">
    <w:name w:val="annotation text"/>
    <w:basedOn w:val="Normal"/>
    <w:link w:val="CommentTextChar"/>
    <w:uiPriority w:val="99"/>
    <w:unhideWhenUsed/>
    <w:rsid w:val="00315FAB"/>
    <w:pPr>
      <w:spacing w:line="240" w:lineRule="auto"/>
    </w:pPr>
    <w:rPr>
      <w:sz w:val="20"/>
      <w:szCs w:val="20"/>
    </w:rPr>
  </w:style>
  <w:style w:type="character" w:customStyle="1" w:styleId="CommentTextChar">
    <w:name w:val="Comment Text Char"/>
    <w:basedOn w:val="DefaultParagraphFont"/>
    <w:link w:val="CommentText"/>
    <w:uiPriority w:val="99"/>
    <w:rsid w:val="00315FAB"/>
    <w:rPr>
      <w:sz w:val="20"/>
      <w:szCs w:val="20"/>
    </w:rPr>
  </w:style>
  <w:style w:type="paragraph" w:styleId="CommentSubject">
    <w:name w:val="annotation subject"/>
    <w:basedOn w:val="CommentText"/>
    <w:next w:val="CommentText"/>
    <w:link w:val="CommentSubjectChar"/>
    <w:uiPriority w:val="99"/>
    <w:semiHidden/>
    <w:unhideWhenUsed/>
    <w:rsid w:val="00315FAB"/>
    <w:rPr>
      <w:b/>
      <w:bCs/>
    </w:rPr>
  </w:style>
  <w:style w:type="character" w:customStyle="1" w:styleId="CommentSubjectChar">
    <w:name w:val="Comment Subject Char"/>
    <w:basedOn w:val="CommentTextChar"/>
    <w:link w:val="CommentSubject"/>
    <w:uiPriority w:val="99"/>
    <w:semiHidden/>
    <w:rsid w:val="00315FAB"/>
    <w:rPr>
      <w:b/>
      <w:bCs/>
      <w:sz w:val="20"/>
      <w:szCs w:val="20"/>
    </w:rPr>
  </w:style>
  <w:style w:type="paragraph" w:styleId="Revision">
    <w:name w:val="Revision"/>
    <w:hidden/>
    <w:uiPriority w:val="99"/>
    <w:semiHidden/>
    <w:rsid w:val="00487F30"/>
    <w:pPr>
      <w:spacing w:after="0" w:line="240" w:lineRule="auto"/>
    </w:pPr>
  </w:style>
  <w:style w:type="paragraph" w:styleId="NormalWeb">
    <w:name w:val="Normal (Web)"/>
    <w:basedOn w:val="Normal"/>
    <w:uiPriority w:val="99"/>
    <w:unhideWhenUsed/>
    <w:rsid w:val="009B1A40"/>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ducation.gov.au/highereducationgbvregulator/grant-progra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education.gov.au/highereducationgbvregulator/nationalcodedevelopmen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gov.au/F2022L00347/2026-04-10/2026-04-10/text/original/epub/OEBPS/document_1/document_1.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C62297A-ADD1-4AFA-99D2-A0B402B4B5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1AC199D069BB841B0D4CBC76FD1AEC6" ma:contentTypeVersion="" ma:contentTypeDescription="PDMS Document Site Content Type" ma:contentTypeScope="" ma:versionID="d7cfdfb1483907f6429a285e1ade2730">
  <xsd:schema xmlns:xsd="http://www.w3.org/2001/XMLSchema" xmlns:xs="http://www.w3.org/2001/XMLSchema" xmlns:p="http://schemas.microsoft.com/office/2006/metadata/properties" xmlns:ns2="3C62297A-ADD1-4AFA-99D2-A0B402B4B584" targetNamespace="http://schemas.microsoft.com/office/2006/metadata/properties" ma:root="true" ma:fieldsID="29f6f1756ce8b23b5821be33e199a1ea" ns2:_="">
    <xsd:import namespace="3C62297A-ADD1-4AFA-99D2-A0B402B4B58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2297A-ADD1-4AFA-99D2-A0B402B4B58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6E5D7-5794-43A8-AD53-0E38B2275AE0}">
  <ds:schemaRefs>
    <ds:schemaRef ds:uri="http://schemas.microsoft.com/sharepoint/v3/contenttype/forms"/>
  </ds:schemaRefs>
</ds:datastoreItem>
</file>

<file path=customXml/itemProps2.xml><?xml version="1.0" encoding="utf-8"?>
<ds:datastoreItem xmlns:ds="http://schemas.openxmlformats.org/officeDocument/2006/customXml" ds:itemID="{6D339BE3-8D36-42DF-B45F-F95D7963662E}">
  <ds:schemaRefs>
    <ds:schemaRef ds:uri="http://schemas.microsoft.com/office/2006/metadata/properties"/>
    <ds:schemaRef ds:uri="http://schemas.microsoft.com/office/infopath/2007/PartnerControls"/>
    <ds:schemaRef ds:uri="3C62297A-ADD1-4AFA-99D2-A0B402B4B584"/>
  </ds:schemaRefs>
</ds:datastoreItem>
</file>

<file path=customXml/itemProps3.xml><?xml version="1.0" encoding="utf-8"?>
<ds:datastoreItem xmlns:ds="http://schemas.openxmlformats.org/officeDocument/2006/customXml" ds:itemID="{B501BDE8-2680-46E3-B3A4-BA274E3E3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2297A-ADD1-4AFA-99D2-A0B402B4B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Expressions of Interest Guidelines - Higher Education Gender-based Violence (GBV) Equity and Response Uplift Program</vt:lpstr>
    </vt:vector>
  </TitlesOfParts>
  <Company/>
  <LinksUpToDate>false</LinksUpToDate>
  <CharactersWithSpaces>6266</CharactersWithSpaces>
  <SharedDoc>false</SharedDoc>
  <HLinks>
    <vt:vector size="18" baseType="variant">
      <vt:variant>
        <vt:i4>2555978</vt:i4>
      </vt:variant>
      <vt:variant>
        <vt:i4>6</vt:i4>
      </vt:variant>
      <vt:variant>
        <vt:i4>0</vt:i4>
      </vt:variant>
      <vt:variant>
        <vt:i4>5</vt:i4>
      </vt:variant>
      <vt:variant>
        <vt:lpwstr>https://www.legislation.gov.au/F2022L00347/2026-04-10/2026-04-10/text/original/epub/OEBPS/document_1/document_1.html</vt:lpwstr>
      </vt:variant>
      <vt:variant>
        <vt:lpwstr>_Toc227147670</vt:lpwstr>
      </vt:variant>
      <vt:variant>
        <vt:i4>524360</vt:i4>
      </vt:variant>
      <vt:variant>
        <vt:i4>3</vt:i4>
      </vt:variant>
      <vt:variant>
        <vt:i4>0</vt:i4>
      </vt:variant>
      <vt:variant>
        <vt:i4>5</vt:i4>
      </vt:variant>
      <vt:variant>
        <vt:lpwstr>http://www.education.gov.au/highereducationgbvregulator/grant-program</vt:lpwstr>
      </vt:variant>
      <vt:variant>
        <vt:lpwstr/>
      </vt:variant>
      <vt:variant>
        <vt:i4>4390986</vt:i4>
      </vt:variant>
      <vt:variant>
        <vt:i4>0</vt:i4>
      </vt:variant>
      <vt:variant>
        <vt:i4>0</vt:i4>
      </vt:variant>
      <vt:variant>
        <vt:i4>5</vt:i4>
      </vt:variant>
      <vt:variant>
        <vt:lpwstr>https://www.education.gov.au/highereducationgbvregulator/nationalcodedevelopment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Expressions of Interest Guidelines - Higher Education Gender-based Violence (GBV) Equity and Response Uplift Program</dc:title>
  <dc:subject/>
  <dc:creator>PACEY,Robert</dc:creator>
  <cp:keywords/>
  <dc:description/>
  <cp:lastModifiedBy>RANIERI,Nicole</cp:lastModifiedBy>
  <cp:revision>112</cp:revision>
  <cp:lastPrinted>2026-07-24T00:15:00Z</cp:lastPrinted>
  <dcterms:created xsi:type="dcterms:W3CDTF">2026-07-19T06:17:00Z</dcterms:created>
  <dcterms:modified xsi:type="dcterms:W3CDTF">2026-07-24T00:15:00Z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0x010100266966F133664895A6EE3632470D45F50061AC199D069BB841B0D4CBC76FD1AEC6</vt:lpwstr>
  </property>
  <property fmtid="{D5CDD505-2E9C-101B-9397-08002B2CF9AE}" pid="10" name="MediaServiceImageTags">
    <vt:lpwstr/>
  </property>
</Properties>
</file>