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C3D4F" w14:textId="77777777" w:rsidR="0055215B" w:rsidRDefault="00107DD5" w:rsidP="00D25964">
      <w:pPr>
        <w:ind w:hanging="1418"/>
        <w:jc w:val="center"/>
        <w:sectPr w:rsidR="0055215B" w:rsidSect="00C1788E">
          <w:headerReference w:type="default" r:id="rId11"/>
          <w:footerReference w:type="default" r:id="rId12"/>
          <w:footerReference w:type="first" r:id="rId13"/>
          <w:pgSz w:w="11906" w:h="16838"/>
          <w:pgMar w:top="0" w:right="720" w:bottom="720" w:left="720" w:header="709" w:footer="709" w:gutter="0"/>
          <w:cols w:space="708"/>
          <w:titlePg/>
          <w:docGrid w:linePitch="360"/>
        </w:sectPr>
      </w:pPr>
      <w:r>
        <w:rPr>
          <w:noProof/>
        </w:rPr>
        <w:drawing>
          <wp:inline distT="0" distB="0" distL="0" distR="0" wp14:anchorId="48D7E629" wp14:editId="46DBFAFF">
            <wp:extent cx="7991475" cy="1924221"/>
            <wp:effectExtent l="0" t="0" r="0" b="0"/>
            <wp:docPr id="3" name="Graphic 3" descr="Early Childhood Care and Development Policy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Early Childhood Care and Development Policy Partnership."/>
                    <pic:cNvPicPr/>
                  </pic:nvPicPr>
                  <pic:blipFill>
                    <a:blip r:embed="rId14">
                      <a:extLst>
                        <a:ext uri="{28A0092B-C50C-407E-A947-70E740481C1C}">
                          <a14:useLocalDpi xmlns:a14="http://schemas.microsoft.com/office/drawing/2010/main" val="0"/>
                        </a:ext>
                      </a:extLst>
                    </a:blip>
                    <a:stretch>
                      <a:fillRect/>
                    </a:stretch>
                  </pic:blipFill>
                  <pic:spPr>
                    <a:xfrm>
                      <a:off x="0" y="0"/>
                      <a:ext cx="7991475" cy="1924221"/>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34C338A" w14:textId="24237997" w:rsidR="00221D8F" w:rsidRPr="00AE64E5" w:rsidRDefault="008F1807" w:rsidP="00CB6189">
          <w:pPr>
            <w:pStyle w:val="Heading1"/>
          </w:pPr>
          <w:r>
            <w:t>Early Childhood Care and Development Policy Partnership</w:t>
          </w:r>
        </w:p>
      </w:sdtContent>
    </w:sdt>
    <w:bookmarkEnd w:id="0" w:displacedByCustomXml="prev"/>
    <w:bookmarkEnd w:id="1" w:displacedByCustomXml="prev"/>
    <w:p w14:paraId="461D4D92" w14:textId="79C3D138" w:rsidR="00BB5D28" w:rsidRPr="00BB5D28" w:rsidRDefault="00AB1D63" w:rsidP="00BB5D28">
      <w:pPr>
        <w:pStyle w:val="Subtitle"/>
        <w:sectPr w:rsidR="00BB5D28" w:rsidRPr="00BB5D28" w:rsidSect="00C1788E">
          <w:type w:val="continuous"/>
          <w:pgSz w:w="11906" w:h="16838"/>
          <w:pgMar w:top="720" w:right="720" w:bottom="720" w:left="720" w:header="709" w:footer="709" w:gutter="0"/>
          <w:cols w:space="708"/>
          <w:titlePg/>
          <w:docGrid w:linePitch="360"/>
        </w:sectPr>
      </w:pPr>
      <w:bookmarkStart w:id="2" w:name="_Toc126923147"/>
      <w:bookmarkStart w:id="3" w:name="_Toc126923158"/>
      <w:bookmarkStart w:id="4" w:name="_Toc126923317"/>
      <w:r>
        <w:t>Meeting 14 Outcomes – 24-25 June 2026</w:t>
      </w:r>
    </w:p>
    <w:p w14:paraId="2E1C330B" w14:textId="77777777" w:rsidR="007930F0" w:rsidRPr="007930F0" w:rsidRDefault="007930F0" w:rsidP="007930F0">
      <w:r w:rsidRPr="007930F0">
        <w:t>The Early Childhood Care and Development Policy Partnership (ECCDPP, Partnership) held its fourteenth meeting online. The meeting was co-chaired by Catherine Liddle, CEO, SNAICC – National Voice for our Children (SNAICC) and Kylie Crane PSM, Deputy Secretary, Early Childhood, Australian Government Department of Education. Attendees at the meeting included Aboriginal and Torres Strait Islander independent and peak body representatives and representatives from all Australian governments. A full list of attendees is located on page 5.</w:t>
      </w:r>
    </w:p>
    <w:bookmarkEnd w:id="2"/>
    <w:bookmarkEnd w:id="3"/>
    <w:bookmarkEnd w:id="4"/>
    <w:p w14:paraId="4E1D31C1" w14:textId="63108D01" w:rsidR="0017134D" w:rsidRPr="00CB6189" w:rsidRDefault="00F748CA" w:rsidP="00CB6189">
      <w:pPr>
        <w:pStyle w:val="Heading2"/>
      </w:pPr>
      <w:r>
        <w:t>Progressing the Partnership’s priorities</w:t>
      </w:r>
    </w:p>
    <w:p w14:paraId="7B53C5BA" w14:textId="77777777" w:rsidR="00D626D4" w:rsidRPr="00D626D4" w:rsidRDefault="00D626D4" w:rsidP="00D626D4">
      <w:pPr>
        <w:rPr>
          <w:bdr w:val="none" w:sz="0" w:space="0" w:color="auto" w:frame="1"/>
          <w:shd w:val="clear" w:color="auto" w:fill="C6C6C6"/>
          <w:lang w:eastAsia="en-AU"/>
        </w:rPr>
      </w:pPr>
      <w:bookmarkStart w:id="5" w:name="_Toc126923148"/>
      <w:bookmarkStart w:id="6" w:name="_Toc126923159"/>
      <w:bookmarkStart w:id="7" w:name="_Toc126923318"/>
      <w:r w:rsidRPr="00D626D4">
        <w:rPr>
          <w:lang w:eastAsia="en-AU"/>
        </w:rPr>
        <w:t xml:space="preserve">The Partnership’s priorities are the agreed policy reform areas </w:t>
      </w:r>
      <w:r w:rsidRPr="00D626D4">
        <w:rPr>
          <w:kern w:val="2"/>
          <w:lang w:eastAsia="en-AU"/>
          <w14:ligatures w14:val="standardContextual"/>
        </w:rPr>
        <w:t>where</w:t>
      </w:r>
      <w:r w:rsidRPr="00D626D4">
        <w:rPr>
          <w:lang w:eastAsia="en-AU"/>
        </w:rPr>
        <w:t xml:space="preserve"> the Partnership focus</w:t>
      </w:r>
      <w:r w:rsidRPr="00D626D4">
        <w:rPr>
          <w:kern w:val="2"/>
          <w:lang w:eastAsia="en-AU"/>
          <w14:ligatures w14:val="standardContextual"/>
        </w:rPr>
        <w:t>es</w:t>
      </w:r>
      <w:r w:rsidRPr="00D626D4">
        <w:rPr>
          <w:lang w:eastAsia="en-AU"/>
        </w:rPr>
        <w:t xml:space="preserve"> its work. The priorities aim to drive action to advance the safety, development and wellbeing of children and to meet Closing the Gap targets 2, 3, 4, 12 and 13 and the cross-cutting area of disability. </w:t>
      </w:r>
      <w:r w:rsidRPr="00D626D4">
        <w:rPr>
          <w:kern w:val="2"/>
          <w:lang w:eastAsia="en-AU"/>
          <w14:ligatures w14:val="standardContextual"/>
        </w:rPr>
        <w:t xml:space="preserve">The relevant priorities are summarised below. A </w:t>
      </w:r>
      <w:r w:rsidRPr="00D626D4" w:rsidDel="00D0066A">
        <w:rPr>
          <w:kern w:val="2"/>
          <w:lang w:eastAsia="en-AU"/>
          <w14:ligatures w14:val="standardContextual"/>
        </w:rPr>
        <w:t xml:space="preserve">full </w:t>
      </w:r>
      <w:r w:rsidRPr="00D626D4">
        <w:rPr>
          <w:lang w:eastAsia="en-AU"/>
        </w:rPr>
        <w:t>list of </w:t>
      </w:r>
      <w:hyperlink r:id="rId15" w:history="1">
        <w:r w:rsidRPr="00D626D4">
          <w:rPr>
            <w:color w:val="7F4594"/>
            <w:u w:val="single"/>
            <w:lang w:eastAsia="en-AU"/>
          </w:rPr>
          <w:t>priorities can be found on the SNAICC website</w:t>
        </w:r>
      </w:hyperlink>
      <w:r w:rsidRPr="00D626D4">
        <w:rPr>
          <w:lang w:eastAsia="en-AU"/>
        </w:rPr>
        <w:t>.</w:t>
      </w:r>
    </w:p>
    <w:p w14:paraId="57D57A23" w14:textId="77777777" w:rsidR="00D626D4" w:rsidRPr="00F8746F" w:rsidRDefault="00D626D4" w:rsidP="00F8746F">
      <w:pPr>
        <w:rPr>
          <w:b/>
          <w:bCs/>
          <w:bdr w:val="none" w:sz="0" w:space="0" w:color="auto" w:frame="1"/>
          <w:shd w:val="clear" w:color="auto" w:fill="C6C6C6"/>
          <w:lang w:eastAsia="en-AU"/>
        </w:rPr>
      </w:pPr>
      <w:r w:rsidRPr="00F8746F">
        <w:rPr>
          <w:b/>
          <w:bCs/>
          <w:color w:val="0A1732"/>
          <w:lang w:eastAsia="en-AU"/>
        </w:rPr>
        <w:t>Priority 1B</w:t>
      </w:r>
      <w:r w:rsidRPr="00F8746F">
        <w:rPr>
          <w:b/>
          <w:bCs/>
          <w:lang w:eastAsia="en-AU"/>
        </w:rPr>
        <w:t>: Develop models for adequate and coordinated funding of Aboriginal and Torres Strait Islander Community Controlled Organisations (ACCOs) that deliver child and family services</w:t>
      </w:r>
    </w:p>
    <w:p w14:paraId="33BB7D70" w14:textId="77777777" w:rsidR="00D626D4" w:rsidRDefault="00D626D4" w:rsidP="00D626D4">
      <w:pPr>
        <w:rPr>
          <w:lang w:eastAsia="en-AU"/>
        </w:rPr>
      </w:pPr>
      <w:r w:rsidRPr="00D626D4" w:rsidDel="3B0D7F62">
        <w:rPr>
          <w:kern w:val="2"/>
          <w:lang w:eastAsia="en-AU"/>
          <w14:ligatures w14:val="standardContextual"/>
        </w:rPr>
        <w:t>T</w:t>
      </w:r>
      <w:r w:rsidRPr="00D626D4">
        <w:rPr>
          <w:lang w:eastAsia="en-AU"/>
        </w:rPr>
        <w:t>he ECCDPP commissioned research by SNAICC to develop sustainable funding model options for ACCOs delivering child and family services</w:t>
      </w:r>
      <w:r w:rsidRPr="00D626D4">
        <w:rPr>
          <w:kern w:val="2"/>
          <w:lang w:eastAsia="en-AU"/>
          <w14:ligatures w14:val="standardContextual"/>
        </w:rPr>
        <w:t>, to provide an evidence base to guide reform and future investment</w:t>
      </w:r>
      <w:r w:rsidRPr="00D626D4">
        <w:rPr>
          <w:lang w:eastAsia="en-AU"/>
        </w:rPr>
        <w:t xml:space="preserve">. The </w:t>
      </w:r>
      <w:r w:rsidRPr="00D626D4">
        <w:rPr>
          <w:i/>
          <w:iCs/>
          <w:lang w:eastAsia="en-AU"/>
        </w:rPr>
        <w:t>Doing things differently – Funding ACCOs to keep families together</w:t>
      </w:r>
      <w:r w:rsidRPr="00D626D4">
        <w:rPr>
          <w:lang w:eastAsia="en-AU"/>
        </w:rPr>
        <w:t xml:space="preserve"> </w:t>
      </w:r>
      <w:r w:rsidRPr="00D626D4">
        <w:rPr>
          <w:kern w:val="2"/>
          <w:lang w:eastAsia="en-AU"/>
          <w14:ligatures w14:val="standardContextual"/>
        </w:rPr>
        <w:t xml:space="preserve">Final </w:t>
      </w:r>
      <w:r w:rsidRPr="00D626D4">
        <w:rPr>
          <w:lang w:eastAsia="en-AU"/>
        </w:rPr>
        <w:t>Report was provided to the ECCDPP in May 2026 and formally circulated to</w:t>
      </w:r>
      <w:r w:rsidRPr="00D626D4" w:rsidDel="009E6203">
        <w:rPr>
          <w:kern w:val="2"/>
          <w:lang w:eastAsia="en-AU"/>
          <w14:ligatures w14:val="standardContextual"/>
        </w:rPr>
        <w:t xml:space="preserve"> </w:t>
      </w:r>
      <w:r w:rsidRPr="00D626D4">
        <w:rPr>
          <w:kern w:val="2"/>
          <w:lang w:eastAsia="en-AU"/>
          <w14:ligatures w14:val="standardContextual"/>
        </w:rPr>
        <w:t xml:space="preserve">Joint Council on Closing the Gap </w:t>
      </w:r>
      <w:r w:rsidRPr="00D626D4">
        <w:rPr>
          <w:lang w:eastAsia="en-AU"/>
        </w:rPr>
        <w:t>in June 2026. It will be available online mid-year.</w:t>
      </w:r>
    </w:p>
    <w:p w14:paraId="248F940C" w14:textId="77777777" w:rsidR="00687A6A" w:rsidRPr="00687A6A" w:rsidRDefault="00687A6A" w:rsidP="00687A6A">
      <w:pPr>
        <w:rPr>
          <w:rFonts w:ascii="Calibri" w:eastAsia="Times New Roman" w:hAnsi="Calibri" w:cs="Calibri"/>
          <w:lang w:eastAsia="en-AU"/>
        </w:rPr>
      </w:pPr>
      <w:r w:rsidRPr="00687A6A">
        <w:rPr>
          <w:rFonts w:ascii="Calibri" w:eastAsia="Times New Roman" w:hAnsi="Calibri" w:cs="Calibri"/>
          <w:lang w:eastAsia="en-AU"/>
        </w:rPr>
        <w:t xml:space="preserve">Members discussed how governments are considering the report to inform implementation planning for the </w:t>
      </w:r>
      <w:hyperlink r:id="rId16" w:history="1">
        <w:r w:rsidRPr="00687A6A">
          <w:rPr>
            <w:rFonts w:ascii="Calibri" w:eastAsia="Times New Roman" w:hAnsi="Calibri" w:cs="Calibri"/>
            <w:color w:val="467886"/>
            <w:u w:val="single"/>
            <w:lang w:eastAsia="en-AU"/>
          </w:rPr>
          <w:t>National Child and Family Investment Strategy</w:t>
        </w:r>
      </w:hyperlink>
      <w:r w:rsidRPr="00687A6A">
        <w:rPr>
          <w:rFonts w:ascii="Calibri" w:eastAsia="Times New Roman" w:hAnsi="Calibri" w:cs="Calibri"/>
          <w:lang w:eastAsia="en-AU"/>
        </w:rPr>
        <w:t>, as part of work to ensure ACCOs have the resources they need to support families. Through the Investment Strategy, most governments have committed to shift toward coordinated, adequate investment in early, targeted and culturally safe supports for Aboriginal and Torres Strait Islander children and families.</w:t>
      </w:r>
    </w:p>
    <w:p w14:paraId="3E7F51A0" w14:textId="0AD555A2" w:rsidR="00EC0A4D" w:rsidRPr="00EC0A4D" w:rsidRDefault="00687A6A" w:rsidP="00EC0A4D">
      <w:pPr>
        <w:rPr>
          <w:rFonts w:ascii="Calibri" w:eastAsia="Times New Roman" w:hAnsi="Calibri" w:cs="Calibri"/>
          <w:lang w:eastAsia="en-AU"/>
        </w:rPr>
      </w:pPr>
      <w:r w:rsidRPr="00687A6A">
        <w:rPr>
          <w:rFonts w:ascii="Calibri" w:eastAsia="Times New Roman" w:hAnsi="Calibri" w:cs="Calibri"/>
          <w:lang w:eastAsia="en-AU"/>
        </w:rPr>
        <w:t xml:space="preserve">Members discussed commissioning for the </w:t>
      </w:r>
      <w:hyperlink r:id="rId17" w:history="1">
        <w:r w:rsidRPr="00687A6A">
          <w:rPr>
            <w:rFonts w:ascii="Calibri" w:eastAsia="Times New Roman" w:hAnsi="Calibri" w:cs="Calibri"/>
            <w:color w:val="467886"/>
            <w:u w:val="single"/>
            <w:lang w:eastAsia="en-AU"/>
          </w:rPr>
          <w:t>Children and Families Support Program</w:t>
        </w:r>
      </w:hyperlink>
      <w:r w:rsidRPr="00687A6A">
        <w:rPr>
          <w:rFonts w:ascii="Calibri" w:eastAsia="Times New Roman" w:hAnsi="Calibri" w:cs="Calibri"/>
          <w:lang w:eastAsia="en-AU"/>
        </w:rPr>
        <w:t xml:space="preserve">. The program is a significant source of funding for organisations delivering supports to strengthen families and keep children safe at home. The Australian Government Department of Social Services (DSS) provided an update on work underway over the next 5 years to transition more funding to ACCOs under the program, so more Aboriginal and Torres Strait Islander families can access culturally safe support services. </w:t>
      </w:r>
      <w:r w:rsidRPr="00687A6A">
        <w:rPr>
          <w:rFonts w:ascii="Calibri" w:eastAsia="Calibri" w:hAnsi="Calibri" w:cs="Calibri"/>
          <w:color w:val="000000"/>
        </w:rPr>
        <w:t xml:space="preserve">First Nations members noted that transitioning funding to ACCOs cannot be achieved through a simple transfer of existing programs and funding arrangements. They noted that recent funding rollovers represented a missed opportunity that should be explicitly considered in future transition work. </w:t>
      </w:r>
      <w:r w:rsidRPr="00687A6A">
        <w:rPr>
          <w:rFonts w:ascii="Calibri" w:eastAsia="Times New Roman" w:hAnsi="Calibri" w:cs="Calibri"/>
          <w:lang w:eastAsia="en-AU"/>
        </w:rPr>
        <w:t>The First Nations members also expressed concerns regarding the pace of transition, the absence of a clearly defined pathway to enabling large-scale, systemic funding reform, and the lack of opportunities for ACCOs to participate in tender processes prior to funding being continued with existing mainstream providers.</w:t>
      </w:r>
    </w:p>
    <w:p w14:paraId="59153E85" w14:textId="14AFFCBB" w:rsidR="001C7F60" w:rsidRDefault="001C7F60" w:rsidP="00EC0A4D">
      <w:pPr>
        <w:tabs>
          <w:tab w:val="left" w:pos="9345"/>
        </w:tabs>
        <w:spacing w:after="160"/>
        <w:rPr>
          <w:rFonts w:ascii="Calibri" w:eastAsia="Times New Roman" w:hAnsi="Calibri" w:cs="Calibri"/>
          <w:lang w:eastAsia="en-AU"/>
        </w:rPr>
      </w:pPr>
      <w:r w:rsidRPr="00EC0A4D">
        <w:rPr>
          <w:rFonts w:ascii="Calibri" w:eastAsia="Times New Roman" w:hAnsi="Calibri" w:cs="Calibri"/>
          <w:lang w:eastAsia="en-AU"/>
        </w:rPr>
        <w:br w:type="page"/>
      </w:r>
      <w:r w:rsidR="00EC0A4D">
        <w:rPr>
          <w:rFonts w:ascii="Calibri" w:eastAsia="Times New Roman" w:hAnsi="Calibri" w:cs="Calibri"/>
          <w:lang w:eastAsia="en-AU"/>
        </w:rPr>
        <w:lastRenderedPageBreak/>
        <w:tab/>
      </w:r>
    </w:p>
    <w:p w14:paraId="3DFEEB4A" w14:textId="20AD2BC6" w:rsidR="00BF1A0C" w:rsidRPr="00F8746F" w:rsidRDefault="00BF1A0C" w:rsidP="00F8746F">
      <w:pPr>
        <w:rPr>
          <w:b/>
          <w:bCs/>
          <w:lang w:eastAsia="en-AU"/>
        </w:rPr>
      </w:pPr>
      <w:r w:rsidRPr="00F8746F">
        <w:rPr>
          <w:b/>
          <w:bCs/>
          <w:color w:val="0A1732"/>
          <w:lang w:eastAsia="en-AU"/>
        </w:rPr>
        <w:t>Priority 1C</w:t>
      </w:r>
      <w:r w:rsidRPr="00F8746F">
        <w:rPr>
          <w:b/>
          <w:bCs/>
          <w:lang w:eastAsia="en-AU"/>
        </w:rPr>
        <w:t>: Monitor and engage with reform agendas that are central to responding to the needs and priorities of the ACCO early years and child and family services workforce</w:t>
      </w:r>
    </w:p>
    <w:p w14:paraId="53650800" w14:textId="77777777" w:rsidR="004C42FD" w:rsidRDefault="004C42FD" w:rsidP="004C42FD">
      <w:pPr>
        <w:rPr>
          <w:lang w:eastAsia="en-AU"/>
        </w:rPr>
      </w:pPr>
      <w:r w:rsidRPr="004C42FD">
        <w:rPr>
          <w:lang w:eastAsia="en-AU"/>
        </w:rPr>
        <w:t xml:space="preserve">In 2025, the ECCDPP agreed to commission a workforce scoping study, in partnership with </w:t>
      </w:r>
      <w:hyperlink r:id="rId18" w:history="1">
        <w:r w:rsidRPr="004C42FD">
          <w:rPr>
            <w:rFonts w:eastAsia="Calibri"/>
            <w:color w:val="467886"/>
            <w:u w:val="single"/>
            <w:lang w:eastAsia="en-AU"/>
          </w:rPr>
          <w:t>Safe and Supported</w:t>
        </w:r>
      </w:hyperlink>
      <w:r w:rsidRPr="004C42FD">
        <w:rPr>
          <w:lang w:eastAsia="en-AU"/>
        </w:rPr>
        <w:t>, to provide a better understanding of how to support and grow a strong Aboriginal and Torres Strait Islander child and family services workforce. DSS noted that they had paused this work in its previously agreed form and are reviewing existing work already underway in support of this priority to avoid duplication. Following this review, DSS will share the results of the synthesis with the Safe and Supported governance for discussion and decision about implementation actions to progress and any additional research to be commissioned where there are gaps. DSS will bring back the outcomes of this discussion to the ECCDPP in September 2026.</w:t>
      </w:r>
    </w:p>
    <w:p w14:paraId="263F70C7" w14:textId="77777777" w:rsidR="00F8746F" w:rsidRDefault="00F8746F" w:rsidP="00F8746F">
      <w:pPr>
        <w:rPr>
          <w:b/>
          <w:bCs/>
          <w:lang w:eastAsia="en-AU"/>
        </w:rPr>
      </w:pPr>
      <w:r w:rsidRPr="00F8746F">
        <w:rPr>
          <w:b/>
          <w:bCs/>
          <w:color w:val="0A1732"/>
          <w:lang w:eastAsia="en-AU"/>
        </w:rPr>
        <w:t>Priorit</w:t>
      </w:r>
      <w:r w:rsidRPr="00F8746F">
        <w:rPr>
          <w:b/>
          <w:bCs/>
          <w:lang w:eastAsia="en-AU"/>
        </w:rPr>
        <w:t>ies</w:t>
      </w:r>
      <w:r w:rsidRPr="00F8746F">
        <w:rPr>
          <w:b/>
          <w:bCs/>
          <w:color w:val="0A1732"/>
          <w:lang w:eastAsia="en-AU"/>
        </w:rPr>
        <w:t xml:space="preserve"> 2A and 2B</w:t>
      </w:r>
      <w:r w:rsidRPr="00F8746F">
        <w:rPr>
          <w:b/>
          <w:bCs/>
          <w:lang w:eastAsia="en-AU"/>
        </w:rPr>
        <w:t xml:space="preserve">: Progressing the response to the findings of two research reports commissioned by the ECCDPP into funding model options for ACCOs delivering integrated early years services </w:t>
      </w:r>
      <w:r w:rsidRPr="00F8746F" w:rsidDel="000376EF">
        <w:rPr>
          <w:b/>
          <w:bCs/>
          <w:kern w:val="2"/>
          <w:lang w:eastAsia="en-AU"/>
          <w14:ligatures w14:val="standardContextual"/>
        </w:rPr>
        <w:t>and optimal</w:t>
      </w:r>
      <w:r w:rsidRPr="00F8746F" w:rsidDel="000376EF">
        <w:rPr>
          <w:b/>
          <w:bCs/>
          <w:lang w:eastAsia="en-AU"/>
        </w:rPr>
        <w:t> hours of early childhood education and care for Aboriginal and Torres Strait Islander children</w:t>
      </w:r>
    </w:p>
    <w:p w14:paraId="748C404D" w14:textId="77777777" w:rsidR="00842A8A" w:rsidRDefault="00842A8A" w:rsidP="00842A8A">
      <w:pPr>
        <w:rPr>
          <w:lang w:eastAsia="en-AU"/>
        </w:rPr>
      </w:pPr>
      <w:r w:rsidRPr="00842A8A">
        <w:rPr>
          <w:lang w:eastAsia="en-AU"/>
        </w:rPr>
        <w:t xml:space="preserve">Members noted progress by the ECCDPP and education officials to develop a shared national approach to defining ACCO integrated early years services, with agreement from Education Ministers targeted for mid-year. The proposed definition is intended to support </w:t>
      </w:r>
      <w:r w:rsidRPr="00842A8A">
        <w:rPr>
          <w:kern w:val="2"/>
          <w:lang w:eastAsia="en-AU"/>
          <w14:ligatures w14:val="standardContextual"/>
        </w:rPr>
        <w:t>greater consistency with</w:t>
      </w:r>
      <w:r w:rsidRPr="00842A8A">
        <w:rPr>
          <w:lang w:eastAsia="en-AU"/>
        </w:rPr>
        <w:t xml:space="preserve"> funding decisions as they relate to ACCO integrated early years services and promote a more holistic and coordinated approach to funding new or existing services that meet the definition. Members acknowledged the work as an important step in progressing this priority. First Nations members highlighted the importance of timely </w:t>
      </w:r>
      <w:r w:rsidRPr="00842A8A">
        <w:rPr>
          <w:kern w:val="2"/>
          <w:lang w:eastAsia="en-AU"/>
          <w14:ligatures w14:val="standardContextual"/>
        </w:rPr>
        <w:t xml:space="preserve">commitment to </w:t>
      </w:r>
      <w:r w:rsidRPr="00842A8A">
        <w:rPr>
          <w:lang w:eastAsia="en-AU"/>
        </w:rPr>
        <w:t>implement</w:t>
      </w:r>
      <w:r w:rsidRPr="00842A8A">
        <w:rPr>
          <w:kern w:val="2"/>
          <w:lang w:eastAsia="en-AU"/>
          <w14:ligatures w14:val="standardContextual"/>
        </w:rPr>
        <w:t xml:space="preserve"> a new</w:t>
      </w:r>
      <w:r w:rsidRPr="00842A8A" w:rsidDel="00777154">
        <w:rPr>
          <w:lang w:eastAsia="en-AU"/>
        </w:rPr>
        <w:t xml:space="preserve"> </w:t>
      </w:r>
      <w:r w:rsidRPr="00842A8A">
        <w:rPr>
          <w:lang w:eastAsia="en-AU"/>
        </w:rPr>
        <w:t xml:space="preserve">funding model to ensure ACCO services are adequately resourced to deliver wrap-around supports for Aboriginal and Torres Strait Islander children. Government members affirmed there is no </w:t>
      </w:r>
      <w:r w:rsidRPr="00842A8A">
        <w:rPr>
          <w:kern w:val="2"/>
          <w:lang w:eastAsia="en-AU"/>
          <w14:ligatures w14:val="standardContextual"/>
        </w:rPr>
        <w:t xml:space="preserve">current </w:t>
      </w:r>
      <w:r w:rsidRPr="00842A8A">
        <w:rPr>
          <w:lang w:eastAsia="en-AU"/>
        </w:rPr>
        <w:t xml:space="preserve">commitment from governments to implement a dedicated funding model for ACCO integrated early years services, including the model presented in the ECCDPP </w:t>
      </w:r>
      <w:hyperlink r:id="rId19" w:history="1">
        <w:r w:rsidRPr="00842A8A">
          <w:rPr>
            <w:color w:val="467886"/>
            <w:u w:val="single"/>
            <w:lang w:eastAsia="en-AU"/>
          </w:rPr>
          <w:t>research</w:t>
        </w:r>
      </w:hyperlink>
      <w:r w:rsidRPr="00842A8A">
        <w:rPr>
          <w:lang w:eastAsia="en-AU"/>
        </w:rPr>
        <w:t>. Members noted the work being led by the Australian Government to explore funding reform opportunities within existing authority for ACCO integrated early years services bilaterally with jurisdictions, and the Australian Government’s commitment to work with the Coalition of Peaks and other First Nations partners on any reform opportunities identified.</w:t>
      </w:r>
    </w:p>
    <w:p w14:paraId="4EE1FEAF" w14:textId="77777777" w:rsidR="00D66BB9" w:rsidRPr="00AC748F" w:rsidRDefault="00D66BB9" w:rsidP="00AC748F">
      <w:pPr>
        <w:rPr>
          <w:b/>
          <w:bCs/>
          <w:lang w:eastAsia="en-AU"/>
        </w:rPr>
      </w:pPr>
      <w:r w:rsidRPr="00AC748F">
        <w:rPr>
          <w:b/>
          <w:bCs/>
          <w:lang w:eastAsia="en-AU"/>
        </w:rPr>
        <w:t>Priority 4B: Oversee and support joined-up responses to reviews and inquiries relevant to Aboriginal and Torres Strait Islander children and families with disability in partnership with community, relevant peaks and the sector</w:t>
      </w:r>
    </w:p>
    <w:p w14:paraId="4C3EB94B" w14:textId="07670EEA" w:rsidR="00AC748F" w:rsidRDefault="00AC748F" w:rsidP="00AC748F">
      <w:pPr>
        <w:rPr>
          <w:kern w:val="2"/>
          <w:lang w:eastAsia="en-AU"/>
          <w14:ligatures w14:val="standardContextual"/>
        </w:rPr>
      </w:pPr>
      <w:r w:rsidRPr="00AC748F">
        <w:rPr>
          <w:kern w:val="2"/>
          <w:lang w:eastAsia="en-AU"/>
          <w14:ligatures w14:val="standardContextual"/>
        </w:rPr>
        <w:t>Since the last meeting, the ECCDPP commissioned the University of Melbourne to deliver a project to develop a culturally safe assessment tool for Aboriginal and Torres Strait Islander children and families with disability in contact with child protection systems. The project aims to improve data availability and ensure children have access to appropriate disability supports. In undertaking this project, the University of Melbourne will work with First Nations peaks, community leaders and Aboriginal and Torres Strait Islander disability advocates across jurisdictions. They will also work with the Ipsos Aboriginal and Torres Strait Islander Research Unit to support engagement with local communities.</w:t>
      </w:r>
    </w:p>
    <w:p w14:paraId="27C6244B" w14:textId="77777777" w:rsidR="00DD49E2" w:rsidRPr="00DD49E2" w:rsidRDefault="00DD49E2" w:rsidP="00DD49E2">
      <w:pPr>
        <w:rPr>
          <w:b/>
          <w:bCs/>
          <w:lang w:eastAsia="en-AU"/>
        </w:rPr>
      </w:pPr>
      <w:r w:rsidRPr="00DD49E2">
        <w:rPr>
          <w:b/>
          <w:bCs/>
          <w:lang w:eastAsia="en-AU"/>
        </w:rPr>
        <w:t>Priority 4C: Identify, promote, and research options to expand existing successful Aboriginal and Torres Strait Islander community-led therapeutic models of care to support the perinatal health and wellbeing of Aboriginal and Torres Strait Islander babies and parents and prevent infant removals by child protection authorities</w:t>
      </w:r>
    </w:p>
    <w:p w14:paraId="19DFCAFE" w14:textId="433B3A7E" w:rsidR="00DC0E3D" w:rsidRDefault="00DD49E2" w:rsidP="00586FE9">
      <w:pPr>
        <w:rPr>
          <w:kern w:val="2"/>
          <w:lang w:eastAsia="en-AU"/>
          <w14:ligatures w14:val="standardContextual"/>
        </w:rPr>
      </w:pPr>
      <w:r w:rsidRPr="00DD49E2">
        <w:rPr>
          <w:kern w:val="2"/>
          <w:lang w:eastAsia="en-AU"/>
          <w14:ligatures w14:val="standardContextual"/>
        </w:rPr>
        <w:t>Members considered an update on research commissioned by SNAICC to progress this priority. The research aims to better understand the data available on pre-birth notifications and infant child removal of Aboriginal and Torres Strait Islander children from child protection services. The research will provide an evidence-base to support more babies to stay safely at home.</w:t>
      </w:r>
      <w:r w:rsidR="00DC0E3D" w:rsidRPr="00586FE9">
        <w:rPr>
          <w:lang w:eastAsia="en-AU"/>
        </w:rPr>
        <w:br w:type="page"/>
      </w:r>
      <w:r w:rsidR="00586FE9">
        <w:rPr>
          <w:kern w:val="2"/>
          <w:lang w:eastAsia="en-AU"/>
          <w14:ligatures w14:val="standardContextual"/>
        </w:rPr>
        <w:lastRenderedPageBreak/>
        <w:tab/>
      </w:r>
    </w:p>
    <w:p w14:paraId="4051411C" w14:textId="77777777" w:rsidR="00AF686B" w:rsidRPr="0019042D" w:rsidRDefault="00AF686B" w:rsidP="0019042D">
      <w:pPr>
        <w:rPr>
          <w:b/>
          <w:bCs/>
          <w:lang w:eastAsia="en-AU"/>
        </w:rPr>
      </w:pPr>
      <w:r w:rsidRPr="0019042D">
        <w:rPr>
          <w:b/>
          <w:bCs/>
          <w:color w:val="0A1732"/>
          <w:lang w:eastAsia="en-AU"/>
        </w:rPr>
        <w:t>Priority 5A</w:t>
      </w:r>
      <w:r w:rsidRPr="0019042D">
        <w:rPr>
          <w:b/>
          <w:bCs/>
          <w:lang w:eastAsia="en-AU"/>
        </w:rPr>
        <w:t>: Develop an Aboriginal and Torres Strait Islander-led Evidence Guidance Framework to build a shared understanding between Aboriginal and Torres Strait Islander-led services, communities and governments on what is understood as ‘evidence’ in the context of Aboriginal and Torres Strait Islander-led child and family support services</w:t>
      </w:r>
    </w:p>
    <w:p w14:paraId="01EA89D5" w14:textId="77777777" w:rsidR="0019042D" w:rsidRPr="0019042D" w:rsidRDefault="0019042D" w:rsidP="0019042D">
      <w:pPr>
        <w:rPr>
          <w:lang w:eastAsia="en-AU"/>
        </w:rPr>
      </w:pPr>
      <w:r w:rsidRPr="0019042D">
        <w:rPr>
          <w:lang w:eastAsia="en-AU"/>
        </w:rPr>
        <w:t>On behalf of the ECCDPP, SNAICC has commissioned Queensland Aboriginal and Torres Strait Islander Child Protection Peak to deliver an Evidence Guidance Framework, in partnership with the Jumbunna Institute for Indigenous Education and Research. The Framework aims to build a shared understanding between Aboriginal and Torres Strait Islander-led services, communities and governments on how evidence is generated, understood and applied.</w:t>
      </w:r>
    </w:p>
    <w:p w14:paraId="1DB6631C" w14:textId="77777777" w:rsidR="0019042D" w:rsidRPr="0019042D" w:rsidRDefault="0019042D" w:rsidP="0019042D">
      <w:pPr>
        <w:rPr>
          <w:color w:val="904478"/>
          <w:sz w:val="32"/>
          <w:szCs w:val="32"/>
          <w:lang w:eastAsia="en-AU"/>
        </w:rPr>
      </w:pPr>
      <w:r w:rsidRPr="0019042D">
        <w:rPr>
          <w:kern w:val="2"/>
          <w:lang w:eastAsia="en-AU"/>
          <w14:ligatures w14:val="standardContextual"/>
        </w:rPr>
        <w:t>M</w:t>
      </w:r>
      <w:r w:rsidRPr="0019042D">
        <w:rPr>
          <w:lang w:eastAsia="en-AU"/>
        </w:rPr>
        <w:t xml:space="preserve">embers provided feedback on the </w:t>
      </w:r>
      <w:r w:rsidRPr="0019042D">
        <w:rPr>
          <w:kern w:val="2"/>
          <w:lang w:eastAsia="en-AU"/>
          <w14:ligatures w14:val="standardContextual"/>
        </w:rPr>
        <w:t>Framework and its associated toolkit and discussed how they will consider the application of the Framework once it is finalised. Following members’ endorsement out-of-session, the Framework will be published on the SNAICC website for communities and governments to use in their work.</w:t>
      </w:r>
    </w:p>
    <w:p w14:paraId="6BE7EB15" w14:textId="22575C47" w:rsidR="00DD49E2" w:rsidRDefault="006F0B75" w:rsidP="006F0B75">
      <w:pPr>
        <w:pStyle w:val="Heading2"/>
        <w:rPr>
          <w:lang w:eastAsia="en-AU"/>
        </w:rPr>
      </w:pPr>
      <w:r>
        <w:rPr>
          <w:lang w:eastAsia="en-AU"/>
        </w:rPr>
        <w:t>Other ECCDPP work</w:t>
      </w:r>
    </w:p>
    <w:p w14:paraId="63A7124D" w14:textId="3979F0AB" w:rsidR="006F0B75" w:rsidRDefault="006F0B75" w:rsidP="006F0B75">
      <w:pPr>
        <w:pStyle w:val="Heading3"/>
        <w:rPr>
          <w:lang w:eastAsia="en-AU"/>
        </w:rPr>
      </w:pPr>
      <w:r>
        <w:rPr>
          <w:lang w:eastAsia="en-AU"/>
        </w:rPr>
        <w:t>Joint Council on Closing the Gap / Closing the Gap Target 12</w:t>
      </w:r>
    </w:p>
    <w:p w14:paraId="5FDC6658" w14:textId="77777777" w:rsidR="008F2AA0" w:rsidRPr="008F2AA0" w:rsidRDefault="008F2AA0" w:rsidP="008F2AA0">
      <w:pPr>
        <w:rPr>
          <w:lang w:eastAsia="en-AU"/>
        </w:rPr>
      </w:pPr>
      <w:r w:rsidRPr="008F2AA0">
        <w:rPr>
          <w:lang w:eastAsia="en-AU"/>
        </w:rPr>
        <w:t>Members discussed the ECCDPP’s update to Joint Council at its meeting in May 2026,</w:t>
      </w:r>
      <w:r w:rsidRPr="008F2AA0">
        <w:rPr>
          <w:kern w:val="2"/>
          <w:lang w:eastAsia="en-AU"/>
          <w14:ligatures w14:val="standardContextual"/>
        </w:rPr>
        <w:t xml:space="preserve"> where ECCDPP tabled its third set of recommendations</w:t>
      </w:r>
      <w:r w:rsidRPr="008F2AA0">
        <w:rPr>
          <w:lang w:eastAsia="en-AU"/>
        </w:rPr>
        <w:t>.</w:t>
      </w:r>
    </w:p>
    <w:p w14:paraId="254F34E2" w14:textId="77777777" w:rsidR="008F2AA0" w:rsidRDefault="008F2AA0" w:rsidP="008F2AA0">
      <w:pPr>
        <w:rPr>
          <w:lang w:eastAsia="en-AU"/>
        </w:rPr>
      </w:pPr>
      <w:r w:rsidRPr="008F2AA0">
        <w:rPr>
          <w:lang w:eastAsia="en-AU"/>
        </w:rPr>
        <w:t>Members considered the upcoming November 2026 meeting of Joint Council, including</w:t>
      </w:r>
      <w:r w:rsidRPr="008F2AA0" w:rsidDel="00076359">
        <w:rPr>
          <w:lang w:eastAsia="en-AU"/>
        </w:rPr>
        <w:t xml:space="preserve"> </w:t>
      </w:r>
      <w:r w:rsidRPr="008F2AA0">
        <w:rPr>
          <w:lang w:eastAsia="en-AU"/>
        </w:rPr>
        <w:t xml:space="preserve">preparing for a report back to Joint Council on progress against Target 12 of the National Agreement. Target 12 aims to reduce the rate of over-representation of Aboriginal and Torres Strait Islander children in out-of-home care by 45% by 2031. In recognising the interconnectedness of Target 12 and the overarching funding frameworks which support ACCOs, part of this update will include how governments are considering the </w:t>
      </w:r>
      <w:r w:rsidRPr="008F2AA0">
        <w:rPr>
          <w:i/>
          <w:iCs/>
          <w:lang w:eastAsia="en-AU"/>
        </w:rPr>
        <w:t>Doing Things Differently</w:t>
      </w:r>
      <w:r w:rsidRPr="008F2AA0">
        <w:rPr>
          <w:lang w:eastAsia="en-AU"/>
        </w:rPr>
        <w:t xml:space="preserve"> </w:t>
      </w:r>
      <w:r w:rsidRPr="008F2AA0">
        <w:rPr>
          <w:i/>
          <w:iCs/>
          <w:lang w:eastAsia="en-AU"/>
        </w:rPr>
        <w:t xml:space="preserve">– funding ACCOs to keep families together </w:t>
      </w:r>
      <w:r w:rsidRPr="008F2AA0">
        <w:rPr>
          <w:lang w:eastAsia="en-AU"/>
        </w:rPr>
        <w:t>report in their work (see Priority 1B above).</w:t>
      </w:r>
    </w:p>
    <w:p w14:paraId="17659966" w14:textId="7F14FD18" w:rsidR="008F2AA0" w:rsidRDefault="008F2AA0" w:rsidP="008F2AA0">
      <w:pPr>
        <w:pStyle w:val="Heading3"/>
        <w:rPr>
          <w:lang w:eastAsia="en-AU"/>
        </w:rPr>
      </w:pPr>
      <w:r>
        <w:rPr>
          <w:lang w:eastAsia="en-AU"/>
        </w:rPr>
        <w:t>Thriving Kids reforms</w:t>
      </w:r>
    </w:p>
    <w:p w14:paraId="3BEC05CA" w14:textId="77777777" w:rsidR="00185DDD" w:rsidRPr="00185DDD" w:rsidRDefault="00185DDD" w:rsidP="00185DDD">
      <w:pPr>
        <w:rPr>
          <w:lang w:eastAsia="en-AU"/>
        </w:rPr>
      </w:pPr>
      <w:r w:rsidRPr="00185DDD">
        <w:rPr>
          <w:lang w:eastAsia="en-AU"/>
        </w:rPr>
        <w:t xml:space="preserve">Representatives from the Australian Government Department of Health, Disability and Ageing (DHDA) presented and engaged in discussion with members on the </w:t>
      </w:r>
      <w:hyperlink r:id="rId20" w:history="1">
        <w:r w:rsidRPr="00185DDD">
          <w:rPr>
            <w:color w:val="467886"/>
            <w:u w:val="single"/>
            <w:lang w:eastAsia="en-AU"/>
          </w:rPr>
          <w:t>Thriving Kids</w:t>
        </w:r>
      </w:hyperlink>
      <w:r w:rsidRPr="00185DDD">
        <w:rPr>
          <w:lang w:eastAsia="en-AU"/>
        </w:rPr>
        <w:t> reforms. The workshop focused on the Thriving Kids national model, workforce activities, proposed governance arrangements which support joint dialogue between First Nations Leadership and jurisdictions, and opportunities for ECCDPP influence and engagement. The Western Australian Government Department of Communities presented on Thriving Kids implementation for Aboriginal and Torres Strait Islander children living in Western Australia.</w:t>
      </w:r>
    </w:p>
    <w:p w14:paraId="68A6F7A3" w14:textId="77777777" w:rsidR="00185DDD" w:rsidRPr="00185DDD" w:rsidRDefault="00185DDD" w:rsidP="00185DDD">
      <w:pPr>
        <w:rPr>
          <w:lang w:eastAsia="en-AU"/>
        </w:rPr>
      </w:pPr>
      <w:r w:rsidRPr="00185DDD">
        <w:rPr>
          <w:lang w:eastAsia="en-AU"/>
        </w:rPr>
        <w:t>Thriving Kids will establish supports for children aged 0-8 with developmental delay and/or autism with low to moderate support needs, and their families. Thriving Kids is due to commence, in a phased approach, from 1 October 2026 with the full rollout by 1 January 2028.</w:t>
      </w:r>
    </w:p>
    <w:p w14:paraId="68771F93" w14:textId="77777777" w:rsidR="00185DDD" w:rsidRPr="00185DDD" w:rsidRDefault="00185DDD" w:rsidP="00185DDD">
      <w:pPr>
        <w:rPr>
          <w:kern w:val="2"/>
          <w:lang w:eastAsia="en-AU"/>
          <w14:ligatures w14:val="standardContextual"/>
        </w:rPr>
      </w:pPr>
      <w:r w:rsidRPr="00185DDD">
        <w:rPr>
          <w:kern w:val="2"/>
          <w:lang w:eastAsia="en-AU"/>
          <w14:ligatures w14:val="standardContextual"/>
        </w:rPr>
        <w:t>Members discussed the benefits of centring child and family services and early childhood services in the delivery of Thriving Kids, given their close relationships with children and families, including how these services should be considered in the context of the Commonwealth-led sector strengthening work. First Nations members noted the reform’s potential and highlighted the importance of Thriving Kids being developed in partnership with Aboriginal and Torres Strait Islander people. Members reiterated that the National Agreement on Closing the Gap must be a key anchor in the reform process, with shared decision-making embedded throughout.</w:t>
      </w:r>
    </w:p>
    <w:p w14:paraId="33F136D9" w14:textId="0D135D60" w:rsidR="00185DDD" w:rsidRDefault="00185DDD" w:rsidP="00586FE9">
      <w:pPr>
        <w:rPr>
          <w:lang w:eastAsia="en-AU"/>
        </w:rPr>
      </w:pPr>
      <w:r w:rsidRPr="00185DDD">
        <w:rPr>
          <w:lang w:eastAsia="en-AU"/>
        </w:rPr>
        <w:t>DHDA will continue to engage with the ECCDPP as Thriving Kids progresses.</w:t>
      </w:r>
    </w:p>
    <w:p w14:paraId="2DEB9937" w14:textId="70E5C355" w:rsidR="00185DDD" w:rsidRDefault="00185DDD" w:rsidP="00185DDD">
      <w:pPr>
        <w:pStyle w:val="Heading3"/>
        <w:rPr>
          <w:lang w:eastAsia="en-AU"/>
        </w:rPr>
      </w:pPr>
      <w:r>
        <w:rPr>
          <w:lang w:eastAsia="en-AU"/>
        </w:rPr>
        <w:lastRenderedPageBreak/>
        <w:t>New Preschool Funding Agreement</w:t>
      </w:r>
    </w:p>
    <w:p w14:paraId="739CCA0B" w14:textId="77777777" w:rsidR="008D195E" w:rsidRPr="008D195E" w:rsidRDefault="008D195E" w:rsidP="008D195E">
      <w:pPr>
        <w:rPr>
          <w:lang w:eastAsia="en-AU"/>
        </w:rPr>
      </w:pPr>
      <w:r w:rsidRPr="008D195E">
        <w:rPr>
          <w:kern w:val="2"/>
          <w:lang w:eastAsia="en-AU"/>
          <w14:ligatures w14:val="standardContextual"/>
        </w:rPr>
        <w:t>The Australian Government Department of Education commenced engagement with ECCDPP m</w:t>
      </w:r>
      <w:r w:rsidRPr="008D195E">
        <w:rPr>
          <w:lang w:eastAsia="en-AU"/>
        </w:rPr>
        <w:t>embers to inform negotiations for a new Preschool Funding Agreement (Agreement). The new Agreement will replace the current Preschool Reform Agreement (PRA), which is scheduled to cease on 30 June 2028.</w:t>
      </w:r>
    </w:p>
    <w:p w14:paraId="60FFF012" w14:textId="77777777" w:rsidR="008D195E" w:rsidRPr="008D195E" w:rsidRDefault="008D195E" w:rsidP="008D195E">
      <w:pPr>
        <w:rPr>
          <w:lang w:eastAsia="en-AU"/>
        </w:rPr>
      </w:pPr>
      <w:r w:rsidRPr="008D195E">
        <w:rPr>
          <w:lang w:eastAsia="en-AU"/>
        </w:rPr>
        <w:t xml:space="preserve">The Department emphasised Education Ministers’ expectations that negotiations be conducted in genuine partnership with key partners. This included through the formal Education Ministers governance with the National Aboriginal and Torres Strait Islander Education Corporation (NATSIEC), </w:t>
      </w:r>
      <w:proofErr w:type="gramStart"/>
      <w:r w:rsidRPr="008D195E">
        <w:rPr>
          <w:lang w:eastAsia="en-AU"/>
        </w:rPr>
        <w:t>and also</w:t>
      </w:r>
      <w:proofErr w:type="gramEnd"/>
      <w:r w:rsidRPr="008D195E">
        <w:rPr>
          <w:lang w:eastAsia="en-AU"/>
        </w:rPr>
        <w:t xml:space="preserve"> with SNAICC and the ECCDPP. Negotiations will be guided by quality and equity objectives, in addition to current PRA parameters of the Commonwealth funding states and territories to deliver 600 hours a year of preschool programs in the year before full-time school.</w:t>
      </w:r>
    </w:p>
    <w:p w14:paraId="55A9C7EB" w14:textId="77777777" w:rsidR="008D195E" w:rsidRDefault="008D195E" w:rsidP="008D195E">
      <w:pPr>
        <w:rPr>
          <w:kern w:val="2"/>
          <w:lang w:eastAsia="en-AU"/>
          <w14:ligatures w14:val="standardContextual"/>
        </w:rPr>
      </w:pPr>
      <w:r w:rsidRPr="008D195E">
        <w:rPr>
          <w:lang w:eastAsia="en-AU"/>
        </w:rPr>
        <w:t xml:space="preserve">Members </w:t>
      </w:r>
      <w:r w:rsidRPr="008D195E">
        <w:rPr>
          <w:kern w:val="2"/>
          <w:lang w:eastAsia="en-AU"/>
          <w14:ligatures w14:val="standardContextual"/>
        </w:rPr>
        <w:t xml:space="preserve">provided initial feedback on key considerations and the scope of reform for the new </w:t>
      </w:r>
      <w:r w:rsidRPr="008D195E" w:rsidDel="0025325F">
        <w:rPr>
          <w:kern w:val="2"/>
          <w:lang w:eastAsia="en-AU"/>
          <w14:ligatures w14:val="standardContextual"/>
        </w:rPr>
        <w:t>Agreement</w:t>
      </w:r>
      <w:r w:rsidRPr="008D195E">
        <w:rPr>
          <w:lang w:eastAsia="en-AU"/>
        </w:rPr>
        <w:t>. First Nations members noted the importance of governments working closely with Aboriginal and Torres Strait Islander communities and organisations</w:t>
      </w:r>
      <w:r w:rsidRPr="008D195E">
        <w:rPr>
          <w:kern w:val="2"/>
          <w:lang w:eastAsia="en-AU"/>
          <w14:ligatures w14:val="standardContextual"/>
        </w:rPr>
        <w:t>,</w:t>
      </w:r>
      <w:r w:rsidRPr="008D195E">
        <w:rPr>
          <w:lang w:eastAsia="en-AU"/>
        </w:rPr>
        <w:t xml:space="preserve"> </w:t>
      </w:r>
      <w:r w:rsidRPr="008D195E">
        <w:rPr>
          <w:kern w:val="2"/>
          <w:lang w:eastAsia="en-AU"/>
          <w14:ligatures w14:val="standardContextual"/>
        </w:rPr>
        <w:t>and of using this opportunity to drive progress on Closing the Gap Priority Reforms</w:t>
      </w:r>
      <w:r w:rsidRPr="008D195E">
        <w:rPr>
          <w:lang w:eastAsia="en-AU"/>
        </w:rPr>
        <w:t>.</w:t>
      </w:r>
      <w:r w:rsidRPr="008D195E">
        <w:rPr>
          <w:kern w:val="2"/>
          <w:lang w:eastAsia="en-AU"/>
          <w14:ligatures w14:val="standardContextual"/>
        </w:rPr>
        <w:t xml:space="preserve"> Members were invited to provide further feedback to the Department of Education, with engagement to continue as negotiations progress.</w:t>
      </w:r>
    </w:p>
    <w:p w14:paraId="4D5E3753" w14:textId="443F2E4E" w:rsidR="008D195E" w:rsidRDefault="008D195E" w:rsidP="008D195E">
      <w:pPr>
        <w:pStyle w:val="Heading3"/>
        <w:rPr>
          <w:lang w:eastAsia="en-AU"/>
        </w:rPr>
      </w:pPr>
      <w:r>
        <w:rPr>
          <w:lang w:eastAsia="en-AU"/>
        </w:rPr>
        <w:t>Next steps for ECCDPP’s data work</w:t>
      </w:r>
    </w:p>
    <w:p w14:paraId="73EC6382" w14:textId="77777777" w:rsidR="00271DAA" w:rsidRDefault="00271DAA" w:rsidP="00271DAA">
      <w:pPr>
        <w:rPr>
          <w:lang w:eastAsia="en-AU"/>
        </w:rPr>
      </w:pPr>
      <w:r w:rsidRPr="00271DAA">
        <w:rPr>
          <w:lang w:eastAsia="en-AU"/>
        </w:rPr>
        <w:t>Members discussed the next steps for the ECCDPP’s data work, following workshops held at Meeting 13 on the use of data to drive work in the Partnership and strengthen its evidence base. Members provided feedback and considerations on a proposed project aiming to improve reporting on ACCO service coverage and funding flows to ACCOs delivering early childhood education and care and child and family services. The project addresses two key data gaps in early childhood care and development discussed at Meeting 13. These include the lack of national reporting on where ACCOs are located and whether services provided are meeting need levels in communities, and the lack of formally scheduled ACCO funding reporting. Members agreed to take forward further planning for this project, which will be discussed at Meeting 15.</w:t>
      </w:r>
    </w:p>
    <w:p w14:paraId="74F195BE" w14:textId="77777777" w:rsidR="007C1E53" w:rsidRPr="007C1E53" w:rsidRDefault="007C1E53" w:rsidP="007C1E53">
      <w:pPr>
        <w:pStyle w:val="Heading3"/>
        <w:rPr>
          <w:rFonts w:eastAsia="Calibri"/>
        </w:rPr>
      </w:pPr>
      <w:r w:rsidRPr="007C1E53">
        <w:rPr>
          <w:rFonts w:eastAsia="Calibri"/>
        </w:rPr>
        <w:t>Closing the Gap Priority Reform 3 – progress and lessons learnt</w:t>
      </w:r>
    </w:p>
    <w:p w14:paraId="730A9730" w14:textId="77777777" w:rsidR="007C1E53" w:rsidRPr="007C1E53" w:rsidRDefault="007C1E53" w:rsidP="007C1E53">
      <w:r w:rsidRPr="007C1E53">
        <w:t>Members discussed how Closing the Gap Priority Reform 3 (transforming government organisations) has been implemented by governments. Members had an open discussion about how governments have approached Priority Reform 3, what has worked, and what barriers have prevented transformation. This conversation will continue at Meeting 15.</w:t>
      </w:r>
    </w:p>
    <w:p w14:paraId="78570A17" w14:textId="77777777" w:rsidR="007C1E53" w:rsidRPr="007C1E53" w:rsidRDefault="007C1E53" w:rsidP="007C1E53">
      <w:pPr>
        <w:pStyle w:val="Heading3"/>
        <w:rPr>
          <w:rFonts w:eastAsia="Calibri"/>
        </w:rPr>
      </w:pPr>
      <w:r w:rsidRPr="007C1E53">
        <w:rPr>
          <w:rFonts w:eastAsia="Calibri"/>
        </w:rPr>
        <w:t>ECCDPP Evaluation</w:t>
      </w:r>
    </w:p>
    <w:p w14:paraId="3E2B05B9" w14:textId="77777777" w:rsidR="007C1E53" w:rsidRPr="007C1E53" w:rsidRDefault="007C1E53" w:rsidP="007C1E53">
      <w:r w:rsidRPr="007C1E53">
        <w:t>Members held a workshop to discuss implementing the evaluation of the ECCDPP’s work from 2022 to 2025. The evaluation provides an important opportunity to continue to improve the ECCDPP’s ways of working and strengthen its impact for Aboriginal and Torres Strait Islander children. Members identified initial recommendations to progress first in response. The Partnership will continue its discussions around the sequencing and implementation of the recommendations in future meetings. The ECCDPP annual reports will include further information on how the evaluation recommendations are being implemented.</w:t>
      </w:r>
    </w:p>
    <w:p w14:paraId="13875D4E" w14:textId="77777777" w:rsidR="007C1E53" w:rsidRPr="007C1E53" w:rsidRDefault="007C1E53" w:rsidP="007C1E53">
      <w:pPr>
        <w:pStyle w:val="Heading3"/>
        <w:rPr>
          <w:rFonts w:eastAsia="Calibri"/>
        </w:rPr>
      </w:pPr>
      <w:r w:rsidRPr="007C1E53">
        <w:rPr>
          <w:rFonts w:eastAsia="Calibri"/>
        </w:rPr>
        <w:t>National Commissioner for Aboriginal and Torres Strait Islander Children and Young People</w:t>
      </w:r>
    </w:p>
    <w:p w14:paraId="4B133DAC" w14:textId="77777777" w:rsidR="007C1E53" w:rsidRPr="007C1E53" w:rsidRDefault="007C1E53" w:rsidP="007C1E53">
      <w:r w:rsidRPr="007C1E53">
        <w:t>Members received an update from the National Commissioner for Aboriginal and Torres Strait Islander Children and Young People, Ms Sue-Anne Hunter, as part of the ECCDPP’s work to collaborate with other bodies working to improve outcomes for Aboriginal and Torres Strait Islander children.</w:t>
      </w:r>
    </w:p>
    <w:p w14:paraId="3C31BC23" w14:textId="77777777" w:rsidR="007C1E53" w:rsidRPr="007C1E53" w:rsidRDefault="007C1E53" w:rsidP="007C1E53">
      <w:r w:rsidRPr="007C1E53">
        <w:t>The National Commissioner provided an update on their work, noting the intention to work closely with partners to strengthen joint work. Members</w:t>
      </w:r>
      <w:r w:rsidRPr="007C1E53" w:rsidDel="000F6106">
        <w:t xml:space="preserve"> </w:t>
      </w:r>
      <w:r w:rsidRPr="007C1E53">
        <w:t xml:space="preserve">discussed the important role of the National Commission in upholding the rights of </w:t>
      </w:r>
      <w:r w:rsidRPr="007C1E53">
        <w:lastRenderedPageBreak/>
        <w:t xml:space="preserve">Aboriginal and Torres Strait Islander children and young people and discussed opportunities for the ECCDPP to work with the Commission. </w:t>
      </w:r>
    </w:p>
    <w:p w14:paraId="59D89AAB" w14:textId="77777777" w:rsidR="001E28AC" w:rsidRDefault="007C1E53" w:rsidP="001E28AC">
      <w:pPr>
        <w:pStyle w:val="Heading2"/>
        <w:rPr>
          <w:rFonts w:eastAsia="Calibri"/>
        </w:rPr>
      </w:pPr>
      <w:r>
        <w:rPr>
          <w:rFonts w:eastAsia="Calibri"/>
        </w:rPr>
        <w:t>Next meeting</w:t>
      </w:r>
    </w:p>
    <w:p w14:paraId="1349306C" w14:textId="1C144A9E" w:rsidR="001E28AC" w:rsidRDefault="001E28AC" w:rsidP="001E28AC">
      <w:pPr>
        <w:rPr>
          <w:lang w:eastAsia="en-AU"/>
        </w:rPr>
      </w:pPr>
      <w:r w:rsidRPr="001E28AC">
        <w:rPr>
          <w:lang w:eastAsia="en-AU"/>
        </w:rPr>
        <w:t>The Partnership will meet again in September 2026.</w:t>
      </w:r>
    </w:p>
    <w:p w14:paraId="19D68151" w14:textId="0E69F364" w:rsidR="001E28AC" w:rsidRDefault="001E28AC" w:rsidP="001E28AC">
      <w:pPr>
        <w:pStyle w:val="Heading2"/>
        <w:rPr>
          <w:lang w:eastAsia="en-AU"/>
        </w:rPr>
      </w:pPr>
      <w:r>
        <w:rPr>
          <w:lang w:eastAsia="en-AU"/>
        </w:rPr>
        <w:t>Attendees/Apologies</w:t>
      </w:r>
    </w:p>
    <w:tbl>
      <w:tblPr>
        <w:tblW w:w="1035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2"/>
        <w:gridCol w:w="5405"/>
      </w:tblGrid>
      <w:tr w:rsidR="000114E6" w:rsidRPr="000114E6" w14:paraId="66FFB5FC"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shd w:val="clear" w:color="auto" w:fill="00254A"/>
            <w:vAlign w:val="center"/>
            <w:hideMark/>
          </w:tcPr>
          <w:p w14:paraId="43BF318D"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color w:val="F5F5F5"/>
                <w:sz w:val="24"/>
                <w:szCs w:val="24"/>
                <w:lang w:eastAsia="en-AU"/>
              </w:rPr>
            </w:pPr>
            <w:r w:rsidRPr="000114E6">
              <w:rPr>
                <w:rFonts w:ascii="Calibri" w:eastAsia="Times New Roman" w:hAnsi="Calibri" w:cs="Calibri"/>
                <w:color w:val="FFFFFF"/>
                <w:lang w:eastAsia="en-AU"/>
              </w:rPr>
              <w:t>Name</w:t>
            </w:r>
            <w:r w:rsidRPr="000114E6">
              <w:rPr>
                <w:rFonts w:ascii="Calibri" w:eastAsia="Times New Roman" w:hAnsi="Calibri" w:cs="Calibri"/>
                <w:color w:val="F5F5F5"/>
                <w:lang w:eastAsia="en-AU"/>
              </w:rPr>
              <w:t> </w:t>
            </w:r>
          </w:p>
        </w:tc>
        <w:tc>
          <w:tcPr>
            <w:tcW w:w="5405" w:type="dxa"/>
            <w:tcBorders>
              <w:top w:val="single" w:sz="6" w:space="0" w:color="auto"/>
              <w:left w:val="single" w:sz="6" w:space="0" w:color="auto"/>
              <w:bottom w:val="single" w:sz="6" w:space="0" w:color="auto"/>
              <w:right w:val="single" w:sz="6" w:space="0" w:color="auto"/>
            </w:tcBorders>
            <w:shd w:val="clear" w:color="auto" w:fill="00254A"/>
            <w:vAlign w:val="center"/>
            <w:hideMark/>
          </w:tcPr>
          <w:p w14:paraId="18DCBB07"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color w:val="F5F5F5"/>
                <w:sz w:val="24"/>
                <w:szCs w:val="24"/>
                <w:lang w:eastAsia="en-AU"/>
              </w:rPr>
            </w:pPr>
            <w:r w:rsidRPr="000114E6">
              <w:rPr>
                <w:rFonts w:ascii="Calibri" w:eastAsia="Times New Roman" w:hAnsi="Calibri" w:cs="Calibri"/>
                <w:color w:val="FFFFFF"/>
                <w:lang w:eastAsia="en-AU"/>
              </w:rPr>
              <w:t>Representing</w:t>
            </w:r>
            <w:r w:rsidRPr="000114E6">
              <w:rPr>
                <w:rFonts w:ascii="Calibri" w:eastAsia="Times New Roman" w:hAnsi="Calibri" w:cs="Calibri"/>
                <w:color w:val="F5F5F5"/>
                <w:lang w:eastAsia="en-AU"/>
              </w:rPr>
              <w:t> </w:t>
            </w:r>
          </w:p>
        </w:tc>
      </w:tr>
      <w:tr w:rsidR="000114E6" w:rsidRPr="000114E6" w14:paraId="49BFB1B4" w14:textId="77777777" w:rsidTr="00A60F7D">
        <w:trPr>
          <w:trHeight w:val="300"/>
          <w:jc w:val="center"/>
        </w:trPr>
        <w:tc>
          <w:tcPr>
            <w:tcW w:w="4952" w:type="dxa"/>
            <w:tcBorders>
              <w:top w:val="single" w:sz="6" w:space="0" w:color="auto"/>
              <w:left w:val="single" w:sz="6" w:space="0" w:color="auto"/>
              <w:bottom w:val="single" w:sz="6" w:space="0" w:color="auto"/>
              <w:right w:val="nil"/>
            </w:tcBorders>
            <w:hideMark/>
          </w:tcPr>
          <w:p w14:paraId="7AF57875"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color w:val="904478"/>
                <w:lang w:eastAsia="en-AU"/>
              </w:rPr>
              <w:t>Coalition of Peaks representatives</w:t>
            </w:r>
            <w:r w:rsidRPr="000114E6">
              <w:rPr>
                <w:rFonts w:ascii="Calibri" w:eastAsia="Times New Roman" w:hAnsi="Calibri" w:cs="Calibri"/>
                <w:color w:val="904478"/>
                <w:lang w:eastAsia="en-AU"/>
              </w:rPr>
              <w:t> </w:t>
            </w:r>
          </w:p>
        </w:tc>
        <w:tc>
          <w:tcPr>
            <w:tcW w:w="5405" w:type="dxa"/>
            <w:tcBorders>
              <w:top w:val="single" w:sz="6" w:space="0" w:color="auto"/>
              <w:left w:val="nil"/>
              <w:bottom w:val="single" w:sz="6" w:space="0" w:color="auto"/>
              <w:right w:val="single" w:sz="6" w:space="0" w:color="auto"/>
            </w:tcBorders>
            <w:hideMark/>
          </w:tcPr>
          <w:p w14:paraId="361B20A2"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 </w:t>
            </w:r>
          </w:p>
        </w:tc>
      </w:tr>
      <w:tr w:rsidR="000114E6" w:rsidRPr="000114E6" w14:paraId="1FBA9E82"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5A1131D6"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Catherine Liddle</w:t>
            </w:r>
            <w:r w:rsidRPr="000114E6">
              <w:rPr>
                <w:rFonts w:ascii="Calibri" w:eastAsia="Times New Roman" w:hAnsi="Calibri" w:cs="Calibri"/>
                <w:lang w:eastAsia="en-AU"/>
              </w:rPr>
              <w:t> </w:t>
            </w:r>
          </w:p>
        </w:tc>
        <w:tc>
          <w:tcPr>
            <w:tcW w:w="5405" w:type="dxa"/>
            <w:tcBorders>
              <w:top w:val="single" w:sz="6" w:space="0" w:color="auto"/>
              <w:left w:val="single" w:sz="6" w:space="0" w:color="auto"/>
              <w:bottom w:val="single" w:sz="6" w:space="0" w:color="auto"/>
              <w:right w:val="single" w:sz="6" w:space="0" w:color="auto"/>
            </w:tcBorders>
            <w:hideMark/>
          </w:tcPr>
          <w:p w14:paraId="60B1CAB6"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SNAICC – National Voice for our Children (SNAICC)  </w:t>
            </w:r>
          </w:p>
        </w:tc>
      </w:tr>
      <w:tr w:rsidR="000114E6" w:rsidRPr="000114E6" w14:paraId="2BDB8AA4"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555F9467"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 xml:space="preserve">Donnella Mills </w:t>
            </w:r>
            <w:r w:rsidRPr="000114E6">
              <w:rPr>
                <w:rFonts w:ascii="Calibri" w:eastAsia="Times New Roman" w:hAnsi="Calibri" w:cs="Calibri"/>
                <w:b/>
                <w:bCs/>
                <w:lang w:eastAsia="en-AU"/>
              </w:rPr>
              <w:br/>
            </w:r>
            <w:r w:rsidRPr="000114E6">
              <w:rPr>
                <w:rFonts w:ascii="Calibri" w:eastAsia="Times New Roman" w:hAnsi="Calibri" w:cs="Calibri"/>
                <w:lang w:eastAsia="en-AU"/>
              </w:rPr>
              <w:t>(apology)</w:t>
            </w:r>
          </w:p>
        </w:tc>
        <w:tc>
          <w:tcPr>
            <w:tcW w:w="5405" w:type="dxa"/>
            <w:tcBorders>
              <w:top w:val="single" w:sz="6" w:space="0" w:color="auto"/>
              <w:left w:val="single" w:sz="6" w:space="0" w:color="auto"/>
              <w:bottom w:val="single" w:sz="6" w:space="0" w:color="auto"/>
              <w:right w:val="single" w:sz="6" w:space="0" w:color="auto"/>
            </w:tcBorders>
            <w:hideMark/>
          </w:tcPr>
          <w:p w14:paraId="4ECD0F94"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National Aboriginal Community Controlled Health Organisation (</w:t>
            </w:r>
            <w:proofErr w:type="gramStart"/>
            <w:r w:rsidRPr="000114E6">
              <w:rPr>
                <w:rFonts w:ascii="Calibri" w:eastAsia="Times New Roman" w:hAnsi="Calibri" w:cs="Calibri"/>
                <w:lang w:eastAsia="en-AU"/>
              </w:rPr>
              <w:t>NACCHO)   </w:t>
            </w:r>
            <w:proofErr w:type="gramEnd"/>
          </w:p>
        </w:tc>
      </w:tr>
      <w:tr w:rsidR="000114E6" w:rsidRPr="000114E6" w14:paraId="3CCBC405"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2062824F"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 xml:space="preserve">Neville Atkinson </w:t>
            </w:r>
            <w:r w:rsidRPr="000114E6">
              <w:rPr>
                <w:rFonts w:ascii="Calibri" w:eastAsia="Times New Roman" w:hAnsi="Calibri" w:cs="Calibri"/>
                <w:lang w:eastAsia="en-AU"/>
              </w:rPr>
              <w:t xml:space="preserve">(Day 1) </w:t>
            </w:r>
            <w:r w:rsidRPr="000114E6">
              <w:rPr>
                <w:rFonts w:ascii="Calibri" w:eastAsia="Times New Roman" w:hAnsi="Calibri" w:cs="Calibri"/>
                <w:lang w:eastAsia="en-AU"/>
              </w:rPr>
              <w:br/>
            </w:r>
            <w:r w:rsidRPr="000114E6">
              <w:rPr>
                <w:rFonts w:ascii="Calibri" w:eastAsia="Times New Roman" w:hAnsi="Calibri" w:cs="Calibri"/>
                <w:b/>
                <w:bCs/>
                <w:lang w:eastAsia="en-AU"/>
              </w:rPr>
              <w:t xml:space="preserve">Anjee-Lee Bamblett </w:t>
            </w:r>
            <w:r w:rsidRPr="000114E6">
              <w:rPr>
                <w:rFonts w:ascii="Calibri" w:eastAsia="Times New Roman" w:hAnsi="Calibri" w:cs="Calibri"/>
                <w:lang w:eastAsia="en-AU"/>
              </w:rPr>
              <w:t>(Day 2, proxy for Neville Atkinson)</w:t>
            </w:r>
          </w:p>
        </w:tc>
        <w:tc>
          <w:tcPr>
            <w:tcW w:w="5405" w:type="dxa"/>
            <w:tcBorders>
              <w:top w:val="single" w:sz="6" w:space="0" w:color="auto"/>
              <w:left w:val="single" w:sz="6" w:space="0" w:color="auto"/>
              <w:bottom w:val="single" w:sz="6" w:space="0" w:color="auto"/>
              <w:right w:val="single" w:sz="6" w:space="0" w:color="auto"/>
            </w:tcBorders>
            <w:hideMark/>
          </w:tcPr>
          <w:p w14:paraId="7E2DC42C"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Victorian Aboriginal Education Association Incorporated (VAEAI) </w:t>
            </w:r>
          </w:p>
        </w:tc>
      </w:tr>
      <w:tr w:rsidR="000114E6" w:rsidRPr="000114E6" w14:paraId="3E4C665E"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702BCD5A"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Lisa Coulson </w:t>
            </w:r>
            <w:r w:rsidRPr="000114E6">
              <w:rPr>
                <w:rFonts w:ascii="Calibri" w:eastAsia="Times New Roman" w:hAnsi="Calibri" w:cs="Calibri"/>
                <w:lang w:eastAsia="en-AU"/>
              </w:rPr>
              <w:t> </w:t>
            </w:r>
          </w:p>
        </w:tc>
        <w:tc>
          <w:tcPr>
            <w:tcW w:w="5405" w:type="dxa"/>
            <w:tcBorders>
              <w:top w:val="single" w:sz="6" w:space="0" w:color="auto"/>
              <w:left w:val="single" w:sz="6" w:space="0" w:color="auto"/>
              <w:bottom w:val="single" w:sz="6" w:space="0" w:color="auto"/>
              <w:right w:val="single" w:sz="6" w:space="0" w:color="auto"/>
            </w:tcBorders>
            <w:hideMark/>
          </w:tcPr>
          <w:p w14:paraId="5B71F838"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Tasmanian Aboriginal Centre (TAC) </w:t>
            </w:r>
          </w:p>
        </w:tc>
      </w:tr>
      <w:tr w:rsidR="000114E6" w:rsidRPr="000114E6" w14:paraId="36204E51"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13FFFED1"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Sarah Patrick </w:t>
            </w:r>
            <w:r w:rsidRPr="000114E6">
              <w:rPr>
                <w:rFonts w:ascii="Calibri" w:eastAsia="Times New Roman" w:hAnsi="Calibri" w:cs="Calibri"/>
                <w:lang w:eastAsia="en-AU"/>
              </w:rPr>
              <w:t>(Day 1, proxy for Damian Griffis)</w:t>
            </w:r>
            <w:r w:rsidRPr="000114E6">
              <w:rPr>
                <w:rFonts w:ascii="Calibri" w:eastAsia="Times New Roman" w:hAnsi="Calibri" w:cs="Calibri"/>
                <w:b/>
                <w:bCs/>
                <w:lang w:eastAsia="en-AU"/>
              </w:rPr>
              <w:t> </w:t>
            </w:r>
            <w:r w:rsidRPr="000114E6">
              <w:rPr>
                <w:rFonts w:ascii="Calibri" w:eastAsia="Times New Roman" w:hAnsi="Calibri" w:cs="Calibri"/>
                <w:lang w:eastAsia="en-AU"/>
              </w:rPr>
              <w:t> </w:t>
            </w:r>
          </w:p>
        </w:tc>
        <w:tc>
          <w:tcPr>
            <w:tcW w:w="5405" w:type="dxa"/>
            <w:tcBorders>
              <w:top w:val="single" w:sz="6" w:space="0" w:color="auto"/>
              <w:left w:val="single" w:sz="6" w:space="0" w:color="auto"/>
              <w:bottom w:val="single" w:sz="6" w:space="0" w:color="auto"/>
              <w:right w:val="single" w:sz="6" w:space="0" w:color="auto"/>
            </w:tcBorders>
            <w:hideMark/>
          </w:tcPr>
          <w:p w14:paraId="5EDF4328"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First Peoples Disability Network (FPDN) </w:t>
            </w:r>
          </w:p>
        </w:tc>
      </w:tr>
      <w:tr w:rsidR="000114E6" w:rsidRPr="000114E6" w14:paraId="5B3AC432"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10694BC6"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 xml:space="preserve">Shane Catterall </w:t>
            </w:r>
            <w:r w:rsidRPr="000114E6">
              <w:rPr>
                <w:rFonts w:ascii="Calibri" w:eastAsia="Times New Roman" w:hAnsi="Calibri" w:cs="Calibri"/>
                <w:lang w:eastAsia="en-AU"/>
              </w:rPr>
              <w:t>(apology)</w:t>
            </w:r>
          </w:p>
        </w:tc>
        <w:tc>
          <w:tcPr>
            <w:tcW w:w="5405" w:type="dxa"/>
            <w:tcBorders>
              <w:top w:val="single" w:sz="6" w:space="0" w:color="auto"/>
              <w:left w:val="single" w:sz="6" w:space="0" w:color="auto"/>
              <w:bottom w:val="single" w:sz="6" w:space="0" w:color="auto"/>
              <w:right w:val="single" w:sz="6" w:space="0" w:color="auto"/>
            </w:tcBorders>
            <w:hideMark/>
          </w:tcPr>
          <w:p w14:paraId="328CB64F"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Aboriginal Family Support Services (AFSS) on behalf of South Australian Aboriginal Community Controlled Organisation (</w:t>
            </w:r>
            <w:proofErr w:type="gramStart"/>
            <w:r w:rsidRPr="000114E6">
              <w:rPr>
                <w:rFonts w:ascii="Calibri" w:eastAsia="Times New Roman" w:hAnsi="Calibri" w:cs="Calibri"/>
                <w:lang w:eastAsia="en-AU"/>
              </w:rPr>
              <w:t>SAACCON)   </w:t>
            </w:r>
            <w:proofErr w:type="gramEnd"/>
          </w:p>
        </w:tc>
      </w:tr>
      <w:tr w:rsidR="000114E6" w:rsidRPr="000114E6" w14:paraId="7C49D863" w14:textId="77777777" w:rsidTr="00A60F7D">
        <w:trPr>
          <w:trHeight w:val="300"/>
          <w:jc w:val="center"/>
        </w:trPr>
        <w:tc>
          <w:tcPr>
            <w:tcW w:w="4952" w:type="dxa"/>
            <w:tcBorders>
              <w:top w:val="single" w:sz="6" w:space="0" w:color="auto"/>
              <w:left w:val="single" w:sz="6" w:space="0" w:color="auto"/>
              <w:bottom w:val="single" w:sz="6" w:space="0" w:color="auto"/>
              <w:right w:val="nil"/>
            </w:tcBorders>
            <w:hideMark/>
          </w:tcPr>
          <w:p w14:paraId="7885A7A6"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color w:val="904478"/>
                <w:lang w:eastAsia="en-AU"/>
              </w:rPr>
              <w:t>Independent Aboriginal and Torres Strait Islander representatives</w:t>
            </w:r>
            <w:r w:rsidRPr="000114E6">
              <w:rPr>
                <w:rFonts w:ascii="Calibri" w:eastAsia="Times New Roman" w:hAnsi="Calibri" w:cs="Calibri"/>
                <w:color w:val="904478"/>
                <w:lang w:eastAsia="en-AU"/>
              </w:rPr>
              <w:t> </w:t>
            </w:r>
          </w:p>
        </w:tc>
        <w:tc>
          <w:tcPr>
            <w:tcW w:w="5405" w:type="dxa"/>
            <w:tcBorders>
              <w:top w:val="single" w:sz="6" w:space="0" w:color="auto"/>
              <w:left w:val="nil"/>
              <w:bottom w:val="single" w:sz="6" w:space="0" w:color="auto"/>
              <w:right w:val="single" w:sz="6" w:space="0" w:color="auto"/>
            </w:tcBorders>
            <w:hideMark/>
          </w:tcPr>
          <w:p w14:paraId="3A7D8451"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 </w:t>
            </w:r>
          </w:p>
        </w:tc>
      </w:tr>
      <w:tr w:rsidR="000114E6" w:rsidRPr="000114E6" w14:paraId="4C35CE5A"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37FF3A50"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Darcy Cavanagh</w:t>
            </w:r>
          </w:p>
        </w:tc>
        <w:tc>
          <w:tcPr>
            <w:tcW w:w="5405" w:type="dxa"/>
            <w:tcBorders>
              <w:top w:val="single" w:sz="6" w:space="0" w:color="auto"/>
              <w:left w:val="single" w:sz="6" w:space="0" w:color="auto"/>
              <w:bottom w:val="single" w:sz="6" w:space="0" w:color="auto"/>
              <w:right w:val="single" w:sz="6" w:space="0" w:color="auto"/>
            </w:tcBorders>
            <w:hideMark/>
          </w:tcPr>
          <w:p w14:paraId="556CDBB7"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Independent representative  </w:t>
            </w:r>
          </w:p>
        </w:tc>
      </w:tr>
      <w:tr w:rsidR="000114E6" w:rsidRPr="000114E6" w14:paraId="59BF5358"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473A287D"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Paul Gray </w:t>
            </w:r>
            <w:r w:rsidRPr="000114E6">
              <w:rPr>
                <w:rFonts w:ascii="Calibri" w:eastAsia="Times New Roman" w:hAnsi="Calibri" w:cs="Calibri"/>
                <w:lang w:eastAsia="en-AU"/>
              </w:rPr>
              <w:t> </w:t>
            </w:r>
          </w:p>
        </w:tc>
        <w:tc>
          <w:tcPr>
            <w:tcW w:w="5405" w:type="dxa"/>
            <w:tcBorders>
              <w:top w:val="single" w:sz="6" w:space="0" w:color="auto"/>
              <w:left w:val="single" w:sz="6" w:space="0" w:color="auto"/>
              <w:bottom w:val="single" w:sz="6" w:space="0" w:color="auto"/>
              <w:right w:val="single" w:sz="6" w:space="0" w:color="auto"/>
            </w:tcBorders>
            <w:hideMark/>
          </w:tcPr>
          <w:p w14:paraId="1D301C6D"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Independent representative  </w:t>
            </w:r>
          </w:p>
        </w:tc>
      </w:tr>
      <w:tr w:rsidR="000114E6" w:rsidRPr="000114E6" w14:paraId="4F77AEE3"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1BED3754"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Garth Morgan </w:t>
            </w:r>
          </w:p>
        </w:tc>
        <w:tc>
          <w:tcPr>
            <w:tcW w:w="5405" w:type="dxa"/>
            <w:tcBorders>
              <w:top w:val="single" w:sz="6" w:space="0" w:color="auto"/>
              <w:left w:val="single" w:sz="6" w:space="0" w:color="auto"/>
              <w:bottom w:val="single" w:sz="6" w:space="0" w:color="auto"/>
              <w:right w:val="single" w:sz="6" w:space="0" w:color="auto"/>
            </w:tcBorders>
            <w:hideMark/>
          </w:tcPr>
          <w:p w14:paraId="76705B9E"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Independent representative  </w:t>
            </w:r>
          </w:p>
        </w:tc>
      </w:tr>
      <w:tr w:rsidR="000114E6" w:rsidRPr="000114E6" w14:paraId="3E3CE581"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3D7D2949"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Joanne Della Bona </w:t>
            </w:r>
            <w:r w:rsidRPr="000114E6">
              <w:rPr>
                <w:rFonts w:ascii="Calibri" w:eastAsia="Times New Roman" w:hAnsi="Calibri" w:cs="Calibri"/>
                <w:lang w:eastAsia="en-AU"/>
              </w:rPr>
              <w:t> </w:t>
            </w:r>
          </w:p>
        </w:tc>
        <w:tc>
          <w:tcPr>
            <w:tcW w:w="5405" w:type="dxa"/>
            <w:tcBorders>
              <w:top w:val="single" w:sz="6" w:space="0" w:color="auto"/>
              <w:left w:val="single" w:sz="6" w:space="0" w:color="auto"/>
              <w:bottom w:val="single" w:sz="6" w:space="0" w:color="auto"/>
              <w:right w:val="single" w:sz="6" w:space="0" w:color="auto"/>
            </w:tcBorders>
            <w:hideMark/>
          </w:tcPr>
          <w:p w14:paraId="05A5A1CD"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Independent representative   </w:t>
            </w:r>
          </w:p>
        </w:tc>
      </w:tr>
      <w:tr w:rsidR="000114E6" w:rsidRPr="000114E6" w14:paraId="6FEE3704"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413D49E6"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Elizabeth Cox </w:t>
            </w:r>
            <w:r w:rsidRPr="000114E6">
              <w:rPr>
                <w:rFonts w:ascii="Calibri" w:eastAsia="Times New Roman" w:hAnsi="Calibri" w:cs="Calibri"/>
                <w:lang w:eastAsia="en-AU"/>
              </w:rPr>
              <w:t>(apology)</w:t>
            </w:r>
          </w:p>
        </w:tc>
        <w:tc>
          <w:tcPr>
            <w:tcW w:w="5405" w:type="dxa"/>
            <w:tcBorders>
              <w:top w:val="single" w:sz="6" w:space="0" w:color="auto"/>
              <w:left w:val="single" w:sz="6" w:space="0" w:color="auto"/>
              <w:bottom w:val="single" w:sz="6" w:space="0" w:color="auto"/>
              <w:right w:val="single" w:sz="6" w:space="0" w:color="auto"/>
            </w:tcBorders>
            <w:hideMark/>
          </w:tcPr>
          <w:p w14:paraId="6748D3B2"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Independent Representative  </w:t>
            </w:r>
          </w:p>
        </w:tc>
      </w:tr>
      <w:tr w:rsidR="000114E6" w:rsidRPr="000114E6" w14:paraId="499290BE" w14:textId="77777777" w:rsidTr="00A60F7D">
        <w:trPr>
          <w:trHeight w:val="300"/>
          <w:jc w:val="center"/>
        </w:trPr>
        <w:tc>
          <w:tcPr>
            <w:tcW w:w="4952" w:type="dxa"/>
            <w:tcBorders>
              <w:top w:val="single" w:sz="6" w:space="0" w:color="auto"/>
              <w:left w:val="single" w:sz="6" w:space="0" w:color="auto"/>
              <w:bottom w:val="single" w:sz="6" w:space="0" w:color="auto"/>
              <w:right w:val="nil"/>
            </w:tcBorders>
            <w:hideMark/>
          </w:tcPr>
          <w:p w14:paraId="20C18F1D"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color w:val="904478"/>
                <w:lang w:eastAsia="en-AU"/>
              </w:rPr>
              <w:t>Government representatives</w:t>
            </w:r>
            <w:r w:rsidRPr="000114E6">
              <w:rPr>
                <w:rFonts w:ascii="Calibri" w:eastAsia="Times New Roman" w:hAnsi="Calibri" w:cs="Calibri"/>
                <w:color w:val="904478"/>
                <w:lang w:eastAsia="en-AU"/>
              </w:rPr>
              <w:t> </w:t>
            </w:r>
          </w:p>
        </w:tc>
        <w:tc>
          <w:tcPr>
            <w:tcW w:w="5405" w:type="dxa"/>
            <w:tcBorders>
              <w:top w:val="single" w:sz="6" w:space="0" w:color="auto"/>
              <w:left w:val="nil"/>
              <w:bottom w:val="single" w:sz="6" w:space="0" w:color="auto"/>
              <w:right w:val="single" w:sz="6" w:space="0" w:color="auto"/>
            </w:tcBorders>
            <w:hideMark/>
          </w:tcPr>
          <w:p w14:paraId="3C9C0C59"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 </w:t>
            </w:r>
          </w:p>
        </w:tc>
      </w:tr>
      <w:tr w:rsidR="000114E6" w:rsidRPr="000114E6" w14:paraId="24FF74D5"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16C79DC5"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Kylie Crane</w:t>
            </w:r>
            <w:r w:rsidRPr="000114E6">
              <w:rPr>
                <w:rFonts w:ascii="Calibri" w:eastAsia="Times New Roman" w:hAnsi="Calibri" w:cs="Calibri"/>
                <w:lang w:eastAsia="en-AU"/>
              </w:rPr>
              <w:t> </w:t>
            </w:r>
          </w:p>
        </w:tc>
        <w:tc>
          <w:tcPr>
            <w:tcW w:w="5405" w:type="dxa"/>
            <w:tcBorders>
              <w:top w:val="single" w:sz="6" w:space="0" w:color="auto"/>
              <w:left w:val="single" w:sz="6" w:space="0" w:color="auto"/>
              <w:bottom w:val="single" w:sz="6" w:space="0" w:color="auto"/>
              <w:right w:val="single" w:sz="6" w:space="0" w:color="auto"/>
            </w:tcBorders>
            <w:hideMark/>
          </w:tcPr>
          <w:p w14:paraId="02FC52C1"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Australian Government, Department of Education  </w:t>
            </w:r>
          </w:p>
        </w:tc>
      </w:tr>
      <w:tr w:rsidR="000114E6" w:rsidRPr="000114E6" w14:paraId="2746BA6A"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7731C421"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Mark Barraket </w:t>
            </w:r>
          </w:p>
        </w:tc>
        <w:tc>
          <w:tcPr>
            <w:tcW w:w="5405" w:type="dxa"/>
            <w:tcBorders>
              <w:top w:val="single" w:sz="6" w:space="0" w:color="auto"/>
              <w:left w:val="single" w:sz="6" w:space="0" w:color="auto"/>
              <w:bottom w:val="single" w:sz="6" w:space="0" w:color="auto"/>
              <w:right w:val="single" w:sz="6" w:space="0" w:color="auto"/>
            </w:tcBorders>
            <w:hideMark/>
          </w:tcPr>
          <w:p w14:paraId="4B3E1209"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New South Wales Government  </w:t>
            </w:r>
          </w:p>
        </w:tc>
      </w:tr>
      <w:tr w:rsidR="000114E6" w:rsidRPr="000114E6" w14:paraId="15A585DA"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5F6A317F"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Mathew Lundgren  </w:t>
            </w:r>
            <w:r w:rsidRPr="000114E6">
              <w:rPr>
                <w:rFonts w:ascii="Calibri" w:eastAsia="Times New Roman" w:hAnsi="Calibri" w:cs="Calibri"/>
                <w:lang w:eastAsia="en-AU"/>
              </w:rPr>
              <w:t> </w:t>
            </w:r>
          </w:p>
        </w:tc>
        <w:tc>
          <w:tcPr>
            <w:tcW w:w="5405" w:type="dxa"/>
            <w:tcBorders>
              <w:top w:val="single" w:sz="6" w:space="0" w:color="auto"/>
              <w:left w:val="single" w:sz="6" w:space="0" w:color="auto"/>
              <w:bottom w:val="single" w:sz="6" w:space="0" w:color="auto"/>
              <w:right w:val="single" w:sz="6" w:space="0" w:color="auto"/>
            </w:tcBorders>
            <w:hideMark/>
          </w:tcPr>
          <w:p w14:paraId="07F9CFCC"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Victorian Government  </w:t>
            </w:r>
          </w:p>
        </w:tc>
      </w:tr>
      <w:tr w:rsidR="000114E6" w:rsidRPr="000114E6" w14:paraId="3C033A6C"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0A0CAD47"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Tania Porter</w:t>
            </w:r>
            <w:r w:rsidRPr="000114E6">
              <w:rPr>
                <w:rFonts w:ascii="Calibri" w:eastAsia="Times New Roman" w:hAnsi="Calibri" w:cs="Calibri"/>
                <w:lang w:eastAsia="en-AU"/>
              </w:rPr>
              <w:t> </w:t>
            </w:r>
          </w:p>
        </w:tc>
        <w:tc>
          <w:tcPr>
            <w:tcW w:w="5405" w:type="dxa"/>
            <w:tcBorders>
              <w:top w:val="single" w:sz="6" w:space="0" w:color="auto"/>
              <w:left w:val="single" w:sz="6" w:space="0" w:color="auto"/>
              <w:bottom w:val="single" w:sz="6" w:space="0" w:color="auto"/>
              <w:right w:val="single" w:sz="6" w:space="0" w:color="auto"/>
            </w:tcBorders>
            <w:hideMark/>
          </w:tcPr>
          <w:p w14:paraId="23602F4C"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Queensland Government  </w:t>
            </w:r>
          </w:p>
        </w:tc>
      </w:tr>
      <w:tr w:rsidR="000114E6" w:rsidRPr="000114E6" w14:paraId="023C8A3D"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62E50378"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Margaret Collard </w:t>
            </w:r>
            <w:r w:rsidRPr="000114E6">
              <w:rPr>
                <w:rFonts w:ascii="Calibri" w:eastAsia="Times New Roman" w:hAnsi="Calibri" w:cs="Calibri"/>
                <w:lang w:eastAsia="en-AU"/>
              </w:rPr>
              <w:t>(proxy for Melanie Samuels) </w:t>
            </w:r>
          </w:p>
        </w:tc>
        <w:tc>
          <w:tcPr>
            <w:tcW w:w="5405" w:type="dxa"/>
            <w:tcBorders>
              <w:top w:val="single" w:sz="6" w:space="0" w:color="auto"/>
              <w:left w:val="single" w:sz="6" w:space="0" w:color="auto"/>
              <w:bottom w:val="single" w:sz="6" w:space="0" w:color="auto"/>
              <w:right w:val="single" w:sz="6" w:space="0" w:color="auto"/>
            </w:tcBorders>
            <w:hideMark/>
          </w:tcPr>
          <w:p w14:paraId="06C30251"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Western Australia Government   </w:t>
            </w:r>
          </w:p>
        </w:tc>
      </w:tr>
      <w:tr w:rsidR="000114E6" w:rsidRPr="000114E6" w14:paraId="4F6DBD11"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678FEB19"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kern w:val="2"/>
                <w:lang w:eastAsia="en-AU"/>
                <w14:ligatures w14:val="standardContextual"/>
              </w:rPr>
              <w:t>Kim Little</w:t>
            </w:r>
            <w:r w:rsidRPr="000114E6">
              <w:rPr>
                <w:rFonts w:ascii="Calibri" w:eastAsia="Times New Roman" w:hAnsi="Calibri" w:cs="Calibri"/>
                <w:lang w:eastAsia="en-AU"/>
              </w:rPr>
              <w:t xml:space="preserve"> (Day 2)</w:t>
            </w:r>
            <w:r w:rsidRPr="000114E6">
              <w:rPr>
                <w:rFonts w:ascii="Calibri" w:eastAsia="Times New Roman" w:hAnsi="Calibri" w:cs="Calibri"/>
                <w:lang w:eastAsia="en-AU"/>
              </w:rPr>
              <w:br/>
            </w:r>
            <w:r w:rsidRPr="000114E6">
              <w:rPr>
                <w:rFonts w:ascii="Calibri" w:eastAsia="Times New Roman" w:hAnsi="Calibri" w:cs="Calibri"/>
                <w:b/>
                <w:bCs/>
                <w:lang w:eastAsia="en-AU"/>
              </w:rPr>
              <w:t xml:space="preserve">Jackie Bray </w:t>
            </w:r>
            <w:r w:rsidRPr="000114E6">
              <w:rPr>
                <w:rFonts w:ascii="Calibri" w:eastAsia="Times New Roman" w:hAnsi="Calibri" w:cs="Calibri"/>
                <w:lang w:eastAsia="en-AU"/>
              </w:rPr>
              <w:t>(Day 1, proxy for Kim Little</w:t>
            </w:r>
            <w:r w:rsidRPr="000114E6" w:rsidDel="000329F5">
              <w:rPr>
                <w:rFonts w:ascii="Calibri" w:eastAsia="Times New Roman" w:hAnsi="Calibri" w:cs="Calibri"/>
                <w:lang w:eastAsia="en-AU"/>
              </w:rPr>
              <w:t>)</w:t>
            </w:r>
          </w:p>
        </w:tc>
        <w:tc>
          <w:tcPr>
            <w:tcW w:w="5405" w:type="dxa"/>
            <w:tcBorders>
              <w:top w:val="single" w:sz="6" w:space="0" w:color="auto"/>
              <w:left w:val="single" w:sz="6" w:space="0" w:color="auto"/>
              <w:bottom w:val="single" w:sz="6" w:space="0" w:color="auto"/>
              <w:right w:val="single" w:sz="6" w:space="0" w:color="auto"/>
            </w:tcBorders>
            <w:hideMark/>
          </w:tcPr>
          <w:p w14:paraId="173B0CFB"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South Australia Government  </w:t>
            </w:r>
          </w:p>
        </w:tc>
      </w:tr>
      <w:tr w:rsidR="000114E6" w:rsidRPr="000114E6" w14:paraId="1FC93F4F"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3FFB24BF" w14:textId="77777777" w:rsidR="000114E6" w:rsidRPr="000114E6" w:rsidRDefault="000114E6" w:rsidP="000114E6">
            <w:pPr>
              <w:spacing w:beforeAutospacing="1" w:after="0" w:afterAutospacing="1" w:line="240" w:lineRule="auto"/>
              <w:textAlignment w:val="baseline"/>
              <w:rPr>
                <w:rFonts w:ascii="Calibri" w:eastAsia="Times New Roman" w:hAnsi="Calibri" w:cs="Calibri"/>
                <w:lang w:eastAsia="en-AU"/>
              </w:rPr>
            </w:pPr>
            <w:r w:rsidRPr="000114E6">
              <w:rPr>
                <w:rFonts w:ascii="Calibri" w:eastAsia="Times New Roman" w:hAnsi="Calibri" w:cs="Calibri"/>
                <w:b/>
                <w:bCs/>
                <w:lang w:eastAsia="en-AU"/>
              </w:rPr>
              <w:t>Peter Whitcombe</w:t>
            </w:r>
            <w:r w:rsidRPr="000114E6">
              <w:rPr>
                <w:rFonts w:ascii="Calibri" w:eastAsia="Times New Roman" w:hAnsi="Calibri" w:cs="Calibri"/>
                <w:lang w:eastAsia="en-AU"/>
              </w:rPr>
              <w:t> (morning of Day 1)</w:t>
            </w:r>
            <w:r w:rsidRPr="000114E6">
              <w:rPr>
                <w:rFonts w:ascii="Calibri" w:eastAsia="Times New Roman" w:hAnsi="Calibri" w:cs="Calibri"/>
                <w:lang w:eastAsia="en-AU"/>
              </w:rPr>
              <w:br/>
            </w:r>
            <w:r w:rsidRPr="000114E6">
              <w:rPr>
                <w:rFonts w:ascii="Calibri" w:eastAsia="Times New Roman" w:hAnsi="Calibri" w:cs="Calibri"/>
                <w:b/>
                <w:bCs/>
                <w:kern w:val="2"/>
                <w:lang w:eastAsia="en-AU"/>
                <w14:ligatures w14:val="standardContextual"/>
              </w:rPr>
              <w:t>Clare Wiseman</w:t>
            </w:r>
            <w:r w:rsidRPr="000114E6">
              <w:rPr>
                <w:rFonts w:ascii="Calibri" w:eastAsia="Times New Roman" w:hAnsi="Calibri" w:cs="Calibri"/>
                <w:kern w:val="2"/>
                <w:lang w:eastAsia="en-AU"/>
                <w14:ligatures w14:val="standardContextual"/>
              </w:rPr>
              <w:t xml:space="preserve"> (afternoon of Day 1, and all of Day 2, </w:t>
            </w:r>
            <w:r w:rsidRPr="000114E6" w:rsidDel="652BF479">
              <w:rPr>
                <w:rFonts w:ascii="Calibri" w:eastAsia="Times New Roman" w:hAnsi="Calibri" w:cs="Calibri"/>
                <w:kern w:val="2"/>
                <w:lang w:eastAsia="en-AU"/>
                <w14:ligatures w14:val="standardContextual"/>
              </w:rPr>
              <w:t xml:space="preserve">proxy for </w:t>
            </w:r>
            <w:r w:rsidRPr="000114E6">
              <w:rPr>
                <w:rFonts w:ascii="Calibri" w:eastAsia="Times New Roman" w:hAnsi="Calibri" w:cs="Calibri"/>
                <w:kern w:val="2"/>
                <w:lang w:eastAsia="en-AU"/>
                <w14:ligatures w14:val="standardContextual"/>
              </w:rPr>
              <w:t>Peter Whitcombe)</w:t>
            </w:r>
          </w:p>
        </w:tc>
        <w:tc>
          <w:tcPr>
            <w:tcW w:w="5405" w:type="dxa"/>
            <w:tcBorders>
              <w:top w:val="single" w:sz="6" w:space="0" w:color="auto"/>
              <w:left w:val="single" w:sz="6" w:space="0" w:color="auto"/>
              <w:bottom w:val="single" w:sz="6" w:space="0" w:color="auto"/>
              <w:right w:val="single" w:sz="6" w:space="0" w:color="auto"/>
            </w:tcBorders>
            <w:hideMark/>
          </w:tcPr>
          <w:p w14:paraId="20BD789F"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Tasmania Government  </w:t>
            </w:r>
          </w:p>
        </w:tc>
      </w:tr>
      <w:tr w:rsidR="000114E6" w:rsidRPr="000114E6" w14:paraId="345F9694"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068E817C"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 xml:space="preserve">Kate Columbine </w:t>
            </w:r>
            <w:r w:rsidRPr="000114E6">
              <w:rPr>
                <w:rFonts w:ascii="Calibri" w:eastAsia="Times New Roman" w:hAnsi="Calibri" w:cs="Calibri"/>
                <w:lang w:eastAsia="en-AU"/>
              </w:rPr>
              <w:t>(proxy for Nicole Moore)</w:t>
            </w:r>
          </w:p>
        </w:tc>
        <w:tc>
          <w:tcPr>
            <w:tcW w:w="5405" w:type="dxa"/>
            <w:tcBorders>
              <w:top w:val="single" w:sz="6" w:space="0" w:color="auto"/>
              <w:left w:val="single" w:sz="6" w:space="0" w:color="auto"/>
              <w:bottom w:val="single" w:sz="6" w:space="0" w:color="auto"/>
              <w:right w:val="single" w:sz="6" w:space="0" w:color="auto"/>
            </w:tcBorders>
            <w:hideMark/>
          </w:tcPr>
          <w:p w14:paraId="240A25F9"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Australian Capital Territory Government  </w:t>
            </w:r>
          </w:p>
        </w:tc>
      </w:tr>
      <w:tr w:rsidR="000114E6" w:rsidRPr="000114E6" w14:paraId="4D3AE74F"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52206C6E"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kern w:val="2"/>
                <w:lang w:eastAsia="en-AU"/>
                <w14:ligatures w14:val="standardContextual"/>
              </w:rPr>
              <w:t xml:space="preserve">Rachelle McMillan </w:t>
            </w:r>
            <w:r w:rsidRPr="000114E6">
              <w:rPr>
                <w:rFonts w:ascii="Calibri" w:eastAsia="Times New Roman" w:hAnsi="Calibri" w:cs="Calibri"/>
                <w:kern w:val="2"/>
                <w:lang w:eastAsia="en-AU"/>
                <w14:ligatures w14:val="standardContextual"/>
              </w:rPr>
              <w:t>(Day 1)</w:t>
            </w:r>
            <w:r w:rsidRPr="000114E6">
              <w:rPr>
                <w:rFonts w:ascii="Calibri" w:eastAsia="Times New Roman" w:hAnsi="Calibri" w:cs="Calibri"/>
                <w:b/>
                <w:bCs/>
                <w:kern w:val="2"/>
                <w:lang w:eastAsia="en-AU"/>
                <w14:ligatures w14:val="standardContextual"/>
              </w:rPr>
              <w:br/>
            </w:r>
            <w:r w:rsidRPr="000114E6">
              <w:rPr>
                <w:rFonts w:ascii="Calibri" w:eastAsia="Times New Roman" w:hAnsi="Calibri" w:cs="Calibri"/>
                <w:b/>
                <w:lang w:eastAsia="en-AU"/>
              </w:rPr>
              <w:t xml:space="preserve">Michelle McColm </w:t>
            </w:r>
            <w:r w:rsidRPr="000114E6">
              <w:rPr>
                <w:rFonts w:ascii="Calibri" w:eastAsia="Times New Roman" w:hAnsi="Calibri" w:cs="Calibri"/>
                <w:bCs/>
                <w:lang w:eastAsia="en-AU"/>
              </w:rPr>
              <w:t xml:space="preserve">(Day 2, </w:t>
            </w:r>
            <w:r w:rsidRPr="000114E6">
              <w:rPr>
                <w:rFonts w:ascii="Calibri" w:eastAsia="Times New Roman" w:hAnsi="Calibri" w:cs="Calibri"/>
                <w:lang w:eastAsia="en-AU"/>
              </w:rPr>
              <w:t>proxy for Rachelle McMillan</w:t>
            </w:r>
            <w:r w:rsidRPr="000114E6" w:rsidDel="00C23480">
              <w:rPr>
                <w:rFonts w:ascii="Calibri" w:eastAsia="Times New Roman" w:hAnsi="Calibri" w:cs="Calibri"/>
                <w:lang w:eastAsia="en-AU"/>
              </w:rPr>
              <w:t>)</w:t>
            </w:r>
          </w:p>
        </w:tc>
        <w:tc>
          <w:tcPr>
            <w:tcW w:w="5405" w:type="dxa"/>
            <w:tcBorders>
              <w:top w:val="single" w:sz="6" w:space="0" w:color="auto"/>
              <w:left w:val="single" w:sz="6" w:space="0" w:color="auto"/>
              <w:bottom w:val="single" w:sz="6" w:space="0" w:color="auto"/>
              <w:right w:val="single" w:sz="6" w:space="0" w:color="auto"/>
            </w:tcBorders>
            <w:hideMark/>
          </w:tcPr>
          <w:p w14:paraId="40EC886F"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Northern Territory Government  </w:t>
            </w:r>
          </w:p>
        </w:tc>
      </w:tr>
      <w:tr w:rsidR="000114E6" w:rsidRPr="000114E6" w14:paraId="6BB7A8EF" w14:textId="77777777" w:rsidTr="00A60F7D">
        <w:trPr>
          <w:trHeight w:val="300"/>
          <w:jc w:val="center"/>
        </w:trPr>
        <w:tc>
          <w:tcPr>
            <w:tcW w:w="4952" w:type="dxa"/>
            <w:tcBorders>
              <w:top w:val="single" w:sz="6" w:space="0" w:color="auto"/>
              <w:left w:val="single" w:sz="6" w:space="0" w:color="auto"/>
              <w:bottom w:val="single" w:sz="6" w:space="0" w:color="auto"/>
              <w:right w:val="nil"/>
            </w:tcBorders>
            <w:hideMark/>
          </w:tcPr>
          <w:p w14:paraId="67C8AB7F"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color w:val="904478"/>
                <w:lang w:eastAsia="en-AU"/>
              </w:rPr>
              <w:t>Partners</w:t>
            </w:r>
            <w:r w:rsidRPr="000114E6">
              <w:rPr>
                <w:rFonts w:ascii="Calibri" w:eastAsia="Times New Roman" w:hAnsi="Calibri" w:cs="Calibri"/>
                <w:color w:val="904478"/>
                <w:lang w:eastAsia="en-AU"/>
              </w:rPr>
              <w:t> </w:t>
            </w:r>
          </w:p>
        </w:tc>
        <w:tc>
          <w:tcPr>
            <w:tcW w:w="5405" w:type="dxa"/>
            <w:tcBorders>
              <w:top w:val="single" w:sz="6" w:space="0" w:color="auto"/>
              <w:left w:val="nil"/>
              <w:bottom w:val="single" w:sz="6" w:space="0" w:color="auto"/>
              <w:right w:val="single" w:sz="6" w:space="0" w:color="auto"/>
            </w:tcBorders>
            <w:hideMark/>
          </w:tcPr>
          <w:p w14:paraId="18681343"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 </w:t>
            </w:r>
          </w:p>
        </w:tc>
      </w:tr>
      <w:tr w:rsidR="000114E6" w:rsidRPr="000114E6" w14:paraId="4331D6C8"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7FD8D07B"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Muriel Bamblett</w:t>
            </w:r>
          </w:p>
        </w:tc>
        <w:tc>
          <w:tcPr>
            <w:tcW w:w="5405" w:type="dxa"/>
            <w:tcBorders>
              <w:top w:val="single" w:sz="6" w:space="0" w:color="auto"/>
              <w:left w:val="single" w:sz="6" w:space="0" w:color="auto"/>
              <w:bottom w:val="single" w:sz="6" w:space="0" w:color="auto"/>
              <w:right w:val="single" w:sz="6" w:space="0" w:color="auto"/>
            </w:tcBorders>
            <w:hideMark/>
          </w:tcPr>
          <w:p w14:paraId="3BC30209"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SNAICC – National Voice for our Children (SNAICC)  </w:t>
            </w:r>
          </w:p>
        </w:tc>
      </w:tr>
      <w:tr w:rsidR="000114E6" w:rsidRPr="000114E6" w14:paraId="0EA360BA"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6A098361"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John Leha</w:t>
            </w:r>
          </w:p>
        </w:tc>
        <w:tc>
          <w:tcPr>
            <w:tcW w:w="5405" w:type="dxa"/>
            <w:tcBorders>
              <w:top w:val="single" w:sz="6" w:space="0" w:color="auto"/>
              <w:left w:val="single" w:sz="6" w:space="0" w:color="auto"/>
              <w:bottom w:val="single" w:sz="6" w:space="0" w:color="auto"/>
              <w:right w:val="single" w:sz="6" w:space="0" w:color="auto"/>
            </w:tcBorders>
            <w:hideMark/>
          </w:tcPr>
          <w:p w14:paraId="0A022072"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proofErr w:type="spellStart"/>
            <w:r w:rsidRPr="000114E6">
              <w:rPr>
                <w:rFonts w:ascii="Calibri" w:eastAsia="Times New Roman" w:hAnsi="Calibri" w:cs="Calibri"/>
                <w:lang w:eastAsia="en-AU"/>
              </w:rPr>
              <w:t>AbSec</w:t>
            </w:r>
            <w:proofErr w:type="spellEnd"/>
            <w:r w:rsidRPr="000114E6">
              <w:rPr>
                <w:rFonts w:ascii="Calibri" w:eastAsia="Times New Roman" w:hAnsi="Calibri" w:cs="Calibri"/>
                <w:lang w:eastAsia="en-AU"/>
              </w:rPr>
              <w:t> – NSW Child, Family and Community Peak Aboriginal Corporation  </w:t>
            </w:r>
          </w:p>
        </w:tc>
      </w:tr>
      <w:tr w:rsidR="000114E6" w:rsidRPr="000114E6" w14:paraId="05BE41F5"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2CC27299"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Helena Wright </w:t>
            </w:r>
            <w:r w:rsidRPr="000114E6">
              <w:rPr>
                <w:rFonts w:ascii="Calibri" w:eastAsia="Times New Roman" w:hAnsi="Calibri" w:cs="Calibri"/>
                <w:lang w:eastAsia="en-AU"/>
              </w:rPr>
              <w:t>(proxy for Phillip Brooks) </w:t>
            </w:r>
          </w:p>
        </w:tc>
        <w:tc>
          <w:tcPr>
            <w:tcW w:w="5405" w:type="dxa"/>
            <w:tcBorders>
              <w:top w:val="single" w:sz="6" w:space="0" w:color="auto"/>
              <w:left w:val="single" w:sz="6" w:space="0" w:color="auto"/>
              <w:bottom w:val="single" w:sz="6" w:space="0" w:color="auto"/>
              <w:right w:val="single" w:sz="6" w:space="0" w:color="auto"/>
            </w:tcBorders>
            <w:hideMark/>
          </w:tcPr>
          <w:p w14:paraId="3AB325CF"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Queensland Aboriginal and Torres Strait Islander Child Protection Peak (QATSICPP) </w:t>
            </w:r>
          </w:p>
        </w:tc>
      </w:tr>
      <w:tr w:rsidR="000114E6" w:rsidRPr="000114E6" w14:paraId="259FB5C1"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6EF4F99E"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Corri McKenzie </w:t>
            </w:r>
            <w:r w:rsidRPr="000114E6">
              <w:rPr>
                <w:rFonts w:ascii="Calibri" w:eastAsia="Times New Roman" w:hAnsi="Calibri" w:cs="Calibri"/>
                <w:lang w:eastAsia="en-AU"/>
              </w:rPr>
              <w:t> </w:t>
            </w:r>
          </w:p>
        </w:tc>
        <w:tc>
          <w:tcPr>
            <w:tcW w:w="5405" w:type="dxa"/>
            <w:tcBorders>
              <w:top w:val="single" w:sz="6" w:space="0" w:color="auto"/>
              <w:left w:val="single" w:sz="6" w:space="0" w:color="auto"/>
              <w:bottom w:val="single" w:sz="6" w:space="0" w:color="auto"/>
              <w:right w:val="single" w:sz="6" w:space="0" w:color="auto"/>
            </w:tcBorders>
            <w:hideMark/>
          </w:tcPr>
          <w:p w14:paraId="47190348"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Australian Government, Department of Social Services  </w:t>
            </w:r>
          </w:p>
        </w:tc>
      </w:tr>
      <w:tr w:rsidR="000114E6" w:rsidRPr="000114E6" w14:paraId="09B22C77"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7B0C635C"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lastRenderedPageBreak/>
              <w:t xml:space="preserve">Priya Powell </w:t>
            </w:r>
            <w:r w:rsidRPr="000114E6">
              <w:rPr>
                <w:rFonts w:ascii="Calibri" w:eastAsia="Times New Roman" w:hAnsi="Calibri" w:cs="Calibri"/>
                <w:lang w:eastAsia="en-AU"/>
              </w:rPr>
              <w:t>(proxy for Josh Smith)</w:t>
            </w:r>
          </w:p>
        </w:tc>
        <w:tc>
          <w:tcPr>
            <w:tcW w:w="5405" w:type="dxa"/>
            <w:tcBorders>
              <w:top w:val="single" w:sz="6" w:space="0" w:color="auto"/>
              <w:left w:val="single" w:sz="6" w:space="0" w:color="auto"/>
              <w:bottom w:val="single" w:sz="6" w:space="0" w:color="auto"/>
              <w:right w:val="single" w:sz="6" w:space="0" w:color="auto"/>
            </w:tcBorders>
            <w:hideMark/>
          </w:tcPr>
          <w:p w14:paraId="254CADBF"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Australian Government, National Indigenous Australians Agency  </w:t>
            </w:r>
          </w:p>
        </w:tc>
      </w:tr>
      <w:tr w:rsidR="000114E6" w:rsidRPr="000114E6" w14:paraId="5676408A"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13608DED"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Stuart </w:t>
            </w:r>
            <w:proofErr w:type="spellStart"/>
            <w:r w:rsidRPr="000114E6">
              <w:rPr>
                <w:rFonts w:ascii="Calibri" w:eastAsia="Times New Roman" w:hAnsi="Calibri" w:cs="Calibri"/>
                <w:b/>
                <w:bCs/>
                <w:lang w:eastAsia="en-AU"/>
              </w:rPr>
              <w:t>Malcher</w:t>
            </w:r>
            <w:proofErr w:type="spellEnd"/>
            <w:r w:rsidRPr="000114E6">
              <w:rPr>
                <w:rFonts w:ascii="Calibri" w:eastAsia="Times New Roman" w:hAnsi="Calibri" w:cs="Calibri"/>
                <w:lang w:eastAsia="en-AU"/>
              </w:rPr>
              <w:t> </w:t>
            </w:r>
          </w:p>
        </w:tc>
        <w:tc>
          <w:tcPr>
            <w:tcW w:w="5405" w:type="dxa"/>
            <w:tcBorders>
              <w:top w:val="single" w:sz="6" w:space="0" w:color="auto"/>
              <w:left w:val="single" w:sz="6" w:space="0" w:color="auto"/>
              <w:bottom w:val="single" w:sz="6" w:space="0" w:color="auto"/>
              <w:right w:val="single" w:sz="6" w:space="0" w:color="auto"/>
            </w:tcBorders>
            <w:hideMark/>
          </w:tcPr>
          <w:p w14:paraId="7A317584"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New South Wales Government  </w:t>
            </w:r>
          </w:p>
        </w:tc>
      </w:tr>
      <w:tr w:rsidR="000114E6" w:rsidRPr="000114E6" w14:paraId="2053E211"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1196C414"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Simone Corin</w:t>
            </w:r>
            <w:r w:rsidRPr="000114E6">
              <w:rPr>
                <w:rFonts w:ascii="Calibri" w:eastAsia="Times New Roman" w:hAnsi="Calibri" w:cs="Calibri"/>
                <w:lang w:eastAsia="en-AU"/>
              </w:rPr>
              <w:t> </w:t>
            </w:r>
          </w:p>
        </w:tc>
        <w:tc>
          <w:tcPr>
            <w:tcW w:w="5405" w:type="dxa"/>
            <w:tcBorders>
              <w:top w:val="single" w:sz="6" w:space="0" w:color="auto"/>
              <w:left w:val="single" w:sz="6" w:space="0" w:color="auto"/>
              <w:bottom w:val="single" w:sz="6" w:space="0" w:color="auto"/>
              <w:right w:val="single" w:sz="6" w:space="0" w:color="auto"/>
            </w:tcBorders>
            <w:hideMark/>
          </w:tcPr>
          <w:p w14:paraId="5FECF3DA"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Victorian Government  </w:t>
            </w:r>
          </w:p>
        </w:tc>
      </w:tr>
      <w:tr w:rsidR="000114E6" w:rsidRPr="000114E6" w14:paraId="50465B63"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4D1460EB" w14:textId="77777777" w:rsidR="000114E6" w:rsidRPr="000114E6" w:rsidRDefault="000114E6" w:rsidP="000114E6">
            <w:pPr>
              <w:spacing w:beforeAutospacing="1" w:after="0" w:afterAutospacing="1" w:line="240" w:lineRule="auto"/>
              <w:textAlignment w:val="baseline"/>
              <w:rPr>
                <w:rFonts w:ascii="Calibri" w:eastAsia="Times New Roman" w:hAnsi="Calibri" w:cs="Calibri"/>
                <w:lang w:eastAsia="en-AU"/>
              </w:rPr>
            </w:pPr>
            <w:r w:rsidRPr="000114E6">
              <w:rPr>
                <w:rFonts w:ascii="Calibri" w:eastAsia="Times New Roman" w:hAnsi="Calibri" w:cs="Calibri"/>
                <w:b/>
                <w:bCs/>
                <w:kern w:val="2"/>
                <w:lang w:eastAsia="en-AU"/>
                <w14:ligatures w14:val="standardContextual"/>
              </w:rPr>
              <w:t xml:space="preserve">Letitia Creevy </w:t>
            </w:r>
          </w:p>
        </w:tc>
        <w:tc>
          <w:tcPr>
            <w:tcW w:w="5405" w:type="dxa"/>
            <w:tcBorders>
              <w:top w:val="single" w:sz="6" w:space="0" w:color="auto"/>
              <w:left w:val="single" w:sz="6" w:space="0" w:color="auto"/>
              <w:bottom w:val="single" w:sz="6" w:space="0" w:color="auto"/>
              <w:right w:val="single" w:sz="6" w:space="0" w:color="auto"/>
            </w:tcBorders>
            <w:hideMark/>
          </w:tcPr>
          <w:p w14:paraId="21D700CC"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Queensland Government  </w:t>
            </w:r>
          </w:p>
        </w:tc>
      </w:tr>
      <w:tr w:rsidR="000114E6" w:rsidRPr="000114E6" w14:paraId="704AF288"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362CD788"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 xml:space="preserve">Tom Antoniazzi </w:t>
            </w:r>
            <w:r w:rsidRPr="000114E6">
              <w:rPr>
                <w:rFonts w:ascii="Calibri" w:eastAsia="Times New Roman" w:hAnsi="Calibri" w:cs="Calibri"/>
                <w:lang w:eastAsia="en-AU"/>
              </w:rPr>
              <w:t>(proxy for Raechelle Lee)</w:t>
            </w:r>
            <w:r w:rsidRPr="000114E6">
              <w:rPr>
                <w:rFonts w:ascii="Calibri" w:eastAsia="Times New Roman" w:hAnsi="Calibri" w:cs="Calibri"/>
                <w:b/>
                <w:bCs/>
                <w:lang w:eastAsia="en-AU"/>
              </w:rPr>
              <w:t> </w:t>
            </w:r>
          </w:p>
        </w:tc>
        <w:tc>
          <w:tcPr>
            <w:tcW w:w="5405" w:type="dxa"/>
            <w:tcBorders>
              <w:top w:val="single" w:sz="6" w:space="0" w:color="auto"/>
              <w:left w:val="single" w:sz="6" w:space="0" w:color="auto"/>
              <w:bottom w:val="single" w:sz="6" w:space="0" w:color="auto"/>
              <w:right w:val="single" w:sz="6" w:space="0" w:color="auto"/>
            </w:tcBorders>
            <w:hideMark/>
          </w:tcPr>
          <w:p w14:paraId="71554BD4"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Western Australia Government  </w:t>
            </w:r>
          </w:p>
        </w:tc>
      </w:tr>
      <w:tr w:rsidR="000114E6" w:rsidRPr="000114E6" w14:paraId="21076A9B"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0647489E"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lang w:eastAsia="en-AU"/>
              </w:rPr>
              <w:t>Jackie Bray</w:t>
            </w:r>
          </w:p>
        </w:tc>
        <w:tc>
          <w:tcPr>
            <w:tcW w:w="5405" w:type="dxa"/>
            <w:tcBorders>
              <w:top w:val="single" w:sz="6" w:space="0" w:color="auto"/>
              <w:left w:val="single" w:sz="6" w:space="0" w:color="auto"/>
              <w:bottom w:val="single" w:sz="6" w:space="0" w:color="auto"/>
              <w:right w:val="single" w:sz="6" w:space="0" w:color="auto"/>
            </w:tcBorders>
            <w:hideMark/>
          </w:tcPr>
          <w:p w14:paraId="77B97697"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South Australian Government  </w:t>
            </w:r>
          </w:p>
        </w:tc>
      </w:tr>
      <w:tr w:rsidR="000114E6" w:rsidRPr="000114E6" w14:paraId="1C1EBB52"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34917794"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Jodee Wilson </w:t>
            </w:r>
            <w:r w:rsidRPr="000114E6">
              <w:rPr>
                <w:rFonts w:ascii="Calibri" w:eastAsia="Times New Roman" w:hAnsi="Calibri" w:cs="Calibri"/>
                <w:lang w:eastAsia="en-AU"/>
              </w:rPr>
              <w:t>(apology) </w:t>
            </w:r>
          </w:p>
        </w:tc>
        <w:tc>
          <w:tcPr>
            <w:tcW w:w="5405" w:type="dxa"/>
            <w:tcBorders>
              <w:top w:val="single" w:sz="6" w:space="0" w:color="auto"/>
              <w:left w:val="single" w:sz="6" w:space="0" w:color="auto"/>
              <w:bottom w:val="single" w:sz="6" w:space="0" w:color="auto"/>
              <w:right w:val="single" w:sz="6" w:space="0" w:color="auto"/>
            </w:tcBorders>
            <w:hideMark/>
          </w:tcPr>
          <w:p w14:paraId="4BA5363E"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Tasmanian Government </w:t>
            </w:r>
          </w:p>
        </w:tc>
      </w:tr>
      <w:tr w:rsidR="000114E6" w:rsidRPr="000114E6" w14:paraId="43413C5B"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6205079D"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b/>
                <w:bCs/>
                <w:sz w:val="24"/>
                <w:szCs w:val="24"/>
                <w:lang w:eastAsia="en-AU"/>
              </w:rPr>
            </w:pPr>
            <w:r w:rsidRPr="000114E6">
              <w:rPr>
                <w:rFonts w:ascii="Calibri" w:eastAsia="Times New Roman" w:hAnsi="Calibri" w:cs="Calibri"/>
                <w:b/>
                <w:bCs/>
                <w:lang w:eastAsia="en-AU"/>
              </w:rPr>
              <w:t>Telesha Newman </w:t>
            </w:r>
          </w:p>
        </w:tc>
        <w:tc>
          <w:tcPr>
            <w:tcW w:w="5405" w:type="dxa"/>
            <w:tcBorders>
              <w:top w:val="single" w:sz="6" w:space="0" w:color="auto"/>
              <w:left w:val="single" w:sz="6" w:space="0" w:color="auto"/>
              <w:bottom w:val="single" w:sz="6" w:space="0" w:color="auto"/>
              <w:right w:val="single" w:sz="6" w:space="0" w:color="auto"/>
            </w:tcBorders>
            <w:hideMark/>
          </w:tcPr>
          <w:p w14:paraId="7601EF2B"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Australian Capital Territory Government  </w:t>
            </w:r>
          </w:p>
        </w:tc>
      </w:tr>
      <w:tr w:rsidR="000114E6" w:rsidRPr="000114E6" w14:paraId="29FED897" w14:textId="77777777" w:rsidTr="00A60F7D">
        <w:trPr>
          <w:trHeight w:val="300"/>
          <w:jc w:val="center"/>
        </w:trPr>
        <w:tc>
          <w:tcPr>
            <w:tcW w:w="4952" w:type="dxa"/>
            <w:tcBorders>
              <w:top w:val="single" w:sz="6" w:space="0" w:color="auto"/>
              <w:left w:val="single" w:sz="6" w:space="0" w:color="auto"/>
              <w:bottom w:val="single" w:sz="6" w:space="0" w:color="auto"/>
              <w:right w:val="single" w:sz="6" w:space="0" w:color="auto"/>
            </w:tcBorders>
            <w:hideMark/>
          </w:tcPr>
          <w:p w14:paraId="38B55317"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b/>
                <w:bCs/>
                <w:lang w:eastAsia="en-AU"/>
              </w:rPr>
              <w:t>Meg Hewett </w:t>
            </w:r>
            <w:r w:rsidRPr="000114E6">
              <w:rPr>
                <w:rFonts w:ascii="Calibri" w:eastAsia="Times New Roman" w:hAnsi="Calibri" w:cs="Calibri"/>
                <w:lang w:eastAsia="en-AU"/>
              </w:rPr>
              <w:t>(proxy for Aderyn Chatterton) </w:t>
            </w:r>
          </w:p>
        </w:tc>
        <w:tc>
          <w:tcPr>
            <w:tcW w:w="5405" w:type="dxa"/>
            <w:tcBorders>
              <w:top w:val="single" w:sz="6" w:space="0" w:color="auto"/>
              <w:left w:val="single" w:sz="6" w:space="0" w:color="auto"/>
              <w:bottom w:val="single" w:sz="6" w:space="0" w:color="auto"/>
              <w:right w:val="single" w:sz="6" w:space="0" w:color="auto"/>
            </w:tcBorders>
            <w:hideMark/>
          </w:tcPr>
          <w:p w14:paraId="1F415FA4" w14:textId="77777777" w:rsidR="000114E6" w:rsidRPr="000114E6" w:rsidRDefault="000114E6" w:rsidP="000114E6">
            <w:pPr>
              <w:spacing w:beforeAutospacing="1" w:after="0" w:afterAutospacing="1" w:line="240" w:lineRule="auto"/>
              <w:textAlignment w:val="baseline"/>
              <w:rPr>
                <w:rFonts w:ascii="Times New Roman" w:eastAsia="Times New Roman" w:hAnsi="Times New Roman" w:cs="Times New Roman"/>
                <w:sz w:val="24"/>
                <w:szCs w:val="24"/>
                <w:lang w:eastAsia="en-AU"/>
              </w:rPr>
            </w:pPr>
            <w:r w:rsidRPr="000114E6">
              <w:rPr>
                <w:rFonts w:ascii="Calibri" w:eastAsia="Times New Roman" w:hAnsi="Calibri" w:cs="Calibri"/>
                <w:lang w:eastAsia="en-AU"/>
              </w:rPr>
              <w:t>Northern Territory Government   </w:t>
            </w:r>
          </w:p>
        </w:tc>
      </w:tr>
      <w:bookmarkEnd w:id="5"/>
      <w:bookmarkEnd w:id="6"/>
      <w:bookmarkEnd w:id="7"/>
    </w:tbl>
    <w:p w14:paraId="6D4D630A" w14:textId="77777777" w:rsidR="001E28AC" w:rsidRPr="001E28AC" w:rsidRDefault="001E28AC" w:rsidP="00EC0A4D">
      <w:pPr>
        <w:rPr>
          <w:lang w:eastAsia="en-AU"/>
        </w:rPr>
      </w:pPr>
    </w:p>
    <w:sectPr w:rsidR="001E28AC" w:rsidRPr="001E28AC" w:rsidSect="00C1788E">
      <w:type w:val="continuous"/>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C7465" w14:textId="77777777" w:rsidR="00D74D1C" w:rsidRDefault="00D74D1C" w:rsidP="000A6228">
      <w:pPr>
        <w:spacing w:after="0" w:line="240" w:lineRule="auto"/>
      </w:pPr>
      <w:r>
        <w:separator/>
      </w:r>
    </w:p>
  </w:endnote>
  <w:endnote w:type="continuationSeparator" w:id="0">
    <w:p w14:paraId="19C426FF" w14:textId="77777777" w:rsidR="00D74D1C" w:rsidRDefault="00D74D1C"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76C1D" w14:textId="77CF3D1B" w:rsidR="00D86284" w:rsidRDefault="00586FE9" w:rsidP="004676A8">
    <w:pPr>
      <w:pStyle w:val="Footer"/>
    </w:pPr>
    <w:r>
      <w:t>Meeting 14 Outcomes</w:t>
    </w:r>
    <w:r w:rsidR="004676A8">
      <w:t xml:space="preserve"> | </w:t>
    </w:r>
    <w:r w:rsidR="004676A8" w:rsidRPr="00AF1F18">
      <w:fldChar w:fldCharType="begin"/>
    </w:r>
    <w:r w:rsidR="004676A8" w:rsidRPr="00AF1F18">
      <w:instrText xml:space="preserve"> PAGE   \* MERGEFORMAT </w:instrText>
    </w:r>
    <w:r w:rsidR="004676A8" w:rsidRPr="00AF1F18">
      <w:fldChar w:fldCharType="separate"/>
    </w:r>
    <w:r w:rsidR="004676A8">
      <w:t>1</w:t>
    </w:r>
    <w:r w:rsidR="004676A8" w:rsidRPr="00AF1F18">
      <w:fldChar w:fldCharType="end"/>
    </w:r>
    <w:r w:rsidR="00FF007B">
      <w:rPr>
        <w:noProof/>
      </w:rPr>
      <w:drawing>
        <wp:anchor distT="0" distB="0" distL="114300" distR="114300" simplePos="0" relativeHeight="251658240" behindDoc="1" locked="1" layoutInCell="1" allowOverlap="1" wp14:anchorId="2E8E0250" wp14:editId="55A942A8">
          <wp:simplePos x="0" y="0"/>
          <wp:positionH relativeFrom="page">
            <wp:posOffset>0</wp:posOffset>
          </wp:positionH>
          <wp:positionV relativeFrom="page">
            <wp:posOffset>10354310</wp:posOffset>
          </wp:positionV>
          <wp:extent cx="7553325" cy="420370"/>
          <wp:effectExtent l="0" t="0" r="9525" b="0"/>
          <wp:wrapNone/>
          <wp:docPr id="592932207" name="Picture 5929322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3325" cy="42037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D2D4D" w14:textId="5D515829" w:rsidR="004676A8" w:rsidRDefault="00EC0A4D">
    <w:pPr>
      <w:pStyle w:val="Footer"/>
    </w:pPr>
    <w:r>
      <w:t>Meeting 14 Outcomes</w:t>
    </w:r>
    <w:r w:rsidR="004676A8">
      <w:t xml:space="preserve"> | </w:t>
    </w:r>
    <w:r w:rsidR="004676A8" w:rsidRPr="00AF1F18">
      <w:fldChar w:fldCharType="begin"/>
    </w:r>
    <w:r w:rsidR="004676A8" w:rsidRPr="00AF1F18">
      <w:instrText xml:space="preserve"> PAGE   \* MERGEFORMAT </w:instrText>
    </w:r>
    <w:r w:rsidR="004676A8" w:rsidRPr="00AF1F18">
      <w:fldChar w:fldCharType="separate"/>
    </w:r>
    <w:r w:rsidR="004676A8">
      <w:t>3</w:t>
    </w:r>
    <w:r w:rsidR="004676A8" w:rsidRPr="00AF1F1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23C7C" w14:textId="77777777" w:rsidR="00D74D1C" w:rsidRDefault="00D74D1C" w:rsidP="000A6228">
      <w:pPr>
        <w:spacing w:after="0" w:line="240" w:lineRule="auto"/>
      </w:pPr>
      <w:r>
        <w:separator/>
      </w:r>
    </w:p>
  </w:footnote>
  <w:footnote w:type="continuationSeparator" w:id="0">
    <w:p w14:paraId="27209753" w14:textId="77777777" w:rsidR="00D74D1C" w:rsidRDefault="00D74D1C"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F0A3C" w14:textId="0552E78C" w:rsidR="00FF007B" w:rsidRDefault="00FF007B">
    <w:pPr>
      <w:pStyle w:val="Header"/>
    </w:pPr>
    <w:r>
      <w:rPr>
        <w:noProof/>
      </w:rPr>
      <w:drawing>
        <wp:anchor distT="0" distB="0" distL="114300" distR="114300" simplePos="0" relativeHeight="251658241" behindDoc="1" locked="0" layoutInCell="1" allowOverlap="1" wp14:anchorId="58898DCC" wp14:editId="7E7DE1A2">
          <wp:simplePos x="0" y="0"/>
          <wp:positionH relativeFrom="page">
            <wp:align>right</wp:align>
          </wp:positionH>
          <wp:positionV relativeFrom="paragraph">
            <wp:posOffset>-675640</wp:posOffset>
          </wp:positionV>
          <wp:extent cx="1255776" cy="1298448"/>
          <wp:effectExtent l="0" t="0" r="1905" b="0"/>
          <wp:wrapNone/>
          <wp:docPr id="6361169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712275"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55776" cy="12984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3"/>
  </w:num>
  <w:num w:numId="6" w16cid:durableId="816344236">
    <w:abstractNumId w:val="2"/>
  </w:num>
  <w:num w:numId="7" w16cid:durableId="1908612059">
    <w:abstractNumId w:val="1"/>
  </w:num>
  <w:num w:numId="8" w16cid:durableId="1618215078">
    <w:abstractNumId w:val="0"/>
  </w:num>
  <w:num w:numId="9" w16cid:durableId="1850677422">
    <w:abstractNumId w:val="12"/>
  </w:num>
  <w:num w:numId="10" w16cid:durableId="1599946406">
    <w:abstractNumId w:val="7"/>
  </w:num>
  <w:num w:numId="11" w16cid:durableId="714038629">
    <w:abstractNumId w:val="16"/>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7"/>
  </w:num>
  <w:num w:numId="17" w16cid:durableId="2029670193">
    <w:abstractNumId w:val="14"/>
  </w:num>
  <w:num w:numId="18" w16cid:durableId="887570554">
    <w:abstractNumId w:val="8"/>
  </w:num>
  <w:num w:numId="19" w16cid:durableId="1477893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14E6"/>
    <w:rsid w:val="00012366"/>
    <w:rsid w:val="00021FBE"/>
    <w:rsid w:val="000521D7"/>
    <w:rsid w:val="00071025"/>
    <w:rsid w:val="000A0B58"/>
    <w:rsid w:val="000A3BA3"/>
    <w:rsid w:val="000A6228"/>
    <w:rsid w:val="000B5D40"/>
    <w:rsid w:val="000B7EC6"/>
    <w:rsid w:val="001002AE"/>
    <w:rsid w:val="00107D87"/>
    <w:rsid w:val="00107DD5"/>
    <w:rsid w:val="0012343A"/>
    <w:rsid w:val="00133B8D"/>
    <w:rsid w:val="0013611E"/>
    <w:rsid w:val="001515BF"/>
    <w:rsid w:val="0017134D"/>
    <w:rsid w:val="00185DDD"/>
    <w:rsid w:val="0019042D"/>
    <w:rsid w:val="001B1A62"/>
    <w:rsid w:val="001C1523"/>
    <w:rsid w:val="001C7F60"/>
    <w:rsid w:val="001E1BBD"/>
    <w:rsid w:val="001E28AC"/>
    <w:rsid w:val="002054E5"/>
    <w:rsid w:val="00221D8F"/>
    <w:rsid w:val="002272DB"/>
    <w:rsid w:val="002341DE"/>
    <w:rsid w:val="00271DAA"/>
    <w:rsid w:val="00276047"/>
    <w:rsid w:val="002A4458"/>
    <w:rsid w:val="002D589A"/>
    <w:rsid w:val="002E032E"/>
    <w:rsid w:val="002E30C8"/>
    <w:rsid w:val="002E491A"/>
    <w:rsid w:val="00304C03"/>
    <w:rsid w:val="003832D9"/>
    <w:rsid w:val="00392A70"/>
    <w:rsid w:val="003C5F93"/>
    <w:rsid w:val="00400824"/>
    <w:rsid w:val="0040155D"/>
    <w:rsid w:val="00413F7D"/>
    <w:rsid w:val="0041713E"/>
    <w:rsid w:val="00421D3F"/>
    <w:rsid w:val="004223DB"/>
    <w:rsid w:val="00423785"/>
    <w:rsid w:val="00452D26"/>
    <w:rsid w:val="00454DA7"/>
    <w:rsid w:val="004676A8"/>
    <w:rsid w:val="00471E5D"/>
    <w:rsid w:val="004A06CD"/>
    <w:rsid w:val="004A4B6F"/>
    <w:rsid w:val="004A4CF9"/>
    <w:rsid w:val="004B46FF"/>
    <w:rsid w:val="004C42FD"/>
    <w:rsid w:val="004D2965"/>
    <w:rsid w:val="004D2D9D"/>
    <w:rsid w:val="00505EB2"/>
    <w:rsid w:val="0055215B"/>
    <w:rsid w:val="00586FE9"/>
    <w:rsid w:val="005A75C9"/>
    <w:rsid w:val="005B187D"/>
    <w:rsid w:val="0060764F"/>
    <w:rsid w:val="0061047B"/>
    <w:rsid w:val="006232DC"/>
    <w:rsid w:val="0063094F"/>
    <w:rsid w:val="00687A6A"/>
    <w:rsid w:val="006D67F3"/>
    <w:rsid w:val="006F0B75"/>
    <w:rsid w:val="006F1FFF"/>
    <w:rsid w:val="006F6D10"/>
    <w:rsid w:val="0070203F"/>
    <w:rsid w:val="00712B94"/>
    <w:rsid w:val="0071656E"/>
    <w:rsid w:val="00721083"/>
    <w:rsid w:val="00742ED9"/>
    <w:rsid w:val="00764440"/>
    <w:rsid w:val="00787C2A"/>
    <w:rsid w:val="00790566"/>
    <w:rsid w:val="007930F0"/>
    <w:rsid w:val="007B2CA1"/>
    <w:rsid w:val="007C1E53"/>
    <w:rsid w:val="007D0ABC"/>
    <w:rsid w:val="007D2423"/>
    <w:rsid w:val="008042F5"/>
    <w:rsid w:val="00842A8A"/>
    <w:rsid w:val="00880641"/>
    <w:rsid w:val="00882954"/>
    <w:rsid w:val="00886959"/>
    <w:rsid w:val="00893A34"/>
    <w:rsid w:val="008A36E1"/>
    <w:rsid w:val="008A37A7"/>
    <w:rsid w:val="008B0736"/>
    <w:rsid w:val="008B4684"/>
    <w:rsid w:val="008D195E"/>
    <w:rsid w:val="008E70F5"/>
    <w:rsid w:val="008F1807"/>
    <w:rsid w:val="008F2AA0"/>
    <w:rsid w:val="00950B06"/>
    <w:rsid w:val="00970069"/>
    <w:rsid w:val="009721EB"/>
    <w:rsid w:val="009916B0"/>
    <w:rsid w:val="009B706E"/>
    <w:rsid w:val="009C423A"/>
    <w:rsid w:val="009E57AF"/>
    <w:rsid w:val="009E79ED"/>
    <w:rsid w:val="00A07596"/>
    <w:rsid w:val="00A17A08"/>
    <w:rsid w:val="00A25917"/>
    <w:rsid w:val="00A60673"/>
    <w:rsid w:val="00A60F7D"/>
    <w:rsid w:val="00A74977"/>
    <w:rsid w:val="00AB1D63"/>
    <w:rsid w:val="00AC1872"/>
    <w:rsid w:val="00AC748F"/>
    <w:rsid w:val="00AC7CAA"/>
    <w:rsid w:val="00AD631F"/>
    <w:rsid w:val="00AE21FF"/>
    <w:rsid w:val="00AE64E5"/>
    <w:rsid w:val="00AF1F18"/>
    <w:rsid w:val="00AF686B"/>
    <w:rsid w:val="00B0726E"/>
    <w:rsid w:val="00B219D1"/>
    <w:rsid w:val="00B81FA4"/>
    <w:rsid w:val="00B8794C"/>
    <w:rsid w:val="00B95EF4"/>
    <w:rsid w:val="00BB1E20"/>
    <w:rsid w:val="00BB5D28"/>
    <w:rsid w:val="00BB6509"/>
    <w:rsid w:val="00BC248C"/>
    <w:rsid w:val="00BE0155"/>
    <w:rsid w:val="00BE6A8C"/>
    <w:rsid w:val="00BF1A0C"/>
    <w:rsid w:val="00C01EC0"/>
    <w:rsid w:val="00C1788E"/>
    <w:rsid w:val="00C244EE"/>
    <w:rsid w:val="00C3548F"/>
    <w:rsid w:val="00C72224"/>
    <w:rsid w:val="00C75706"/>
    <w:rsid w:val="00CA4815"/>
    <w:rsid w:val="00CB6189"/>
    <w:rsid w:val="00CF6562"/>
    <w:rsid w:val="00CF6A8C"/>
    <w:rsid w:val="00D25964"/>
    <w:rsid w:val="00D5688A"/>
    <w:rsid w:val="00D626D4"/>
    <w:rsid w:val="00D66BB9"/>
    <w:rsid w:val="00D74D1C"/>
    <w:rsid w:val="00D86284"/>
    <w:rsid w:val="00D94A92"/>
    <w:rsid w:val="00DB5B0E"/>
    <w:rsid w:val="00DC0E3D"/>
    <w:rsid w:val="00DC5980"/>
    <w:rsid w:val="00DD2B46"/>
    <w:rsid w:val="00DD49E2"/>
    <w:rsid w:val="00E06ED6"/>
    <w:rsid w:val="00E11C42"/>
    <w:rsid w:val="00E529E5"/>
    <w:rsid w:val="00E65595"/>
    <w:rsid w:val="00E7024D"/>
    <w:rsid w:val="00EB4C2F"/>
    <w:rsid w:val="00EC0A4D"/>
    <w:rsid w:val="00ED0DDF"/>
    <w:rsid w:val="00EE2E5C"/>
    <w:rsid w:val="00EF48B1"/>
    <w:rsid w:val="00F1000D"/>
    <w:rsid w:val="00F311A4"/>
    <w:rsid w:val="00F44EC8"/>
    <w:rsid w:val="00F4501F"/>
    <w:rsid w:val="00F56EE2"/>
    <w:rsid w:val="00F748CA"/>
    <w:rsid w:val="00F82C2C"/>
    <w:rsid w:val="00F85913"/>
    <w:rsid w:val="00F8746F"/>
    <w:rsid w:val="00FD4D6E"/>
    <w:rsid w:val="00FD6383"/>
    <w:rsid w:val="00FF007B"/>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7AB03"/>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CB6189"/>
    <w:pPr>
      <w:keepNext/>
      <w:keepLines/>
      <w:spacing w:before="240" w:after="0" w:line="640" w:lineRule="exact"/>
      <w:outlineLvl w:val="0"/>
    </w:pPr>
    <w:rPr>
      <w:rFonts w:ascii="Calibri" w:eastAsiaTheme="majorEastAsia" w:hAnsi="Calibri" w:cstheme="majorBidi"/>
      <w:bCs/>
      <w:color w:val="00254A" w:themeColor="text2"/>
      <w:sz w:val="44"/>
      <w:szCs w:val="44"/>
    </w:rPr>
  </w:style>
  <w:style w:type="paragraph" w:styleId="Heading2">
    <w:name w:val="heading 2"/>
    <w:basedOn w:val="Normal"/>
    <w:next w:val="Normal"/>
    <w:link w:val="Heading2Char"/>
    <w:uiPriority w:val="9"/>
    <w:unhideWhenUsed/>
    <w:qFormat/>
    <w:rsid w:val="00CB6189"/>
    <w:pPr>
      <w:keepNext/>
      <w:keepLines/>
      <w:spacing w:after="160"/>
      <w:outlineLvl w:val="1"/>
    </w:pPr>
    <w:rPr>
      <w:rFonts w:asciiTheme="majorHAnsi" w:eastAsiaTheme="majorEastAsia" w:hAnsiTheme="majorHAnsi" w:cstheme="majorBidi"/>
      <w:b/>
      <w:color w:val="904478"/>
      <w:sz w:val="32"/>
      <w:szCs w:val="32"/>
    </w:rPr>
  </w:style>
  <w:style w:type="paragraph" w:styleId="Heading3">
    <w:name w:val="heading 3"/>
    <w:basedOn w:val="Normal"/>
    <w:next w:val="Normal"/>
    <w:link w:val="Heading3Char"/>
    <w:uiPriority w:val="9"/>
    <w:unhideWhenUsed/>
    <w:qFormat/>
    <w:rsid w:val="00CB6189"/>
    <w:pPr>
      <w:keepNext/>
      <w:keepLines/>
      <w:spacing w:before="320" w:after="60"/>
      <w:outlineLvl w:val="2"/>
    </w:pPr>
    <w:rPr>
      <w:rFonts w:asciiTheme="majorHAnsi" w:eastAsiaTheme="majorEastAsia" w:hAnsiTheme="majorHAnsi" w:cstheme="majorBidi"/>
      <w:b/>
      <w:color w:val="0A1732"/>
      <w:sz w:val="28"/>
      <w:szCs w:val="28"/>
    </w:rPr>
  </w:style>
  <w:style w:type="paragraph" w:styleId="Heading4">
    <w:name w:val="heading 4"/>
    <w:basedOn w:val="Normal"/>
    <w:next w:val="Normal"/>
    <w:link w:val="Heading4Char"/>
    <w:uiPriority w:val="9"/>
    <w:unhideWhenUsed/>
    <w:qFormat/>
    <w:rsid w:val="00CB6189"/>
    <w:pPr>
      <w:keepNext/>
      <w:keepLines/>
      <w:spacing w:before="360" w:after="0"/>
      <w:outlineLvl w:val="3"/>
    </w:pPr>
    <w:rPr>
      <w:rFonts w:asciiTheme="majorHAnsi" w:eastAsiaTheme="majorEastAsia" w:hAnsiTheme="majorHAnsi" w:cstheme="majorBidi"/>
      <w:b/>
      <w:iCs/>
      <w:color w:val="00254A" w:themeColor="text2"/>
      <w:sz w:val="26"/>
      <w:szCs w:val="26"/>
    </w:rPr>
  </w:style>
  <w:style w:type="paragraph" w:styleId="Heading5">
    <w:name w:val="heading 5"/>
    <w:basedOn w:val="Normal"/>
    <w:next w:val="Normal"/>
    <w:link w:val="Heading5Char"/>
    <w:uiPriority w:val="9"/>
    <w:unhideWhenUsed/>
    <w:qFormat/>
    <w:rsid w:val="00CB6189"/>
    <w:pPr>
      <w:keepNext/>
      <w:keepLines/>
      <w:spacing w:before="40" w:after="0"/>
      <w:outlineLvl w:val="4"/>
    </w:pPr>
    <w:rPr>
      <w:rFonts w:asciiTheme="majorHAnsi" w:eastAsiaTheme="majorEastAsia" w:hAnsiTheme="majorHAnsi" w:cstheme="majorBidi"/>
      <w:b/>
      <w:color w:val="004C6C" w:themeColor="background2"/>
      <w:sz w:val="24"/>
      <w:szCs w:val="24"/>
    </w:rPr>
  </w:style>
  <w:style w:type="paragraph" w:styleId="Heading6">
    <w:name w:val="heading 6"/>
    <w:basedOn w:val="Normal"/>
    <w:next w:val="Normal"/>
    <w:link w:val="Heading6Char"/>
    <w:uiPriority w:val="9"/>
    <w:unhideWhenUsed/>
    <w:qFormat/>
    <w:rsid w:val="00CB6189"/>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B6189"/>
    <w:rPr>
      <w:rFonts w:ascii="Calibri" w:eastAsiaTheme="majorEastAsia" w:hAnsi="Calibri" w:cstheme="majorBidi"/>
      <w:bCs/>
      <w:color w:val="00254A" w:themeColor="text2"/>
      <w:sz w:val="44"/>
      <w:szCs w:val="44"/>
    </w:rPr>
  </w:style>
  <w:style w:type="character" w:customStyle="1" w:styleId="Heading2Char">
    <w:name w:val="Heading 2 Char"/>
    <w:basedOn w:val="DefaultParagraphFont"/>
    <w:link w:val="Heading2"/>
    <w:uiPriority w:val="9"/>
    <w:rsid w:val="00CB6189"/>
    <w:rPr>
      <w:rFonts w:asciiTheme="majorHAnsi" w:eastAsiaTheme="majorEastAsia" w:hAnsiTheme="majorHAnsi" w:cstheme="majorBidi"/>
      <w:b/>
      <w:color w:val="904478"/>
      <w:sz w:val="32"/>
      <w:szCs w:val="32"/>
    </w:rPr>
  </w:style>
  <w:style w:type="character" w:customStyle="1" w:styleId="Heading3Char">
    <w:name w:val="Heading 3 Char"/>
    <w:basedOn w:val="DefaultParagraphFont"/>
    <w:link w:val="Heading3"/>
    <w:uiPriority w:val="9"/>
    <w:rsid w:val="00CB6189"/>
    <w:rPr>
      <w:rFonts w:asciiTheme="majorHAnsi" w:eastAsiaTheme="majorEastAsia" w:hAnsiTheme="majorHAnsi" w:cstheme="majorBidi"/>
      <w:b/>
      <w:color w:val="0A1732"/>
      <w:sz w:val="28"/>
      <w:szCs w:val="28"/>
    </w:rPr>
  </w:style>
  <w:style w:type="character" w:customStyle="1" w:styleId="Heading4Char">
    <w:name w:val="Heading 4 Char"/>
    <w:basedOn w:val="DefaultParagraphFont"/>
    <w:link w:val="Heading4"/>
    <w:uiPriority w:val="9"/>
    <w:rsid w:val="00CB6189"/>
    <w:rPr>
      <w:rFonts w:asciiTheme="majorHAnsi" w:eastAsiaTheme="majorEastAsia" w:hAnsiTheme="majorHAnsi" w:cstheme="majorBidi"/>
      <w:b/>
      <w:iCs/>
      <w:color w:val="00254A" w:themeColor="text2"/>
      <w:sz w:val="26"/>
      <w:szCs w:val="26"/>
    </w:rPr>
  </w:style>
  <w:style w:type="character" w:customStyle="1" w:styleId="Heading5Char">
    <w:name w:val="Heading 5 Char"/>
    <w:basedOn w:val="DefaultParagraphFont"/>
    <w:link w:val="Heading5"/>
    <w:uiPriority w:val="9"/>
    <w:rsid w:val="00CB6189"/>
    <w:rPr>
      <w:rFonts w:asciiTheme="majorHAnsi" w:eastAsiaTheme="majorEastAsia" w:hAnsiTheme="majorHAnsi" w:cstheme="majorBidi"/>
      <w:b/>
      <w:color w:val="004C6C" w:themeColor="background2"/>
      <w:sz w:val="24"/>
      <w:szCs w:val="24"/>
    </w:rPr>
  </w:style>
  <w:style w:type="character" w:customStyle="1" w:styleId="Heading6Char">
    <w:name w:val="Heading 6 Char"/>
    <w:basedOn w:val="DefaultParagraphFont"/>
    <w:link w:val="Heading6"/>
    <w:uiPriority w:val="9"/>
    <w:rsid w:val="00CB6189"/>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CB6189"/>
    <w:pPr>
      <w:numPr>
        <w:ilvl w:val="1"/>
      </w:numPr>
      <w:spacing w:before="120"/>
    </w:pPr>
    <w:rPr>
      <w:rFonts w:eastAsiaTheme="minorEastAsia"/>
      <w:color w:val="904478"/>
      <w:spacing w:val="15"/>
      <w:sz w:val="32"/>
      <w:szCs w:val="18"/>
    </w:rPr>
  </w:style>
  <w:style w:type="character" w:customStyle="1" w:styleId="SubtitleChar">
    <w:name w:val="Subtitle Char"/>
    <w:basedOn w:val="DefaultParagraphFont"/>
    <w:link w:val="Subtitle"/>
    <w:uiPriority w:val="11"/>
    <w:rsid w:val="00CB6189"/>
    <w:rPr>
      <w:rFonts w:eastAsiaTheme="minorEastAsia"/>
      <w:color w:val="904478"/>
      <w:spacing w:val="15"/>
      <w:sz w:val="32"/>
      <w:szCs w:val="18"/>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dss.gov.au/child-protection/safe-and-supported-implementatio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dss.gov.au/families-and-children-activity/children-and-family-support-program" TargetMode="External"/><Relationship Id="rId2" Type="http://schemas.openxmlformats.org/officeDocument/2006/relationships/customXml" Target="../customXml/item2.xml"/><Relationship Id="rId16" Type="http://schemas.openxmlformats.org/officeDocument/2006/relationships/hyperlink" Target="https://www.snaicc.org.au/our-work/child-and-family-wellbeing/safe-supported/national-child-and-family-investment-strategy/" TargetMode="External"/><Relationship Id="rId20" Type="http://schemas.openxmlformats.org/officeDocument/2006/relationships/hyperlink" Target="https://www.health.gov.au/our-work/thriving-kids?language=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snaicc.org.au/our-work/closing-the-gap/early-childhood-care-development-policy-partnership/"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naicc.org.au/wp-content/uploads/2024/05/240507-ACCO-Funding-Report.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33C37"/>
    <w:rsid w:val="002B3ACA"/>
    <w:rsid w:val="002E30C8"/>
    <w:rsid w:val="00317D45"/>
    <w:rsid w:val="003C5F93"/>
    <w:rsid w:val="00471E5D"/>
    <w:rsid w:val="004B46FF"/>
    <w:rsid w:val="006C6BF3"/>
    <w:rsid w:val="00785B1E"/>
    <w:rsid w:val="009E57AF"/>
    <w:rsid w:val="00A25917"/>
    <w:rsid w:val="00AE55C1"/>
    <w:rsid w:val="00BB1E20"/>
    <w:rsid w:val="00D94A92"/>
    <w:rsid w:val="00E11C42"/>
    <w:rsid w:val="00E65595"/>
    <w:rsid w:val="00E7024D"/>
    <w:rsid w:val="00EE2E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04F08DDBFEA8468D9064D1AAB0D10C" ma:contentTypeVersion="16" ma:contentTypeDescription="Create a new document." ma:contentTypeScope="" ma:versionID="7f4769fa039679375dd3f92a69363589">
  <xsd:schema xmlns:xsd="http://www.w3.org/2001/XMLSchema" xmlns:xs="http://www.w3.org/2001/XMLSchema" xmlns:p="http://schemas.microsoft.com/office/2006/metadata/properties" xmlns:ns2="f3b222b9-6be1-4d76-8d27-dac6982f980a" xmlns:ns3="d00a08e6-6cb8-498e-808a-2131a09184c1" targetNamespace="http://schemas.microsoft.com/office/2006/metadata/properties" ma:root="true" ma:fieldsID="7ab6edbd7c171d6aacd08b0aac5d1802" ns2:_="" ns3:_="">
    <xsd:import namespace="f3b222b9-6be1-4d76-8d27-dac6982f980a"/>
    <xsd:import namespace="d00a08e6-6cb8-498e-808a-2131a09184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222b9-6be1-4d76-8d27-dac6982f98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ce23699-d321-44ed-a20c-4c4d0d22f64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0a08e6-6cb8-498e-808a-2131a09184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e7f8940-6a1f-4add-b34a-13a8e1ead3e8}" ma:internalName="TaxCatchAll" ma:showField="CatchAllData" ma:web="d00a08e6-6cb8-498e-808a-2131a09184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3b222b9-6be1-4d76-8d27-dac6982f980a">
      <Terms xmlns="http://schemas.microsoft.com/office/infopath/2007/PartnerControls"/>
    </lcf76f155ced4ddcb4097134ff3c332f>
    <TaxCatchAll xmlns="d00a08e6-6cb8-498e-808a-2131a09184c1"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678794CF-331C-4AE3-A6EA-99A43645B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222b9-6be1-4d76-8d27-dac6982f980a"/>
    <ds:schemaRef ds:uri="d00a08e6-6cb8-498e-808a-2131a0918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387D70-B9D1-4195-9340-C464ADB91C74}">
  <ds:schemaRefs>
    <ds:schemaRef ds:uri="http://schemas.microsoft.com/sharepoint/v3/contenttype/forms"/>
  </ds:schemaRefs>
</ds:datastoreItem>
</file>

<file path=customXml/itemProps4.xml><?xml version="1.0" encoding="utf-8"?>
<ds:datastoreItem xmlns:ds="http://schemas.openxmlformats.org/officeDocument/2006/customXml" ds:itemID="{CC451251-D22C-44DD-AD96-6EFE0AC021CD}">
  <ds:schemaRefs>
    <ds:schemaRef ds:uri="http://schemas.microsoft.com/office/2006/metadata/properties"/>
    <ds:schemaRef ds:uri="http://schemas.microsoft.com/office/infopath/2007/PartnerControls"/>
    <ds:schemaRef ds:uri="f3b222b9-6be1-4d76-8d27-dac6982f980a"/>
    <ds:schemaRef ds:uri="d00a08e6-6cb8-498e-808a-2131a09184c1"/>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6</Pages>
  <Words>2497</Words>
  <Characters>15081</Characters>
  <Application>Microsoft Office Word</Application>
  <DocSecurity>0</DocSecurity>
  <Lines>253</Lines>
  <Paragraphs>116</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17539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Childhood Care and Development Policy Partnership</dc:title>
  <dc:subject/>
  <dc:creator>PACEY,Robert</dc:creator>
  <cp:keywords/>
  <dc:description/>
  <cp:lastModifiedBy>SWEET,Sara</cp:lastModifiedBy>
  <cp:revision>62</cp:revision>
  <cp:lastPrinted>2026-07-23T01:28:00Z</cp:lastPrinted>
  <dcterms:created xsi:type="dcterms:W3CDTF">2025-08-13T23:00:00Z</dcterms:created>
  <dcterms:modified xsi:type="dcterms:W3CDTF">2026-07-23T01:28:00Z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0x0101009304F08DDBFEA8468D9064D1AAB0D10C</vt:lpwstr>
  </property>
  <property fmtid="{D5CDD505-2E9C-101B-9397-08002B2CF9AE}" pid="10" name="MediaServiceImageTags">
    <vt:lpwstr/>
  </property>
  <property fmtid="{D5CDD505-2E9C-101B-9397-08002B2CF9AE}" pid="11" name="docLang">
    <vt:lpwstr>en</vt:lpwstr>
  </property>
</Properties>
</file>