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016" w:type="dxa"/>
        <w:tblLayout w:type="fixed"/>
        <w:tblLook w:val="04A0" w:firstRow="1" w:lastRow="0" w:firstColumn="1" w:lastColumn="0" w:noHBand="0" w:noVBand="1"/>
      </w:tblPr>
      <w:tblGrid>
        <w:gridCol w:w="2255"/>
        <w:gridCol w:w="2254"/>
        <w:gridCol w:w="2254"/>
        <w:gridCol w:w="2253"/>
      </w:tblGrid>
      <w:tr w:rsidR="007D601A" w:rsidRPr="00DC2609" w14:paraId="7D4B12F4" w14:textId="77777777" w:rsidTr="0097127C">
        <w:tc>
          <w:tcPr>
            <w:tcW w:w="2254" w:type="dxa"/>
            <w:tcBorders>
              <w:top w:val="nil"/>
              <w:left w:val="nil"/>
              <w:bottom w:val="nil"/>
              <w:right w:val="nil"/>
            </w:tcBorders>
          </w:tcPr>
          <w:p w14:paraId="06E51CC8" w14:textId="0FD25863" w:rsidR="007D601A" w:rsidRPr="00DC2609" w:rsidRDefault="00A77214" w:rsidP="0097127C">
            <w:pPr>
              <w:spacing w:after="160" w:line="259" w:lineRule="auto"/>
              <w:rPr>
                <w:rFonts w:ascii="Aptos" w:hAnsi="Aptos"/>
                <w:b/>
                <w:bCs/>
                <w:sz w:val="28"/>
                <w:szCs w:val="28"/>
              </w:rPr>
            </w:pPr>
            <w:r>
              <w:rPr>
                <w:noProof/>
              </w:rPr>
              <w:drawing>
                <wp:anchor distT="0" distB="0" distL="114300" distR="114300" simplePos="0" relativeHeight="251661315" behindDoc="0" locked="0" layoutInCell="1" hidden="0" allowOverlap="1" wp14:anchorId="5F0EEA81" wp14:editId="1D2CDA15">
                  <wp:simplePos x="0" y="0"/>
                  <wp:positionH relativeFrom="column">
                    <wp:posOffset>-106136</wp:posOffset>
                  </wp:positionH>
                  <wp:positionV relativeFrom="paragraph">
                    <wp:posOffset>137523</wp:posOffset>
                  </wp:positionV>
                  <wp:extent cx="1401445" cy="352425"/>
                  <wp:effectExtent l="0" t="0" r="0" b="0"/>
                  <wp:wrapNone/>
                  <wp:docPr id="1561695817" name="image4.png" descr="Australian Government&#10;Department of Education"/>
                  <wp:cNvGraphicFramePr/>
                  <a:graphic xmlns:a="http://schemas.openxmlformats.org/drawingml/2006/main">
                    <a:graphicData uri="http://schemas.openxmlformats.org/drawingml/2006/picture">
                      <pic:pic xmlns:pic="http://schemas.openxmlformats.org/drawingml/2006/picture">
                        <pic:nvPicPr>
                          <pic:cNvPr id="0" name="image4.png" descr="Australian Government&#10;Department of Education"/>
                          <pic:cNvPicPr preferRelativeResize="0"/>
                        </pic:nvPicPr>
                        <pic:blipFill>
                          <a:blip r:embed="rId11"/>
                          <a:srcRect/>
                          <a:stretch>
                            <a:fillRect/>
                          </a:stretch>
                        </pic:blipFill>
                        <pic:spPr>
                          <a:xfrm>
                            <a:off x="0" y="0"/>
                            <a:ext cx="1401445" cy="352425"/>
                          </a:xfrm>
                          <a:prstGeom prst="rect">
                            <a:avLst/>
                          </a:prstGeom>
                          <a:ln/>
                        </pic:spPr>
                      </pic:pic>
                    </a:graphicData>
                  </a:graphic>
                </wp:anchor>
              </w:drawing>
            </w:r>
          </w:p>
          <w:p w14:paraId="1E8DDA28" w14:textId="48C6DB28" w:rsidR="007D601A" w:rsidRPr="00DC2609" w:rsidRDefault="007D601A" w:rsidP="0097127C">
            <w:pPr>
              <w:spacing w:after="160" w:line="259" w:lineRule="auto"/>
              <w:rPr>
                <w:rFonts w:ascii="Aptos" w:hAnsi="Aptos"/>
                <w:b/>
                <w:bCs/>
                <w:sz w:val="28"/>
                <w:szCs w:val="28"/>
              </w:rPr>
            </w:pPr>
          </w:p>
          <w:p w14:paraId="42F6FE88" w14:textId="4AFF5E47" w:rsidR="007D601A" w:rsidRPr="00DC2609" w:rsidRDefault="007D601A" w:rsidP="0097127C">
            <w:pPr>
              <w:spacing w:after="160" w:line="259" w:lineRule="auto"/>
              <w:rPr>
                <w:rFonts w:ascii="Aptos" w:hAnsi="Aptos"/>
                <w:b/>
                <w:bCs/>
                <w:sz w:val="28"/>
                <w:szCs w:val="28"/>
              </w:rPr>
            </w:pPr>
          </w:p>
        </w:tc>
        <w:tc>
          <w:tcPr>
            <w:tcW w:w="2254" w:type="dxa"/>
            <w:tcBorders>
              <w:top w:val="nil"/>
              <w:left w:val="nil"/>
              <w:bottom w:val="nil"/>
              <w:right w:val="nil"/>
            </w:tcBorders>
          </w:tcPr>
          <w:p w14:paraId="188F849F" w14:textId="16FD2CC7" w:rsidR="007D601A" w:rsidRPr="00DC2609" w:rsidRDefault="00A77214" w:rsidP="0097127C">
            <w:pPr>
              <w:spacing w:after="160" w:line="259" w:lineRule="auto"/>
              <w:rPr>
                <w:rFonts w:ascii="Aptos" w:hAnsi="Aptos"/>
                <w:b/>
                <w:bCs/>
                <w:sz w:val="28"/>
                <w:szCs w:val="28"/>
              </w:rPr>
            </w:pPr>
            <w:r>
              <w:rPr>
                <w:noProof/>
              </w:rPr>
              <w:drawing>
                <wp:anchor distT="0" distB="0" distL="114300" distR="114300" simplePos="0" relativeHeight="251663363" behindDoc="0" locked="0" layoutInCell="1" hidden="0" allowOverlap="1" wp14:anchorId="71F6B07B" wp14:editId="0CBA1244">
                  <wp:simplePos x="0" y="0"/>
                  <wp:positionH relativeFrom="column">
                    <wp:posOffset>18415</wp:posOffset>
                  </wp:positionH>
                  <wp:positionV relativeFrom="paragraph">
                    <wp:posOffset>129086</wp:posOffset>
                  </wp:positionV>
                  <wp:extent cx="1398905" cy="428625"/>
                  <wp:effectExtent l="0" t="0" r="0" b="0"/>
                  <wp:wrapNone/>
                  <wp:docPr id="90516274" name="image3.png" descr="Home"/>
                  <wp:cNvGraphicFramePr/>
                  <a:graphic xmlns:a="http://schemas.openxmlformats.org/drawingml/2006/main">
                    <a:graphicData uri="http://schemas.openxmlformats.org/drawingml/2006/picture">
                      <pic:pic xmlns:pic="http://schemas.openxmlformats.org/drawingml/2006/picture">
                        <pic:nvPicPr>
                          <pic:cNvPr id="0" name="image3.png" descr="Home"/>
                          <pic:cNvPicPr preferRelativeResize="0"/>
                        </pic:nvPicPr>
                        <pic:blipFill>
                          <a:blip r:embed="rId12"/>
                          <a:srcRect/>
                          <a:stretch>
                            <a:fillRect/>
                          </a:stretch>
                        </pic:blipFill>
                        <pic:spPr>
                          <a:xfrm>
                            <a:off x="0" y="0"/>
                            <a:ext cx="1398905" cy="428625"/>
                          </a:xfrm>
                          <a:prstGeom prst="rect">
                            <a:avLst/>
                          </a:prstGeom>
                          <a:ln/>
                        </pic:spPr>
                      </pic:pic>
                    </a:graphicData>
                  </a:graphic>
                </wp:anchor>
              </w:drawing>
            </w:r>
          </w:p>
        </w:tc>
        <w:tc>
          <w:tcPr>
            <w:tcW w:w="2254" w:type="dxa"/>
            <w:tcBorders>
              <w:top w:val="nil"/>
              <w:left w:val="nil"/>
              <w:bottom w:val="nil"/>
              <w:right w:val="nil"/>
            </w:tcBorders>
          </w:tcPr>
          <w:p w14:paraId="54DF79BD" w14:textId="0CE1FA7A" w:rsidR="007D601A" w:rsidRPr="00DC2609" w:rsidRDefault="00A77214" w:rsidP="0097127C">
            <w:pPr>
              <w:spacing w:after="160" w:line="259" w:lineRule="auto"/>
              <w:rPr>
                <w:rFonts w:ascii="Aptos" w:hAnsi="Aptos"/>
                <w:b/>
                <w:bCs/>
                <w:sz w:val="28"/>
                <w:szCs w:val="28"/>
              </w:rPr>
            </w:pPr>
            <w:r>
              <w:rPr>
                <w:noProof/>
              </w:rPr>
              <w:drawing>
                <wp:anchor distT="0" distB="0" distL="114300" distR="114300" simplePos="0" relativeHeight="251660291" behindDoc="0" locked="0" layoutInCell="1" hidden="0" allowOverlap="1" wp14:anchorId="45BF4268" wp14:editId="0DC153FA">
                  <wp:simplePos x="0" y="0"/>
                  <wp:positionH relativeFrom="column">
                    <wp:posOffset>207917</wp:posOffset>
                  </wp:positionH>
                  <wp:positionV relativeFrom="paragraph">
                    <wp:posOffset>228963</wp:posOffset>
                  </wp:positionV>
                  <wp:extent cx="1407160" cy="328930"/>
                  <wp:effectExtent l="0" t="0" r="0" b="0"/>
                  <wp:wrapNone/>
                  <wp:docPr id="1685051698" name="image2.png" descr="A close up of a sign"/>
                  <wp:cNvGraphicFramePr/>
                  <a:graphic xmlns:a="http://schemas.openxmlformats.org/drawingml/2006/main">
                    <a:graphicData uri="http://schemas.openxmlformats.org/drawingml/2006/picture">
                      <pic:pic xmlns:pic="http://schemas.openxmlformats.org/drawingml/2006/picture">
                        <pic:nvPicPr>
                          <pic:cNvPr id="1685051698" name="image2.png" descr="A close up of a sign"/>
                          <pic:cNvPicPr preferRelativeResize="0"/>
                        </pic:nvPicPr>
                        <pic:blipFill>
                          <a:blip r:embed="rId13"/>
                          <a:srcRect/>
                          <a:stretch>
                            <a:fillRect/>
                          </a:stretch>
                        </pic:blipFill>
                        <pic:spPr>
                          <a:xfrm>
                            <a:off x="0" y="0"/>
                            <a:ext cx="1407160" cy="328930"/>
                          </a:xfrm>
                          <a:prstGeom prst="rect">
                            <a:avLst/>
                          </a:prstGeom>
                          <a:ln/>
                        </pic:spPr>
                      </pic:pic>
                    </a:graphicData>
                  </a:graphic>
                </wp:anchor>
              </w:drawing>
            </w:r>
          </w:p>
        </w:tc>
        <w:tc>
          <w:tcPr>
            <w:tcW w:w="2253" w:type="dxa"/>
            <w:tcBorders>
              <w:top w:val="nil"/>
              <w:left w:val="nil"/>
              <w:bottom w:val="nil"/>
              <w:right w:val="nil"/>
            </w:tcBorders>
          </w:tcPr>
          <w:p w14:paraId="1C4E276C" w14:textId="7EA65CAD" w:rsidR="007D601A" w:rsidRPr="00DC2609" w:rsidRDefault="00A77214" w:rsidP="0097127C">
            <w:pPr>
              <w:spacing w:after="160" w:line="259" w:lineRule="auto"/>
              <w:rPr>
                <w:rFonts w:ascii="Aptos" w:hAnsi="Aptos"/>
                <w:b/>
                <w:bCs/>
                <w:sz w:val="28"/>
                <w:szCs w:val="28"/>
              </w:rPr>
            </w:pPr>
            <w:r>
              <w:rPr>
                <w:noProof/>
              </w:rPr>
              <w:drawing>
                <wp:anchor distT="0" distB="0" distL="114300" distR="114300" simplePos="0" relativeHeight="251662339" behindDoc="0" locked="0" layoutInCell="1" hidden="0" allowOverlap="1" wp14:anchorId="7BC1D16B" wp14:editId="0F508C6F">
                  <wp:simplePos x="0" y="0"/>
                  <wp:positionH relativeFrom="column">
                    <wp:posOffset>313780</wp:posOffset>
                  </wp:positionH>
                  <wp:positionV relativeFrom="paragraph">
                    <wp:posOffset>197303</wp:posOffset>
                  </wp:positionV>
                  <wp:extent cx="1074331" cy="389835"/>
                  <wp:effectExtent l="0" t="0" r="0" b="0"/>
                  <wp:wrapNone/>
                  <wp:docPr id="216418545" name="image1.png" descr="A black background with a black square"/>
                  <wp:cNvGraphicFramePr/>
                  <a:graphic xmlns:a="http://schemas.openxmlformats.org/drawingml/2006/main">
                    <a:graphicData uri="http://schemas.openxmlformats.org/drawingml/2006/picture">
                      <pic:pic xmlns:pic="http://schemas.openxmlformats.org/drawingml/2006/picture">
                        <pic:nvPicPr>
                          <pic:cNvPr id="216418545" name="image1.png" descr="A black background with a black square"/>
                          <pic:cNvPicPr preferRelativeResize="0"/>
                        </pic:nvPicPr>
                        <pic:blipFill>
                          <a:blip r:embed="rId14"/>
                          <a:srcRect/>
                          <a:stretch>
                            <a:fillRect/>
                          </a:stretch>
                        </pic:blipFill>
                        <pic:spPr>
                          <a:xfrm>
                            <a:off x="0" y="0"/>
                            <a:ext cx="1074331" cy="389835"/>
                          </a:xfrm>
                          <a:prstGeom prst="rect">
                            <a:avLst/>
                          </a:prstGeom>
                          <a:ln/>
                        </pic:spPr>
                      </pic:pic>
                    </a:graphicData>
                  </a:graphic>
                </wp:anchor>
              </w:drawing>
            </w:r>
          </w:p>
        </w:tc>
      </w:tr>
    </w:tbl>
    <w:p w14:paraId="442307BC" w14:textId="3C2760CD" w:rsidR="007D601A" w:rsidRPr="00DC2609" w:rsidRDefault="007D601A" w:rsidP="007D601A">
      <w:pPr>
        <w:spacing w:before="120" w:after="160" w:line="259" w:lineRule="auto"/>
        <w:jc w:val="center"/>
        <w:rPr>
          <w:rFonts w:ascii="Aptos" w:hAnsi="Aptos"/>
          <w:b/>
          <w:bCs/>
          <w:sz w:val="28"/>
          <w:szCs w:val="28"/>
        </w:rPr>
      </w:pPr>
      <w:r w:rsidRPr="00DC2609">
        <w:rPr>
          <w:rFonts w:ascii="Aptos" w:hAnsi="Aptos"/>
          <w:b/>
          <w:bCs/>
          <w:sz w:val="28"/>
          <w:szCs w:val="28"/>
        </w:rPr>
        <w:t>3</w:t>
      </w:r>
      <w:r w:rsidRPr="00DC2609">
        <w:rPr>
          <w:rFonts w:ascii="Aptos" w:hAnsi="Aptos"/>
          <w:b/>
          <w:bCs/>
          <w:sz w:val="28"/>
          <w:szCs w:val="28"/>
          <w:vertAlign w:val="superscript"/>
        </w:rPr>
        <w:t>rd</w:t>
      </w:r>
      <w:r w:rsidRPr="00DC2609">
        <w:rPr>
          <w:rFonts w:ascii="Aptos" w:hAnsi="Aptos"/>
          <w:b/>
          <w:bCs/>
          <w:sz w:val="28"/>
          <w:szCs w:val="28"/>
        </w:rPr>
        <w:t xml:space="preserve"> meeting of the Australia-India Education and Skills Council</w:t>
      </w:r>
    </w:p>
    <w:p w14:paraId="0EECA31F" w14:textId="77777777" w:rsidR="007D601A" w:rsidRPr="00DC2609" w:rsidRDefault="007D601A" w:rsidP="007D601A">
      <w:pPr>
        <w:pStyle w:val="Default"/>
        <w:spacing w:before="120" w:after="160" w:line="259" w:lineRule="auto"/>
        <w:jc w:val="center"/>
        <w:rPr>
          <w:rFonts w:ascii="Aptos" w:eastAsia="Calibri" w:hAnsi="Aptos"/>
          <w:b/>
          <w:bCs/>
          <w:color w:val="auto"/>
          <w:sz w:val="28"/>
          <w:szCs w:val="28"/>
        </w:rPr>
      </w:pPr>
      <w:r w:rsidRPr="00DC2609">
        <w:rPr>
          <w:rFonts w:ascii="Aptos" w:eastAsia="Calibri" w:hAnsi="Aptos"/>
          <w:b/>
          <w:bCs/>
          <w:color w:val="auto"/>
          <w:sz w:val="28"/>
          <w:szCs w:val="28"/>
        </w:rPr>
        <w:t>JOINT COMMUNIQUÉ</w:t>
      </w:r>
    </w:p>
    <w:p w14:paraId="273A9E5A" w14:textId="77777777" w:rsidR="007D601A" w:rsidRPr="00DC2609" w:rsidRDefault="007D601A" w:rsidP="007D601A">
      <w:pPr>
        <w:spacing w:before="120" w:after="160" w:line="259" w:lineRule="auto"/>
        <w:jc w:val="center"/>
        <w:rPr>
          <w:rFonts w:ascii="Aptos" w:hAnsi="Aptos"/>
          <w:b/>
          <w:bCs/>
          <w:sz w:val="28"/>
          <w:szCs w:val="28"/>
        </w:rPr>
      </w:pPr>
      <w:r w:rsidRPr="00DC2609">
        <w:rPr>
          <w:rFonts w:ascii="Aptos" w:hAnsi="Aptos"/>
          <w:b/>
          <w:bCs/>
          <w:sz w:val="28"/>
          <w:szCs w:val="28"/>
        </w:rPr>
        <w:t>between</w:t>
      </w:r>
    </w:p>
    <w:p w14:paraId="0ED99E1E" w14:textId="77777777" w:rsidR="007D601A" w:rsidRPr="00DC2609" w:rsidRDefault="007D601A" w:rsidP="007D601A">
      <w:pPr>
        <w:spacing w:before="120" w:after="160" w:line="259" w:lineRule="auto"/>
        <w:jc w:val="center"/>
        <w:rPr>
          <w:rFonts w:ascii="Aptos" w:hAnsi="Aptos"/>
          <w:b/>
          <w:bCs/>
          <w:sz w:val="28"/>
          <w:szCs w:val="28"/>
        </w:rPr>
      </w:pPr>
      <w:r w:rsidRPr="00DC2609">
        <w:rPr>
          <w:rFonts w:ascii="Aptos" w:hAnsi="Aptos"/>
          <w:b/>
          <w:bCs/>
          <w:sz w:val="28"/>
          <w:szCs w:val="28"/>
        </w:rPr>
        <w:t>the Department of Education and the Department of Employment and Workplace Relations of the Government of Australia</w:t>
      </w:r>
    </w:p>
    <w:p w14:paraId="4D9399F2" w14:textId="77777777" w:rsidR="007D601A" w:rsidRPr="00DC2609" w:rsidRDefault="007D601A" w:rsidP="007D601A">
      <w:pPr>
        <w:spacing w:before="120" w:after="160" w:line="259" w:lineRule="auto"/>
        <w:jc w:val="center"/>
        <w:rPr>
          <w:rFonts w:ascii="Aptos" w:hAnsi="Aptos"/>
          <w:b/>
          <w:bCs/>
          <w:sz w:val="28"/>
          <w:szCs w:val="28"/>
        </w:rPr>
      </w:pPr>
      <w:r w:rsidRPr="00DC2609">
        <w:rPr>
          <w:rFonts w:ascii="Aptos" w:hAnsi="Aptos"/>
          <w:b/>
          <w:bCs/>
          <w:sz w:val="28"/>
          <w:szCs w:val="28"/>
        </w:rPr>
        <w:t>and</w:t>
      </w:r>
    </w:p>
    <w:p w14:paraId="3285C9D5" w14:textId="77777777" w:rsidR="007D601A" w:rsidRPr="00DC2609" w:rsidRDefault="007D601A" w:rsidP="007D601A">
      <w:pPr>
        <w:spacing w:before="120" w:after="160" w:line="259" w:lineRule="auto"/>
        <w:jc w:val="center"/>
        <w:rPr>
          <w:rFonts w:ascii="Aptos" w:hAnsi="Aptos"/>
          <w:b/>
          <w:bCs/>
          <w:sz w:val="28"/>
          <w:szCs w:val="28"/>
        </w:rPr>
      </w:pPr>
      <w:r w:rsidRPr="00DC2609">
        <w:rPr>
          <w:rFonts w:ascii="Aptos" w:hAnsi="Aptos"/>
          <w:b/>
          <w:bCs/>
          <w:sz w:val="28"/>
          <w:szCs w:val="28"/>
        </w:rPr>
        <w:t>the Ministry of Education and the Ministry of Skill Development and Entrepreneurship of the Government of India</w:t>
      </w:r>
    </w:p>
    <w:p w14:paraId="519CBFF4" w14:textId="77777777" w:rsidR="007D601A" w:rsidRPr="00DC2609" w:rsidRDefault="007D601A" w:rsidP="007D601A">
      <w:pPr>
        <w:spacing w:before="120" w:after="160" w:line="259" w:lineRule="auto"/>
        <w:jc w:val="center"/>
        <w:rPr>
          <w:rFonts w:ascii="Aptos" w:hAnsi="Aptos"/>
          <w:b/>
          <w:bCs/>
          <w:sz w:val="28"/>
          <w:szCs w:val="28"/>
        </w:rPr>
      </w:pPr>
    </w:p>
    <w:p w14:paraId="057CC9BD" w14:textId="77777777" w:rsidR="007D601A" w:rsidRPr="00DC2609" w:rsidRDefault="007D601A" w:rsidP="007D601A">
      <w:pPr>
        <w:spacing w:before="120" w:after="160" w:line="259" w:lineRule="auto"/>
        <w:jc w:val="center"/>
        <w:rPr>
          <w:rFonts w:ascii="Aptos" w:hAnsi="Aptos"/>
          <w:b/>
          <w:bCs/>
          <w:sz w:val="28"/>
          <w:szCs w:val="28"/>
        </w:rPr>
      </w:pPr>
      <w:r w:rsidRPr="00DC2609">
        <w:rPr>
          <w:rFonts w:ascii="Aptos" w:hAnsi="Aptos"/>
          <w:b/>
          <w:bCs/>
          <w:sz w:val="28"/>
          <w:szCs w:val="28"/>
        </w:rPr>
        <w:t>8 December 2025</w:t>
      </w:r>
    </w:p>
    <w:p w14:paraId="1F53FFD3" w14:textId="77777777" w:rsidR="007D601A" w:rsidRPr="00DC2609" w:rsidRDefault="007D601A" w:rsidP="007D601A">
      <w:pPr>
        <w:spacing w:before="120" w:after="160" w:line="259" w:lineRule="auto"/>
        <w:jc w:val="center"/>
        <w:rPr>
          <w:rFonts w:ascii="Aptos" w:hAnsi="Aptos"/>
          <w:b/>
          <w:bCs/>
          <w:sz w:val="28"/>
          <w:szCs w:val="28"/>
        </w:rPr>
      </w:pPr>
      <w:r w:rsidRPr="00DC2609">
        <w:rPr>
          <w:rFonts w:ascii="Aptos" w:hAnsi="Aptos"/>
          <w:b/>
          <w:bCs/>
          <w:sz w:val="28"/>
          <w:szCs w:val="28"/>
        </w:rPr>
        <w:t>New Delhi, India</w:t>
      </w:r>
    </w:p>
    <w:p w14:paraId="174E1863" w14:textId="77777777" w:rsidR="00D65B5A" w:rsidRPr="0027775F" w:rsidRDefault="005443ED">
      <w:pPr>
        <w:pStyle w:val="Heading1"/>
      </w:pPr>
      <w:r w:rsidRPr="0027775F">
        <w:t>Preamble</w:t>
      </w:r>
    </w:p>
    <w:p w14:paraId="2A0A3A19" w14:textId="452E8038" w:rsidR="00D65B5A" w:rsidRPr="007D601A" w:rsidRDefault="005443ED" w:rsidP="000D6ED5">
      <w:pPr>
        <w:pStyle w:val="ListParagraph"/>
        <w:numPr>
          <w:ilvl w:val="0"/>
          <w:numId w:val="13"/>
        </w:numPr>
        <w:spacing w:after="0"/>
        <w:jc w:val="both"/>
        <w:rPr>
          <w:rFonts w:ascii="Aptos" w:hAnsi="Aptos"/>
        </w:rPr>
      </w:pPr>
      <w:r w:rsidRPr="007D601A">
        <w:rPr>
          <w:rFonts w:ascii="Aptos" w:hAnsi="Aptos"/>
        </w:rPr>
        <w:t>Ministers reaffirm</w:t>
      </w:r>
      <w:r w:rsidR="00E5015B" w:rsidRPr="007D601A">
        <w:rPr>
          <w:rFonts w:ascii="Aptos" w:hAnsi="Aptos"/>
        </w:rPr>
        <w:t>ed</w:t>
      </w:r>
      <w:r w:rsidRPr="007D601A">
        <w:rPr>
          <w:rFonts w:ascii="Aptos" w:hAnsi="Aptos"/>
        </w:rPr>
        <w:t xml:space="preserve"> the </w:t>
      </w:r>
      <w:r w:rsidR="00AB1DF4" w:rsidRPr="007D601A">
        <w:rPr>
          <w:rFonts w:ascii="Aptos" w:hAnsi="Aptos"/>
        </w:rPr>
        <w:t>Australia</w:t>
      </w:r>
      <w:r w:rsidR="007D601A" w:rsidRPr="007D601A">
        <w:rPr>
          <w:rFonts w:ascii="Aptos" w:hAnsi="Aptos"/>
        </w:rPr>
        <w:t>-</w:t>
      </w:r>
      <w:r w:rsidR="00AB1DF4" w:rsidRPr="007D601A">
        <w:rPr>
          <w:rFonts w:ascii="Aptos" w:hAnsi="Aptos"/>
        </w:rPr>
        <w:t>India Education and Skills Council (</w:t>
      </w:r>
      <w:r w:rsidRPr="007D601A">
        <w:rPr>
          <w:rFonts w:ascii="Aptos" w:hAnsi="Aptos"/>
        </w:rPr>
        <w:t>AIESC</w:t>
      </w:r>
      <w:r w:rsidR="00AB1DF4" w:rsidRPr="007D601A">
        <w:rPr>
          <w:rFonts w:ascii="Aptos" w:hAnsi="Aptos"/>
        </w:rPr>
        <w:t>)</w:t>
      </w:r>
      <w:r w:rsidRPr="007D601A">
        <w:rPr>
          <w:rFonts w:ascii="Aptos" w:hAnsi="Aptos"/>
        </w:rPr>
        <w:t xml:space="preserve"> as the premier bilateral forum for advancing cooperation in education, skills, and research. Building on the momentum of </w:t>
      </w:r>
      <w:r w:rsidR="00EC6C0A" w:rsidRPr="007D601A">
        <w:rPr>
          <w:rFonts w:ascii="Aptos" w:hAnsi="Aptos"/>
        </w:rPr>
        <w:t xml:space="preserve">AIESC </w:t>
      </w:r>
      <w:r w:rsidRPr="007D601A">
        <w:rPr>
          <w:rFonts w:ascii="Aptos" w:hAnsi="Aptos"/>
        </w:rPr>
        <w:t xml:space="preserve">2024 meeting, both sides </w:t>
      </w:r>
      <w:r w:rsidR="00A5725F" w:rsidRPr="007D601A">
        <w:rPr>
          <w:rFonts w:ascii="Aptos" w:hAnsi="Aptos"/>
        </w:rPr>
        <w:t>committed</w:t>
      </w:r>
      <w:r w:rsidRPr="007D601A">
        <w:rPr>
          <w:rFonts w:ascii="Aptos" w:hAnsi="Aptos"/>
        </w:rPr>
        <w:t xml:space="preserve"> to deepening collaboration across six strategic pillars: transnational education, regulatory cooperation, </w:t>
      </w:r>
      <w:r w:rsidR="001E5EB4" w:rsidRPr="007D601A">
        <w:rPr>
          <w:rFonts w:ascii="Aptos" w:hAnsi="Aptos"/>
        </w:rPr>
        <w:t xml:space="preserve">skilled </w:t>
      </w:r>
      <w:r w:rsidRPr="007D601A">
        <w:rPr>
          <w:rFonts w:ascii="Aptos" w:hAnsi="Aptos"/>
        </w:rPr>
        <w:t>workforce development, school education,</w:t>
      </w:r>
      <w:r w:rsidR="00445ABB" w:rsidRPr="007D601A">
        <w:rPr>
          <w:rFonts w:ascii="Aptos" w:hAnsi="Aptos"/>
        </w:rPr>
        <w:t xml:space="preserve"> sports education</w:t>
      </w:r>
      <w:r w:rsidRPr="007D601A">
        <w:rPr>
          <w:rFonts w:ascii="Aptos" w:hAnsi="Aptos"/>
        </w:rPr>
        <w:t xml:space="preserve"> and </w:t>
      </w:r>
      <w:r w:rsidR="00445ABB" w:rsidRPr="007D601A">
        <w:rPr>
          <w:rFonts w:ascii="Aptos" w:hAnsi="Aptos"/>
        </w:rPr>
        <w:t>research collaboration</w:t>
      </w:r>
      <w:r w:rsidRPr="007D601A">
        <w:rPr>
          <w:rFonts w:ascii="Aptos" w:hAnsi="Aptos"/>
        </w:rPr>
        <w:t>.</w:t>
      </w:r>
    </w:p>
    <w:p w14:paraId="6563AA65" w14:textId="77777777" w:rsidR="00041ECE" w:rsidRPr="007D601A" w:rsidRDefault="00041ECE" w:rsidP="000D6ED5">
      <w:pPr>
        <w:spacing w:after="0"/>
        <w:jc w:val="both"/>
        <w:rPr>
          <w:rFonts w:ascii="Aptos" w:hAnsi="Aptos"/>
        </w:rPr>
      </w:pPr>
    </w:p>
    <w:p w14:paraId="3B8CD250" w14:textId="574EB960" w:rsidR="0089067D" w:rsidRPr="007D601A" w:rsidRDefault="00EC6C0A" w:rsidP="000D6ED5">
      <w:pPr>
        <w:pStyle w:val="ListParagraph"/>
        <w:numPr>
          <w:ilvl w:val="0"/>
          <w:numId w:val="13"/>
        </w:numPr>
        <w:spacing w:after="0"/>
        <w:jc w:val="both"/>
        <w:rPr>
          <w:rFonts w:ascii="Aptos" w:hAnsi="Aptos"/>
        </w:rPr>
      </w:pPr>
      <w:r w:rsidRPr="007D601A">
        <w:rPr>
          <w:rFonts w:ascii="Aptos" w:hAnsi="Aptos"/>
        </w:rPr>
        <w:t xml:space="preserve">Ministers reaffirmed their shared commitment to India’s implementation of the </w:t>
      </w:r>
      <w:r w:rsidR="00AB1DF4" w:rsidRPr="007D601A">
        <w:rPr>
          <w:rFonts w:ascii="Aptos" w:hAnsi="Aptos"/>
        </w:rPr>
        <w:br/>
      </w:r>
      <w:r w:rsidRPr="007D601A">
        <w:rPr>
          <w:rFonts w:ascii="Aptos" w:hAnsi="Aptos"/>
        </w:rPr>
        <w:t>National Education Policy 2020 (NEP), recognising it as a transformative framework for achieving the Viksit Bharat vision of a developed India by 2047. They acknowledged that the NEP’s emphasis on universal access, quality, equity, and internationalisation aligns closely with Australia’s strengths in education</w:t>
      </w:r>
      <w:r w:rsidR="00740FF0" w:rsidRPr="007D601A">
        <w:rPr>
          <w:rFonts w:ascii="Aptos" w:hAnsi="Aptos"/>
        </w:rPr>
        <w:t>, skills and research</w:t>
      </w:r>
      <w:r w:rsidRPr="007D601A">
        <w:rPr>
          <w:rFonts w:ascii="Aptos" w:hAnsi="Aptos"/>
        </w:rPr>
        <w:t>.</w:t>
      </w:r>
    </w:p>
    <w:p w14:paraId="246D16F0" w14:textId="77777777" w:rsidR="00041ECE" w:rsidRPr="007D601A" w:rsidRDefault="00041ECE" w:rsidP="000D6ED5">
      <w:pPr>
        <w:spacing w:after="0"/>
        <w:jc w:val="both"/>
        <w:rPr>
          <w:rFonts w:ascii="Aptos" w:hAnsi="Aptos"/>
        </w:rPr>
      </w:pPr>
    </w:p>
    <w:p w14:paraId="0815C0CB" w14:textId="77777777" w:rsidR="00911344" w:rsidRPr="007D601A" w:rsidRDefault="00CD1708" w:rsidP="000D6ED5">
      <w:pPr>
        <w:pStyle w:val="ListParagraph"/>
        <w:numPr>
          <w:ilvl w:val="0"/>
          <w:numId w:val="13"/>
        </w:numPr>
        <w:spacing w:after="0"/>
        <w:jc w:val="both"/>
        <w:rPr>
          <w:rFonts w:ascii="Aptos" w:hAnsi="Aptos"/>
        </w:rPr>
      </w:pPr>
      <w:r w:rsidRPr="007D601A">
        <w:rPr>
          <w:rFonts w:ascii="Aptos" w:hAnsi="Aptos"/>
        </w:rPr>
        <w:t xml:space="preserve">As 2025 marks five years since the launch of India’s NEP, Ministers noted its </w:t>
      </w:r>
      <w:r w:rsidR="00CB4D95" w:rsidRPr="007D601A">
        <w:rPr>
          <w:rFonts w:ascii="Aptos" w:hAnsi="Aptos"/>
        </w:rPr>
        <w:t xml:space="preserve">impact in catalysing bilateral cooperation in the </w:t>
      </w:r>
      <w:r w:rsidR="00CD5854" w:rsidRPr="007D601A">
        <w:rPr>
          <w:rFonts w:ascii="Aptos" w:hAnsi="Aptos"/>
        </w:rPr>
        <w:t xml:space="preserve">education and skills </w:t>
      </w:r>
      <w:r w:rsidR="00B971EA" w:rsidRPr="007D601A">
        <w:rPr>
          <w:rFonts w:ascii="Aptos" w:hAnsi="Aptos"/>
        </w:rPr>
        <w:t xml:space="preserve">partnership between India and Australia. </w:t>
      </w:r>
      <w:r w:rsidR="00CD5854" w:rsidRPr="007D601A">
        <w:rPr>
          <w:rFonts w:ascii="Aptos" w:hAnsi="Aptos"/>
        </w:rPr>
        <w:t>B</w:t>
      </w:r>
      <w:r w:rsidR="00B971EA" w:rsidRPr="007D601A">
        <w:rPr>
          <w:rFonts w:ascii="Aptos" w:hAnsi="Aptos"/>
        </w:rPr>
        <w:t>ilateral cooperation has</w:t>
      </w:r>
      <w:r w:rsidR="00CD5854" w:rsidRPr="007D601A">
        <w:rPr>
          <w:rFonts w:ascii="Aptos" w:hAnsi="Aptos"/>
        </w:rPr>
        <w:t xml:space="preserve"> expanded through </w:t>
      </w:r>
      <w:r w:rsidR="000138CF" w:rsidRPr="007D601A">
        <w:rPr>
          <w:rFonts w:ascii="Aptos" w:hAnsi="Aptos"/>
        </w:rPr>
        <w:t xml:space="preserve">meaningful exchange </w:t>
      </w:r>
      <w:r w:rsidR="000138CF" w:rsidRPr="007D601A">
        <w:rPr>
          <w:rFonts w:ascii="Aptos" w:hAnsi="Aptos"/>
        </w:rPr>
        <w:lastRenderedPageBreak/>
        <w:t xml:space="preserve">between our institutions, researchers, academics and students. </w:t>
      </w:r>
      <w:r w:rsidR="00B971EA" w:rsidRPr="007D601A">
        <w:rPr>
          <w:rFonts w:ascii="Aptos" w:hAnsi="Aptos"/>
        </w:rPr>
        <w:t xml:space="preserve">This strengthened partnership embodies the shared commitment to </w:t>
      </w:r>
      <w:r w:rsidR="00B43E3E" w:rsidRPr="007D601A">
        <w:rPr>
          <w:rFonts w:ascii="Aptos" w:hAnsi="Aptos"/>
        </w:rPr>
        <w:t xml:space="preserve">national and personal prosperity through </w:t>
      </w:r>
      <w:r w:rsidR="00B971EA" w:rsidRPr="007D601A">
        <w:rPr>
          <w:rFonts w:ascii="Aptos" w:hAnsi="Aptos"/>
        </w:rPr>
        <w:t>education and skills.</w:t>
      </w:r>
    </w:p>
    <w:p w14:paraId="4591E9C9" w14:textId="77777777" w:rsidR="00D65B5A" w:rsidRPr="0027775F" w:rsidRDefault="008E12C3">
      <w:pPr>
        <w:pStyle w:val="Heading1"/>
      </w:pPr>
      <w:r>
        <w:t>T</w:t>
      </w:r>
      <w:r w:rsidR="005443ED" w:rsidRPr="0027775F">
        <w:t xml:space="preserve">ransnational </w:t>
      </w:r>
      <w:r w:rsidR="00FF3790" w:rsidRPr="0027775F">
        <w:t>e</w:t>
      </w:r>
      <w:r w:rsidR="005443ED" w:rsidRPr="0027775F">
        <w:t>ducation</w:t>
      </w:r>
    </w:p>
    <w:p w14:paraId="09C2AD26" w14:textId="72A48F26" w:rsidR="00720E36" w:rsidRPr="007D601A" w:rsidRDefault="005443ED" w:rsidP="0089067D">
      <w:pPr>
        <w:pStyle w:val="ListParagraph"/>
        <w:numPr>
          <w:ilvl w:val="0"/>
          <w:numId w:val="13"/>
        </w:numPr>
        <w:jc w:val="both"/>
        <w:rPr>
          <w:rFonts w:ascii="Aptos" w:hAnsi="Aptos"/>
        </w:rPr>
      </w:pPr>
      <w:r w:rsidRPr="007D601A">
        <w:rPr>
          <w:rFonts w:ascii="Aptos" w:hAnsi="Aptos"/>
        </w:rPr>
        <w:t xml:space="preserve">Ministers welcomed the continued </w:t>
      </w:r>
      <w:r w:rsidR="00211041" w:rsidRPr="007D601A">
        <w:rPr>
          <w:rFonts w:ascii="Aptos" w:hAnsi="Aptos"/>
        </w:rPr>
        <w:t>establishment</w:t>
      </w:r>
      <w:r w:rsidRPr="007D601A">
        <w:rPr>
          <w:rFonts w:ascii="Aptos" w:hAnsi="Aptos"/>
        </w:rPr>
        <w:t xml:space="preserve"> of Australian university campuses in India, including </w:t>
      </w:r>
      <w:r w:rsidR="003B61C6" w:rsidRPr="007D601A">
        <w:rPr>
          <w:rFonts w:ascii="Aptos" w:hAnsi="Aptos"/>
        </w:rPr>
        <w:t xml:space="preserve">the </w:t>
      </w:r>
      <w:r w:rsidR="005C63BD" w:rsidRPr="007D601A">
        <w:rPr>
          <w:rFonts w:ascii="Aptos" w:hAnsi="Aptos"/>
        </w:rPr>
        <w:t>commitments</w:t>
      </w:r>
      <w:r w:rsidR="003B61C6" w:rsidRPr="007D601A">
        <w:rPr>
          <w:rFonts w:ascii="Aptos" w:hAnsi="Aptos"/>
        </w:rPr>
        <w:t xml:space="preserve"> made</w:t>
      </w:r>
      <w:r w:rsidRPr="007D601A">
        <w:rPr>
          <w:rFonts w:ascii="Aptos" w:hAnsi="Aptos"/>
        </w:rPr>
        <w:t xml:space="preserve"> by Deakin University, University of Wollongong, </w:t>
      </w:r>
      <w:r w:rsidR="003B61C6" w:rsidRPr="007D601A">
        <w:rPr>
          <w:rFonts w:ascii="Aptos" w:hAnsi="Aptos"/>
        </w:rPr>
        <w:t xml:space="preserve">University of Western Australia, </w:t>
      </w:r>
      <w:r w:rsidRPr="007D601A">
        <w:rPr>
          <w:rFonts w:ascii="Aptos" w:hAnsi="Aptos"/>
        </w:rPr>
        <w:t>Western Sydney University</w:t>
      </w:r>
      <w:r w:rsidR="003B61C6" w:rsidRPr="007D601A">
        <w:rPr>
          <w:rFonts w:ascii="Aptos" w:hAnsi="Aptos"/>
        </w:rPr>
        <w:t>, Victoria University</w:t>
      </w:r>
      <w:r w:rsidR="00A93864" w:rsidRPr="007D601A">
        <w:rPr>
          <w:rFonts w:ascii="Aptos" w:hAnsi="Aptos"/>
        </w:rPr>
        <w:t>,</w:t>
      </w:r>
      <w:r w:rsidR="003B61C6" w:rsidRPr="007D601A">
        <w:rPr>
          <w:rFonts w:ascii="Aptos" w:hAnsi="Aptos"/>
        </w:rPr>
        <w:t xml:space="preserve"> </w:t>
      </w:r>
      <w:r w:rsidR="00AB1DF4" w:rsidRPr="007D601A">
        <w:rPr>
          <w:rFonts w:ascii="Aptos" w:hAnsi="Aptos"/>
        </w:rPr>
        <w:br/>
      </w:r>
      <w:r w:rsidR="003B61C6" w:rsidRPr="007D601A">
        <w:rPr>
          <w:rFonts w:ascii="Aptos" w:hAnsi="Aptos"/>
        </w:rPr>
        <w:t>La Trobe University</w:t>
      </w:r>
      <w:r w:rsidR="00A93864" w:rsidRPr="007D601A">
        <w:rPr>
          <w:rFonts w:ascii="Aptos" w:hAnsi="Aptos"/>
        </w:rPr>
        <w:t xml:space="preserve"> and the University of New South Wales</w:t>
      </w:r>
      <w:r w:rsidRPr="007D601A">
        <w:rPr>
          <w:rFonts w:ascii="Aptos" w:hAnsi="Aptos"/>
        </w:rPr>
        <w:t xml:space="preserve">. </w:t>
      </w:r>
    </w:p>
    <w:p w14:paraId="0C793837" w14:textId="77777777" w:rsidR="00041ECE" w:rsidRPr="007D601A" w:rsidRDefault="00041ECE" w:rsidP="00041ECE">
      <w:pPr>
        <w:pStyle w:val="ListParagraph"/>
        <w:ind w:left="360"/>
        <w:jc w:val="both"/>
        <w:rPr>
          <w:rFonts w:ascii="Aptos" w:hAnsi="Aptos"/>
        </w:rPr>
      </w:pPr>
    </w:p>
    <w:p w14:paraId="216E4C4E" w14:textId="77777777" w:rsidR="00F40DCF" w:rsidRPr="007D601A" w:rsidRDefault="00F40DCF" w:rsidP="0089067D">
      <w:pPr>
        <w:pStyle w:val="ListParagraph"/>
        <w:numPr>
          <w:ilvl w:val="0"/>
          <w:numId w:val="13"/>
        </w:numPr>
        <w:jc w:val="both"/>
        <w:rPr>
          <w:rFonts w:ascii="Aptos" w:hAnsi="Aptos"/>
        </w:rPr>
      </w:pPr>
      <w:r w:rsidRPr="007D601A">
        <w:rPr>
          <w:rFonts w:ascii="Aptos" w:hAnsi="Aptos"/>
        </w:rPr>
        <w:t>Ministers highlighted online and blended delivery as a strategic enabler for access, equity, and quality in higher education, supporting India’s NEP 2020 and Viksit Bharat 2047 vision. Building on the 2023 Mutual Recognition Mechanism, they agreed to collaborate on scalable models leveraging Australia’s strengths in digital pedagogy and quality assurance and welcomed India’s move to allow Australian courses on SWAYAM to deepen institutional partnerships and expand student access.</w:t>
      </w:r>
    </w:p>
    <w:p w14:paraId="1F721A44" w14:textId="77777777" w:rsidR="00041ECE" w:rsidRPr="007D601A" w:rsidRDefault="00041ECE" w:rsidP="00041ECE">
      <w:pPr>
        <w:pStyle w:val="ListParagraph"/>
        <w:ind w:left="360"/>
        <w:jc w:val="both"/>
        <w:rPr>
          <w:rFonts w:ascii="Aptos" w:hAnsi="Aptos"/>
        </w:rPr>
      </w:pPr>
    </w:p>
    <w:p w14:paraId="77665294" w14:textId="77777777" w:rsidR="00255177" w:rsidRPr="007D601A" w:rsidRDefault="00255177" w:rsidP="0089067D">
      <w:pPr>
        <w:pStyle w:val="ListParagraph"/>
        <w:numPr>
          <w:ilvl w:val="0"/>
          <w:numId w:val="13"/>
        </w:numPr>
        <w:jc w:val="both"/>
        <w:rPr>
          <w:rFonts w:ascii="Aptos" w:hAnsi="Aptos"/>
        </w:rPr>
      </w:pPr>
      <w:r w:rsidRPr="007D601A">
        <w:rPr>
          <w:rFonts w:ascii="Aptos" w:hAnsi="Aptos"/>
        </w:rPr>
        <w:t>Ministers reaffirmed commitment to expanding dual qualifications to boost mobility, employability, and global competitiveness. They agreed to encourage institutional partnerships, noting successful models like RMIT–BITS Pilani’s expansion, which demonstrates scalability and impact in priority sectors.</w:t>
      </w:r>
      <w:r w:rsidR="005444FE" w:rsidRPr="007D601A">
        <w:rPr>
          <w:rFonts w:ascii="Aptos" w:hAnsi="Aptos"/>
        </w:rPr>
        <w:t xml:space="preserve"> Ministers underscored the value of such initiatives in deepening institutional linkages and contributing to workforce, reinforcing the shared commitment to building competitive, knowledge-driven economies.</w:t>
      </w:r>
    </w:p>
    <w:p w14:paraId="2B7AFA98" w14:textId="77777777" w:rsidR="00D65B5A" w:rsidRPr="0027775F" w:rsidRDefault="005443ED">
      <w:pPr>
        <w:pStyle w:val="Heading1"/>
      </w:pPr>
      <w:r w:rsidRPr="0027775F">
        <w:t xml:space="preserve">Regulatory </w:t>
      </w:r>
      <w:r w:rsidR="00FF3790" w:rsidRPr="0027775F">
        <w:t>c</w:t>
      </w:r>
      <w:r w:rsidRPr="0027775F">
        <w:t>ooperation</w:t>
      </w:r>
    </w:p>
    <w:p w14:paraId="27EC5264" w14:textId="77777777" w:rsidR="00B633FD" w:rsidRPr="007D601A" w:rsidRDefault="00F23D52" w:rsidP="0089067D">
      <w:pPr>
        <w:pStyle w:val="ListParagraph"/>
        <w:numPr>
          <w:ilvl w:val="0"/>
          <w:numId w:val="13"/>
        </w:numPr>
        <w:jc w:val="both"/>
        <w:rPr>
          <w:rFonts w:ascii="Aptos" w:hAnsi="Aptos"/>
        </w:rPr>
      </w:pPr>
      <w:r w:rsidRPr="007D601A">
        <w:rPr>
          <w:rFonts w:ascii="Aptos" w:hAnsi="Aptos"/>
        </w:rPr>
        <w:t>Ministers endorsed deeper engagement between Australia’s </w:t>
      </w:r>
      <w:r w:rsidRPr="007D601A">
        <w:rPr>
          <w:rFonts w:ascii="Aptos" w:hAnsi="Aptos"/>
          <w:b/>
          <w:bCs/>
        </w:rPr>
        <w:t>Tertiary Education Quality and Standards Agency (TEQSA)</w:t>
      </w:r>
      <w:r w:rsidRPr="007D601A">
        <w:rPr>
          <w:rFonts w:ascii="Aptos" w:hAnsi="Aptos"/>
        </w:rPr>
        <w:t> and India’s </w:t>
      </w:r>
      <w:r w:rsidRPr="007D601A">
        <w:rPr>
          <w:rFonts w:ascii="Aptos" w:hAnsi="Aptos"/>
          <w:b/>
          <w:bCs/>
        </w:rPr>
        <w:t>University Grants Commission (UGC)</w:t>
      </w:r>
      <w:r w:rsidRPr="007D601A">
        <w:rPr>
          <w:rFonts w:ascii="Aptos" w:hAnsi="Aptos"/>
        </w:rPr>
        <w:t xml:space="preserve"> to advance quality assurance in higher education. This includes joint efforts on best practice in </w:t>
      </w:r>
      <w:r w:rsidR="00DC522C" w:rsidRPr="007D601A">
        <w:rPr>
          <w:rFonts w:ascii="Aptos" w:hAnsi="Aptos"/>
        </w:rPr>
        <w:t>higher education innovation</w:t>
      </w:r>
      <w:r w:rsidRPr="007D601A">
        <w:rPr>
          <w:rFonts w:ascii="Aptos" w:hAnsi="Aptos"/>
        </w:rPr>
        <w:t xml:space="preserve"> and addressing emerging challenges such as the integration of generative artificial intelligence </w:t>
      </w:r>
      <w:r w:rsidR="008373B0" w:rsidRPr="007D601A">
        <w:rPr>
          <w:rFonts w:ascii="Aptos" w:hAnsi="Aptos"/>
        </w:rPr>
        <w:t>(</w:t>
      </w:r>
      <w:r w:rsidRPr="007D601A">
        <w:rPr>
          <w:rFonts w:ascii="Aptos" w:hAnsi="Aptos"/>
        </w:rPr>
        <w:t xml:space="preserve">AI) in teaching and learning. </w:t>
      </w:r>
      <w:r w:rsidR="008373B0" w:rsidRPr="007D601A">
        <w:rPr>
          <w:rFonts w:ascii="Aptos" w:hAnsi="Aptos"/>
        </w:rPr>
        <w:t>Ministers tasked regulators</w:t>
      </w:r>
      <w:r w:rsidRPr="007D601A">
        <w:rPr>
          <w:rFonts w:ascii="Aptos" w:hAnsi="Aptos"/>
        </w:rPr>
        <w:t xml:space="preserve"> to share best practices and regulatory insights to support innovation while safeguarding academic integrity.</w:t>
      </w:r>
    </w:p>
    <w:p w14:paraId="30219082" w14:textId="77777777" w:rsidR="00041ECE" w:rsidRPr="007D601A" w:rsidRDefault="00041ECE" w:rsidP="00041ECE">
      <w:pPr>
        <w:pStyle w:val="ListParagraph"/>
        <w:ind w:left="360"/>
        <w:jc w:val="both"/>
        <w:rPr>
          <w:rFonts w:ascii="Aptos" w:hAnsi="Aptos"/>
        </w:rPr>
      </w:pPr>
    </w:p>
    <w:p w14:paraId="12B19E53" w14:textId="13BE0F6A" w:rsidR="00161DA3" w:rsidRPr="007D601A" w:rsidRDefault="00830E32" w:rsidP="0089067D">
      <w:pPr>
        <w:pStyle w:val="ListParagraph"/>
        <w:numPr>
          <w:ilvl w:val="0"/>
          <w:numId w:val="13"/>
        </w:numPr>
        <w:jc w:val="both"/>
        <w:rPr>
          <w:rFonts w:ascii="Aptos" w:hAnsi="Aptos"/>
        </w:rPr>
      </w:pPr>
      <w:r w:rsidRPr="007D601A">
        <w:rPr>
          <w:rFonts w:ascii="Aptos" w:hAnsi="Aptos"/>
        </w:rPr>
        <w:t>Ministers look</w:t>
      </w:r>
      <w:r w:rsidR="004759DD" w:rsidRPr="007D601A">
        <w:rPr>
          <w:rFonts w:ascii="Aptos" w:hAnsi="Aptos"/>
        </w:rPr>
        <w:t xml:space="preserve"> forward to an </w:t>
      </w:r>
      <w:r w:rsidR="000B0C11" w:rsidRPr="007D601A">
        <w:rPr>
          <w:rFonts w:ascii="Aptos" w:hAnsi="Aptos"/>
        </w:rPr>
        <w:t>expanded cooperation between the </w:t>
      </w:r>
      <w:r w:rsidR="000B0C11" w:rsidRPr="007D601A">
        <w:rPr>
          <w:rFonts w:ascii="Aptos" w:hAnsi="Aptos"/>
          <w:b/>
          <w:bCs/>
        </w:rPr>
        <w:t>Australian Skills Quality Authority (ASQA)</w:t>
      </w:r>
      <w:r w:rsidR="000B0C11" w:rsidRPr="007D601A">
        <w:rPr>
          <w:rFonts w:ascii="Aptos" w:hAnsi="Aptos"/>
        </w:rPr>
        <w:t> and India’s </w:t>
      </w:r>
      <w:r w:rsidR="000B0C11" w:rsidRPr="007D601A">
        <w:rPr>
          <w:rFonts w:ascii="Aptos" w:hAnsi="Aptos"/>
          <w:b/>
          <w:bCs/>
        </w:rPr>
        <w:t>National Council for Vocational Education and Training (NCVET)</w:t>
      </w:r>
      <w:r w:rsidR="000B0C11" w:rsidRPr="007D601A">
        <w:rPr>
          <w:rFonts w:ascii="Aptos" w:hAnsi="Aptos"/>
        </w:rPr>
        <w:t xml:space="preserve">. This includes collaboration on transnational vocational education and training (VET) delivery, </w:t>
      </w:r>
      <w:r w:rsidR="00303D0B" w:rsidRPr="007D601A">
        <w:rPr>
          <w:rFonts w:ascii="Aptos" w:hAnsi="Aptos"/>
        </w:rPr>
        <w:t>trainer exchange programs,</w:t>
      </w:r>
      <w:r w:rsidR="00E857D9" w:rsidRPr="007D601A">
        <w:rPr>
          <w:rFonts w:ascii="Aptos" w:hAnsi="Aptos"/>
        </w:rPr>
        <w:t xml:space="preserve"> support</w:t>
      </w:r>
      <w:r w:rsidR="00CF468E" w:rsidRPr="007D601A">
        <w:rPr>
          <w:rFonts w:ascii="Aptos" w:hAnsi="Aptos"/>
        </w:rPr>
        <w:t xml:space="preserve"> joint development of qualifications,</w:t>
      </w:r>
      <w:r w:rsidR="00303D0B" w:rsidRPr="007D601A">
        <w:rPr>
          <w:rFonts w:ascii="Aptos" w:hAnsi="Aptos"/>
        </w:rPr>
        <w:t xml:space="preserve"> </w:t>
      </w:r>
      <w:r w:rsidR="006B0A08" w:rsidRPr="007D601A">
        <w:rPr>
          <w:rFonts w:ascii="Aptos" w:hAnsi="Aptos"/>
        </w:rPr>
        <w:t xml:space="preserve">bridging courses </w:t>
      </w:r>
      <w:r w:rsidR="00303D0B" w:rsidRPr="007D601A">
        <w:rPr>
          <w:rFonts w:ascii="Aptos" w:hAnsi="Aptos"/>
        </w:rPr>
        <w:t>and knowledge</w:t>
      </w:r>
      <w:r w:rsidR="00A306AF" w:rsidRPr="007D601A">
        <w:rPr>
          <w:rFonts w:ascii="Aptos" w:hAnsi="Aptos"/>
        </w:rPr>
        <w:t xml:space="preserve"> and practical exchange on quality assurance tools</w:t>
      </w:r>
      <w:r w:rsidR="006B0A08" w:rsidRPr="007D601A">
        <w:rPr>
          <w:rFonts w:ascii="Aptos" w:hAnsi="Aptos"/>
        </w:rPr>
        <w:t xml:space="preserve"> and mechanisms</w:t>
      </w:r>
      <w:r w:rsidR="00E4552F" w:rsidRPr="007D601A">
        <w:rPr>
          <w:rFonts w:ascii="Aptos" w:hAnsi="Aptos"/>
        </w:rPr>
        <w:t xml:space="preserve">. </w:t>
      </w:r>
      <w:r w:rsidR="000B0C11" w:rsidRPr="007D601A">
        <w:rPr>
          <w:rFonts w:ascii="Aptos" w:hAnsi="Aptos"/>
        </w:rPr>
        <w:t xml:space="preserve">The partnership will support the development of </w:t>
      </w:r>
      <w:r w:rsidR="000B0C11" w:rsidRPr="007D601A">
        <w:rPr>
          <w:rFonts w:ascii="Aptos" w:hAnsi="Aptos"/>
        </w:rPr>
        <w:lastRenderedPageBreak/>
        <w:t xml:space="preserve">portable, industry-relevant qualifications and mutual understanding of regulatory arrangements and priorities. </w:t>
      </w:r>
    </w:p>
    <w:p w14:paraId="43139A7D" w14:textId="77777777" w:rsidR="00D65B5A" w:rsidRPr="0027775F" w:rsidRDefault="00A41233">
      <w:pPr>
        <w:pStyle w:val="Heading1"/>
      </w:pPr>
      <w:r>
        <w:t>Skilled w</w:t>
      </w:r>
      <w:r w:rsidR="005443ED" w:rsidRPr="0027775F">
        <w:t xml:space="preserve">orkforce </w:t>
      </w:r>
      <w:r w:rsidR="00FF3790" w:rsidRPr="0027775F">
        <w:t>d</w:t>
      </w:r>
      <w:r w:rsidR="005443ED" w:rsidRPr="0027775F">
        <w:t>evelopment</w:t>
      </w:r>
    </w:p>
    <w:p w14:paraId="621A7A0F" w14:textId="77777777" w:rsidR="00EE6035" w:rsidRPr="007D601A" w:rsidRDefault="00EE6035" w:rsidP="0089067D">
      <w:pPr>
        <w:pStyle w:val="ListParagraph"/>
        <w:numPr>
          <w:ilvl w:val="0"/>
          <w:numId w:val="13"/>
        </w:numPr>
        <w:jc w:val="both"/>
        <w:rPr>
          <w:rFonts w:ascii="Aptos" w:hAnsi="Aptos"/>
        </w:rPr>
      </w:pPr>
      <w:r w:rsidRPr="007D601A">
        <w:rPr>
          <w:rFonts w:ascii="Aptos" w:hAnsi="Aptos"/>
        </w:rPr>
        <w:t xml:space="preserve">Ministers reaffirmed the role of education collaboration as a critical enabler of economic growth and workforce transformation. They recognised that partnerships between Australian and Indian institutions are essential to building skilled, adaptable workforces </w:t>
      </w:r>
      <w:r w:rsidR="002D340E" w:rsidRPr="007D601A">
        <w:rPr>
          <w:rFonts w:ascii="Aptos" w:hAnsi="Aptos"/>
        </w:rPr>
        <w:t>for priority sectors</w:t>
      </w:r>
      <w:r w:rsidRPr="007D601A">
        <w:rPr>
          <w:rFonts w:ascii="Aptos" w:hAnsi="Aptos"/>
        </w:rPr>
        <w:t xml:space="preserve"> </w:t>
      </w:r>
      <w:r w:rsidR="002D340E" w:rsidRPr="007D601A">
        <w:rPr>
          <w:rFonts w:ascii="Aptos" w:hAnsi="Aptos"/>
        </w:rPr>
        <w:t>that drive economic growth</w:t>
      </w:r>
      <w:r w:rsidRPr="007D601A">
        <w:rPr>
          <w:rFonts w:ascii="Aptos" w:hAnsi="Aptos"/>
        </w:rPr>
        <w:t xml:space="preserve">. </w:t>
      </w:r>
    </w:p>
    <w:p w14:paraId="3A50F834" w14:textId="77777777" w:rsidR="005B4193" w:rsidRPr="007D601A" w:rsidRDefault="005B4193" w:rsidP="00C74C6B">
      <w:pPr>
        <w:pStyle w:val="ListParagraph"/>
        <w:ind w:left="360"/>
        <w:jc w:val="both"/>
        <w:rPr>
          <w:rFonts w:ascii="Aptos" w:hAnsi="Aptos"/>
        </w:rPr>
      </w:pPr>
    </w:p>
    <w:p w14:paraId="2CC98AAF" w14:textId="77777777" w:rsidR="000838DE" w:rsidRPr="007D601A" w:rsidRDefault="000838DE" w:rsidP="00C74C6B">
      <w:pPr>
        <w:pStyle w:val="ListParagraph"/>
        <w:numPr>
          <w:ilvl w:val="0"/>
          <w:numId w:val="13"/>
        </w:numPr>
        <w:spacing w:after="0"/>
        <w:jc w:val="both"/>
        <w:rPr>
          <w:rFonts w:ascii="Aptos" w:hAnsi="Aptos"/>
        </w:rPr>
      </w:pPr>
      <w:r w:rsidRPr="007D601A">
        <w:rPr>
          <w:rFonts w:ascii="Aptos" w:hAnsi="Aptos"/>
        </w:rPr>
        <w:t xml:space="preserve">The Ministers recognised the importance of creating seamless pathways for learners and professionals and agreed to facilitate enhanced access to existing and emerging scholarship schemes for Indian students and professionals in Australian institutions, particularly in vocational and applied skill domains. </w:t>
      </w:r>
      <w:r w:rsidR="00CF468E" w:rsidRPr="007D601A">
        <w:rPr>
          <w:rFonts w:ascii="Aptos" w:hAnsi="Aptos"/>
          <w:lang w:val="en-US"/>
        </w:rPr>
        <w:t>Both sides agreed to review existing frameworks and promote greater awareness and uptake, with a view to strengthening transnational education, supporting learning progression, and deepening people-to-people connections.</w:t>
      </w:r>
    </w:p>
    <w:p w14:paraId="4ADA315E" w14:textId="77777777" w:rsidR="00041ECE" w:rsidRPr="007D601A" w:rsidRDefault="00041ECE" w:rsidP="00041ECE">
      <w:pPr>
        <w:pStyle w:val="ListParagraph"/>
        <w:ind w:left="360"/>
        <w:jc w:val="both"/>
        <w:rPr>
          <w:rFonts w:ascii="Aptos" w:hAnsi="Aptos"/>
        </w:rPr>
      </w:pPr>
    </w:p>
    <w:p w14:paraId="2FA4BC2A" w14:textId="0B0CBBF8" w:rsidR="00041ECE" w:rsidRPr="007D601A" w:rsidRDefault="00A21C5F" w:rsidP="000D6ED5">
      <w:pPr>
        <w:pStyle w:val="ListParagraph"/>
        <w:numPr>
          <w:ilvl w:val="0"/>
          <w:numId w:val="13"/>
        </w:numPr>
        <w:jc w:val="both"/>
        <w:rPr>
          <w:rFonts w:ascii="Aptos" w:hAnsi="Aptos"/>
        </w:rPr>
      </w:pPr>
      <w:r w:rsidRPr="007D601A">
        <w:rPr>
          <w:rFonts w:ascii="Aptos" w:hAnsi="Aptos"/>
        </w:rPr>
        <w:t xml:space="preserve">Ministers welcomed the success of the Developing Critical Skills project in agriculture. They noted plans to integrate the project’s microcredentials into India’s </w:t>
      </w:r>
      <w:proofErr w:type="spellStart"/>
      <w:r w:rsidRPr="007D601A">
        <w:rPr>
          <w:rFonts w:ascii="Aptos" w:hAnsi="Aptos"/>
        </w:rPr>
        <w:t>Kendriya</w:t>
      </w:r>
      <w:proofErr w:type="spellEnd"/>
      <w:r w:rsidRPr="007D601A">
        <w:rPr>
          <w:rFonts w:ascii="Aptos" w:hAnsi="Aptos"/>
        </w:rPr>
        <w:t xml:space="preserve"> Vikas Kendra network, deliver courses at Australian campuses in India, and expand student access via microcredentials on SWAYAM. </w:t>
      </w:r>
    </w:p>
    <w:p w14:paraId="5DD36901" w14:textId="77777777" w:rsidR="00041ECE" w:rsidRPr="007D601A" w:rsidRDefault="00041ECE" w:rsidP="000D6ED5">
      <w:pPr>
        <w:pStyle w:val="ListParagraph"/>
        <w:ind w:left="360"/>
        <w:jc w:val="both"/>
        <w:rPr>
          <w:rFonts w:ascii="Aptos" w:hAnsi="Aptos"/>
        </w:rPr>
      </w:pPr>
    </w:p>
    <w:p w14:paraId="744A224F" w14:textId="2FD68123" w:rsidR="00041ECE" w:rsidRPr="007D601A" w:rsidRDefault="00132206" w:rsidP="000D6ED5">
      <w:pPr>
        <w:pStyle w:val="ListParagraph"/>
        <w:numPr>
          <w:ilvl w:val="0"/>
          <w:numId w:val="13"/>
        </w:numPr>
        <w:jc w:val="both"/>
        <w:rPr>
          <w:rFonts w:ascii="Aptos" w:hAnsi="Aptos"/>
        </w:rPr>
      </w:pPr>
      <w:r w:rsidRPr="007D601A">
        <w:rPr>
          <w:rFonts w:ascii="Aptos" w:hAnsi="Aptos"/>
        </w:rPr>
        <w:t>Ministers acknowledged the growing collaboration between India and Australia in advancing skills development for the renewable energy sector. They welcomed ongoing efforts to upgrade skill training for the renewable’s workforce of the future in areas such as solar technologies, green hydrogen, energy storage, and allied emerging domains. Both sides recognised that enhanced skilling cooperation will support the development of a skilled workforce for a sustainable future.</w:t>
      </w:r>
    </w:p>
    <w:p w14:paraId="0839D743" w14:textId="4751F0DC" w:rsidR="00041ECE" w:rsidRPr="00C74C6B" w:rsidRDefault="00041ECE" w:rsidP="00041ECE">
      <w:pPr>
        <w:pStyle w:val="ListParagraph"/>
        <w:rPr>
          <w:rFonts w:ascii="Aptos" w:hAnsi="Aptos"/>
        </w:rPr>
      </w:pPr>
    </w:p>
    <w:p w14:paraId="2E03CB41" w14:textId="3E25E290" w:rsidR="00AA2855" w:rsidRPr="00C74C6B" w:rsidRDefault="00041ECE" w:rsidP="000D6ED5">
      <w:pPr>
        <w:pStyle w:val="ListParagraph"/>
        <w:numPr>
          <w:ilvl w:val="0"/>
          <w:numId w:val="13"/>
        </w:numPr>
        <w:jc w:val="both"/>
        <w:rPr>
          <w:rFonts w:ascii="Aptos" w:hAnsi="Aptos"/>
        </w:rPr>
      </w:pPr>
      <w:r w:rsidRPr="00C74C6B">
        <w:rPr>
          <w:rFonts w:ascii="Aptos" w:hAnsi="Aptos"/>
        </w:rPr>
        <w:t>M</w:t>
      </w:r>
      <w:r w:rsidR="0057728B" w:rsidRPr="00C74C6B">
        <w:rPr>
          <w:rFonts w:ascii="Aptos" w:hAnsi="Aptos"/>
        </w:rPr>
        <w:t>inisters committed to the </w:t>
      </w:r>
      <w:r w:rsidR="0057728B" w:rsidRPr="000D6ED5">
        <w:rPr>
          <w:rFonts w:ascii="Aptos" w:hAnsi="Aptos"/>
          <w:b/>
          <w:bCs/>
        </w:rPr>
        <w:t xml:space="preserve">Australia–India Workforce Futures </w:t>
      </w:r>
      <w:r w:rsidR="0063651E" w:rsidRPr="000D6ED5">
        <w:rPr>
          <w:rFonts w:ascii="Aptos" w:hAnsi="Aptos"/>
          <w:b/>
          <w:bCs/>
        </w:rPr>
        <w:t>Initiative</w:t>
      </w:r>
      <w:r w:rsidR="0063651E" w:rsidRPr="00C74C6B">
        <w:rPr>
          <w:rFonts w:ascii="Aptos" w:hAnsi="Aptos"/>
        </w:rPr>
        <w:t xml:space="preserve"> for</w:t>
      </w:r>
      <w:r w:rsidR="00531C79" w:rsidRPr="00C74C6B">
        <w:rPr>
          <w:rFonts w:ascii="Aptos" w:hAnsi="Aptos"/>
        </w:rPr>
        <w:t xml:space="preserve"> </w:t>
      </w:r>
      <w:r w:rsidR="00AA2855" w:rsidRPr="00C74C6B">
        <w:rPr>
          <w:rFonts w:ascii="Aptos" w:hAnsi="Aptos"/>
        </w:rPr>
        <w:t xml:space="preserve">targeted projects in </w:t>
      </w:r>
      <w:r w:rsidR="00C735DD" w:rsidRPr="00C74C6B">
        <w:rPr>
          <w:rFonts w:ascii="Aptos" w:hAnsi="Aptos"/>
        </w:rPr>
        <w:t>workforce</w:t>
      </w:r>
      <w:r w:rsidR="00AA2855" w:rsidRPr="00C74C6B">
        <w:rPr>
          <w:rFonts w:ascii="Aptos" w:hAnsi="Aptos"/>
        </w:rPr>
        <w:t xml:space="preserve"> forecasting, gap training, and </w:t>
      </w:r>
      <w:r w:rsidR="00B6692C" w:rsidRPr="00C74C6B">
        <w:rPr>
          <w:rFonts w:ascii="Aptos" w:hAnsi="Aptos"/>
        </w:rPr>
        <w:t>R&amp;D</w:t>
      </w:r>
      <w:r w:rsidR="00AA2855" w:rsidRPr="00C74C6B">
        <w:rPr>
          <w:rFonts w:ascii="Aptos" w:hAnsi="Aptos"/>
        </w:rPr>
        <w:t xml:space="preserve"> workforce development</w:t>
      </w:r>
      <w:r w:rsidR="00531C79" w:rsidRPr="00C74C6B">
        <w:rPr>
          <w:rFonts w:ascii="Aptos" w:hAnsi="Aptos"/>
        </w:rPr>
        <w:t xml:space="preserve"> with</w:t>
      </w:r>
      <w:r w:rsidRPr="00C74C6B">
        <w:rPr>
          <w:rFonts w:ascii="Aptos" w:hAnsi="Aptos"/>
        </w:rPr>
        <w:t xml:space="preserve"> </w:t>
      </w:r>
      <w:r w:rsidR="00531C79" w:rsidRPr="00C74C6B">
        <w:rPr>
          <w:rFonts w:ascii="Aptos" w:hAnsi="Aptos"/>
        </w:rPr>
        <w:t>p</w:t>
      </w:r>
      <w:r w:rsidR="00AA2855" w:rsidRPr="00C74C6B">
        <w:rPr>
          <w:rFonts w:ascii="Aptos" w:hAnsi="Aptos"/>
        </w:rPr>
        <w:t xml:space="preserve">ilot projects in sports, early childhood, and mining sectors for mapping job roles, aligning competencies, and driving commercialisation. These efforts will support the development of </w:t>
      </w:r>
      <w:r w:rsidR="004B1867" w:rsidRPr="00C74C6B">
        <w:rPr>
          <w:rFonts w:ascii="Aptos" w:hAnsi="Aptos"/>
        </w:rPr>
        <w:t>institutional and industry partnerships</w:t>
      </w:r>
      <w:r w:rsidR="00AA2855" w:rsidRPr="00C74C6B">
        <w:rPr>
          <w:rFonts w:ascii="Aptos" w:hAnsi="Aptos"/>
        </w:rPr>
        <w:t xml:space="preserve"> that respond to shared economic priorities</w:t>
      </w:r>
      <w:r w:rsidR="004B1867" w:rsidRPr="00C74C6B">
        <w:rPr>
          <w:rFonts w:ascii="Aptos" w:hAnsi="Aptos"/>
        </w:rPr>
        <w:t>.</w:t>
      </w:r>
    </w:p>
    <w:p w14:paraId="62995301" w14:textId="77777777" w:rsidR="00041ECE" w:rsidRPr="00C74C6B" w:rsidRDefault="00041ECE" w:rsidP="00041ECE">
      <w:pPr>
        <w:pStyle w:val="ListParagraph"/>
        <w:rPr>
          <w:rFonts w:ascii="Aptos" w:hAnsi="Aptos"/>
        </w:rPr>
      </w:pPr>
    </w:p>
    <w:p w14:paraId="2F1237C3" w14:textId="77777777" w:rsidR="00041ECE" w:rsidRPr="00C74C6B" w:rsidRDefault="004B1867" w:rsidP="000D6ED5">
      <w:pPr>
        <w:pStyle w:val="ListParagraph"/>
        <w:numPr>
          <w:ilvl w:val="0"/>
          <w:numId w:val="13"/>
        </w:numPr>
        <w:jc w:val="both"/>
        <w:rPr>
          <w:rFonts w:ascii="Aptos" w:hAnsi="Aptos"/>
        </w:rPr>
      </w:pPr>
      <w:r w:rsidRPr="00C74C6B">
        <w:rPr>
          <w:rFonts w:ascii="Aptos" w:hAnsi="Aptos"/>
        </w:rPr>
        <w:t xml:space="preserve">Ministers also highlighted </w:t>
      </w:r>
      <w:r w:rsidRPr="000D6ED5">
        <w:rPr>
          <w:rFonts w:ascii="Aptos" w:hAnsi="Aptos"/>
          <w:b/>
          <w:bCs/>
        </w:rPr>
        <w:t>industry-academic partnerships</w:t>
      </w:r>
      <w:r w:rsidRPr="00C74C6B">
        <w:rPr>
          <w:rFonts w:ascii="Aptos" w:hAnsi="Aptos"/>
        </w:rPr>
        <w:t xml:space="preserve">, including </w:t>
      </w:r>
      <w:r w:rsidR="00531C79" w:rsidRPr="00C74C6B">
        <w:rPr>
          <w:rFonts w:ascii="Aptos" w:hAnsi="Aptos"/>
        </w:rPr>
        <w:t>through</w:t>
      </w:r>
      <w:r w:rsidRPr="00C74C6B">
        <w:rPr>
          <w:rFonts w:ascii="Aptos" w:hAnsi="Aptos"/>
        </w:rPr>
        <w:t xml:space="preserve"> the Australia-India CEO Forum, to ensure that courses and qualifications are co-designed with employers and aligned to workforce demand. </w:t>
      </w:r>
      <w:r w:rsidR="00904083" w:rsidRPr="00C74C6B">
        <w:rPr>
          <w:rFonts w:ascii="Aptos" w:hAnsi="Aptos"/>
        </w:rPr>
        <w:t xml:space="preserve">To ensure these efforts are responsive to future </w:t>
      </w:r>
      <w:r w:rsidR="00C735DD" w:rsidRPr="00C74C6B">
        <w:rPr>
          <w:rFonts w:ascii="Aptos" w:hAnsi="Aptos"/>
        </w:rPr>
        <w:t>workforce</w:t>
      </w:r>
      <w:r w:rsidR="00904083" w:rsidRPr="00C74C6B">
        <w:rPr>
          <w:rFonts w:ascii="Aptos" w:hAnsi="Aptos"/>
        </w:rPr>
        <w:t xml:space="preserve"> needs, Ministers reiterated the need for </w:t>
      </w:r>
      <w:r w:rsidR="00C735DD" w:rsidRPr="00C74C6B">
        <w:rPr>
          <w:rFonts w:ascii="Aptos" w:hAnsi="Aptos"/>
        </w:rPr>
        <w:t>workforce</w:t>
      </w:r>
      <w:r w:rsidR="00904083" w:rsidRPr="00C74C6B">
        <w:rPr>
          <w:rFonts w:ascii="Aptos" w:hAnsi="Aptos"/>
        </w:rPr>
        <w:t xml:space="preserve"> </w:t>
      </w:r>
      <w:r w:rsidR="00904083" w:rsidRPr="00C74C6B">
        <w:rPr>
          <w:rFonts w:ascii="Aptos" w:hAnsi="Aptos"/>
        </w:rPr>
        <w:lastRenderedPageBreak/>
        <w:t xml:space="preserve">forecasting through Jobs and Skills Australia and NCVET, to enable institutions to </w:t>
      </w:r>
      <w:r w:rsidR="00904083" w:rsidRPr="000D6ED5">
        <w:rPr>
          <w:rFonts w:ascii="Aptos" w:hAnsi="Aptos"/>
          <w:b/>
          <w:bCs/>
        </w:rPr>
        <w:t>anticipate skills gaps and design education pathways</w:t>
      </w:r>
      <w:r w:rsidR="00904083" w:rsidRPr="00C74C6B">
        <w:rPr>
          <w:rFonts w:ascii="Aptos" w:hAnsi="Aptos"/>
        </w:rPr>
        <w:t xml:space="preserve"> accordingly.</w:t>
      </w:r>
    </w:p>
    <w:p w14:paraId="68F20AFB" w14:textId="77777777" w:rsidR="00041ECE" w:rsidRPr="00C74C6B" w:rsidRDefault="00041ECE" w:rsidP="00041ECE">
      <w:pPr>
        <w:pStyle w:val="ListParagraph"/>
        <w:rPr>
          <w:rFonts w:ascii="Aptos" w:hAnsi="Aptos"/>
        </w:rPr>
      </w:pPr>
    </w:p>
    <w:p w14:paraId="289C228A" w14:textId="77777777" w:rsidR="00041ECE" w:rsidRPr="00C74C6B" w:rsidRDefault="004B1867" w:rsidP="000D6ED5">
      <w:pPr>
        <w:pStyle w:val="ListParagraph"/>
        <w:numPr>
          <w:ilvl w:val="0"/>
          <w:numId w:val="13"/>
        </w:numPr>
        <w:spacing w:after="0"/>
        <w:jc w:val="both"/>
        <w:rPr>
          <w:rFonts w:ascii="Aptos" w:hAnsi="Aptos"/>
        </w:rPr>
      </w:pPr>
      <w:r w:rsidRPr="00C74C6B">
        <w:rPr>
          <w:rFonts w:ascii="Aptos" w:hAnsi="Aptos"/>
        </w:rPr>
        <w:t xml:space="preserve">Ministers noted the mutual benefits of industry-based learning and encouraged the development of partnerships and programs </w:t>
      </w:r>
      <w:r w:rsidR="00904083" w:rsidRPr="00C74C6B">
        <w:rPr>
          <w:rFonts w:ascii="Aptos" w:hAnsi="Aptos"/>
        </w:rPr>
        <w:t xml:space="preserve">between India’s Industrial Training Institutes and Australia’s TAFEs in priority sectors.  </w:t>
      </w:r>
      <w:r w:rsidR="000E7C1B" w:rsidRPr="00C74C6B">
        <w:rPr>
          <w:rFonts w:ascii="Aptos" w:hAnsi="Aptos"/>
        </w:rPr>
        <w:t>In this context, the Ministers also committed to the organisation of an Annual India–Australia Skills Meet, to be held alternately in both countries, focusing on institutional partnerships in VET (including with TAFEs), skilling ecosystem alignment, and exchanges, on the lines of the WorldSkills Competition, to inspire young competitors, make skills aspirational, and set benchmarks for skills excellence.</w:t>
      </w:r>
    </w:p>
    <w:p w14:paraId="08E5DC6E" w14:textId="77777777" w:rsidR="00041ECE" w:rsidRPr="00C74C6B" w:rsidRDefault="00041ECE" w:rsidP="000D6ED5">
      <w:pPr>
        <w:pStyle w:val="ListParagraph"/>
        <w:jc w:val="both"/>
        <w:rPr>
          <w:rFonts w:ascii="Aptos" w:hAnsi="Aptos"/>
        </w:rPr>
      </w:pPr>
    </w:p>
    <w:p w14:paraId="1F943279" w14:textId="2951B9B5" w:rsidR="00041ECE" w:rsidRPr="00C74C6B" w:rsidRDefault="000E7C1B" w:rsidP="000D6ED5">
      <w:pPr>
        <w:pStyle w:val="ListParagraph"/>
        <w:numPr>
          <w:ilvl w:val="0"/>
          <w:numId w:val="13"/>
        </w:numPr>
        <w:spacing w:after="0"/>
        <w:jc w:val="both"/>
        <w:rPr>
          <w:rFonts w:ascii="Aptos" w:hAnsi="Aptos"/>
        </w:rPr>
      </w:pPr>
      <w:r w:rsidRPr="00C74C6B">
        <w:rPr>
          <w:rFonts w:ascii="Aptos" w:hAnsi="Aptos"/>
        </w:rPr>
        <w:t xml:space="preserve">Both Ministers agreed to explore collaboration on an Employability Matrix as a trusted and standardised measure of job readiness, and on the flexibility and </w:t>
      </w:r>
      <w:proofErr w:type="spellStart"/>
      <w:r w:rsidRPr="00C74C6B">
        <w:rPr>
          <w:rFonts w:ascii="Aptos" w:hAnsi="Aptos"/>
        </w:rPr>
        <w:t>stackability</w:t>
      </w:r>
      <w:proofErr w:type="spellEnd"/>
      <w:r w:rsidRPr="00C74C6B">
        <w:rPr>
          <w:rFonts w:ascii="Aptos" w:hAnsi="Aptos"/>
        </w:rPr>
        <w:t xml:space="preserve"> of micro-credentials, to support learners, employers, policymakers, and large-scale reskilling efforts.</w:t>
      </w:r>
    </w:p>
    <w:p w14:paraId="1360FE89" w14:textId="77777777" w:rsidR="00150150" w:rsidRPr="007D601A" w:rsidRDefault="00D11389" w:rsidP="007D601A">
      <w:pPr>
        <w:pStyle w:val="Heading1"/>
      </w:pPr>
      <w:r w:rsidRPr="00664F00">
        <w:t>School and teacher education</w:t>
      </w:r>
    </w:p>
    <w:p w14:paraId="0B11988D" w14:textId="77777777" w:rsidR="00041ECE" w:rsidRPr="007D601A" w:rsidRDefault="007D5DF2" w:rsidP="000D6ED5">
      <w:pPr>
        <w:pStyle w:val="ListParagraph"/>
        <w:numPr>
          <w:ilvl w:val="0"/>
          <w:numId w:val="13"/>
        </w:numPr>
        <w:spacing w:after="0"/>
        <w:jc w:val="both"/>
        <w:rPr>
          <w:rFonts w:ascii="Aptos" w:hAnsi="Aptos"/>
        </w:rPr>
      </w:pPr>
      <w:r w:rsidRPr="007D601A">
        <w:rPr>
          <w:rFonts w:ascii="Aptos" w:hAnsi="Aptos"/>
        </w:rPr>
        <w:t xml:space="preserve">Ministers reaffirmed the foundational role of early childhood and school education in building inclusive, high-quality systems. They agreed to deepen cooperation in early childhood education through comparative curriculum development between </w:t>
      </w:r>
      <w:r w:rsidR="006123B5" w:rsidRPr="007D601A">
        <w:rPr>
          <w:rFonts w:ascii="Aptos" w:hAnsi="Aptos"/>
        </w:rPr>
        <w:t>India’s Central Board of Secondary Education (CBSE) early childhood care and education certificate and Australia’s Certificate III in Early Childhood Education</w:t>
      </w:r>
      <w:r w:rsidRPr="007D601A">
        <w:rPr>
          <w:rFonts w:ascii="Aptos" w:hAnsi="Aptos"/>
        </w:rPr>
        <w:t>, enabling scalable gap training to strengthen</w:t>
      </w:r>
      <w:r w:rsidR="00D824ED" w:rsidRPr="007D601A">
        <w:rPr>
          <w:rFonts w:ascii="Aptos" w:hAnsi="Aptos"/>
        </w:rPr>
        <w:t xml:space="preserve"> India’s</w:t>
      </w:r>
      <w:r w:rsidRPr="007D601A">
        <w:rPr>
          <w:rFonts w:ascii="Aptos" w:hAnsi="Aptos"/>
        </w:rPr>
        <w:t xml:space="preserve"> early childhood workforce. </w:t>
      </w:r>
    </w:p>
    <w:p w14:paraId="3D161757" w14:textId="77777777" w:rsidR="00041ECE" w:rsidRPr="007D601A" w:rsidRDefault="00041ECE" w:rsidP="000D6ED5">
      <w:pPr>
        <w:pStyle w:val="ListParagraph"/>
        <w:spacing w:after="0"/>
        <w:ind w:left="360"/>
        <w:jc w:val="both"/>
        <w:rPr>
          <w:rFonts w:ascii="Aptos" w:hAnsi="Aptos"/>
        </w:rPr>
      </w:pPr>
    </w:p>
    <w:p w14:paraId="138A2E57" w14:textId="3F4E296C" w:rsidR="00041ECE" w:rsidRPr="007D601A" w:rsidRDefault="00BC078C" w:rsidP="000D6ED5">
      <w:pPr>
        <w:pStyle w:val="ListParagraph"/>
        <w:numPr>
          <w:ilvl w:val="0"/>
          <w:numId w:val="13"/>
        </w:numPr>
        <w:spacing w:after="0"/>
        <w:jc w:val="both"/>
        <w:rPr>
          <w:rFonts w:ascii="Aptos" w:hAnsi="Aptos"/>
        </w:rPr>
      </w:pPr>
      <w:r w:rsidRPr="007D601A">
        <w:rPr>
          <w:rFonts w:ascii="Aptos" w:hAnsi="Aptos"/>
        </w:rPr>
        <w:t xml:space="preserve">Ministers welcomed the </w:t>
      </w:r>
      <w:r w:rsidRPr="007D601A">
        <w:rPr>
          <w:rFonts w:ascii="Aptos" w:hAnsi="Aptos"/>
          <w:b/>
          <w:bCs/>
        </w:rPr>
        <w:t>mapping of teaching standards</w:t>
      </w:r>
      <w:r w:rsidRPr="007D601A">
        <w:rPr>
          <w:rFonts w:ascii="Aptos" w:hAnsi="Aptos"/>
        </w:rPr>
        <w:t xml:space="preserve"> by the Australian Institute for Teaching and School Leadership (AITSL) and the National Council for Teacher Education (NCTE), recognising this as a foundation for deeper institutional partnerships in teacher education, including the </w:t>
      </w:r>
      <w:r w:rsidR="00461DBB" w:rsidRPr="007D601A">
        <w:rPr>
          <w:rFonts w:ascii="Aptos" w:hAnsi="Aptos"/>
        </w:rPr>
        <w:t>co-</w:t>
      </w:r>
      <w:r w:rsidRPr="007D601A">
        <w:rPr>
          <w:rFonts w:ascii="Aptos" w:hAnsi="Aptos"/>
        </w:rPr>
        <w:t xml:space="preserve">development and piloting of dual qualifications for teachers. Building on this progress, Ministers encouraged ongoing cooperation between AITSL and NCTE and consideration further exchanges and collaborative activities to strengthen teacher education </w:t>
      </w:r>
      <w:r w:rsidR="0029753F" w:rsidRPr="007D601A">
        <w:rPr>
          <w:rFonts w:ascii="Aptos" w:hAnsi="Aptos"/>
        </w:rPr>
        <w:t>cooperation</w:t>
      </w:r>
      <w:r w:rsidRPr="007D601A">
        <w:rPr>
          <w:rFonts w:ascii="Aptos" w:hAnsi="Aptos"/>
        </w:rPr>
        <w:t>.</w:t>
      </w:r>
    </w:p>
    <w:p w14:paraId="372068E4" w14:textId="77777777" w:rsidR="00041ECE" w:rsidRPr="007D601A" w:rsidRDefault="00041ECE" w:rsidP="000D6ED5">
      <w:pPr>
        <w:pStyle w:val="ListParagraph"/>
        <w:rPr>
          <w:rFonts w:ascii="Aptos" w:hAnsi="Aptos"/>
        </w:rPr>
      </w:pPr>
    </w:p>
    <w:p w14:paraId="7164CFE3" w14:textId="77777777" w:rsidR="00041ECE" w:rsidRPr="007D601A" w:rsidRDefault="006F24DF" w:rsidP="000D6ED5">
      <w:pPr>
        <w:pStyle w:val="ListParagraph"/>
        <w:numPr>
          <w:ilvl w:val="0"/>
          <w:numId w:val="13"/>
        </w:numPr>
        <w:spacing w:after="0"/>
        <w:jc w:val="both"/>
        <w:rPr>
          <w:rFonts w:ascii="Aptos" w:hAnsi="Aptos"/>
        </w:rPr>
      </w:pPr>
      <w:r w:rsidRPr="007D601A">
        <w:rPr>
          <w:rFonts w:ascii="Aptos" w:hAnsi="Aptos"/>
        </w:rPr>
        <w:t>Ministers noted Monash University’s Teaching Excellence Academy in Uttar Pradesh as a landmark initiative to train master teachers and drive systemic uplift in teaching quality. They also welcomed the forthcoming Toolkit for Teachers, developed by the Australia India Institute with leading Indian and Australian partners, offering evidence-based resources for Indian teachers. Both sides agreed that microcredentials and online delivery provide scalable models for professional development and committed to expanding Indian teachers’ access to Australian resources.</w:t>
      </w:r>
    </w:p>
    <w:p w14:paraId="4388283B" w14:textId="77777777" w:rsidR="00041ECE" w:rsidRPr="007D601A" w:rsidRDefault="00041ECE" w:rsidP="000D6ED5">
      <w:pPr>
        <w:pStyle w:val="ListParagraph"/>
        <w:rPr>
          <w:rFonts w:ascii="Aptos" w:hAnsi="Aptos"/>
        </w:rPr>
      </w:pPr>
    </w:p>
    <w:p w14:paraId="597C4782" w14:textId="77777777" w:rsidR="00150150" w:rsidRPr="007D601A" w:rsidRDefault="00E35A49" w:rsidP="000D6ED5">
      <w:pPr>
        <w:pStyle w:val="ListParagraph"/>
        <w:numPr>
          <w:ilvl w:val="0"/>
          <w:numId w:val="13"/>
        </w:numPr>
        <w:spacing w:after="0"/>
        <w:jc w:val="both"/>
        <w:rPr>
          <w:rFonts w:ascii="Aptos" w:hAnsi="Aptos"/>
        </w:rPr>
      </w:pPr>
      <w:r w:rsidRPr="007D601A">
        <w:rPr>
          <w:rFonts w:ascii="Aptos" w:hAnsi="Aptos"/>
        </w:rPr>
        <w:lastRenderedPageBreak/>
        <w:t xml:space="preserve">Further, Ministers agreed to collaborate on enabling delivery of the </w:t>
      </w:r>
      <w:r w:rsidRPr="007D601A">
        <w:rPr>
          <w:rFonts w:ascii="Aptos" w:hAnsi="Aptos"/>
          <w:b/>
          <w:bCs/>
        </w:rPr>
        <w:t>CBSE Global Curriculum</w:t>
      </w:r>
      <w:r w:rsidRPr="007D601A">
        <w:rPr>
          <w:rFonts w:ascii="Aptos" w:hAnsi="Aptos"/>
        </w:rPr>
        <w:t xml:space="preserve"> in Australia </w:t>
      </w:r>
      <w:r w:rsidR="00E97A7B" w:rsidRPr="007D601A">
        <w:rPr>
          <w:rFonts w:ascii="Aptos" w:hAnsi="Aptos"/>
        </w:rPr>
        <w:t xml:space="preserve">by facilitating consultations between CBSE and relevant Australian educational authorities, sharing information on regulatory and quality assurance procedures, and supporting outreach to prospective </w:t>
      </w:r>
      <w:r w:rsidR="00770140" w:rsidRPr="007D601A">
        <w:rPr>
          <w:rFonts w:ascii="Aptos" w:hAnsi="Aptos"/>
        </w:rPr>
        <w:t xml:space="preserve">Australian schools for CBSE </w:t>
      </w:r>
      <w:r w:rsidR="00E97A7B" w:rsidRPr="007D601A">
        <w:rPr>
          <w:rFonts w:ascii="Aptos" w:hAnsi="Aptos"/>
        </w:rPr>
        <w:t>affiliat</w:t>
      </w:r>
      <w:r w:rsidR="00770140" w:rsidRPr="007D601A">
        <w:rPr>
          <w:rFonts w:ascii="Aptos" w:hAnsi="Aptos"/>
        </w:rPr>
        <w:t>ion</w:t>
      </w:r>
      <w:r w:rsidR="00E97A7B" w:rsidRPr="007D601A">
        <w:rPr>
          <w:rFonts w:ascii="Aptos" w:hAnsi="Aptos"/>
        </w:rPr>
        <w:t xml:space="preserve">. Both sides will also consider any mutually agreed activities that further enable </w:t>
      </w:r>
      <w:r w:rsidR="00472CAF" w:rsidRPr="007D601A">
        <w:rPr>
          <w:rFonts w:ascii="Aptos" w:hAnsi="Aptos"/>
        </w:rPr>
        <w:t xml:space="preserve">establishment of </w:t>
      </w:r>
      <w:r w:rsidR="00E97A7B" w:rsidRPr="007D601A">
        <w:rPr>
          <w:rFonts w:ascii="Aptos" w:hAnsi="Aptos"/>
        </w:rPr>
        <w:t>CBSE-affiliat</w:t>
      </w:r>
      <w:r w:rsidR="00472CAF" w:rsidRPr="007D601A">
        <w:rPr>
          <w:rFonts w:ascii="Aptos" w:hAnsi="Aptos"/>
        </w:rPr>
        <w:t xml:space="preserve">ed schools </w:t>
      </w:r>
      <w:r w:rsidR="00E97A7B" w:rsidRPr="007D601A">
        <w:rPr>
          <w:rFonts w:ascii="Aptos" w:hAnsi="Aptos"/>
        </w:rPr>
        <w:t>in Australia</w:t>
      </w:r>
      <w:r w:rsidR="00974496" w:rsidRPr="007D601A">
        <w:rPr>
          <w:rFonts w:ascii="Aptos" w:hAnsi="Aptos"/>
        </w:rPr>
        <w:t>.</w:t>
      </w:r>
      <w:r w:rsidR="00472CAF" w:rsidRPr="007D601A">
        <w:rPr>
          <w:rFonts w:ascii="Aptos" w:hAnsi="Aptos"/>
        </w:rPr>
        <w:t xml:space="preserve"> </w:t>
      </w:r>
    </w:p>
    <w:p w14:paraId="0FD02B88" w14:textId="77777777" w:rsidR="00D65B5A" w:rsidRPr="0027775F" w:rsidRDefault="00E666A5" w:rsidP="009627D4">
      <w:pPr>
        <w:pStyle w:val="Heading1"/>
      </w:pPr>
      <w:r w:rsidRPr="0027775F">
        <w:t xml:space="preserve">Sports </w:t>
      </w:r>
      <w:r w:rsidR="00A75D67" w:rsidRPr="0027775F">
        <w:t>e</w:t>
      </w:r>
      <w:r w:rsidRPr="0027775F">
        <w:t>ducation</w:t>
      </w:r>
      <w:r w:rsidR="00A75D67" w:rsidRPr="0027775F">
        <w:t xml:space="preserve"> and research</w:t>
      </w:r>
    </w:p>
    <w:p w14:paraId="4022CA10" w14:textId="77777777" w:rsidR="00041ECE" w:rsidRPr="007D601A" w:rsidRDefault="00CB11A4" w:rsidP="00041ECE">
      <w:pPr>
        <w:pStyle w:val="ListParagraph"/>
        <w:numPr>
          <w:ilvl w:val="0"/>
          <w:numId w:val="13"/>
        </w:numPr>
        <w:jc w:val="both"/>
        <w:rPr>
          <w:rFonts w:ascii="Aptos" w:hAnsi="Aptos"/>
        </w:rPr>
      </w:pPr>
      <w:r w:rsidRPr="007D601A">
        <w:rPr>
          <w:rFonts w:ascii="Aptos" w:hAnsi="Aptos"/>
        </w:rPr>
        <w:t xml:space="preserve">Ministers recognised the strategic importance of sports education and research as drivers of economic growth, social inclusion, and bilateral engagement.  </w:t>
      </w:r>
      <w:r w:rsidR="005443ED" w:rsidRPr="007D601A">
        <w:rPr>
          <w:rFonts w:ascii="Aptos" w:hAnsi="Aptos"/>
        </w:rPr>
        <w:t xml:space="preserve">Ministers welcomed the </w:t>
      </w:r>
      <w:r w:rsidR="00B3009F" w:rsidRPr="007D601A">
        <w:rPr>
          <w:rFonts w:ascii="Aptos" w:hAnsi="Aptos"/>
        </w:rPr>
        <w:t xml:space="preserve">increasing </w:t>
      </w:r>
      <w:r w:rsidR="006D12E6" w:rsidRPr="007D601A">
        <w:rPr>
          <w:rFonts w:ascii="Aptos" w:hAnsi="Aptos"/>
        </w:rPr>
        <w:t xml:space="preserve">policy, partnership and economic </w:t>
      </w:r>
      <w:r w:rsidR="00C45E55" w:rsidRPr="007D601A">
        <w:rPr>
          <w:rFonts w:ascii="Aptos" w:hAnsi="Aptos"/>
        </w:rPr>
        <w:t>momentum</w:t>
      </w:r>
      <w:r w:rsidR="00B3009F" w:rsidRPr="007D601A">
        <w:rPr>
          <w:rFonts w:ascii="Aptos" w:hAnsi="Aptos"/>
        </w:rPr>
        <w:t xml:space="preserve"> in this sector</w:t>
      </w:r>
      <w:r w:rsidR="00C45E55" w:rsidRPr="007D601A">
        <w:rPr>
          <w:rFonts w:ascii="Aptos" w:hAnsi="Aptos"/>
        </w:rPr>
        <w:t xml:space="preserve">. </w:t>
      </w:r>
      <w:r w:rsidR="006D12E6" w:rsidRPr="007D601A">
        <w:rPr>
          <w:rFonts w:ascii="Aptos" w:hAnsi="Aptos"/>
        </w:rPr>
        <w:t xml:space="preserve">Reflecting priorities in Australia’s Sports Diplomacy 2030 strategy and India’s </w:t>
      </w:r>
      <w:proofErr w:type="spellStart"/>
      <w:r w:rsidR="00A64056" w:rsidRPr="007D601A">
        <w:rPr>
          <w:rFonts w:ascii="Aptos" w:hAnsi="Aptos"/>
        </w:rPr>
        <w:t>Khelo</w:t>
      </w:r>
      <w:proofErr w:type="spellEnd"/>
      <w:r w:rsidR="00A64056" w:rsidRPr="007D601A">
        <w:rPr>
          <w:rFonts w:ascii="Aptos" w:hAnsi="Aptos"/>
        </w:rPr>
        <w:t xml:space="preserve"> Bharat </w:t>
      </w:r>
      <w:r w:rsidR="0098428F" w:rsidRPr="007D601A">
        <w:rPr>
          <w:rFonts w:ascii="Aptos" w:hAnsi="Aptos"/>
        </w:rPr>
        <w:t>Mission</w:t>
      </w:r>
      <w:r w:rsidR="00FA0C6C" w:rsidRPr="007D601A">
        <w:rPr>
          <w:rFonts w:ascii="Aptos" w:hAnsi="Aptos"/>
        </w:rPr>
        <w:t>, Ministers noted the opportunity for education and research partnerships in sports to drive sporting excellence and economic growth.</w:t>
      </w:r>
    </w:p>
    <w:p w14:paraId="1BE49649" w14:textId="77777777" w:rsidR="004F05FC" w:rsidRPr="007D601A" w:rsidRDefault="004F05FC" w:rsidP="00C74C6B">
      <w:pPr>
        <w:pStyle w:val="ListParagraph"/>
        <w:ind w:left="360"/>
        <w:jc w:val="both"/>
        <w:rPr>
          <w:rFonts w:ascii="Aptos" w:hAnsi="Aptos"/>
        </w:rPr>
      </w:pPr>
    </w:p>
    <w:p w14:paraId="70EA12F4" w14:textId="4AD14694" w:rsidR="00041ECE" w:rsidRPr="007D601A" w:rsidRDefault="00F64E53" w:rsidP="007949BC">
      <w:pPr>
        <w:pStyle w:val="ListParagraph"/>
        <w:numPr>
          <w:ilvl w:val="0"/>
          <w:numId w:val="13"/>
        </w:numPr>
        <w:jc w:val="both"/>
        <w:rPr>
          <w:rFonts w:ascii="Aptos" w:hAnsi="Aptos"/>
        </w:rPr>
      </w:pPr>
      <w:r w:rsidRPr="007D601A">
        <w:rPr>
          <w:rFonts w:ascii="Aptos" w:hAnsi="Aptos"/>
        </w:rPr>
        <w:t xml:space="preserve">Ministers welcomed the completion of the </w:t>
      </w:r>
      <w:r w:rsidRPr="007D601A">
        <w:rPr>
          <w:rFonts w:ascii="Aptos" w:hAnsi="Aptos"/>
          <w:b/>
          <w:bCs/>
        </w:rPr>
        <w:t>Australia</w:t>
      </w:r>
      <w:r w:rsidR="00AA7845" w:rsidRPr="007D601A">
        <w:rPr>
          <w:rFonts w:ascii="Aptos" w:hAnsi="Aptos"/>
          <w:b/>
          <w:bCs/>
        </w:rPr>
        <w:t>-</w:t>
      </w:r>
      <w:r w:rsidRPr="007D601A">
        <w:rPr>
          <w:rFonts w:ascii="Aptos" w:hAnsi="Aptos"/>
          <w:b/>
          <w:bCs/>
        </w:rPr>
        <w:t>India Sports Education and Research Webinar Series</w:t>
      </w:r>
      <w:r w:rsidRPr="007D601A">
        <w:rPr>
          <w:rFonts w:ascii="Aptos" w:hAnsi="Aptos"/>
        </w:rPr>
        <w:t xml:space="preserve"> as a strategic platform to deepen bilateral cooperation in sports education, research, and workforce development. The series showcased Australian university expertise in sports curriculum design, sports industry partnerships, elite sporting performance, and teaching innovation. Ministers noted this initiative brought together </w:t>
      </w:r>
      <w:r w:rsidR="001F4928" w:rsidRPr="007D601A">
        <w:rPr>
          <w:rFonts w:ascii="Aptos" w:hAnsi="Aptos"/>
        </w:rPr>
        <w:t>over 400 participants</w:t>
      </w:r>
      <w:r w:rsidR="00882391" w:rsidRPr="007D601A">
        <w:rPr>
          <w:rFonts w:ascii="Aptos" w:hAnsi="Aptos"/>
        </w:rPr>
        <w:t xml:space="preserve"> to</w:t>
      </w:r>
      <w:r w:rsidRPr="007D601A">
        <w:rPr>
          <w:rFonts w:ascii="Aptos" w:hAnsi="Aptos"/>
        </w:rPr>
        <w:t xml:space="preserve"> build capability and excellence in sports education, while fostering institutional partnerships and knowledge exchange. </w:t>
      </w:r>
    </w:p>
    <w:p w14:paraId="5EE60B08" w14:textId="77777777" w:rsidR="00041ECE" w:rsidRPr="007D601A" w:rsidRDefault="00041ECE" w:rsidP="00041ECE">
      <w:pPr>
        <w:pStyle w:val="ListParagraph"/>
        <w:rPr>
          <w:rFonts w:ascii="Aptos" w:hAnsi="Aptos"/>
        </w:rPr>
      </w:pPr>
    </w:p>
    <w:p w14:paraId="3A421D6E" w14:textId="598D7454" w:rsidR="00F46BA4" w:rsidRPr="007D601A" w:rsidRDefault="00F46BA4" w:rsidP="007949BC">
      <w:pPr>
        <w:pStyle w:val="ListParagraph"/>
        <w:numPr>
          <w:ilvl w:val="0"/>
          <w:numId w:val="13"/>
        </w:numPr>
        <w:jc w:val="both"/>
        <w:rPr>
          <w:rFonts w:ascii="Aptos" w:hAnsi="Aptos"/>
        </w:rPr>
      </w:pPr>
      <w:r w:rsidRPr="007D601A">
        <w:rPr>
          <w:rFonts w:ascii="Aptos" w:hAnsi="Aptos"/>
        </w:rPr>
        <w:t>With Australia hosting the 2032 Olympics and Paralympics and India hosting the 2030 Commonwealth Games and possibly the 2036 Olympics, Ministers noted the potential for Australia to assist India with preparing its sports technology, sports management and construction workforce. Ministers also noted the potential of Australia’s expertise in sports science and training to complement India’s expertise in sports manufacturing.</w:t>
      </w:r>
    </w:p>
    <w:p w14:paraId="156FD18A" w14:textId="77777777" w:rsidR="00041ECE" w:rsidRPr="007D601A" w:rsidRDefault="00041ECE" w:rsidP="00041ECE">
      <w:pPr>
        <w:pStyle w:val="ListParagraph"/>
        <w:rPr>
          <w:rFonts w:ascii="Aptos" w:hAnsi="Aptos"/>
        </w:rPr>
      </w:pPr>
    </w:p>
    <w:p w14:paraId="7DC66708" w14:textId="12E688B1" w:rsidR="00041ECE" w:rsidRPr="007D601A" w:rsidRDefault="006A69E6" w:rsidP="00041ECE">
      <w:pPr>
        <w:pStyle w:val="ListParagraph"/>
        <w:numPr>
          <w:ilvl w:val="0"/>
          <w:numId w:val="13"/>
        </w:numPr>
        <w:jc w:val="both"/>
        <w:rPr>
          <w:rFonts w:ascii="Aptos" w:hAnsi="Aptos"/>
        </w:rPr>
      </w:pPr>
      <w:r w:rsidRPr="007D601A">
        <w:rPr>
          <w:rFonts w:ascii="Aptos" w:hAnsi="Aptos"/>
        </w:rPr>
        <w:t xml:space="preserve">Leveraging the momentum of this engagement, Ministers encouraged institutions to explore opportunities for dual qualifications that will meet sports industry demand. The </w:t>
      </w:r>
      <w:r w:rsidR="002A68D5" w:rsidRPr="007D601A">
        <w:rPr>
          <w:rFonts w:ascii="Aptos" w:hAnsi="Aptos"/>
        </w:rPr>
        <w:t>workforce</w:t>
      </w:r>
      <w:r w:rsidR="001F4928" w:rsidRPr="007D601A">
        <w:rPr>
          <w:rFonts w:ascii="Aptos" w:hAnsi="Aptos"/>
        </w:rPr>
        <w:t xml:space="preserve"> </w:t>
      </w:r>
      <w:r w:rsidR="00C02C72" w:rsidRPr="007D601A">
        <w:rPr>
          <w:rFonts w:ascii="Aptos" w:hAnsi="Aptos"/>
        </w:rPr>
        <w:t>forecasting for the sports industry under the </w:t>
      </w:r>
      <w:r w:rsidR="00C02C72" w:rsidRPr="007D601A">
        <w:rPr>
          <w:rFonts w:ascii="Aptos" w:hAnsi="Aptos"/>
          <w:b/>
          <w:bCs/>
        </w:rPr>
        <w:t>Australia</w:t>
      </w:r>
      <w:r w:rsidR="00AA7845" w:rsidRPr="007D601A">
        <w:rPr>
          <w:rFonts w:ascii="Aptos" w:hAnsi="Aptos"/>
          <w:b/>
          <w:bCs/>
        </w:rPr>
        <w:t>-</w:t>
      </w:r>
      <w:r w:rsidR="00C02C72" w:rsidRPr="007D601A">
        <w:rPr>
          <w:rFonts w:ascii="Aptos" w:hAnsi="Aptos"/>
          <w:b/>
          <w:bCs/>
        </w:rPr>
        <w:t>India Workforce Futures Initiative</w:t>
      </w:r>
      <w:r w:rsidR="00C02C72" w:rsidRPr="007D601A">
        <w:rPr>
          <w:rFonts w:ascii="Aptos" w:hAnsi="Aptos"/>
        </w:rPr>
        <w:t xml:space="preserve"> will serve as a testbed for mapping priority job roles to meet</w:t>
      </w:r>
      <w:r w:rsidR="00DE22FB" w:rsidRPr="007D601A">
        <w:rPr>
          <w:rFonts w:ascii="Aptos" w:hAnsi="Aptos"/>
        </w:rPr>
        <w:t xml:space="preserve"> India’s</w:t>
      </w:r>
      <w:r w:rsidR="00C02C72" w:rsidRPr="007D601A">
        <w:rPr>
          <w:rFonts w:ascii="Aptos" w:hAnsi="Aptos"/>
        </w:rPr>
        <w:t xml:space="preserve"> future </w:t>
      </w:r>
      <w:r w:rsidR="00DE22FB" w:rsidRPr="007D601A">
        <w:rPr>
          <w:rFonts w:ascii="Aptos" w:hAnsi="Aptos"/>
        </w:rPr>
        <w:t xml:space="preserve">sports </w:t>
      </w:r>
      <w:r w:rsidR="00C02C72" w:rsidRPr="007D601A">
        <w:rPr>
          <w:rFonts w:ascii="Aptos" w:hAnsi="Aptos"/>
        </w:rPr>
        <w:t xml:space="preserve">workforce needs through institutional partnerships. </w:t>
      </w:r>
      <w:r w:rsidR="00EB4183" w:rsidRPr="007D601A">
        <w:rPr>
          <w:rFonts w:ascii="Aptos" w:hAnsi="Aptos"/>
          <w:strike/>
        </w:rPr>
        <w:t xml:space="preserve"> </w:t>
      </w:r>
    </w:p>
    <w:p w14:paraId="3F6B9E2F" w14:textId="77777777" w:rsidR="00041ECE" w:rsidRPr="007D601A" w:rsidRDefault="00041ECE" w:rsidP="00041ECE">
      <w:pPr>
        <w:pStyle w:val="ListParagraph"/>
        <w:rPr>
          <w:rFonts w:ascii="Aptos" w:hAnsi="Aptos"/>
        </w:rPr>
      </w:pPr>
    </w:p>
    <w:p w14:paraId="1EA049B7" w14:textId="08B14A6F" w:rsidR="00150150" w:rsidRPr="007D601A" w:rsidRDefault="00AA5310" w:rsidP="00041ECE">
      <w:pPr>
        <w:pStyle w:val="ListParagraph"/>
        <w:numPr>
          <w:ilvl w:val="0"/>
          <w:numId w:val="13"/>
        </w:numPr>
        <w:jc w:val="both"/>
        <w:rPr>
          <w:rFonts w:ascii="Aptos" w:hAnsi="Aptos"/>
        </w:rPr>
      </w:pPr>
      <w:r w:rsidRPr="007D601A">
        <w:rPr>
          <w:rFonts w:ascii="Aptos" w:hAnsi="Aptos"/>
        </w:rPr>
        <w:t xml:space="preserve">Ministers acknowledged the importance of integrating sports education into school curricula to promote physical literacy, student wellbeing, and lifelong engagement in active lifestyles. They </w:t>
      </w:r>
      <w:r w:rsidR="002B5EF2" w:rsidRPr="007D601A">
        <w:rPr>
          <w:rFonts w:ascii="Aptos" w:hAnsi="Aptos"/>
        </w:rPr>
        <w:t xml:space="preserve">supported further engagement </w:t>
      </w:r>
      <w:r w:rsidRPr="007D601A">
        <w:rPr>
          <w:rFonts w:ascii="Aptos" w:hAnsi="Aptos"/>
        </w:rPr>
        <w:t xml:space="preserve">between </w:t>
      </w:r>
      <w:r w:rsidR="001F4928" w:rsidRPr="007D601A">
        <w:rPr>
          <w:rFonts w:ascii="Aptos" w:hAnsi="Aptos"/>
        </w:rPr>
        <w:t>Australian Curriculum, Assessment and Reporting Authority (</w:t>
      </w:r>
      <w:r w:rsidRPr="007D601A">
        <w:rPr>
          <w:rFonts w:ascii="Aptos" w:hAnsi="Aptos"/>
        </w:rPr>
        <w:t>ACARA</w:t>
      </w:r>
      <w:r w:rsidR="001F4928" w:rsidRPr="007D601A">
        <w:rPr>
          <w:rFonts w:ascii="Aptos" w:hAnsi="Aptos"/>
        </w:rPr>
        <w:t>)</w:t>
      </w:r>
      <w:r w:rsidRPr="007D601A">
        <w:rPr>
          <w:rFonts w:ascii="Aptos" w:hAnsi="Aptos"/>
        </w:rPr>
        <w:t xml:space="preserve"> and </w:t>
      </w:r>
      <w:r w:rsidR="001F4928" w:rsidRPr="007D601A">
        <w:rPr>
          <w:rFonts w:ascii="Aptos" w:hAnsi="Aptos"/>
        </w:rPr>
        <w:t>National Council of Educational Research and Training (NCERT)</w:t>
      </w:r>
      <w:r w:rsidRPr="007D601A">
        <w:rPr>
          <w:rFonts w:ascii="Aptos" w:hAnsi="Aptos"/>
        </w:rPr>
        <w:t xml:space="preserve"> to support implementation of a </w:t>
      </w:r>
      <w:r w:rsidRPr="007D601A">
        <w:rPr>
          <w:rFonts w:ascii="Aptos" w:hAnsi="Aptos"/>
          <w:b/>
          <w:bCs/>
        </w:rPr>
        <w:t>sports education curriculum</w:t>
      </w:r>
      <w:r w:rsidRPr="007D601A">
        <w:rPr>
          <w:rFonts w:ascii="Aptos" w:hAnsi="Aptos"/>
        </w:rPr>
        <w:t xml:space="preserve"> for school education, as outlined in the </w:t>
      </w:r>
      <w:r w:rsidR="007D601A" w:rsidRPr="007D601A">
        <w:rPr>
          <w:rFonts w:ascii="Aptos" w:hAnsi="Aptos"/>
        </w:rPr>
        <w:t>NEP</w:t>
      </w:r>
      <w:r w:rsidRPr="007D601A">
        <w:rPr>
          <w:rFonts w:ascii="Aptos" w:hAnsi="Aptos"/>
        </w:rPr>
        <w:t xml:space="preserve"> 2020.  Ministers</w:t>
      </w:r>
      <w:r w:rsidR="000B3474" w:rsidRPr="007D601A">
        <w:rPr>
          <w:rFonts w:ascii="Aptos" w:hAnsi="Aptos"/>
        </w:rPr>
        <w:t xml:space="preserve"> further noted </w:t>
      </w:r>
      <w:r w:rsidR="000B3474" w:rsidRPr="007D601A">
        <w:rPr>
          <w:rFonts w:ascii="Aptos" w:hAnsi="Aptos"/>
        </w:rPr>
        <w:lastRenderedPageBreak/>
        <w:t xml:space="preserve">the need for </w:t>
      </w:r>
      <w:r w:rsidR="000B3474" w:rsidRPr="007D601A">
        <w:rPr>
          <w:rFonts w:ascii="Aptos" w:hAnsi="Aptos"/>
          <w:b/>
          <w:bCs/>
        </w:rPr>
        <w:t>teacher professional development</w:t>
      </w:r>
      <w:r w:rsidR="004A3798" w:rsidRPr="007D601A">
        <w:rPr>
          <w:rFonts w:ascii="Aptos" w:hAnsi="Aptos"/>
          <w:b/>
          <w:bCs/>
        </w:rPr>
        <w:t xml:space="preserve"> in sports education</w:t>
      </w:r>
      <w:r w:rsidR="004A3798" w:rsidRPr="007D601A">
        <w:rPr>
          <w:rFonts w:ascii="Aptos" w:hAnsi="Aptos"/>
        </w:rPr>
        <w:t xml:space="preserve"> to complement </w:t>
      </w:r>
      <w:r w:rsidR="004D646D" w:rsidRPr="007D601A">
        <w:rPr>
          <w:rFonts w:ascii="Aptos" w:hAnsi="Aptos"/>
        </w:rPr>
        <w:t>the</w:t>
      </w:r>
      <w:r w:rsidR="004A3798" w:rsidRPr="007D601A">
        <w:rPr>
          <w:rFonts w:ascii="Aptos" w:hAnsi="Aptos"/>
        </w:rPr>
        <w:t xml:space="preserve"> </w:t>
      </w:r>
      <w:r w:rsidR="00BB1BE6" w:rsidRPr="007D601A">
        <w:rPr>
          <w:rFonts w:ascii="Aptos" w:hAnsi="Aptos"/>
        </w:rPr>
        <w:t>curriculum and</w:t>
      </w:r>
      <w:r w:rsidR="004A3798" w:rsidRPr="007D601A">
        <w:rPr>
          <w:rFonts w:ascii="Aptos" w:hAnsi="Aptos"/>
        </w:rPr>
        <w:t xml:space="preserve"> encouraged institutions to explore </w:t>
      </w:r>
      <w:r w:rsidR="00F8612A" w:rsidRPr="007D601A">
        <w:rPr>
          <w:rFonts w:ascii="Aptos" w:hAnsi="Aptos"/>
        </w:rPr>
        <w:t xml:space="preserve">partnership </w:t>
      </w:r>
      <w:r w:rsidR="004A3798" w:rsidRPr="007D601A">
        <w:rPr>
          <w:rFonts w:ascii="Aptos" w:hAnsi="Aptos"/>
        </w:rPr>
        <w:t xml:space="preserve">opportunities </w:t>
      </w:r>
      <w:r w:rsidR="00F8612A" w:rsidRPr="007D601A">
        <w:rPr>
          <w:rFonts w:ascii="Aptos" w:hAnsi="Aptos"/>
        </w:rPr>
        <w:t xml:space="preserve">that support this </w:t>
      </w:r>
      <w:r w:rsidR="004A3798" w:rsidRPr="007D601A">
        <w:rPr>
          <w:rFonts w:ascii="Aptos" w:hAnsi="Aptos"/>
        </w:rPr>
        <w:t xml:space="preserve">objective. </w:t>
      </w:r>
    </w:p>
    <w:p w14:paraId="0638C6C1" w14:textId="77777777" w:rsidR="00041ECE" w:rsidRPr="007D601A" w:rsidRDefault="00041ECE" w:rsidP="00041ECE">
      <w:pPr>
        <w:pStyle w:val="ListParagraph"/>
        <w:rPr>
          <w:rFonts w:ascii="Aptos" w:hAnsi="Aptos"/>
        </w:rPr>
      </w:pPr>
    </w:p>
    <w:p w14:paraId="4B2D8259" w14:textId="77777777" w:rsidR="00041ECE" w:rsidRPr="007D601A" w:rsidRDefault="003301D8" w:rsidP="00041ECE">
      <w:pPr>
        <w:pStyle w:val="ListParagraph"/>
        <w:numPr>
          <w:ilvl w:val="0"/>
          <w:numId w:val="13"/>
        </w:numPr>
        <w:jc w:val="both"/>
        <w:rPr>
          <w:rFonts w:ascii="Aptos" w:hAnsi="Aptos"/>
        </w:rPr>
      </w:pPr>
      <w:r w:rsidRPr="007D601A">
        <w:rPr>
          <w:rFonts w:ascii="Aptos" w:hAnsi="Aptos"/>
        </w:rPr>
        <w:t xml:space="preserve">The Ministers underscored the importance of developing a </w:t>
      </w:r>
      <w:r w:rsidR="00B50C98" w:rsidRPr="007D601A">
        <w:rPr>
          <w:rFonts w:ascii="Aptos" w:hAnsi="Aptos"/>
        </w:rPr>
        <w:t>holistic</w:t>
      </w:r>
      <w:r w:rsidRPr="007D601A">
        <w:rPr>
          <w:rFonts w:ascii="Aptos" w:hAnsi="Aptos"/>
        </w:rPr>
        <w:t xml:space="preserve"> sports ecosystem, encompassing sports education</w:t>
      </w:r>
      <w:r w:rsidR="00B50C98" w:rsidRPr="007D601A">
        <w:rPr>
          <w:rFonts w:ascii="Aptos" w:hAnsi="Aptos"/>
        </w:rPr>
        <w:t xml:space="preserve"> and capacity building</w:t>
      </w:r>
      <w:r w:rsidRPr="007D601A">
        <w:rPr>
          <w:rFonts w:ascii="Aptos" w:hAnsi="Aptos"/>
        </w:rPr>
        <w:t xml:space="preserve">, </w:t>
      </w:r>
      <w:r w:rsidR="00B50C98" w:rsidRPr="007D601A">
        <w:rPr>
          <w:rFonts w:ascii="Aptos" w:hAnsi="Aptos"/>
        </w:rPr>
        <w:t xml:space="preserve">health awareness, </w:t>
      </w:r>
      <w:r w:rsidRPr="007D601A">
        <w:rPr>
          <w:rFonts w:ascii="Aptos" w:hAnsi="Aptos"/>
        </w:rPr>
        <w:t>sports science</w:t>
      </w:r>
      <w:r w:rsidR="00B50C98" w:rsidRPr="007D601A">
        <w:rPr>
          <w:rFonts w:ascii="Aptos" w:hAnsi="Aptos"/>
        </w:rPr>
        <w:t xml:space="preserve"> including</w:t>
      </w:r>
      <w:r w:rsidRPr="007D601A">
        <w:rPr>
          <w:rFonts w:ascii="Aptos" w:hAnsi="Aptos"/>
        </w:rPr>
        <w:t xml:space="preserve"> </w:t>
      </w:r>
      <w:r w:rsidR="00B50C98" w:rsidRPr="007D601A">
        <w:rPr>
          <w:rFonts w:ascii="Aptos" w:hAnsi="Aptos"/>
        </w:rPr>
        <w:t xml:space="preserve">biomechanics and data driven motion </w:t>
      </w:r>
      <w:r w:rsidR="00C83D42" w:rsidRPr="007D601A">
        <w:rPr>
          <w:rFonts w:ascii="Aptos" w:hAnsi="Aptos"/>
        </w:rPr>
        <w:t>analysis</w:t>
      </w:r>
      <w:r w:rsidR="00B50C98" w:rsidRPr="007D601A">
        <w:rPr>
          <w:rFonts w:ascii="Aptos" w:hAnsi="Aptos"/>
        </w:rPr>
        <w:t xml:space="preserve">, </w:t>
      </w:r>
      <w:r w:rsidRPr="007D601A">
        <w:rPr>
          <w:rFonts w:ascii="Aptos" w:hAnsi="Aptos"/>
        </w:rPr>
        <w:t>coaching</w:t>
      </w:r>
      <w:r w:rsidR="00B50C98" w:rsidRPr="007D601A">
        <w:rPr>
          <w:rFonts w:ascii="Aptos" w:hAnsi="Aptos"/>
        </w:rPr>
        <w:t xml:space="preserve"> and</w:t>
      </w:r>
      <w:r w:rsidRPr="007D601A">
        <w:rPr>
          <w:rFonts w:ascii="Aptos" w:hAnsi="Aptos"/>
        </w:rPr>
        <w:t xml:space="preserve"> athlete support mechanisms, and institutional collaboration, to nurture excellence, sustainability, and global competitiveness.</w:t>
      </w:r>
    </w:p>
    <w:p w14:paraId="2BEE7EEE" w14:textId="77777777" w:rsidR="00041ECE" w:rsidRPr="007D601A" w:rsidRDefault="00041ECE" w:rsidP="00041ECE">
      <w:pPr>
        <w:pStyle w:val="ListParagraph"/>
        <w:rPr>
          <w:rFonts w:ascii="Aptos" w:hAnsi="Aptos"/>
        </w:rPr>
      </w:pPr>
    </w:p>
    <w:p w14:paraId="778827D4" w14:textId="77777777" w:rsidR="00150150" w:rsidRPr="007D601A" w:rsidRDefault="00060F1A" w:rsidP="00041ECE">
      <w:pPr>
        <w:pStyle w:val="ListParagraph"/>
        <w:numPr>
          <w:ilvl w:val="0"/>
          <w:numId w:val="13"/>
        </w:numPr>
        <w:jc w:val="both"/>
        <w:rPr>
          <w:rFonts w:ascii="Aptos" w:hAnsi="Aptos"/>
        </w:rPr>
      </w:pPr>
      <w:r w:rsidRPr="007D601A">
        <w:rPr>
          <w:rFonts w:ascii="Aptos" w:hAnsi="Aptos"/>
        </w:rPr>
        <w:t xml:space="preserve">Ministers endorsed deeper cooperation in sports research </w:t>
      </w:r>
      <w:r w:rsidR="00D84F8C" w:rsidRPr="007D601A">
        <w:rPr>
          <w:rFonts w:ascii="Aptos" w:hAnsi="Aptos"/>
        </w:rPr>
        <w:t xml:space="preserve">to </w:t>
      </w:r>
      <w:r w:rsidRPr="007D601A">
        <w:rPr>
          <w:rFonts w:ascii="Aptos" w:hAnsi="Aptos"/>
        </w:rPr>
        <w:t xml:space="preserve">advance innovation and performance. </w:t>
      </w:r>
      <w:r w:rsidR="00A72177" w:rsidRPr="007D601A">
        <w:rPr>
          <w:rFonts w:ascii="Aptos" w:hAnsi="Aptos"/>
        </w:rPr>
        <w:t>They encouraged Australian and Indian institutions to partner with sports bodies to address shared priorities</w:t>
      </w:r>
      <w:r w:rsidR="00D84F8C" w:rsidRPr="007D601A">
        <w:rPr>
          <w:rFonts w:ascii="Aptos" w:hAnsi="Aptos"/>
        </w:rPr>
        <w:t xml:space="preserve"> </w:t>
      </w:r>
      <w:r w:rsidR="00DD6A6C" w:rsidRPr="007D601A">
        <w:rPr>
          <w:rFonts w:ascii="Aptos" w:hAnsi="Aptos"/>
        </w:rPr>
        <w:t xml:space="preserve">in </w:t>
      </w:r>
      <w:r w:rsidR="00A72177" w:rsidRPr="007D601A">
        <w:rPr>
          <w:rFonts w:ascii="Aptos" w:hAnsi="Aptos"/>
        </w:rPr>
        <w:t>athlete development, coaching science, injury prevention, and community participation. These partnerships will support the translation of academic research into practical outcomes, enhance the evidence base for sports education, and foster commercialisation opportunities. </w:t>
      </w:r>
    </w:p>
    <w:p w14:paraId="615932E2" w14:textId="77777777" w:rsidR="004F05FC" w:rsidRPr="007D601A" w:rsidRDefault="004F05FC" w:rsidP="00C74C6B">
      <w:pPr>
        <w:pStyle w:val="ListParagraph"/>
        <w:rPr>
          <w:rFonts w:ascii="Aptos" w:hAnsi="Aptos"/>
        </w:rPr>
      </w:pPr>
    </w:p>
    <w:p w14:paraId="7666D07D" w14:textId="658FCFE2" w:rsidR="004F05FC" w:rsidRPr="007D601A" w:rsidRDefault="007D601A" w:rsidP="00041ECE">
      <w:pPr>
        <w:pStyle w:val="ListParagraph"/>
        <w:numPr>
          <w:ilvl w:val="0"/>
          <w:numId w:val="13"/>
        </w:numPr>
        <w:jc w:val="both"/>
        <w:rPr>
          <w:rFonts w:ascii="Aptos" w:hAnsi="Aptos"/>
        </w:rPr>
      </w:pPr>
      <w:r w:rsidRPr="007D601A">
        <w:rPr>
          <w:rFonts w:ascii="Aptos" w:hAnsi="Aptos"/>
        </w:rPr>
        <w:t xml:space="preserve">Ministers emphasised the importance of structured cooperation in the sports and physical wellness sector, recognising it as a sunrise industry with significant employment potential and the capacity to contribute nearly 2% to India’s GDP. They highlighted Australia’s global leadership in sports management and sports technology as complementary to India’s growing strengths in sports manufacturing and the gig economy in sports management.  </w:t>
      </w:r>
    </w:p>
    <w:p w14:paraId="123F7993" w14:textId="77777777" w:rsidR="001F2DE7" w:rsidRPr="0027775F" w:rsidRDefault="001F2DE7" w:rsidP="00A75D67">
      <w:pPr>
        <w:pStyle w:val="Heading1"/>
      </w:pPr>
      <w:r w:rsidRPr="0027775F">
        <w:t xml:space="preserve">Research </w:t>
      </w:r>
      <w:r w:rsidR="00CD6CFE">
        <w:t>c</w:t>
      </w:r>
      <w:r w:rsidRPr="0027775F">
        <w:t>ollaboratio</w:t>
      </w:r>
      <w:r w:rsidR="00A75D67" w:rsidRPr="0027775F">
        <w:t>n</w:t>
      </w:r>
    </w:p>
    <w:p w14:paraId="2827C89B" w14:textId="77777777" w:rsidR="00041ECE" w:rsidRPr="007D601A" w:rsidRDefault="00F9666B" w:rsidP="00041ECE">
      <w:pPr>
        <w:pStyle w:val="ListParagraph"/>
        <w:numPr>
          <w:ilvl w:val="0"/>
          <w:numId w:val="13"/>
        </w:numPr>
        <w:jc w:val="both"/>
        <w:rPr>
          <w:rFonts w:ascii="Aptos" w:hAnsi="Aptos"/>
        </w:rPr>
      </w:pPr>
      <w:r w:rsidRPr="007D601A">
        <w:rPr>
          <w:rFonts w:ascii="Aptos" w:hAnsi="Aptos"/>
        </w:rPr>
        <w:t xml:space="preserve">Ministers reaffirmed the strategic importance of Australia–India research partnerships as drivers of innovation, economic growth, and societal progress, with a focus on commercialisation, translation, and building a skilled research workforce. They welcomed the </w:t>
      </w:r>
      <w:r w:rsidRPr="007D601A">
        <w:rPr>
          <w:rFonts w:ascii="Aptos" w:hAnsi="Aptos"/>
          <w:b/>
          <w:bCs/>
        </w:rPr>
        <w:t>Australia–India Research Collaboration Framework</w:t>
      </w:r>
      <w:r w:rsidRPr="007D601A">
        <w:rPr>
          <w:rFonts w:ascii="Aptos" w:hAnsi="Aptos"/>
        </w:rPr>
        <w:t xml:space="preserve"> to guide practical </w:t>
      </w:r>
      <w:r w:rsidR="00635242" w:rsidRPr="007D601A">
        <w:rPr>
          <w:rFonts w:ascii="Aptos" w:hAnsi="Aptos"/>
        </w:rPr>
        <w:t>cooperation and</w:t>
      </w:r>
      <w:r w:rsidRPr="007D601A">
        <w:rPr>
          <w:rFonts w:ascii="Aptos" w:hAnsi="Aptos"/>
        </w:rPr>
        <w:t xml:space="preserve"> reaffirmed the value of the </w:t>
      </w:r>
      <w:r w:rsidRPr="007D601A">
        <w:rPr>
          <w:rFonts w:ascii="Aptos" w:hAnsi="Aptos"/>
          <w:b/>
          <w:bCs/>
        </w:rPr>
        <w:t>Australian Researcher Cooperation Hub India (ARCH-India)</w:t>
      </w:r>
      <w:r w:rsidRPr="007D601A">
        <w:rPr>
          <w:rFonts w:ascii="Aptos" w:hAnsi="Aptos"/>
        </w:rPr>
        <w:t xml:space="preserve"> platform for connecting institutions and researchers.</w:t>
      </w:r>
    </w:p>
    <w:p w14:paraId="5E5AA548" w14:textId="77777777" w:rsidR="004F05FC" w:rsidRPr="007D601A" w:rsidRDefault="004F05FC" w:rsidP="00C74C6B">
      <w:pPr>
        <w:pStyle w:val="ListParagraph"/>
        <w:ind w:left="360"/>
        <w:jc w:val="both"/>
        <w:rPr>
          <w:rFonts w:ascii="Aptos" w:hAnsi="Aptos"/>
        </w:rPr>
      </w:pPr>
    </w:p>
    <w:p w14:paraId="1947B1BC" w14:textId="77777777" w:rsidR="00150150" w:rsidRPr="007D601A" w:rsidRDefault="00D51AEF" w:rsidP="00041ECE">
      <w:pPr>
        <w:pStyle w:val="ListParagraph"/>
        <w:numPr>
          <w:ilvl w:val="0"/>
          <w:numId w:val="13"/>
        </w:numPr>
        <w:jc w:val="both"/>
        <w:rPr>
          <w:rFonts w:ascii="Aptos" w:hAnsi="Aptos"/>
        </w:rPr>
      </w:pPr>
      <w:r w:rsidRPr="007D601A">
        <w:rPr>
          <w:rFonts w:ascii="Aptos" w:hAnsi="Aptos"/>
        </w:rPr>
        <w:t>Ministers encouraged deeper collaboration through shared access to incubators and accelerators, innovation funding, and industry engagement in academic research. They highlighted the importance of researcher mobility and capability-building via joint doctoral programs, early-career exchanges, and mentoring schemes. Ministers noted initiatives in mining, renewable energy, and critical minerals to develop a research-ready workforce and translate innovation into real-world applications.</w:t>
      </w:r>
    </w:p>
    <w:p w14:paraId="6E7A4173" w14:textId="77777777" w:rsidR="007B2B0D" w:rsidRPr="007D601A" w:rsidRDefault="007B2B0D" w:rsidP="007B2B0D">
      <w:pPr>
        <w:pStyle w:val="ListParagraph"/>
        <w:ind w:left="360"/>
        <w:rPr>
          <w:rFonts w:ascii="Aptos" w:hAnsi="Aptos"/>
        </w:rPr>
      </w:pPr>
    </w:p>
    <w:p w14:paraId="632DD5E8" w14:textId="7C319226" w:rsidR="00041ECE" w:rsidRPr="007D601A" w:rsidRDefault="006176E8" w:rsidP="007D601A">
      <w:pPr>
        <w:pStyle w:val="ListParagraph"/>
        <w:numPr>
          <w:ilvl w:val="0"/>
          <w:numId w:val="13"/>
        </w:numPr>
        <w:jc w:val="both"/>
        <w:rPr>
          <w:rFonts w:ascii="Aptos" w:hAnsi="Aptos"/>
        </w:rPr>
      </w:pPr>
      <w:r w:rsidRPr="007D601A">
        <w:rPr>
          <w:rFonts w:ascii="Aptos" w:hAnsi="Aptos"/>
        </w:rPr>
        <w:t xml:space="preserve">Recognising the role of Australia’s Indian diaspora, Ministers welcomed the </w:t>
      </w:r>
      <w:r w:rsidRPr="007D601A">
        <w:rPr>
          <w:rFonts w:ascii="Aptos" w:hAnsi="Aptos"/>
          <w:b/>
          <w:bCs/>
        </w:rPr>
        <w:t>Forum of Academics of Indian Origin in Australia</w:t>
      </w:r>
      <w:r w:rsidRPr="007D601A">
        <w:rPr>
          <w:rFonts w:ascii="Aptos" w:hAnsi="Aptos"/>
        </w:rPr>
        <w:t xml:space="preserve"> as a platform for knowledge exchange, </w:t>
      </w:r>
      <w:r w:rsidRPr="007D601A">
        <w:rPr>
          <w:rFonts w:ascii="Aptos" w:hAnsi="Aptos"/>
        </w:rPr>
        <w:lastRenderedPageBreak/>
        <w:t xml:space="preserve">interdisciplinary collaboration, and mentoring. </w:t>
      </w:r>
      <w:r w:rsidR="004F05FC" w:rsidRPr="007D601A">
        <w:rPr>
          <w:rFonts w:ascii="Aptos" w:hAnsi="Aptos"/>
        </w:rPr>
        <w:t xml:space="preserve">Ministers tasked officials to explore linking the Forum with Indian and Australian industries, which could benefit from the expertise and research </w:t>
      </w:r>
      <w:r w:rsidR="007D601A" w:rsidRPr="007D601A">
        <w:rPr>
          <w:rFonts w:ascii="Aptos" w:hAnsi="Aptos"/>
        </w:rPr>
        <w:t>and</w:t>
      </w:r>
      <w:r w:rsidR="004F05FC" w:rsidRPr="007D601A">
        <w:rPr>
          <w:rFonts w:ascii="Aptos" w:hAnsi="Aptos"/>
        </w:rPr>
        <w:t xml:space="preserve"> development initiatives of the Forum members.</w:t>
      </w:r>
    </w:p>
    <w:p w14:paraId="70740C4E" w14:textId="77777777" w:rsidR="00041ECE" w:rsidRPr="007D601A" w:rsidRDefault="00041ECE" w:rsidP="00041ECE">
      <w:pPr>
        <w:pStyle w:val="ListParagraph"/>
        <w:rPr>
          <w:rFonts w:ascii="Aptos" w:hAnsi="Aptos"/>
        </w:rPr>
      </w:pPr>
    </w:p>
    <w:p w14:paraId="2F09032C" w14:textId="77777777" w:rsidR="00150150" w:rsidRPr="007D601A" w:rsidRDefault="006176E8" w:rsidP="00041ECE">
      <w:pPr>
        <w:pStyle w:val="ListParagraph"/>
        <w:numPr>
          <w:ilvl w:val="0"/>
          <w:numId w:val="13"/>
        </w:numPr>
        <w:jc w:val="both"/>
        <w:rPr>
          <w:rFonts w:ascii="Aptos" w:hAnsi="Aptos"/>
        </w:rPr>
      </w:pPr>
      <w:r w:rsidRPr="007D601A">
        <w:rPr>
          <w:rFonts w:ascii="Aptos" w:hAnsi="Aptos"/>
        </w:rPr>
        <w:t xml:space="preserve">They also acknowledged India’s </w:t>
      </w:r>
      <w:r w:rsidRPr="007D601A">
        <w:rPr>
          <w:rFonts w:ascii="Aptos" w:hAnsi="Aptos"/>
          <w:b/>
          <w:bCs/>
        </w:rPr>
        <w:t xml:space="preserve">Scheme for Promotion of Academic and Research Collaboration (SPARC) </w:t>
      </w:r>
      <w:r w:rsidRPr="007D601A">
        <w:rPr>
          <w:rFonts w:ascii="Aptos" w:hAnsi="Aptos"/>
        </w:rPr>
        <w:t>as a key mechanism for strengthening researcher mobility and encouraged continued engagement to advance bilateral research outcomes.</w:t>
      </w:r>
    </w:p>
    <w:p w14:paraId="07CB8C20" w14:textId="77777777" w:rsidR="00D65B5A" w:rsidRPr="0027775F" w:rsidRDefault="005443ED">
      <w:pPr>
        <w:pStyle w:val="Heading1"/>
      </w:pPr>
      <w:r w:rsidRPr="0027775F">
        <w:t>Closing</w:t>
      </w:r>
    </w:p>
    <w:p w14:paraId="26CB52A3" w14:textId="77777777" w:rsidR="00917057" w:rsidRPr="007D601A" w:rsidRDefault="005443ED" w:rsidP="00041ECE">
      <w:pPr>
        <w:pStyle w:val="ListParagraph"/>
        <w:numPr>
          <w:ilvl w:val="0"/>
          <w:numId w:val="13"/>
        </w:numPr>
        <w:jc w:val="both"/>
        <w:rPr>
          <w:rFonts w:ascii="Aptos" w:hAnsi="Aptos"/>
        </w:rPr>
      </w:pPr>
      <w:r w:rsidRPr="007D601A">
        <w:rPr>
          <w:rFonts w:ascii="Aptos" w:hAnsi="Aptos"/>
        </w:rPr>
        <w:t xml:space="preserve">Ministers reaffirmed their commitment to the Comprehensive Strategic Partnership and agreed to convene the next AIESC meeting in </w:t>
      </w:r>
      <w:r w:rsidR="00A75D67" w:rsidRPr="007D601A">
        <w:rPr>
          <w:rFonts w:ascii="Aptos" w:hAnsi="Aptos"/>
        </w:rPr>
        <w:t>Australia</w:t>
      </w:r>
      <w:r w:rsidRPr="007D601A">
        <w:rPr>
          <w:rFonts w:ascii="Aptos" w:hAnsi="Aptos"/>
        </w:rPr>
        <w:t xml:space="preserve"> in 2026, with a continued tripartite focus on schools, skills, and higher education.</w:t>
      </w:r>
    </w:p>
    <w:sectPr w:rsidR="00917057" w:rsidRPr="007D601A" w:rsidSect="00C74C6B">
      <w:headerReference w:type="even" r:id="rId15"/>
      <w:headerReference w:type="default" r:id="rId16"/>
      <w:footerReference w:type="even" r:id="rId17"/>
      <w:footerReference w:type="default" r:id="rId18"/>
      <w:headerReference w:type="first" r:id="rId19"/>
      <w:footerReference w:type="first" r:id="rId20"/>
      <w:pgSz w:w="12240" w:h="15840"/>
      <w:pgMar w:top="1440" w:right="1800" w:bottom="1276"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B3CE8B" w14:textId="77777777" w:rsidR="007837B2" w:rsidRPr="0027775F" w:rsidRDefault="007837B2" w:rsidP="006A2838">
      <w:pPr>
        <w:spacing w:after="0" w:line="240" w:lineRule="auto"/>
      </w:pPr>
      <w:r w:rsidRPr="0027775F">
        <w:separator/>
      </w:r>
    </w:p>
  </w:endnote>
  <w:endnote w:type="continuationSeparator" w:id="0">
    <w:p w14:paraId="58E07D4A" w14:textId="77777777" w:rsidR="007837B2" w:rsidRPr="0027775F" w:rsidRDefault="007837B2" w:rsidP="006A2838">
      <w:pPr>
        <w:spacing w:after="0" w:line="240" w:lineRule="auto"/>
      </w:pPr>
      <w:r w:rsidRPr="0027775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w:panose1 w:val="02070409020205020404"/>
    <w:charset w:val="00"/>
    <w:family w:val="modern"/>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3141D8" w14:textId="77777777" w:rsidR="006A2838" w:rsidRPr="0027775F" w:rsidRDefault="006A28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47E94D" w14:textId="77777777" w:rsidR="006A2838" w:rsidRPr="0027775F" w:rsidRDefault="006A28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2DC228" w14:textId="77777777" w:rsidR="006A2838" w:rsidRPr="0027775F" w:rsidRDefault="006A28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A97285" w14:textId="77777777" w:rsidR="007837B2" w:rsidRPr="0027775F" w:rsidRDefault="007837B2" w:rsidP="006A2838">
      <w:pPr>
        <w:spacing w:after="0" w:line="240" w:lineRule="auto"/>
      </w:pPr>
      <w:r w:rsidRPr="0027775F">
        <w:separator/>
      </w:r>
    </w:p>
  </w:footnote>
  <w:footnote w:type="continuationSeparator" w:id="0">
    <w:p w14:paraId="7435885B" w14:textId="77777777" w:rsidR="007837B2" w:rsidRPr="0027775F" w:rsidRDefault="007837B2" w:rsidP="006A2838">
      <w:pPr>
        <w:spacing w:after="0" w:line="240" w:lineRule="auto"/>
      </w:pPr>
      <w:r w:rsidRPr="0027775F">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38D3E" w14:textId="77777777" w:rsidR="006A2838" w:rsidRPr="0027775F" w:rsidRDefault="006A28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DDA59" w14:textId="67E962EB" w:rsidR="006A2838" w:rsidRPr="0027775F" w:rsidRDefault="006A28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74DBEF" w14:textId="77777777" w:rsidR="006A2838" w:rsidRPr="0027775F" w:rsidRDefault="006A28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0847BF1"/>
    <w:multiLevelType w:val="hybridMultilevel"/>
    <w:tmpl w:val="D50844C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04C76962"/>
    <w:multiLevelType w:val="hybridMultilevel"/>
    <w:tmpl w:val="79344C26"/>
    <w:lvl w:ilvl="0" w:tplc="9F062E32">
      <w:numFmt w:val="bullet"/>
      <w:lvlText w:val="-"/>
      <w:lvlJc w:val="left"/>
      <w:pPr>
        <w:ind w:left="720" w:hanging="360"/>
      </w:pPr>
      <w:rPr>
        <w:rFonts w:ascii="Cambria" w:eastAsiaTheme="minorEastAsia"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D302C3F"/>
    <w:multiLevelType w:val="hybridMultilevel"/>
    <w:tmpl w:val="2A64B30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11232947"/>
    <w:multiLevelType w:val="hybridMultilevel"/>
    <w:tmpl w:val="7490361E"/>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3" w15:restartNumberingAfterBreak="0">
    <w:nsid w:val="1FEE2C22"/>
    <w:multiLevelType w:val="hybridMultilevel"/>
    <w:tmpl w:val="5922F3A4"/>
    <w:lvl w:ilvl="0" w:tplc="4009000F">
      <w:start w:val="22"/>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34DE6721"/>
    <w:multiLevelType w:val="multilevel"/>
    <w:tmpl w:val="52F61F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3946781E"/>
    <w:multiLevelType w:val="hybridMultilevel"/>
    <w:tmpl w:val="E1C83BB4"/>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39C6157E"/>
    <w:multiLevelType w:val="hybridMultilevel"/>
    <w:tmpl w:val="4D2276F2"/>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504107A0"/>
    <w:multiLevelType w:val="hybridMultilevel"/>
    <w:tmpl w:val="7C38086C"/>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57F76167"/>
    <w:multiLevelType w:val="hybridMultilevel"/>
    <w:tmpl w:val="E5823A28"/>
    <w:lvl w:ilvl="0" w:tplc="0C09000F">
      <w:start w:val="1"/>
      <w:numFmt w:val="decimal"/>
      <w:lvlText w:val="%1."/>
      <w:lvlJc w:val="left"/>
      <w:pPr>
        <w:ind w:left="360" w:hanging="360"/>
      </w:p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7D6317DF"/>
    <w:multiLevelType w:val="hybridMultilevel"/>
    <w:tmpl w:val="12B4C6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974796500">
    <w:abstractNumId w:val="8"/>
  </w:num>
  <w:num w:numId="2" w16cid:durableId="1000692473">
    <w:abstractNumId w:val="6"/>
  </w:num>
  <w:num w:numId="3" w16cid:durableId="548995208">
    <w:abstractNumId w:val="5"/>
  </w:num>
  <w:num w:numId="4" w16cid:durableId="1172257181">
    <w:abstractNumId w:val="4"/>
  </w:num>
  <w:num w:numId="5" w16cid:durableId="1818569279">
    <w:abstractNumId w:val="7"/>
  </w:num>
  <w:num w:numId="6" w16cid:durableId="958683854">
    <w:abstractNumId w:val="3"/>
  </w:num>
  <w:num w:numId="7" w16cid:durableId="1625387495">
    <w:abstractNumId w:val="2"/>
  </w:num>
  <w:num w:numId="8" w16cid:durableId="923685408">
    <w:abstractNumId w:val="1"/>
  </w:num>
  <w:num w:numId="9" w16cid:durableId="2135823731">
    <w:abstractNumId w:val="0"/>
  </w:num>
  <w:num w:numId="10" w16cid:durableId="1569345143">
    <w:abstractNumId w:val="19"/>
  </w:num>
  <w:num w:numId="11" w16cid:durableId="1679959816">
    <w:abstractNumId w:val="10"/>
  </w:num>
  <w:num w:numId="12" w16cid:durableId="1179543518">
    <w:abstractNumId w:val="14"/>
  </w:num>
  <w:num w:numId="13" w16cid:durableId="2043246205">
    <w:abstractNumId w:val="9"/>
  </w:num>
  <w:num w:numId="14" w16cid:durableId="139616926">
    <w:abstractNumId w:val="12"/>
  </w:num>
  <w:num w:numId="15" w16cid:durableId="634795352">
    <w:abstractNumId w:val="17"/>
  </w:num>
  <w:num w:numId="16" w16cid:durableId="2131706413">
    <w:abstractNumId w:val="11"/>
  </w:num>
  <w:num w:numId="17" w16cid:durableId="1281841251">
    <w:abstractNumId w:val="18"/>
  </w:num>
  <w:num w:numId="18" w16cid:durableId="1002775222">
    <w:abstractNumId w:val="15"/>
  </w:num>
  <w:num w:numId="19" w16cid:durableId="1211267473">
    <w:abstractNumId w:val="16"/>
  </w:num>
  <w:num w:numId="20" w16cid:durableId="338967413">
    <w:abstractNumId w:val="9"/>
  </w:num>
  <w:num w:numId="21" w16cid:durableId="6410748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AU" w:vendorID="64" w:dllVersion="6" w:nlCheck="1" w:checkStyle="1"/>
  <w:activeWritingStyle w:appName="MSWord" w:lang="en-AU" w:vendorID="64" w:dllVersion="4096" w:nlCheck="1" w:checkStyle="0"/>
  <w:activeWritingStyle w:appName="MSWord" w:lang="en-AU" w:vendorID="64" w:dllVersion="0" w:nlCheck="1" w:checkStyle="0"/>
  <w:activeWritingStyle w:appName="MSWord" w:lang="en-US" w:vendorID="64" w:dllVersion="6" w:nlCheck="1" w:checkStyle="1"/>
  <w:activeWritingStyle w:appName="MSWord" w:lang="en-US"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0CF9"/>
    <w:rsid w:val="00007033"/>
    <w:rsid w:val="000138CF"/>
    <w:rsid w:val="00017879"/>
    <w:rsid w:val="000240EC"/>
    <w:rsid w:val="00026A3C"/>
    <w:rsid w:val="00031413"/>
    <w:rsid w:val="00034616"/>
    <w:rsid w:val="00035FAF"/>
    <w:rsid w:val="00041ECE"/>
    <w:rsid w:val="000462AA"/>
    <w:rsid w:val="000556B5"/>
    <w:rsid w:val="00057CBE"/>
    <w:rsid w:val="0006063C"/>
    <w:rsid w:val="00060C1E"/>
    <w:rsid w:val="00060F1A"/>
    <w:rsid w:val="000731B3"/>
    <w:rsid w:val="00073573"/>
    <w:rsid w:val="000838DE"/>
    <w:rsid w:val="0008600E"/>
    <w:rsid w:val="0009460C"/>
    <w:rsid w:val="000A2E70"/>
    <w:rsid w:val="000A5E79"/>
    <w:rsid w:val="000B0C11"/>
    <w:rsid w:val="000B2158"/>
    <w:rsid w:val="000B3474"/>
    <w:rsid w:val="000B6BB0"/>
    <w:rsid w:val="000C17F4"/>
    <w:rsid w:val="000C5B3B"/>
    <w:rsid w:val="000D0A66"/>
    <w:rsid w:val="000D6461"/>
    <w:rsid w:val="000D6ED5"/>
    <w:rsid w:val="000E7C1B"/>
    <w:rsid w:val="000F3411"/>
    <w:rsid w:val="000F3EFC"/>
    <w:rsid w:val="00112630"/>
    <w:rsid w:val="001152E7"/>
    <w:rsid w:val="0011594E"/>
    <w:rsid w:val="00120C67"/>
    <w:rsid w:val="00124221"/>
    <w:rsid w:val="00125041"/>
    <w:rsid w:val="00126A1A"/>
    <w:rsid w:val="00130A0F"/>
    <w:rsid w:val="00132206"/>
    <w:rsid w:val="001375A8"/>
    <w:rsid w:val="00137B69"/>
    <w:rsid w:val="00141418"/>
    <w:rsid w:val="00150150"/>
    <w:rsid w:val="0015074B"/>
    <w:rsid w:val="0016157F"/>
    <w:rsid w:val="00161DA3"/>
    <w:rsid w:val="00166BDE"/>
    <w:rsid w:val="0017112D"/>
    <w:rsid w:val="0018542C"/>
    <w:rsid w:val="001920D3"/>
    <w:rsid w:val="00193696"/>
    <w:rsid w:val="001940B0"/>
    <w:rsid w:val="001951AB"/>
    <w:rsid w:val="001A1515"/>
    <w:rsid w:val="001A359C"/>
    <w:rsid w:val="001A3C26"/>
    <w:rsid w:val="001A3FF1"/>
    <w:rsid w:val="001A59F0"/>
    <w:rsid w:val="001C309A"/>
    <w:rsid w:val="001C367E"/>
    <w:rsid w:val="001C4C4D"/>
    <w:rsid w:val="001C51B6"/>
    <w:rsid w:val="001D1A6F"/>
    <w:rsid w:val="001D398D"/>
    <w:rsid w:val="001E1C9E"/>
    <w:rsid w:val="001E2559"/>
    <w:rsid w:val="001E5EB4"/>
    <w:rsid w:val="001F0352"/>
    <w:rsid w:val="001F2A7E"/>
    <w:rsid w:val="001F2DE7"/>
    <w:rsid w:val="001F2F78"/>
    <w:rsid w:val="001F4928"/>
    <w:rsid w:val="00206D54"/>
    <w:rsid w:val="00211041"/>
    <w:rsid w:val="00211F87"/>
    <w:rsid w:val="00214B31"/>
    <w:rsid w:val="00222AD5"/>
    <w:rsid w:val="00231342"/>
    <w:rsid w:val="00233FA3"/>
    <w:rsid w:val="002342E5"/>
    <w:rsid w:val="00243150"/>
    <w:rsid w:val="0025424F"/>
    <w:rsid w:val="00255177"/>
    <w:rsid w:val="002655DB"/>
    <w:rsid w:val="002717A8"/>
    <w:rsid w:val="002735DB"/>
    <w:rsid w:val="0027362B"/>
    <w:rsid w:val="002742FF"/>
    <w:rsid w:val="00274CCE"/>
    <w:rsid w:val="00276625"/>
    <w:rsid w:val="0027775F"/>
    <w:rsid w:val="00281912"/>
    <w:rsid w:val="00285784"/>
    <w:rsid w:val="00285835"/>
    <w:rsid w:val="002929D3"/>
    <w:rsid w:val="0029639D"/>
    <w:rsid w:val="0029753F"/>
    <w:rsid w:val="002A13F3"/>
    <w:rsid w:val="002A3294"/>
    <w:rsid w:val="002A68D5"/>
    <w:rsid w:val="002B5480"/>
    <w:rsid w:val="002B5EF2"/>
    <w:rsid w:val="002B6A39"/>
    <w:rsid w:val="002C36A9"/>
    <w:rsid w:val="002D10A0"/>
    <w:rsid w:val="002D27C3"/>
    <w:rsid w:val="002D340E"/>
    <w:rsid w:val="002E1652"/>
    <w:rsid w:val="002F6F8A"/>
    <w:rsid w:val="00300C7F"/>
    <w:rsid w:val="00303D0B"/>
    <w:rsid w:val="00306A3C"/>
    <w:rsid w:val="00314A73"/>
    <w:rsid w:val="00315D27"/>
    <w:rsid w:val="003170D3"/>
    <w:rsid w:val="00326F90"/>
    <w:rsid w:val="003301D8"/>
    <w:rsid w:val="003357F2"/>
    <w:rsid w:val="0033785D"/>
    <w:rsid w:val="00341787"/>
    <w:rsid w:val="00343C8C"/>
    <w:rsid w:val="00347E9C"/>
    <w:rsid w:val="00355B37"/>
    <w:rsid w:val="00355E48"/>
    <w:rsid w:val="003564A7"/>
    <w:rsid w:val="00357E35"/>
    <w:rsid w:val="00372861"/>
    <w:rsid w:val="00380554"/>
    <w:rsid w:val="00393E63"/>
    <w:rsid w:val="003B09A4"/>
    <w:rsid w:val="003B1A96"/>
    <w:rsid w:val="003B61C6"/>
    <w:rsid w:val="003C03FB"/>
    <w:rsid w:val="003D19D1"/>
    <w:rsid w:val="003F5003"/>
    <w:rsid w:val="003F5709"/>
    <w:rsid w:val="00411912"/>
    <w:rsid w:val="00413970"/>
    <w:rsid w:val="00415F5E"/>
    <w:rsid w:val="00416BC8"/>
    <w:rsid w:val="00435C45"/>
    <w:rsid w:val="004364BD"/>
    <w:rsid w:val="004372D9"/>
    <w:rsid w:val="00444839"/>
    <w:rsid w:val="00445ABB"/>
    <w:rsid w:val="00445BAF"/>
    <w:rsid w:val="0045349B"/>
    <w:rsid w:val="0046083D"/>
    <w:rsid w:val="00461DBB"/>
    <w:rsid w:val="004654D2"/>
    <w:rsid w:val="0047296C"/>
    <w:rsid w:val="00472CAF"/>
    <w:rsid w:val="004731C0"/>
    <w:rsid w:val="004759DD"/>
    <w:rsid w:val="0048566E"/>
    <w:rsid w:val="0048775F"/>
    <w:rsid w:val="00491597"/>
    <w:rsid w:val="0049353E"/>
    <w:rsid w:val="00495893"/>
    <w:rsid w:val="00496B1E"/>
    <w:rsid w:val="004A2384"/>
    <w:rsid w:val="004A3798"/>
    <w:rsid w:val="004A5302"/>
    <w:rsid w:val="004A76C8"/>
    <w:rsid w:val="004B1867"/>
    <w:rsid w:val="004B3D4B"/>
    <w:rsid w:val="004B4BA5"/>
    <w:rsid w:val="004C02F2"/>
    <w:rsid w:val="004D01F7"/>
    <w:rsid w:val="004D1373"/>
    <w:rsid w:val="004D33CC"/>
    <w:rsid w:val="004D5CB9"/>
    <w:rsid w:val="004D646D"/>
    <w:rsid w:val="004E0252"/>
    <w:rsid w:val="004E2D99"/>
    <w:rsid w:val="004E3BFB"/>
    <w:rsid w:val="004E487F"/>
    <w:rsid w:val="004E7408"/>
    <w:rsid w:val="004F05FC"/>
    <w:rsid w:val="004F4AAB"/>
    <w:rsid w:val="004F59D2"/>
    <w:rsid w:val="00504EF2"/>
    <w:rsid w:val="00506A82"/>
    <w:rsid w:val="0050771E"/>
    <w:rsid w:val="00516497"/>
    <w:rsid w:val="00520D8F"/>
    <w:rsid w:val="00531C79"/>
    <w:rsid w:val="0054257B"/>
    <w:rsid w:val="005443ED"/>
    <w:rsid w:val="005444FE"/>
    <w:rsid w:val="00551589"/>
    <w:rsid w:val="00551CAE"/>
    <w:rsid w:val="00570442"/>
    <w:rsid w:val="0057210C"/>
    <w:rsid w:val="0057728B"/>
    <w:rsid w:val="005825FD"/>
    <w:rsid w:val="00584D6D"/>
    <w:rsid w:val="00592572"/>
    <w:rsid w:val="00592D7F"/>
    <w:rsid w:val="00596CA0"/>
    <w:rsid w:val="005A3CDC"/>
    <w:rsid w:val="005B4193"/>
    <w:rsid w:val="005B43F0"/>
    <w:rsid w:val="005B564D"/>
    <w:rsid w:val="005C38F2"/>
    <w:rsid w:val="005C43E5"/>
    <w:rsid w:val="005C63BD"/>
    <w:rsid w:val="005D0D3F"/>
    <w:rsid w:val="005E322F"/>
    <w:rsid w:val="005E5491"/>
    <w:rsid w:val="005F1BA1"/>
    <w:rsid w:val="005F5820"/>
    <w:rsid w:val="0060613D"/>
    <w:rsid w:val="006123B5"/>
    <w:rsid w:val="00613E6E"/>
    <w:rsid w:val="006176E8"/>
    <w:rsid w:val="00623E92"/>
    <w:rsid w:val="0063186A"/>
    <w:rsid w:val="006325A6"/>
    <w:rsid w:val="00633CCA"/>
    <w:rsid w:val="00635242"/>
    <w:rsid w:val="0063651E"/>
    <w:rsid w:val="0063680C"/>
    <w:rsid w:val="0063698D"/>
    <w:rsid w:val="00640774"/>
    <w:rsid w:val="00643E54"/>
    <w:rsid w:val="00646874"/>
    <w:rsid w:val="00647882"/>
    <w:rsid w:val="00651454"/>
    <w:rsid w:val="00656F09"/>
    <w:rsid w:val="00660B25"/>
    <w:rsid w:val="00661A2C"/>
    <w:rsid w:val="00664F00"/>
    <w:rsid w:val="0066700E"/>
    <w:rsid w:val="006726CD"/>
    <w:rsid w:val="00680C48"/>
    <w:rsid w:val="0069074A"/>
    <w:rsid w:val="00691316"/>
    <w:rsid w:val="00691453"/>
    <w:rsid w:val="00694433"/>
    <w:rsid w:val="00697369"/>
    <w:rsid w:val="006A2838"/>
    <w:rsid w:val="006A6016"/>
    <w:rsid w:val="006A69E6"/>
    <w:rsid w:val="006A79B7"/>
    <w:rsid w:val="006B0A08"/>
    <w:rsid w:val="006C04FA"/>
    <w:rsid w:val="006C3706"/>
    <w:rsid w:val="006C7819"/>
    <w:rsid w:val="006D12E6"/>
    <w:rsid w:val="006D16E4"/>
    <w:rsid w:val="006D176C"/>
    <w:rsid w:val="006D1792"/>
    <w:rsid w:val="006D3E30"/>
    <w:rsid w:val="006D55D6"/>
    <w:rsid w:val="006D6795"/>
    <w:rsid w:val="006E257C"/>
    <w:rsid w:val="006E46CB"/>
    <w:rsid w:val="006E5642"/>
    <w:rsid w:val="006F24DF"/>
    <w:rsid w:val="006F3956"/>
    <w:rsid w:val="006F4E9D"/>
    <w:rsid w:val="006F5926"/>
    <w:rsid w:val="007058A6"/>
    <w:rsid w:val="00707819"/>
    <w:rsid w:val="007112C5"/>
    <w:rsid w:val="00711637"/>
    <w:rsid w:val="00714D3D"/>
    <w:rsid w:val="0071673E"/>
    <w:rsid w:val="00717B49"/>
    <w:rsid w:val="00720E36"/>
    <w:rsid w:val="00724318"/>
    <w:rsid w:val="00732EC7"/>
    <w:rsid w:val="007358B4"/>
    <w:rsid w:val="00735BBF"/>
    <w:rsid w:val="00740FF0"/>
    <w:rsid w:val="007418E5"/>
    <w:rsid w:val="00744F38"/>
    <w:rsid w:val="00746F9D"/>
    <w:rsid w:val="0074763B"/>
    <w:rsid w:val="00755706"/>
    <w:rsid w:val="007611E1"/>
    <w:rsid w:val="00761239"/>
    <w:rsid w:val="007613D6"/>
    <w:rsid w:val="00761801"/>
    <w:rsid w:val="00763C96"/>
    <w:rsid w:val="00766A5B"/>
    <w:rsid w:val="00770140"/>
    <w:rsid w:val="00771F34"/>
    <w:rsid w:val="007723AE"/>
    <w:rsid w:val="007735B3"/>
    <w:rsid w:val="007737BE"/>
    <w:rsid w:val="00775CCF"/>
    <w:rsid w:val="007821E5"/>
    <w:rsid w:val="007837B2"/>
    <w:rsid w:val="00786145"/>
    <w:rsid w:val="00790428"/>
    <w:rsid w:val="007928EF"/>
    <w:rsid w:val="00794DAF"/>
    <w:rsid w:val="00795E5F"/>
    <w:rsid w:val="007960D5"/>
    <w:rsid w:val="007A4199"/>
    <w:rsid w:val="007A44E1"/>
    <w:rsid w:val="007A5B31"/>
    <w:rsid w:val="007A5CB4"/>
    <w:rsid w:val="007B2B0D"/>
    <w:rsid w:val="007B588F"/>
    <w:rsid w:val="007C1921"/>
    <w:rsid w:val="007C4029"/>
    <w:rsid w:val="007D1AE7"/>
    <w:rsid w:val="007D5DF2"/>
    <w:rsid w:val="007D601A"/>
    <w:rsid w:val="007D61AD"/>
    <w:rsid w:val="007D6471"/>
    <w:rsid w:val="007F58A5"/>
    <w:rsid w:val="00803287"/>
    <w:rsid w:val="008060A4"/>
    <w:rsid w:val="008161FC"/>
    <w:rsid w:val="0082153A"/>
    <w:rsid w:val="008252CA"/>
    <w:rsid w:val="008254AC"/>
    <w:rsid w:val="008269EF"/>
    <w:rsid w:val="00830E32"/>
    <w:rsid w:val="008373B0"/>
    <w:rsid w:val="008414D0"/>
    <w:rsid w:val="00844AD5"/>
    <w:rsid w:val="00847B27"/>
    <w:rsid w:val="0085124E"/>
    <w:rsid w:val="00861CFB"/>
    <w:rsid w:val="008675DD"/>
    <w:rsid w:val="00867709"/>
    <w:rsid w:val="008711A4"/>
    <w:rsid w:val="0087281C"/>
    <w:rsid w:val="0087368A"/>
    <w:rsid w:val="008739A5"/>
    <w:rsid w:val="00873BC5"/>
    <w:rsid w:val="00874894"/>
    <w:rsid w:val="00881B68"/>
    <w:rsid w:val="00882391"/>
    <w:rsid w:val="0089067D"/>
    <w:rsid w:val="0089111A"/>
    <w:rsid w:val="008A0AD3"/>
    <w:rsid w:val="008A16A6"/>
    <w:rsid w:val="008A2B92"/>
    <w:rsid w:val="008A4A99"/>
    <w:rsid w:val="008B5F72"/>
    <w:rsid w:val="008C15BE"/>
    <w:rsid w:val="008C2F5B"/>
    <w:rsid w:val="008C67DD"/>
    <w:rsid w:val="008C70A2"/>
    <w:rsid w:val="008C7AE3"/>
    <w:rsid w:val="008D4CA2"/>
    <w:rsid w:val="008D65BE"/>
    <w:rsid w:val="008E12C3"/>
    <w:rsid w:val="008E6AEF"/>
    <w:rsid w:val="00904083"/>
    <w:rsid w:val="009053A9"/>
    <w:rsid w:val="00911344"/>
    <w:rsid w:val="00917057"/>
    <w:rsid w:val="00917968"/>
    <w:rsid w:val="00920526"/>
    <w:rsid w:val="00920CC9"/>
    <w:rsid w:val="00920F9B"/>
    <w:rsid w:val="009214B4"/>
    <w:rsid w:val="009226C0"/>
    <w:rsid w:val="009253B5"/>
    <w:rsid w:val="0093184A"/>
    <w:rsid w:val="00940246"/>
    <w:rsid w:val="009437E2"/>
    <w:rsid w:val="0094453A"/>
    <w:rsid w:val="00947C0B"/>
    <w:rsid w:val="00950C7E"/>
    <w:rsid w:val="00952BC2"/>
    <w:rsid w:val="009627D4"/>
    <w:rsid w:val="0096700B"/>
    <w:rsid w:val="00974496"/>
    <w:rsid w:val="00976148"/>
    <w:rsid w:val="0098428F"/>
    <w:rsid w:val="00985076"/>
    <w:rsid w:val="00985D12"/>
    <w:rsid w:val="009A2B4D"/>
    <w:rsid w:val="009A6D4E"/>
    <w:rsid w:val="009B2628"/>
    <w:rsid w:val="009C3147"/>
    <w:rsid w:val="009C35A6"/>
    <w:rsid w:val="009C3731"/>
    <w:rsid w:val="009D109F"/>
    <w:rsid w:val="009D5AD3"/>
    <w:rsid w:val="009E363A"/>
    <w:rsid w:val="009E4D85"/>
    <w:rsid w:val="009E58D1"/>
    <w:rsid w:val="009F05FF"/>
    <w:rsid w:val="009F7C24"/>
    <w:rsid w:val="00A07802"/>
    <w:rsid w:val="00A11F97"/>
    <w:rsid w:val="00A21C5F"/>
    <w:rsid w:val="00A23397"/>
    <w:rsid w:val="00A25B10"/>
    <w:rsid w:val="00A270B5"/>
    <w:rsid w:val="00A2747D"/>
    <w:rsid w:val="00A274CD"/>
    <w:rsid w:val="00A306AF"/>
    <w:rsid w:val="00A41233"/>
    <w:rsid w:val="00A44ECD"/>
    <w:rsid w:val="00A47E22"/>
    <w:rsid w:val="00A55D05"/>
    <w:rsid w:val="00A5725F"/>
    <w:rsid w:val="00A57E2A"/>
    <w:rsid w:val="00A61A6B"/>
    <w:rsid w:val="00A64056"/>
    <w:rsid w:val="00A6459A"/>
    <w:rsid w:val="00A64CC5"/>
    <w:rsid w:val="00A64EBD"/>
    <w:rsid w:val="00A656CD"/>
    <w:rsid w:val="00A71AD6"/>
    <w:rsid w:val="00A72177"/>
    <w:rsid w:val="00A75D67"/>
    <w:rsid w:val="00A77214"/>
    <w:rsid w:val="00A8331A"/>
    <w:rsid w:val="00A848BC"/>
    <w:rsid w:val="00A85B21"/>
    <w:rsid w:val="00A90367"/>
    <w:rsid w:val="00A92A91"/>
    <w:rsid w:val="00A9313C"/>
    <w:rsid w:val="00A93864"/>
    <w:rsid w:val="00A94A5A"/>
    <w:rsid w:val="00A9752F"/>
    <w:rsid w:val="00AA05B3"/>
    <w:rsid w:val="00AA1D8D"/>
    <w:rsid w:val="00AA25FC"/>
    <w:rsid w:val="00AA2855"/>
    <w:rsid w:val="00AA5310"/>
    <w:rsid w:val="00AA7845"/>
    <w:rsid w:val="00AB1DF4"/>
    <w:rsid w:val="00AB551B"/>
    <w:rsid w:val="00AB5781"/>
    <w:rsid w:val="00AC6501"/>
    <w:rsid w:val="00AC6E43"/>
    <w:rsid w:val="00AC772F"/>
    <w:rsid w:val="00AC7CC3"/>
    <w:rsid w:val="00AD6B84"/>
    <w:rsid w:val="00AE079C"/>
    <w:rsid w:val="00AE1DAE"/>
    <w:rsid w:val="00AE35B9"/>
    <w:rsid w:val="00AE60DD"/>
    <w:rsid w:val="00AF38AF"/>
    <w:rsid w:val="00AF687E"/>
    <w:rsid w:val="00AF76F5"/>
    <w:rsid w:val="00B05473"/>
    <w:rsid w:val="00B10B6E"/>
    <w:rsid w:val="00B12006"/>
    <w:rsid w:val="00B13E36"/>
    <w:rsid w:val="00B15B0C"/>
    <w:rsid w:val="00B224CF"/>
    <w:rsid w:val="00B22E9F"/>
    <w:rsid w:val="00B24E5A"/>
    <w:rsid w:val="00B267DA"/>
    <w:rsid w:val="00B3009F"/>
    <w:rsid w:val="00B30343"/>
    <w:rsid w:val="00B31B50"/>
    <w:rsid w:val="00B3289B"/>
    <w:rsid w:val="00B41AE4"/>
    <w:rsid w:val="00B43E3E"/>
    <w:rsid w:val="00B47730"/>
    <w:rsid w:val="00B50C98"/>
    <w:rsid w:val="00B54340"/>
    <w:rsid w:val="00B633FD"/>
    <w:rsid w:val="00B652DA"/>
    <w:rsid w:val="00B6692C"/>
    <w:rsid w:val="00B6767B"/>
    <w:rsid w:val="00B7209B"/>
    <w:rsid w:val="00B7260B"/>
    <w:rsid w:val="00B76E37"/>
    <w:rsid w:val="00B85D72"/>
    <w:rsid w:val="00B87A95"/>
    <w:rsid w:val="00B9441B"/>
    <w:rsid w:val="00B955C3"/>
    <w:rsid w:val="00B96473"/>
    <w:rsid w:val="00B966EF"/>
    <w:rsid w:val="00B971EA"/>
    <w:rsid w:val="00BA6C8B"/>
    <w:rsid w:val="00BA74B8"/>
    <w:rsid w:val="00BB1BE6"/>
    <w:rsid w:val="00BB7413"/>
    <w:rsid w:val="00BC078C"/>
    <w:rsid w:val="00BD1166"/>
    <w:rsid w:val="00BD2AA6"/>
    <w:rsid w:val="00BD4761"/>
    <w:rsid w:val="00BD7517"/>
    <w:rsid w:val="00BE354E"/>
    <w:rsid w:val="00BE7672"/>
    <w:rsid w:val="00BF7F74"/>
    <w:rsid w:val="00C02669"/>
    <w:rsid w:val="00C02C72"/>
    <w:rsid w:val="00C04901"/>
    <w:rsid w:val="00C13962"/>
    <w:rsid w:val="00C13978"/>
    <w:rsid w:val="00C229B4"/>
    <w:rsid w:val="00C31396"/>
    <w:rsid w:val="00C313C6"/>
    <w:rsid w:val="00C33B6D"/>
    <w:rsid w:val="00C35BEC"/>
    <w:rsid w:val="00C44BB4"/>
    <w:rsid w:val="00C45E55"/>
    <w:rsid w:val="00C515D2"/>
    <w:rsid w:val="00C51F58"/>
    <w:rsid w:val="00C53025"/>
    <w:rsid w:val="00C567E3"/>
    <w:rsid w:val="00C61D7A"/>
    <w:rsid w:val="00C65BC5"/>
    <w:rsid w:val="00C65BF4"/>
    <w:rsid w:val="00C726A9"/>
    <w:rsid w:val="00C73043"/>
    <w:rsid w:val="00C735DD"/>
    <w:rsid w:val="00C74C6B"/>
    <w:rsid w:val="00C77119"/>
    <w:rsid w:val="00C823E0"/>
    <w:rsid w:val="00C83D42"/>
    <w:rsid w:val="00C86561"/>
    <w:rsid w:val="00C913B6"/>
    <w:rsid w:val="00C91604"/>
    <w:rsid w:val="00C95615"/>
    <w:rsid w:val="00C95D9B"/>
    <w:rsid w:val="00CA4F84"/>
    <w:rsid w:val="00CB0664"/>
    <w:rsid w:val="00CB11A4"/>
    <w:rsid w:val="00CB4D95"/>
    <w:rsid w:val="00CB7320"/>
    <w:rsid w:val="00CC522F"/>
    <w:rsid w:val="00CC77F3"/>
    <w:rsid w:val="00CD1708"/>
    <w:rsid w:val="00CD3A9F"/>
    <w:rsid w:val="00CD5854"/>
    <w:rsid w:val="00CD6CFE"/>
    <w:rsid w:val="00CE0D21"/>
    <w:rsid w:val="00CE1BD5"/>
    <w:rsid w:val="00CE369B"/>
    <w:rsid w:val="00CF468E"/>
    <w:rsid w:val="00CF4F52"/>
    <w:rsid w:val="00CF7772"/>
    <w:rsid w:val="00D0251D"/>
    <w:rsid w:val="00D0260B"/>
    <w:rsid w:val="00D04890"/>
    <w:rsid w:val="00D11389"/>
    <w:rsid w:val="00D1579B"/>
    <w:rsid w:val="00D23575"/>
    <w:rsid w:val="00D327E7"/>
    <w:rsid w:val="00D33DB9"/>
    <w:rsid w:val="00D352BB"/>
    <w:rsid w:val="00D35DD4"/>
    <w:rsid w:val="00D400B6"/>
    <w:rsid w:val="00D41FF3"/>
    <w:rsid w:val="00D51AEF"/>
    <w:rsid w:val="00D5229B"/>
    <w:rsid w:val="00D605C2"/>
    <w:rsid w:val="00D65B5A"/>
    <w:rsid w:val="00D70930"/>
    <w:rsid w:val="00D73526"/>
    <w:rsid w:val="00D77F99"/>
    <w:rsid w:val="00D824ED"/>
    <w:rsid w:val="00D84F8C"/>
    <w:rsid w:val="00D85390"/>
    <w:rsid w:val="00D87616"/>
    <w:rsid w:val="00D87757"/>
    <w:rsid w:val="00D91876"/>
    <w:rsid w:val="00DA06D7"/>
    <w:rsid w:val="00DA4ADD"/>
    <w:rsid w:val="00DB39CB"/>
    <w:rsid w:val="00DB70F8"/>
    <w:rsid w:val="00DC2F45"/>
    <w:rsid w:val="00DC522C"/>
    <w:rsid w:val="00DD332E"/>
    <w:rsid w:val="00DD5604"/>
    <w:rsid w:val="00DD6A6C"/>
    <w:rsid w:val="00DE22FB"/>
    <w:rsid w:val="00DE73F1"/>
    <w:rsid w:val="00E027E6"/>
    <w:rsid w:val="00E07684"/>
    <w:rsid w:val="00E11E2B"/>
    <w:rsid w:val="00E136C8"/>
    <w:rsid w:val="00E1386A"/>
    <w:rsid w:val="00E14DAF"/>
    <w:rsid w:val="00E16F56"/>
    <w:rsid w:val="00E2275D"/>
    <w:rsid w:val="00E335D4"/>
    <w:rsid w:val="00E35A49"/>
    <w:rsid w:val="00E35BB9"/>
    <w:rsid w:val="00E36D40"/>
    <w:rsid w:val="00E409BF"/>
    <w:rsid w:val="00E4380B"/>
    <w:rsid w:val="00E43FA8"/>
    <w:rsid w:val="00E4552F"/>
    <w:rsid w:val="00E45839"/>
    <w:rsid w:val="00E4604A"/>
    <w:rsid w:val="00E479AC"/>
    <w:rsid w:val="00E5015B"/>
    <w:rsid w:val="00E51DFD"/>
    <w:rsid w:val="00E63774"/>
    <w:rsid w:val="00E64396"/>
    <w:rsid w:val="00E666A5"/>
    <w:rsid w:val="00E710F0"/>
    <w:rsid w:val="00E848B0"/>
    <w:rsid w:val="00E857D9"/>
    <w:rsid w:val="00E8671D"/>
    <w:rsid w:val="00E97A7B"/>
    <w:rsid w:val="00EA0D0D"/>
    <w:rsid w:val="00EB4183"/>
    <w:rsid w:val="00EB43AB"/>
    <w:rsid w:val="00EC05C5"/>
    <w:rsid w:val="00EC186F"/>
    <w:rsid w:val="00EC54C7"/>
    <w:rsid w:val="00EC6C0A"/>
    <w:rsid w:val="00ED2E7F"/>
    <w:rsid w:val="00ED303E"/>
    <w:rsid w:val="00EE2A2F"/>
    <w:rsid w:val="00EE6035"/>
    <w:rsid w:val="00EF28BE"/>
    <w:rsid w:val="00EF30CB"/>
    <w:rsid w:val="00EF4218"/>
    <w:rsid w:val="00EF7C5E"/>
    <w:rsid w:val="00F00264"/>
    <w:rsid w:val="00F00B49"/>
    <w:rsid w:val="00F043C0"/>
    <w:rsid w:val="00F2077B"/>
    <w:rsid w:val="00F23D52"/>
    <w:rsid w:val="00F25BF2"/>
    <w:rsid w:val="00F27F64"/>
    <w:rsid w:val="00F37D76"/>
    <w:rsid w:val="00F40CA7"/>
    <w:rsid w:val="00F40DCF"/>
    <w:rsid w:val="00F4211C"/>
    <w:rsid w:val="00F4450F"/>
    <w:rsid w:val="00F4501D"/>
    <w:rsid w:val="00F46BA4"/>
    <w:rsid w:val="00F472B6"/>
    <w:rsid w:val="00F4788F"/>
    <w:rsid w:val="00F623ED"/>
    <w:rsid w:val="00F64E53"/>
    <w:rsid w:val="00F6626F"/>
    <w:rsid w:val="00F721C4"/>
    <w:rsid w:val="00F73FFA"/>
    <w:rsid w:val="00F74410"/>
    <w:rsid w:val="00F74A32"/>
    <w:rsid w:val="00F76E78"/>
    <w:rsid w:val="00F77490"/>
    <w:rsid w:val="00F818DF"/>
    <w:rsid w:val="00F83B4C"/>
    <w:rsid w:val="00F83D2D"/>
    <w:rsid w:val="00F8612A"/>
    <w:rsid w:val="00F870FA"/>
    <w:rsid w:val="00F9666B"/>
    <w:rsid w:val="00FA0C6C"/>
    <w:rsid w:val="00FA3A18"/>
    <w:rsid w:val="00FA5F34"/>
    <w:rsid w:val="00FB0FC3"/>
    <w:rsid w:val="00FC693F"/>
    <w:rsid w:val="00FD3822"/>
    <w:rsid w:val="00FD56D3"/>
    <w:rsid w:val="00FE3DFF"/>
    <w:rsid w:val="00FF053B"/>
    <w:rsid w:val="00FF3790"/>
    <w:rsid w:val="00FF5370"/>
    <w:rsid w:val="00FF5D83"/>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AA01AF7"/>
  <w15:docId w15:val="{AD08A9B9-4F45-42CD-90F6-7E4F161688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lang w:val="en-AU"/>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3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ghtShading1">
    <w:name w:val="Light Shading1"/>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customStyle="1" w:styleId="LightList1">
    <w:name w:val="Light List1"/>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1">
    <w:name w:val="Light List - Accent 1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customStyle="1" w:styleId="LightGrid1">
    <w:name w:val="Light Grid1"/>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customStyle="1" w:styleId="MediumShading11">
    <w:name w:val="Medium Shading 1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customStyle="1" w:styleId="MediumShading1-Accent11">
    <w:name w:val="Medium Shading 1 - Accent 1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customStyle="1" w:styleId="MediumShading21">
    <w:name w:val="Medium Shading 2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customStyle="1" w:styleId="MediumList11">
    <w:name w:val="Medium List 1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customStyle="1" w:styleId="MediumList1-Accent11">
    <w:name w:val="Medium List 1 - Accent 1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customStyle="1" w:styleId="MediumList21">
    <w:name w:val="Medium List 2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customStyle="1" w:styleId="MediumGrid11">
    <w:name w:val="Medium Grid 1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customStyle="1" w:styleId="MediumGrid21">
    <w:name w:val="Medium Grid 2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customStyle="1" w:styleId="MediumGrid31">
    <w:name w:val="Medium Grid 3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customStyle="1" w:styleId="DarkList1">
    <w:name w:val="Dark List1"/>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customStyle="1" w:styleId="ColorfulShading1">
    <w:name w:val="Colorful Shading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customStyle="1" w:styleId="ColorfulList1">
    <w:name w:val="Colorful List1"/>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customStyle="1" w:styleId="ColorfulGrid1">
    <w:name w:val="Colorful Grid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DB39CB"/>
    <w:rPr>
      <w:rFonts w:ascii="Times New Roman" w:hAnsi="Times New Roman" w:cs="Times New Roman"/>
      <w:sz w:val="24"/>
      <w:szCs w:val="24"/>
    </w:rPr>
  </w:style>
  <w:style w:type="character" w:styleId="CommentReference">
    <w:name w:val="annotation reference"/>
    <w:basedOn w:val="DefaultParagraphFont"/>
    <w:uiPriority w:val="99"/>
    <w:semiHidden/>
    <w:unhideWhenUsed/>
    <w:qFormat/>
    <w:rsid w:val="000B2158"/>
    <w:rPr>
      <w:sz w:val="16"/>
      <w:szCs w:val="16"/>
    </w:rPr>
  </w:style>
  <w:style w:type="paragraph" w:styleId="CommentText">
    <w:name w:val="annotation text"/>
    <w:basedOn w:val="Normal"/>
    <w:link w:val="CommentTextChar"/>
    <w:uiPriority w:val="99"/>
    <w:unhideWhenUsed/>
    <w:qFormat/>
    <w:rsid w:val="000B2158"/>
    <w:pPr>
      <w:spacing w:line="240" w:lineRule="auto"/>
    </w:pPr>
    <w:rPr>
      <w:sz w:val="20"/>
      <w:szCs w:val="20"/>
    </w:rPr>
  </w:style>
  <w:style w:type="character" w:customStyle="1" w:styleId="CommentTextChar">
    <w:name w:val="Comment Text Char"/>
    <w:basedOn w:val="DefaultParagraphFont"/>
    <w:link w:val="CommentText"/>
    <w:uiPriority w:val="99"/>
    <w:qFormat/>
    <w:rsid w:val="000B2158"/>
    <w:rPr>
      <w:sz w:val="20"/>
      <w:szCs w:val="20"/>
    </w:rPr>
  </w:style>
  <w:style w:type="paragraph" w:styleId="CommentSubject">
    <w:name w:val="annotation subject"/>
    <w:basedOn w:val="CommentText"/>
    <w:next w:val="CommentText"/>
    <w:link w:val="CommentSubjectChar"/>
    <w:uiPriority w:val="99"/>
    <w:semiHidden/>
    <w:unhideWhenUsed/>
    <w:rsid w:val="000B2158"/>
    <w:rPr>
      <w:b/>
      <w:bCs/>
    </w:rPr>
  </w:style>
  <w:style w:type="character" w:customStyle="1" w:styleId="CommentSubjectChar">
    <w:name w:val="Comment Subject Char"/>
    <w:basedOn w:val="CommentTextChar"/>
    <w:link w:val="CommentSubject"/>
    <w:uiPriority w:val="99"/>
    <w:semiHidden/>
    <w:rsid w:val="000B2158"/>
    <w:rPr>
      <w:b/>
      <w:bCs/>
      <w:sz w:val="20"/>
      <w:szCs w:val="20"/>
    </w:rPr>
  </w:style>
  <w:style w:type="paragraph" w:styleId="Revision">
    <w:name w:val="Revision"/>
    <w:hidden/>
    <w:uiPriority w:val="99"/>
    <w:semiHidden/>
    <w:rsid w:val="00E51DFD"/>
    <w:pPr>
      <w:spacing w:after="0" w:line="240" w:lineRule="auto"/>
    </w:pPr>
    <w:rPr>
      <w:lang w:val="en-AU"/>
    </w:rPr>
  </w:style>
  <w:style w:type="character" w:customStyle="1" w:styleId="normaltextrun">
    <w:name w:val="normaltextrun"/>
    <w:basedOn w:val="DefaultParagraphFont"/>
    <w:rsid w:val="005B564D"/>
  </w:style>
  <w:style w:type="character" w:styleId="Hyperlink">
    <w:name w:val="Hyperlink"/>
    <w:basedOn w:val="DefaultParagraphFont"/>
    <w:uiPriority w:val="99"/>
    <w:unhideWhenUsed/>
    <w:rsid w:val="00132206"/>
    <w:rPr>
      <w:color w:val="0000FF" w:themeColor="hyperlink"/>
      <w:u w:val="single"/>
    </w:rPr>
  </w:style>
  <w:style w:type="paragraph" w:styleId="BalloonText">
    <w:name w:val="Balloon Text"/>
    <w:basedOn w:val="Normal"/>
    <w:link w:val="BalloonTextChar"/>
    <w:uiPriority w:val="99"/>
    <w:semiHidden/>
    <w:unhideWhenUsed/>
    <w:rsid w:val="002929D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929D3"/>
    <w:rPr>
      <w:rFonts w:ascii="Segoe UI" w:hAnsi="Segoe UI" w:cs="Segoe UI"/>
      <w:sz w:val="18"/>
      <w:szCs w:val="18"/>
      <w:lang w:val="en-AU"/>
    </w:rPr>
  </w:style>
  <w:style w:type="paragraph" w:customStyle="1" w:styleId="Default">
    <w:name w:val="Default"/>
    <w:qFormat/>
    <w:rsid w:val="007D601A"/>
    <w:pPr>
      <w:suppressAutoHyphens/>
      <w:spacing w:after="0" w:line="240" w:lineRule="auto"/>
      <w:jc w:val="both"/>
    </w:pPr>
    <w:rPr>
      <w:rFonts w:ascii="Times New Roman" w:hAnsi="Times New Roman" w:cs="Times New Roman"/>
      <w:color w:val="000000"/>
      <w:sz w:val="24"/>
      <w:szCs w:val="24"/>
      <w:lang w:val="en-AU"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9935745">
      <w:bodyDiv w:val="1"/>
      <w:marLeft w:val="0"/>
      <w:marRight w:val="0"/>
      <w:marTop w:val="0"/>
      <w:marBottom w:val="0"/>
      <w:divBdr>
        <w:top w:val="none" w:sz="0" w:space="0" w:color="auto"/>
        <w:left w:val="none" w:sz="0" w:space="0" w:color="auto"/>
        <w:bottom w:val="none" w:sz="0" w:space="0" w:color="auto"/>
        <w:right w:val="none" w:sz="0" w:space="0" w:color="auto"/>
      </w:divBdr>
    </w:div>
    <w:div w:id="748966594">
      <w:bodyDiv w:val="1"/>
      <w:marLeft w:val="0"/>
      <w:marRight w:val="0"/>
      <w:marTop w:val="0"/>
      <w:marBottom w:val="0"/>
      <w:divBdr>
        <w:top w:val="none" w:sz="0" w:space="0" w:color="auto"/>
        <w:left w:val="none" w:sz="0" w:space="0" w:color="auto"/>
        <w:bottom w:val="none" w:sz="0" w:space="0" w:color="auto"/>
        <w:right w:val="none" w:sz="0" w:space="0" w:color="auto"/>
      </w:divBdr>
    </w:div>
    <w:div w:id="771709573">
      <w:bodyDiv w:val="1"/>
      <w:marLeft w:val="0"/>
      <w:marRight w:val="0"/>
      <w:marTop w:val="0"/>
      <w:marBottom w:val="0"/>
      <w:divBdr>
        <w:top w:val="none" w:sz="0" w:space="0" w:color="auto"/>
        <w:left w:val="none" w:sz="0" w:space="0" w:color="auto"/>
        <w:bottom w:val="none" w:sz="0" w:space="0" w:color="auto"/>
        <w:right w:val="none" w:sz="0" w:space="0" w:color="auto"/>
      </w:divBdr>
    </w:div>
    <w:div w:id="810444449">
      <w:bodyDiv w:val="1"/>
      <w:marLeft w:val="0"/>
      <w:marRight w:val="0"/>
      <w:marTop w:val="0"/>
      <w:marBottom w:val="0"/>
      <w:divBdr>
        <w:top w:val="none" w:sz="0" w:space="0" w:color="auto"/>
        <w:left w:val="none" w:sz="0" w:space="0" w:color="auto"/>
        <w:bottom w:val="none" w:sz="0" w:space="0" w:color="auto"/>
        <w:right w:val="none" w:sz="0" w:space="0" w:color="auto"/>
      </w:divBdr>
    </w:div>
    <w:div w:id="1011952134">
      <w:bodyDiv w:val="1"/>
      <w:marLeft w:val="0"/>
      <w:marRight w:val="0"/>
      <w:marTop w:val="0"/>
      <w:marBottom w:val="0"/>
      <w:divBdr>
        <w:top w:val="none" w:sz="0" w:space="0" w:color="auto"/>
        <w:left w:val="none" w:sz="0" w:space="0" w:color="auto"/>
        <w:bottom w:val="none" w:sz="0" w:space="0" w:color="auto"/>
        <w:right w:val="none" w:sz="0" w:space="0" w:color="auto"/>
      </w:divBdr>
      <w:divsChild>
        <w:div w:id="1429236245">
          <w:marLeft w:val="0"/>
          <w:marRight w:val="0"/>
          <w:marTop w:val="0"/>
          <w:marBottom w:val="0"/>
          <w:divBdr>
            <w:top w:val="none" w:sz="0" w:space="0" w:color="auto"/>
            <w:left w:val="none" w:sz="0" w:space="0" w:color="auto"/>
            <w:bottom w:val="none" w:sz="0" w:space="0" w:color="auto"/>
            <w:right w:val="none" w:sz="0" w:space="0" w:color="auto"/>
          </w:divBdr>
        </w:div>
      </w:divsChild>
    </w:div>
    <w:div w:id="1032919361">
      <w:bodyDiv w:val="1"/>
      <w:marLeft w:val="0"/>
      <w:marRight w:val="0"/>
      <w:marTop w:val="0"/>
      <w:marBottom w:val="0"/>
      <w:divBdr>
        <w:top w:val="none" w:sz="0" w:space="0" w:color="auto"/>
        <w:left w:val="none" w:sz="0" w:space="0" w:color="auto"/>
        <w:bottom w:val="none" w:sz="0" w:space="0" w:color="auto"/>
        <w:right w:val="none" w:sz="0" w:space="0" w:color="auto"/>
      </w:divBdr>
    </w:div>
    <w:div w:id="1085613641">
      <w:bodyDiv w:val="1"/>
      <w:marLeft w:val="0"/>
      <w:marRight w:val="0"/>
      <w:marTop w:val="0"/>
      <w:marBottom w:val="0"/>
      <w:divBdr>
        <w:top w:val="none" w:sz="0" w:space="0" w:color="auto"/>
        <w:left w:val="none" w:sz="0" w:space="0" w:color="auto"/>
        <w:bottom w:val="none" w:sz="0" w:space="0" w:color="auto"/>
        <w:right w:val="none" w:sz="0" w:space="0" w:color="auto"/>
      </w:divBdr>
    </w:div>
    <w:div w:id="1086801450">
      <w:bodyDiv w:val="1"/>
      <w:marLeft w:val="0"/>
      <w:marRight w:val="0"/>
      <w:marTop w:val="0"/>
      <w:marBottom w:val="0"/>
      <w:divBdr>
        <w:top w:val="none" w:sz="0" w:space="0" w:color="auto"/>
        <w:left w:val="none" w:sz="0" w:space="0" w:color="auto"/>
        <w:bottom w:val="none" w:sz="0" w:space="0" w:color="auto"/>
        <w:right w:val="none" w:sz="0" w:space="0" w:color="auto"/>
      </w:divBdr>
    </w:div>
    <w:div w:id="1128158202">
      <w:bodyDiv w:val="1"/>
      <w:marLeft w:val="0"/>
      <w:marRight w:val="0"/>
      <w:marTop w:val="0"/>
      <w:marBottom w:val="0"/>
      <w:divBdr>
        <w:top w:val="none" w:sz="0" w:space="0" w:color="auto"/>
        <w:left w:val="none" w:sz="0" w:space="0" w:color="auto"/>
        <w:bottom w:val="none" w:sz="0" w:space="0" w:color="auto"/>
        <w:right w:val="none" w:sz="0" w:space="0" w:color="auto"/>
      </w:divBdr>
      <w:divsChild>
        <w:div w:id="873159348">
          <w:marLeft w:val="0"/>
          <w:marRight w:val="0"/>
          <w:marTop w:val="0"/>
          <w:marBottom w:val="0"/>
          <w:divBdr>
            <w:top w:val="none" w:sz="0" w:space="0" w:color="auto"/>
            <w:left w:val="none" w:sz="0" w:space="0" w:color="auto"/>
            <w:bottom w:val="none" w:sz="0" w:space="0" w:color="auto"/>
            <w:right w:val="none" w:sz="0" w:space="0" w:color="auto"/>
          </w:divBdr>
        </w:div>
      </w:divsChild>
    </w:div>
    <w:div w:id="1226647151">
      <w:bodyDiv w:val="1"/>
      <w:marLeft w:val="0"/>
      <w:marRight w:val="0"/>
      <w:marTop w:val="0"/>
      <w:marBottom w:val="0"/>
      <w:divBdr>
        <w:top w:val="none" w:sz="0" w:space="0" w:color="auto"/>
        <w:left w:val="none" w:sz="0" w:space="0" w:color="auto"/>
        <w:bottom w:val="none" w:sz="0" w:space="0" w:color="auto"/>
        <w:right w:val="none" w:sz="0" w:space="0" w:color="auto"/>
      </w:divBdr>
      <w:divsChild>
        <w:div w:id="314916250">
          <w:marLeft w:val="0"/>
          <w:marRight w:val="0"/>
          <w:marTop w:val="0"/>
          <w:marBottom w:val="0"/>
          <w:divBdr>
            <w:top w:val="none" w:sz="0" w:space="0" w:color="auto"/>
            <w:left w:val="none" w:sz="0" w:space="0" w:color="auto"/>
            <w:bottom w:val="none" w:sz="0" w:space="0" w:color="auto"/>
            <w:right w:val="none" w:sz="0" w:space="0" w:color="auto"/>
          </w:divBdr>
        </w:div>
        <w:div w:id="1706522329">
          <w:marLeft w:val="0"/>
          <w:marRight w:val="0"/>
          <w:marTop w:val="0"/>
          <w:marBottom w:val="0"/>
          <w:divBdr>
            <w:top w:val="none" w:sz="0" w:space="0" w:color="auto"/>
            <w:left w:val="none" w:sz="0" w:space="0" w:color="auto"/>
            <w:bottom w:val="none" w:sz="0" w:space="0" w:color="auto"/>
            <w:right w:val="none" w:sz="0" w:space="0" w:color="auto"/>
          </w:divBdr>
        </w:div>
        <w:div w:id="1905145629">
          <w:marLeft w:val="0"/>
          <w:marRight w:val="0"/>
          <w:marTop w:val="0"/>
          <w:marBottom w:val="0"/>
          <w:divBdr>
            <w:top w:val="none" w:sz="0" w:space="0" w:color="auto"/>
            <w:left w:val="none" w:sz="0" w:space="0" w:color="auto"/>
            <w:bottom w:val="none" w:sz="0" w:space="0" w:color="auto"/>
            <w:right w:val="none" w:sz="0" w:space="0" w:color="auto"/>
          </w:divBdr>
        </w:div>
      </w:divsChild>
    </w:div>
    <w:div w:id="1273829567">
      <w:bodyDiv w:val="1"/>
      <w:marLeft w:val="0"/>
      <w:marRight w:val="0"/>
      <w:marTop w:val="0"/>
      <w:marBottom w:val="0"/>
      <w:divBdr>
        <w:top w:val="none" w:sz="0" w:space="0" w:color="auto"/>
        <w:left w:val="none" w:sz="0" w:space="0" w:color="auto"/>
        <w:bottom w:val="none" w:sz="0" w:space="0" w:color="auto"/>
        <w:right w:val="none" w:sz="0" w:space="0" w:color="auto"/>
      </w:divBdr>
    </w:div>
    <w:div w:id="1406535083">
      <w:bodyDiv w:val="1"/>
      <w:marLeft w:val="0"/>
      <w:marRight w:val="0"/>
      <w:marTop w:val="0"/>
      <w:marBottom w:val="0"/>
      <w:divBdr>
        <w:top w:val="none" w:sz="0" w:space="0" w:color="auto"/>
        <w:left w:val="none" w:sz="0" w:space="0" w:color="auto"/>
        <w:bottom w:val="none" w:sz="0" w:space="0" w:color="auto"/>
        <w:right w:val="none" w:sz="0" w:space="0" w:color="auto"/>
      </w:divBdr>
    </w:div>
    <w:div w:id="1483081473">
      <w:bodyDiv w:val="1"/>
      <w:marLeft w:val="0"/>
      <w:marRight w:val="0"/>
      <w:marTop w:val="0"/>
      <w:marBottom w:val="0"/>
      <w:divBdr>
        <w:top w:val="none" w:sz="0" w:space="0" w:color="auto"/>
        <w:left w:val="none" w:sz="0" w:space="0" w:color="auto"/>
        <w:bottom w:val="none" w:sz="0" w:space="0" w:color="auto"/>
        <w:right w:val="none" w:sz="0" w:space="0" w:color="auto"/>
      </w:divBdr>
      <w:divsChild>
        <w:div w:id="764962089">
          <w:marLeft w:val="0"/>
          <w:marRight w:val="0"/>
          <w:marTop w:val="0"/>
          <w:marBottom w:val="0"/>
          <w:divBdr>
            <w:top w:val="none" w:sz="0" w:space="0" w:color="auto"/>
            <w:left w:val="none" w:sz="0" w:space="0" w:color="auto"/>
            <w:bottom w:val="none" w:sz="0" w:space="0" w:color="auto"/>
            <w:right w:val="none" w:sz="0" w:space="0" w:color="auto"/>
          </w:divBdr>
        </w:div>
        <w:div w:id="2033603696">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sChild>
    </w:div>
    <w:div w:id="1892839905">
      <w:bodyDiv w:val="1"/>
      <w:marLeft w:val="0"/>
      <w:marRight w:val="0"/>
      <w:marTop w:val="0"/>
      <w:marBottom w:val="0"/>
      <w:divBdr>
        <w:top w:val="none" w:sz="0" w:space="0" w:color="auto"/>
        <w:left w:val="none" w:sz="0" w:space="0" w:color="auto"/>
        <w:bottom w:val="none" w:sz="0" w:space="0" w:color="auto"/>
        <w:right w:val="none" w:sz="0" w:space="0" w:color="auto"/>
      </w:divBdr>
      <w:divsChild>
        <w:div w:id="1446462785">
          <w:marLeft w:val="0"/>
          <w:marRight w:val="0"/>
          <w:marTop w:val="0"/>
          <w:marBottom w:val="0"/>
          <w:divBdr>
            <w:top w:val="none" w:sz="0" w:space="0" w:color="auto"/>
            <w:left w:val="none" w:sz="0" w:space="0" w:color="auto"/>
            <w:bottom w:val="none" w:sz="0" w:space="0" w:color="auto"/>
            <w:right w:val="none" w:sz="0" w:space="0" w:color="auto"/>
          </w:divBdr>
        </w:div>
      </w:divsChild>
    </w:div>
    <w:div w:id="1988438965">
      <w:bodyDiv w:val="1"/>
      <w:marLeft w:val="0"/>
      <w:marRight w:val="0"/>
      <w:marTop w:val="0"/>
      <w:marBottom w:val="0"/>
      <w:divBdr>
        <w:top w:val="none" w:sz="0" w:space="0" w:color="auto"/>
        <w:left w:val="none" w:sz="0" w:space="0" w:color="auto"/>
        <w:bottom w:val="none" w:sz="0" w:space="0" w:color="auto"/>
        <w:right w:val="none" w:sz="0" w:space="0" w:color="auto"/>
      </w:divBdr>
    </w:div>
    <w:div w:id="2027946171">
      <w:bodyDiv w:val="1"/>
      <w:marLeft w:val="0"/>
      <w:marRight w:val="0"/>
      <w:marTop w:val="0"/>
      <w:marBottom w:val="0"/>
      <w:divBdr>
        <w:top w:val="none" w:sz="0" w:space="0" w:color="auto"/>
        <w:left w:val="none" w:sz="0" w:space="0" w:color="auto"/>
        <w:bottom w:val="none" w:sz="0" w:space="0" w:color="auto"/>
        <w:right w:val="none" w:sz="0" w:space="0" w:color="auto"/>
      </w:divBdr>
      <w:divsChild>
        <w:div w:id="98764730">
          <w:marLeft w:val="0"/>
          <w:marRight w:val="0"/>
          <w:marTop w:val="0"/>
          <w:marBottom w:val="0"/>
          <w:divBdr>
            <w:top w:val="none" w:sz="0" w:space="0" w:color="auto"/>
            <w:left w:val="none" w:sz="0" w:space="0" w:color="auto"/>
            <w:bottom w:val="none" w:sz="0" w:space="0" w:color="auto"/>
            <w:right w:val="none" w:sz="0" w:space="0" w:color="auto"/>
          </w:divBdr>
        </w:div>
      </w:divsChild>
    </w:div>
    <w:div w:id="205967041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53B5196E2F5640AA1500E82A7BF106" ma:contentTypeVersion="19" ma:contentTypeDescription="Create a new document." ma:contentTypeScope="" ma:versionID="29af6a8244983ef68f117dedc8416231">
  <xsd:schema xmlns:xsd="http://www.w3.org/2001/XMLSchema" xmlns:xs="http://www.w3.org/2001/XMLSchema" xmlns:p="http://schemas.microsoft.com/office/2006/metadata/properties" xmlns:ns2="a3870de7-628d-4f96-ad09-9338c4ed9354" xmlns:ns3="afd363e9-35fc-44f3-a206-b83cf12c84c7" targetNamespace="http://schemas.microsoft.com/office/2006/metadata/properties" ma:root="true" ma:fieldsID="b5bba1bfca49ffa14455a47a84b35a56" ns2:_="" ns3:_="">
    <xsd:import namespace="a3870de7-628d-4f96-ad09-9338c4ed9354"/>
    <xsd:import namespace="afd363e9-35fc-44f3-a206-b83cf12c84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Note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ObjectDetectorVersions" minOccurs="0"/>
                <xsd:element ref="ns2:MediaServiceDateTaken"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870de7-628d-4f96-ad09-9338c4ed93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otes" ma:index="14" nillable="true" ma:displayName="Notes" ma:format="Dropdown" ma:internalName="Notes">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ServiceLocation" ma:index="24" nillable="true" ma:displayName="Location" ma:indexed="true" ma:internalName="MediaServiceLocatio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fd363e9-35fc-44f3-a206-b83cf12c84c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e32266f-1ab3-4460-90ac-365627585d37}" ma:internalName="TaxCatchAll" ma:showField="CatchAllData" ma:web="afd363e9-35fc-44f3-a206-b83cf12c8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fd363e9-35fc-44f3-a206-b83cf12c84c7" xsi:nil="true"/>
    <Notes xmlns="a3870de7-628d-4f96-ad09-9338c4ed9354" xsi:nil="true"/>
    <lcf76f155ced4ddcb4097134ff3c332f xmlns="a3870de7-628d-4f96-ad09-9338c4ed9354">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BFBB98B-BF97-4123-9CB9-0AAB1C7593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870de7-628d-4f96-ad09-9338c4ed9354"/>
    <ds:schemaRef ds:uri="afd363e9-35fc-44f3-a206-b83cf12c84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527721-8066-4233-A47D-273DD03873F3}">
  <ds:schemaRefs>
    <ds:schemaRef ds:uri="http://schemas.microsoft.com/office/2006/metadata/properties"/>
    <ds:schemaRef ds:uri="http://schemas.microsoft.com/office/infopath/2007/PartnerControls"/>
    <ds:schemaRef ds:uri="afd363e9-35fc-44f3-a206-b83cf12c84c7"/>
    <ds:schemaRef ds:uri="a3870de7-628d-4f96-ad09-9338c4ed9354"/>
  </ds:schemaRefs>
</ds:datastoreItem>
</file>

<file path=customXml/itemProps3.xml><?xml version="1.0" encoding="utf-8"?>
<ds:datastoreItem xmlns:ds="http://schemas.openxmlformats.org/officeDocument/2006/customXml" ds:itemID="{07C3CAA9-D132-4F91-BEA9-CB96ABCDA688}">
  <ds:schemaRefs>
    <ds:schemaRef ds:uri="http://schemas.openxmlformats.org/officeDocument/2006/bibliography"/>
  </ds:schemaRefs>
</ds:datastoreItem>
</file>

<file path=customXml/itemProps4.xml><?xml version="1.0" encoding="utf-8"?>
<ds:datastoreItem xmlns:ds="http://schemas.openxmlformats.org/officeDocument/2006/customXml" ds:itemID="{F9627FBB-E8D0-4625-92C1-2D73403CE7C2}">
  <ds:schemaRefs>
    <ds:schemaRef ds:uri="http://schemas.microsoft.com/sharepoint/v3/contenttype/forms"/>
  </ds:schemaRefs>
</ds:datastoreItem>
</file>

<file path=docMetadata/LabelInfo.xml><?xml version="1.0" encoding="utf-8"?>
<clbl:labelList xmlns:clbl="http://schemas.microsoft.com/office/2020/mipLabelMetadata">
  <clbl:label id="{610a6645-df8a-461f-957a-aeb16698bd53}" enabled="1" method="Privileged" siteId="{9b7f23b3-0e83-47a5-8a40-ffa8a6fea536}" removed="0"/>
</clbl:labelList>
</file>

<file path=docProps/app.xml><?xml version="1.0" encoding="utf-8"?>
<Properties xmlns="http://schemas.openxmlformats.org/officeDocument/2006/extended-properties" xmlns:vt="http://schemas.openxmlformats.org/officeDocument/2006/docPropsVTypes">
  <Template>Normal</Template>
  <TotalTime>3</TotalTime>
  <Pages>7</Pages>
  <Words>2319</Words>
  <Characters>13224</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15512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[SEC=OFFICIAL]</cp:keywords>
  <dc:description>generated by python-docx</dc:description>
  <cp:lastModifiedBy>Dr RODRIGUES,Usha M</cp:lastModifiedBy>
  <cp:revision>4</cp:revision>
  <cp:lastPrinted>2026-06-24T02:32:00Z</cp:lastPrinted>
  <dcterms:created xsi:type="dcterms:W3CDTF">2026-06-24T01:57:00Z</dcterms:created>
  <dcterms:modified xsi:type="dcterms:W3CDTF">2026-06-24T02:32:00Z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2025-07-01T23:37:49Z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67d23ba4-f707-47ff-bfb9-9ae891444abc</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y fmtid="{D5CDD505-2E9C-101B-9397-08002B2CF9AE}" pid="10" name="ContentTypeId">
    <vt:lpwstr>0x0101007B53B5196E2F5640AA1500E82A7BF106</vt:lpwstr>
  </property>
  <property fmtid="{D5CDD505-2E9C-101B-9397-08002B2CF9AE}" pid="11" name="MediaServiceImageTags">
    <vt:lpwstr/>
  </property>
  <property fmtid="{D5CDD505-2E9C-101B-9397-08002B2CF9AE}" pid="12" name="docLang">
    <vt:lpwstr>en</vt:lpwstr>
  </property>
  <property fmtid="{D5CDD505-2E9C-101B-9397-08002B2CF9AE}" pid="13" name="PM_Caveats_Count">
    <vt:lpwstr>0</vt:lpwstr>
  </property>
  <property fmtid="{D5CDD505-2E9C-101B-9397-08002B2CF9AE}" pid="14" name="PM_Namespace">
    <vt:lpwstr>gov.au</vt:lpwstr>
  </property>
  <property fmtid="{D5CDD505-2E9C-101B-9397-08002B2CF9AE}" pid="15" name="PM_Version">
    <vt:lpwstr>2018.4</vt:lpwstr>
  </property>
  <property fmtid="{D5CDD505-2E9C-101B-9397-08002B2CF9AE}" pid="16" name="PM_Note">
    <vt:lpwstr/>
  </property>
  <property fmtid="{D5CDD505-2E9C-101B-9397-08002B2CF9AE}" pid="17" name="PM_OriginationTimeStamp">
    <vt:lpwstr>2026-03-16T07:16:17Z</vt:lpwstr>
  </property>
  <property fmtid="{D5CDD505-2E9C-101B-9397-08002B2CF9AE}" pid="18" name="PM_DownTo">
    <vt:lpwstr/>
  </property>
  <property fmtid="{D5CDD505-2E9C-101B-9397-08002B2CF9AE}" pid="19" name="PM_Markers">
    <vt:lpwstr/>
  </property>
  <property fmtid="{D5CDD505-2E9C-101B-9397-08002B2CF9AE}" pid="20" name="PM_Expires">
    <vt:lpwstr/>
  </property>
  <property fmtid="{D5CDD505-2E9C-101B-9397-08002B2CF9AE}" pid="21" name="PMHMAC">
    <vt:lpwstr>v=2022.1;a=SHA256;h=C9FD2C61BF862570FDD20A26A172477C699C0484FE2A1EBE678B4FC4C1CE08B8</vt:lpwstr>
  </property>
  <property fmtid="{D5CDD505-2E9C-101B-9397-08002B2CF9AE}" pid="22" name="PM_Qualifier">
    <vt:lpwstr/>
  </property>
  <property fmtid="{D5CDD505-2E9C-101B-9397-08002B2CF9AE}" pid="23" name="PM_SecurityClassification">
    <vt:lpwstr>OFFICIAL</vt:lpwstr>
  </property>
  <property fmtid="{D5CDD505-2E9C-101B-9397-08002B2CF9AE}" pid="24" name="PM_ProtectiveMarkingValue_Header">
    <vt:lpwstr>OFFICIAL</vt:lpwstr>
  </property>
  <property fmtid="{D5CDD505-2E9C-101B-9397-08002B2CF9AE}" pid="25" name="PM_DisplayValueSecClassificationWithQualifier">
    <vt:lpwstr>OFFICIAL</vt:lpwstr>
  </property>
  <property fmtid="{D5CDD505-2E9C-101B-9397-08002B2CF9AE}" pid="26" name="PM_InsertionValue">
    <vt:lpwstr>OFFICIAL</vt:lpwstr>
  </property>
  <property fmtid="{D5CDD505-2E9C-101B-9397-08002B2CF9AE}" pid="27" name="PM_Originator_Hash_SHA1">
    <vt:lpwstr>03B4973A84F444D85BF4DFDFCCEF8B960C64345C</vt:lpwstr>
  </property>
  <property fmtid="{D5CDD505-2E9C-101B-9397-08002B2CF9AE}" pid="28" name="PM_Originating_FileId">
    <vt:lpwstr>D29DC253B1E94100B74E3D7E9AFF011F</vt:lpwstr>
  </property>
  <property fmtid="{D5CDD505-2E9C-101B-9397-08002B2CF9AE}" pid="29" name="PM_ProtectiveMarkingValue_Footer">
    <vt:lpwstr>OFFICIAL</vt:lpwstr>
  </property>
  <property fmtid="{D5CDD505-2E9C-101B-9397-08002B2CF9AE}" pid="30" name="PM_Display">
    <vt:lpwstr>OFFICIAL</vt:lpwstr>
  </property>
  <property fmtid="{D5CDD505-2E9C-101B-9397-08002B2CF9AE}" pid="31" name="PM_OriginatorUserAccountName_SHA256">
    <vt:lpwstr>1FF93A13575417A9B031A78C40B5A33FFC54814208E7010BE7E49625E449142B</vt:lpwstr>
  </property>
  <property fmtid="{D5CDD505-2E9C-101B-9397-08002B2CF9AE}" pid="32" name="PM_OriginatorDomainName_SHA256">
    <vt:lpwstr>6F3591835F3B2A8A025B00B5BA6418010DA3A17C9C26EA9C049FFD28039489A2</vt:lpwstr>
  </property>
  <property fmtid="{D5CDD505-2E9C-101B-9397-08002B2CF9AE}" pid="33" name="PMUuid">
    <vt:lpwstr>v=2022.2;d=gov.au;g=46DD6D7C-8107-577B-BC6E-F348953B2E44</vt:lpwstr>
  </property>
  <property fmtid="{D5CDD505-2E9C-101B-9397-08002B2CF9AE}" pid="34" name="PM_Hash_Version">
    <vt:lpwstr>2022.1</vt:lpwstr>
  </property>
  <property fmtid="{D5CDD505-2E9C-101B-9397-08002B2CF9AE}" pid="35" name="PM_Hash_Salt_Prev">
    <vt:lpwstr>202B1E62EC1B02FF2293BAB04319E518</vt:lpwstr>
  </property>
  <property fmtid="{D5CDD505-2E9C-101B-9397-08002B2CF9AE}" pid="36" name="PM_Hash_Salt">
    <vt:lpwstr>CF0E6E345520F67C9474B1340E3107C5</vt:lpwstr>
  </property>
  <property fmtid="{D5CDD505-2E9C-101B-9397-08002B2CF9AE}" pid="37" name="PM_Hash_SHA1">
    <vt:lpwstr>12E1D4C8D9DBC48AE7376BCF4BA631463F97806F</vt:lpwstr>
  </property>
  <property fmtid="{D5CDD505-2E9C-101B-9397-08002B2CF9AE}" pid="38" name="PM_SecurityClassification_Prev">
    <vt:lpwstr>OFFICIAL</vt:lpwstr>
  </property>
  <property fmtid="{D5CDD505-2E9C-101B-9397-08002B2CF9AE}" pid="39" name="PM_Qualifier_Prev">
    <vt:lpwstr/>
  </property>
</Properties>
</file>