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2A695" w14:textId="7D744382" w:rsidR="00B003E6" w:rsidRPr="00076A36" w:rsidRDefault="00D9348B" w:rsidP="008038B4">
      <w:r w:rsidRPr="00076A36">
        <w:rPr>
          <w:noProof/>
          <w:lang w:eastAsia="en-AU"/>
        </w:rPr>
        <w:drawing>
          <wp:anchor distT="0" distB="0" distL="114300" distR="114300" simplePos="0" relativeHeight="251658240" behindDoc="1" locked="0" layoutInCell="1" allowOverlap="1" wp14:anchorId="72FE1119" wp14:editId="5ACCCA28">
            <wp:simplePos x="0" y="0"/>
            <wp:positionH relativeFrom="margin">
              <wp:align>center</wp:align>
            </wp:positionH>
            <wp:positionV relativeFrom="paragraph">
              <wp:posOffset>579838</wp:posOffset>
            </wp:positionV>
            <wp:extent cx="2465705" cy="1371600"/>
            <wp:effectExtent l="0" t="0" r="0" b="0"/>
            <wp:wrapTight wrapText="bothSides">
              <wp:wrapPolygon edited="0">
                <wp:start x="0" y="0"/>
                <wp:lineTo x="0" y="21300"/>
                <wp:lineTo x="21361" y="21300"/>
                <wp:lineTo x="21361" y="0"/>
                <wp:lineTo x="0" y="0"/>
              </wp:wrapPolygon>
            </wp:wrapTight>
            <wp:docPr id="206968316" name="Picture 2" descr="Australian Government Crest">
              <a:extLst xmlns:a="http://schemas.openxmlformats.org/drawingml/2006/main">
                <a:ext uri="{FF2B5EF4-FFF2-40B4-BE49-F238E27FC236}">
                  <a16:creationId xmlns:a16="http://schemas.microsoft.com/office/drawing/2014/main" id="{7A7A1FE3-8EAA-414C-AF04-B0C29C5EF2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ustralian Government Cres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anchor>
        </w:drawing>
      </w:r>
    </w:p>
    <w:p w14:paraId="779266D3" w14:textId="77777777" w:rsidR="00D9348B" w:rsidRPr="00076A36" w:rsidRDefault="00D9348B" w:rsidP="008038B4"/>
    <w:p w14:paraId="28260131" w14:textId="77777777" w:rsidR="00D9348B" w:rsidRPr="00076A36" w:rsidRDefault="00D9348B" w:rsidP="008038B4"/>
    <w:p w14:paraId="406408A5" w14:textId="77777777" w:rsidR="00D9348B" w:rsidRPr="00076A36" w:rsidRDefault="00D9348B" w:rsidP="008038B4"/>
    <w:p w14:paraId="6A522DA1" w14:textId="77777777" w:rsidR="00D9348B" w:rsidRPr="00076A36" w:rsidRDefault="00D9348B" w:rsidP="008038B4"/>
    <w:p w14:paraId="324AB6AC" w14:textId="77777777" w:rsidR="00D9348B" w:rsidRPr="00076A36" w:rsidRDefault="00D9348B" w:rsidP="008038B4"/>
    <w:p w14:paraId="232D44B9" w14:textId="77777777" w:rsidR="00D9348B" w:rsidRPr="00076A36" w:rsidRDefault="00D9348B" w:rsidP="008038B4"/>
    <w:p w14:paraId="40FE0FD4" w14:textId="77777777" w:rsidR="00D9348B" w:rsidRPr="00076A36" w:rsidRDefault="00D9348B" w:rsidP="008038B4"/>
    <w:p w14:paraId="568C4FFE" w14:textId="77777777" w:rsidR="00B3352D" w:rsidRPr="006F0770" w:rsidRDefault="00B3352D" w:rsidP="00B603AF">
      <w:pPr>
        <w:jc w:val="center"/>
        <w:rPr>
          <w:rFonts w:ascii="Arial" w:hAnsi="Arial" w:cs="Arial"/>
          <w:sz w:val="36"/>
          <w:szCs w:val="36"/>
        </w:rPr>
      </w:pPr>
    </w:p>
    <w:p w14:paraId="7C7D7B96" w14:textId="77777777" w:rsidR="005F62E2" w:rsidRPr="006F0770" w:rsidRDefault="005F62E2" w:rsidP="00B603AF">
      <w:pPr>
        <w:jc w:val="center"/>
        <w:rPr>
          <w:rFonts w:ascii="Arial" w:hAnsi="Arial" w:cs="Arial"/>
          <w:sz w:val="36"/>
          <w:szCs w:val="36"/>
        </w:rPr>
      </w:pPr>
    </w:p>
    <w:p w14:paraId="2CA8C6E4" w14:textId="0C2D2432" w:rsidR="00D9348B" w:rsidRPr="006F0770" w:rsidRDefault="007D2FC8" w:rsidP="00A86029">
      <w:pPr>
        <w:jc w:val="center"/>
        <w:rPr>
          <w:rFonts w:ascii="Arial" w:hAnsi="Arial" w:cs="Arial"/>
          <w:sz w:val="36"/>
          <w:szCs w:val="36"/>
        </w:rPr>
      </w:pPr>
      <w:r w:rsidRPr="006F0770">
        <w:rPr>
          <w:rFonts w:ascii="Arial" w:hAnsi="Arial" w:cs="Arial"/>
          <w:sz w:val="36"/>
          <w:szCs w:val="36"/>
        </w:rPr>
        <w:t>Government</w:t>
      </w:r>
      <w:r w:rsidR="00B603AF" w:rsidRPr="006F0770">
        <w:rPr>
          <w:rFonts w:ascii="Arial" w:hAnsi="Arial" w:cs="Arial"/>
          <w:sz w:val="36"/>
          <w:szCs w:val="36"/>
        </w:rPr>
        <w:t xml:space="preserve"> </w:t>
      </w:r>
      <w:r w:rsidR="00D9348B" w:rsidRPr="006F0770">
        <w:rPr>
          <w:rFonts w:ascii="Arial" w:hAnsi="Arial" w:cs="Arial"/>
          <w:sz w:val="36"/>
          <w:szCs w:val="36"/>
        </w:rPr>
        <w:t>response to the</w:t>
      </w:r>
      <w:r w:rsidR="00A86029" w:rsidRPr="006F0770">
        <w:rPr>
          <w:rFonts w:ascii="Arial" w:hAnsi="Arial" w:cs="Arial"/>
          <w:sz w:val="36"/>
          <w:szCs w:val="36"/>
        </w:rPr>
        <w:t xml:space="preserve"> </w:t>
      </w:r>
      <w:r w:rsidR="00D9348B" w:rsidRPr="006F0770">
        <w:rPr>
          <w:rFonts w:ascii="Arial" w:hAnsi="Arial" w:cs="Arial"/>
          <w:sz w:val="36"/>
          <w:szCs w:val="36"/>
        </w:rPr>
        <w:t>Senate Education and Employment Committee report</w:t>
      </w:r>
      <w:r w:rsidR="00A86029" w:rsidRPr="006F0770">
        <w:rPr>
          <w:rFonts w:ascii="Arial" w:hAnsi="Arial" w:cs="Arial"/>
          <w:sz w:val="36"/>
          <w:szCs w:val="36"/>
        </w:rPr>
        <w:t>s into the q</w:t>
      </w:r>
      <w:r w:rsidR="00D9348B" w:rsidRPr="006F0770">
        <w:rPr>
          <w:rFonts w:ascii="Arial" w:hAnsi="Arial" w:cs="Arial"/>
          <w:sz w:val="36"/>
          <w:szCs w:val="36"/>
        </w:rPr>
        <w:t>uality of governance at Australian higher education providers</w:t>
      </w:r>
    </w:p>
    <w:p w14:paraId="7669BE85" w14:textId="77777777" w:rsidR="00D9348B" w:rsidRPr="006F0770" w:rsidRDefault="00D9348B" w:rsidP="008038B4">
      <w:pPr>
        <w:rPr>
          <w:rFonts w:ascii="Arial" w:hAnsi="Arial" w:cs="Arial"/>
        </w:rPr>
      </w:pPr>
    </w:p>
    <w:p w14:paraId="221CADA7" w14:textId="77777777" w:rsidR="00D9348B" w:rsidRPr="006F0770" w:rsidRDefault="00D9348B" w:rsidP="008038B4">
      <w:pPr>
        <w:rPr>
          <w:rFonts w:ascii="Arial" w:hAnsi="Arial" w:cs="Arial"/>
        </w:rPr>
      </w:pPr>
    </w:p>
    <w:p w14:paraId="36FB5D75" w14:textId="77777777" w:rsidR="00124EBB" w:rsidRPr="006F0770" w:rsidRDefault="00124EBB" w:rsidP="008038B4">
      <w:pPr>
        <w:rPr>
          <w:rFonts w:ascii="Arial" w:hAnsi="Arial" w:cs="Arial"/>
        </w:rPr>
      </w:pPr>
    </w:p>
    <w:p w14:paraId="3784F8D1" w14:textId="77777777" w:rsidR="00124EBB" w:rsidRPr="006F0770" w:rsidRDefault="00124EBB" w:rsidP="008038B4">
      <w:pPr>
        <w:rPr>
          <w:rFonts w:ascii="Arial" w:hAnsi="Arial" w:cs="Arial"/>
        </w:rPr>
      </w:pPr>
    </w:p>
    <w:p w14:paraId="6C613181" w14:textId="77777777" w:rsidR="00124EBB" w:rsidRPr="006F0770" w:rsidRDefault="00124EBB" w:rsidP="008038B4">
      <w:pPr>
        <w:rPr>
          <w:rFonts w:ascii="Arial" w:hAnsi="Arial" w:cs="Arial"/>
        </w:rPr>
      </w:pPr>
    </w:p>
    <w:p w14:paraId="398F082A" w14:textId="77777777" w:rsidR="00124EBB" w:rsidRPr="00076A36" w:rsidRDefault="00124EBB" w:rsidP="008038B4"/>
    <w:p w14:paraId="7ADB2839" w14:textId="77777777" w:rsidR="00124EBB" w:rsidRPr="00076A36" w:rsidRDefault="00124EBB" w:rsidP="008038B4"/>
    <w:p w14:paraId="0C6E1771" w14:textId="77777777" w:rsidR="00124EBB" w:rsidRPr="00076A36" w:rsidRDefault="00124EBB" w:rsidP="008038B4"/>
    <w:p w14:paraId="0F13C1EE" w14:textId="77777777" w:rsidR="00124EBB" w:rsidRPr="00076A36" w:rsidRDefault="00124EBB" w:rsidP="008038B4"/>
    <w:p w14:paraId="17C07622" w14:textId="77777777" w:rsidR="00124EBB" w:rsidRPr="00076A36" w:rsidRDefault="00124EBB" w:rsidP="008038B4"/>
    <w:p w14:paraId="5EC31BDF" w14:textId="77777777" w:rsidR="00124EBB" w:rsidRPr="00076A36" w:rsidRDefault="00124EBB" w:rsidP="008038B4"/>
    <w:p w14:paraId="736F3E9E" w14:textId="77777777" w:rsidR="00124EBB" w:rsidRPr="00076A36" w:rsidRDefault="00124EBB" w:rsidP="008038B4"/>
    <w:p w14:paraId="6E92E912" w14:textId="77777777" w:rsidR="00124EBB" w:rsidRPr="00076A36" w:rsidRDefault="00124EBB" w:rsidP="008038B4"/>
    <w:p w14:paraId="5DD5BD53" w14:textId="77777777" w:rsidR="00124EBB" w:rsidRPr="00076A36" w:rsidRDefault="00124EBB" w:rsidP="008038B4"/>
    <w:p w14:paraId="3313CF1B" w14:textId="77777777" w:rsidR="00124EBB" w:rsidRPr="00076A36" w:rsidRDefault="00124EBB" w:rsidP="008038B4"/>
    <w:p w14:paraId="1DDB27A7" w14:textId="77777777" w:rsidR="00124EBB" w:rsidRPr="00076A36" w:rsidRDefault="00124EBB" w:rsidP="008038B4"/>
    <w:p w14:paraId="67900A7D" w14:textId="77777777" w:rsidR="00124EBB" w:rsidRPr="00076A36" w:rsidRDefault="00124EBB" w:rsidP="008038B4"/>
    <w:p w14:paraId="775C638C" w14:textId="77777777" w:rsidR="00124EBB" w:rsidRPr="00076A36" w:rsidRDefault="00124EBB" w:rsidP="008038B4"/>
    <w:p w14:paraId="5597DC11" w14:textId="77777777" w:rsidR="009A4A63" w:rsidRDefault="009A4A63" w:rsidP="005F62E2">
      <w:pPr>
        <w:jc w:val="right"/>
        <w:rPr>
          <w:sz w:val="24"/>
          <w:szCs w:val="24"/>
        </w:rPr>
      </w:pPr>
    </w:p>
    <w:p w14:paraId="31B2CF9F" w14:textId="77777777" w:rsidR="009A4A63" w:rsidRDefault="009A4A63" w:rsidP="005F62E2">
      <w:pPr>
        <w:jc w:val="right"/>
        <w:rPr>
          <w:sz w:val="24"/>
          <w:szCs w:val="24"/>
        </w:rPr>
      </w:pPr>
    </w:p>
    <w:p w14:paraId="616AD07B" w14:textId="77777777" w:rsidR="009A4A63" w:rsidRDefault="009A4A63" w:rsidP="005F62E2">
      <w:pPr>
        <w:jc w:val="right"/>
        <w:rPr>
          <w:sz w:val="24"/>
          <w:szCs w:val="24"/>
        </w:rPr>
      </w:pPr>
    </w:p>
    <w:p w14:paraId="24236429" w14:textId="41B10951" w:rsidR="00076A36" w:rsidRPr="006F0770" w:rsidRDefault="007D571A" w:rsidP="005F62E2">
      <w:pPr>
        <w:jc w:val="right"/>
        <w:rPr>
          <w:rFonts w:ascii="Arial" w:hAnsi="Arial" w:cs="Arial"/>
          <w:sz w:val="24"/>
          <w:szCs w:val="24"/>
        </w:rPr>
      </w:pPr>
      <w:r w:rsidRPr="006F0770">
        <w:rPr>
          <w:rFonts w:ascii="Arial" w:hAnsi="Arial" w:cs="Arial"/>
          <w:sz w:val="24"/>
          <w:szCs w:val="24"/>
        </w:rPr>
        <w:t xml:space="preserve">May </w:t>
      </w:r>
      <w:r w:rsidR="00D9348B" w:rsidRPr="006F0770">
        <w:rPr>
          <w:rFonts w:ascii="Arial" w:hAnsi="Arial" w:cs="Arial"/>
          <w:sz w:val="24"/>
          <w:szCs w:val="24"/>
        </w:rPr>
        <w:t>202</w:t>
      </w:r>
      <w:r w:rsidR="00C97780" w:rsidRPr="006F0770">
        <w:rPr>
          <w:rFonts w:ascii="Arial" w:hAnsi="Arial" w:cs="Arial"/>
          <w:sz w:val="24"/>
          <w:szCs w:val="24"/>
        </w:rPr>
        <w:t>6</w:t>
      </w:r>
      <w:r w:rsidR="00076A36" w:rsidRPr="006F0770">
        <w:rPr>
          <w:rFonts w:ascii="Arial" w:hAnsi="Arial" w:cs="Arial"/>
          <w:sz w:val="24"/>
          <w:szCs w:val="24"/>
        </w:rPr>
        <w:br w:type="page"/>
      </w:r>
    </w:p>
    <w:p w14:paraId="48BE4698" w14:textId="54643A74" w:rsidR="00D9348B" w:rsidRPr="00AC7BA7" w:rsidRDefault="00D9348B" w:rsidP="00FF1B62">
      <w:pPr>
        <w:pStyle w:val="Heading1"/>
      </w:pPr>
      <w:r w:rsidRPr="00AC7BA7">
        <w:lastRenderedPageBreak/>
        <w:t>Overview</w:t>
      </w:r>
    </w:p>
    <w:p w14:paraId="26576FB5" w14:textId="777471CD" w:rsidR="00174799" w:rsidRDefault="00A34AB0" w:rsidP="00F3577F">
      <w:pPr>
        <w:spacing w:before="0" w:after="0" w:line="300" w:lineRule="auto"/>
        <w:rPr>
          <w:rFonts w:ascii="Arial" w:hAnsi="Arial" w:cs="Arial"/>
          <w:sz w:val="24"/>
          <w:szCs w:val="24"/>
        </w:rPr>
      </w:pPr>
      <w:r w:rsidRPr="007E3A25">
        <w:rPr>
          <w:rFonts w:ascii="Arial" w:hAnsi="Arial" w:cs="Arial"/>
          <w:sz w:val="24"/>
          <w:szCs w:val="24"/>
        </w:rPr>
        <w:t xml:space="preserve">The Australian </w:t>
      </w:r>
      <w:r w:rsidR="007D2FC8" w:rsidRPr="007E3A25">
        <w:rPr>
          <w:rFonts w:ascii="Arial" w:hAnsi="Arial" w:cs="Arial"/>
          <w:sz w:val="24"/>
          <w:szCs w:val="24"/>
        </w:rPr>
        <w:t>Government</w:t>
      </w:r>
      <w:r w:rsidRPr="007E3A25">
        <w:rPr>
          <w:rFonts w:ascii="Arial" w:hAnsi="Arial" w:cs="Arial"/>
          <w:sz w:val="24"/>
          <w:szCs w:val="24"/>
        </w:rPr>
        <w:t xml:space="preserve"> (the Government)</w:t>
      </w:r>
      <w:r w:rsidR="00174799" w:rsidRPr="007E3A25">
        <w:rPr>
          <w:rFonts w:ascii="Arial" w:hAnsi="Arial" w:cs="Arial"/>
          <w:sz w:val="24"/>
          <w:szCs w:val="24"/>
        </w:rPr>
        <w:t xml:space="preserve"> thanks the Senate Education and Employment Committee (</w:t>
      </w:r>
      <w:r w:rsidR="0092299C">
        <w:rPr>
          <w:rFonts w:ascii="Arial" w:hAnsi="Arial" w:cs="Arial"/>
          <w:sz w:val="24"/>
          <w:szCs w:val="24"/>
        </w:rPr>
        <w:t xml:space="preserve">the </w:t>
      </w:r>
      <w:r w:rsidR="00174799" w:rsidRPr="007E3A25">
        <w:rPr>
          <w:rFonts w:ascii="Arial" w:hAnsi="Arial" w:cs="Arial"/>
          <w:sz w:val="24"/>
          <w:szCs w:val="24"/>
        </w:rPr>
        <w:t xml:space="preserve">Committee) for its inquiry into the quality of governance at Australian higher education providers and acknowledges the contributions </w:t>
      </w:r>
      <w:r w:rsidR="00B16DBF">
        <w:rPr>
          <w:rFonts w:ascii="Arial" w:hAnsi="Arial" w:cs="Arial"/>
          <w:sz w:val="24"/>
          <w:szCs w:val="24"/>
        </w:rPr>
        <w:t xml:space="preserve">to this </w:t>
      </w:r>
      <w:r w:rsidR="00174799" w:rsidRPr="007E3A25">
        <w:rPr>
          <w:rFonts w:ascii="Arial" w:hAnsi="Arial" w:cs="Arial"/>
          <w:sz w:val="24"/>
          <w:szCs w:val="24"/>
        </w:rPr>
        <w:t>of staff, students, the sector</w:t>
      </w:r>
      <w:r w:rsidR="0092299C">
        <w:rPr>
          <w:rFonts w:ascii="Arial" w:hAnsi="Arial" w:cs="Arial"/>
          <w:sz w:val="24"/>
          <w:szCs w:val="24"/>
        </w:rPr>
        <w:t xml:space="preserve">, </w:t>
      </w:r>
      <w:r w:rsidR="00174799" w:rsidRPr="007E3A25">
        <w:rPr>
          <w:rFonts w:ascii="Arial" w:hAnsi="Arial" w:cs="Arial"/>
          <w:sz w:val="24"/>
          <w:szCs w:val="24"/>
        </w:rPr>
        <w:t>communit</w:t>
      </w:r>
      <w:r w:rsidR="0092299C">
        <w:rPr>
          <w:rFonts w:ascii="Arial" w:hAnsi="Arial" w:cs="Arial"/>
          <w:sz w:val="24"/>
          <w:szCs w:val="24"/>
        </w:rPr>
        <w:t>ies and other</w:t>
      </w:r>
      <w:r w:rsidR="00174799" w:rsidRPr="007E3A25">
        <w:rPr>
          <w:rFonts w:ascii="Arial" w:hAnsi="Arial" w:cs="Arial"/>
          <w:sz w:val="24"/>
          <w:szCs w:val="24"/>
        </w:rPr>
        <w:t xml:space="preserve"> stakeholders.</w:t>
      </w:r>
    </w:p>
    <w:p w14:paraId="4569268F" w14:textId="77777777" w:rsidR="00F3577F" w:rsidRPr="007E3A25" w:rsidRDefault="00F3577F" w:rsidP="007E3A25">
      <w:pPr>
        <w:spacing w:before="0" w:after="0" w:line="300" w:lineRule="auto"/>
        <w:rPr>
          <w:rFonts w:ascii="Arial" w:hAnsi="Arial" w:cs="Arial"/>
          <w:sz w:val="24"/>
          <w:szCs w:val="24"/>
        </w:rPr>
      </w:pPr>
    </w:p>
    <w:p w14:paraId="42A7C8A5" w14:textId="02F7B482" w:rsidR="00F3577F" w:rsidRDefault="00027B73" w:rsidP="00F3577F">
      <w:pPr>
        <w:spacing w:before="0" w:after="0" w:line="300" w:lineRule="auto"/>
        <w:rPr>
          <w:rFonts w:ascii="Arial" w:hAnsi="Arial" w:cs="Arial"/>
          <w:sz w:val="24"/>
          <w:szCs w:val="24"/>
        </w:rPr>
      </w:pPr>
      <w:r w:rsidRPr="007E3A25">
        <w:rPr>
          <w:rFonts w:ascii="Arial" w:hAnsi="Arial" w:cs="Arial"/>
          <w:sz w:val="24"/>
          <w:szCs w:val="24"/>
        </w:rPr>
        <w:t xml:space="preserve">Australian universities receive </w:t>
      </w:r>
      <w:r w:rsidR="00EB4A9B" w:rsidRPr="007E3A25">
        <w:rPr>
          <w:rFonts w:ascii="Arial" w:hAnsi="Arial" w:cs="Arial"/>
          <w:sz w:val="24"/>
          <w:szCs w:val="24"/>
        </w:rPr>
        <w:t>more than</w:t>
      </w:r>
      <w:r w:rsidRPr="007E3A25">
        <w:rPr>
          <w:rFonts w:ascii="Arial" w:hAnsi="Arial" w:cs="Arial"/>
          <w:sz w:val="24"/>
          <w:szCs w:val="24"/>
        </w:rPr>
        <w:t xml:space="preserve"> $22 billion in public funding each year and play a central role in Australia’s civic, economic and social life through education and research.</w:t>
      </w:r>
      <w:r w:rsidR="00F3577F" w:rsidRPr="007E3A25">
        <w:rPr>
          <w:rFonts w:ascii="Arial" w:hAnsi="Arial" w:cs="Arial"/>
          <w:sz w:val="24"/>
          <w:szCs w:val="24"/>
        </w:rPr>
        <w:t xml:space="preserve"> </w:t>
      </w:r>
      <w:r w:rsidR="00174799" w:rsidRPr="007E3A25">
        <w:rPr>
          <w:rFonts w:ascii="Arial" w:hAnsi="Arial" w:cs="Arial"/>
          <w:sz w:val="24"/>
          <w:szCs w:val="24"/>
        </w:rPr>
        <w:t xml:space="preserve">As public institutions, universities </w:t>
      </w:r>
      <w:r w:rsidR="004E7E89" w:rsidRPr="007E3A25">
        <w:rPr>
          <w:rFonts w:ascii="Arial" w:hAnsi="Arial" w:cs="Arial"/>
          <w:sz w:val="24"/>
          <w:szCs w:val="24"/>
        </w:rPr>
        <w:t xml:space="preserve">should be </w:t>
      </w:r>
      <w:r w:rsidR="00174799" w:rsidRPr="007E3A25">
        <w:rPr>
          <w:rFonts w:ascii="Arial" w:hAnsi="Arial" w:cs="Arial"/>
          <w:sz w:val="24"/>
          <w:szCs w:val="24"/>
        </w:rPr>
        <w:t xml:space="preserve">held to </w:t>
      </w:r>
      <w:r w:rsidR="00EB4A9B" w:rsidRPr="007E3A25">
        <w:rPr>
          <w:rFonts w:ascii="Arial" w:hAnsi="Arial" w:cs="Arial"/>
          <w:sz w:val="24"/>
          <w:szCs w:val="24"/>
        </w:rPr>
        <w:t>high standards of governance, integrity and accountability.</w:t>
      </w:r>
      <w:r w:rsidR="00174799" w:rsidRPr="007E3A25">
        <w:rPr>
          <w:rFonts w:ascii="Arial" w:hAnsi="Arial" w:cs="Arial"/>
          <w:sz w:val="24"/>
          <w:szCs w:val="24"/>
        </w:rPr>
        <w:t xml:space="preserve"> </w:t>
      </w:r>
    </w:p>
    <w:p w14:paraId="3CDC4C04" w14:textId="77777777" w:rsidR="007B4AB6" w:rsidRDefault="007B4AB6" w:rsidP="00F3577F">
      <w:pPr>
        <w:spacing w:before="0" w:after="0" w:line="300" w:lineRule="auto"/>
        <w:rPr>
          <w:rFonts w:ascii="Arial" w:hAnsi="Arial" w:cs="Arial"/>
          <w:sz w:val="24"/>
          <w:szCs w:val="24"/>
        </w:rPr>
      </w:pPr>
    </w:p>
    <w:p w14:paraId="4734BDF5" w14:textId="7BCEABF5" w:rsidR="00EB4A9B" w:rsidRDefault="00174799" w:rsidP="00F3577F">
      <w:pPr>
        <w:spacing w:before="0" w:after="0" w:line="300" w:lineRule="auto"/>
        <w:rPr>
          <w:rFonts w:ascii="Arial" w:hAnsi="Arial" w:cs="Arial"/>
          <w:sz w:val="24"/>
          <w:szCs w:val="24"/>
        </w:rPr>
      </w:pPr>
      <w:r w:rsidRPr="007E3A25">
        <w:rPr>
          <w:rFonts w:ascii="Arial" w:hAnsi="Arial" w:cs="Arial"/>
          <w:sz w:val="24"/>
          <w:szCs w:val="24"/>
        </w:rPr>
        <w:t xml:space="preserve">The interim and final reports of the Committee </w:t>
      </w:r>
      <w:r w:rsidR="00F8511D" w:rsidRPr="007E3A25">
        <w:rPr>
          <w:rFonts w:ascii="Arial" w:hAnsi="Arial" w:cs="Arial"/>
          <w:sz w:val="24"/>
          <w:szCs w:val="24"/>
        </w:rPr>
        <w:t>highlight</w:t>
      </w:r>
      <w:r w:rsidR="00146B97" w:rsidRPr="007E3A25">
        <w:rPr>
          <w:rFonts w:ascii="Arial" w:hAnsi="Arial" w:cs="Arial"/>
          <w:sz w:val="24"/>
          <w:szCs w:val="24"/>
        </w:rPr>
        <w:t xml:space="preserve"> </w:t>
      </w:r>
      <w:r w:rsidR="00EB4A9B" w:rsidRPr="007E3A25">
        <w:rPr>
          <w:rFonts w:ascii="Arial" w:hAnsi="Arial" w:cs="Arial"/>
          <w:sz w:val="24"/>
          <w:szCs w:val="24"/>
        </w:rPr>
        <w:t>serious and troubling challenges across parts of the sector that have undermined trust, performance and universities’ social licence.</w:t>
      </w:r>
    </w:p>
    <w:p w14:paraId="0BE5E422" w14:textId="77777777" w:rsidR="00F3577F" w:rsidRPr="007E3A25" w:rsidRDefault="00F3577F" w:rsidP="007E3A25">
      <w:pPr>
        <w:spacing w:before="0" w:after="0" w:line="300" w:lineRule="auto"/>
        <w:rPr>
          <w:rFonts w:ascii="Arial" w:hAnsi="Arial" w:cs="Arial"/>
          <w:sz w:val="24"/>
          <w:szCs w:val="24"/>
        </w:rPr>
      </w:pPr>
    </w:p>
    <w:p w14:paraId="2D96E661" w14:textId="3CF0165C" w:rsidR="00174799" w:rsidRDefault="00174799" w:rsidP="00F3577F">
      <w:pPr>
        <w:spacing w:before="0" w:after="0" w:line="300" w:lineRule="auto"/>
        <w:rPr>
          <w:rFonts w:ascii="Arial" w:hAnsi="Arial" w:cs="Arial"/>
          <w:sz w:val="24"/>
          <w:szCs w:val="24"/>
        </w:rPr>
      </w:pPr>
      <w:r w:rsidRPr="007E3A25">
        <w:rPr>
          <w:rFonts w:ascii="Arial" w:hAnsi="Arial" w:cs="Arial"/>
          <w:sz w:val="24"/>
          <w:szCs w:val="24"/>
        </w:rPr>
        <w:t xml:space="preserve">The Government is </w:t>
      </w:r>
      <w:r w:rsidR="00EB4A9B" w:rsidRPr="007E3A25">
        <w:rPr>
          <w:rFonts w:ascii="Arial" w:hAnsi="Arial" w:cs="Arial"/>
          <w:sz w:val="24"/>
          <w:szCs w:val="24"/>
        </w:rPr>
        <w:t>taking decisive action</w:t>
      </w:r>
      <w:r w:rsidRPr="007E3A25">
        <w:rPr>
          <w:rFonts w:ascii="Arial" w:hAnsi="Arial" w:cs="Arial"/>
          <w:sz w:val="24"/>
          <w:szCs w:val="24"/>
        </w:rPr>
        <w:t xml:space="preserve"> to address these issues through regulatory reform, strengthen</w:t>
      </w:r>
      <w:r w:rsidR="00E046A2" w:rsidRPr="007E3A25">
        <w:rPr>
          <w:rFonts w:ascii="Arial" w:hAnsi="Arial" w:cs="Arial"/>
          <w:sz w:val="24"/>
          <w:szCs w:val="24"/>
        </w:rPr>
        <w:t>ing</w:t>
      </w:r>
      <w:r w:rsidRPr="007E3A25">
        <w:rPr>
          <w:rFonts w:ascii="Arial" w:hAnsi="Arial" w:cs="Arial"/>
          <w:sz w:val="24"/>
          <w:szCs w:val="24"/>
        </w:rPr>
        <w:t xml:space="preserve"> </w:t>
      </w:r>
      <w:r w:rsidR="00E046A2" w:rsidRPr="007E3A25">
        <w:rPr>
          <w:rFonts w:ascii="Arial" w:hAnsi="Arial" w:cs="Arial"/>
          <w:sz w:val="24"/>
          <w:szCs w:val="24"/>
        </w:rPr>
        <w:t xml:space="preserve">transparency and </w:t>
      </w:r>
      <w:r w:rsidRPr="007E3A25">
        <w:rPr>
          <w:rFonts w:ascii="Arial" w:hAnsi="Arial" w:cs="Arial"/>
          <w:sz w:val="24"/>
          <w:szCs w:val="24"/>
        </w:rPr>
        <w:t xml:space="preserve">accountability and </w:t>
      </w:r>
      <w:r w:rsidR="00E046A2" w:rsidRPr="007E3A25">
        <w:rPr>
          <w:rFonts w:ascii="Arial" w:hAnsi="Arial" w:cs="Arial"/>
          <w:sz w:val="24"/>
          <w:szCs w:val="24"/>
        </w:rPr>
        <w:t xml:space="preserve">setting </w:t>
      </w:r>
      <w:r w:rsidRPr="007E3A25">
        <w:rPr>
          <w:rFonts w:ascii="Arial" w:hAnsi="Arial" w:cs="Arial"/>
          <w:sz w:val="24"/>
          <w:szCs w:val="24"/>
        </w:rPr>
        <w:t>clearer expectations of university governing bodies.</w:t>
      </w:r>
    </w:p>
    <w:p w14:paraId="54C97C60" w14:textId="77777777" w:rsidR="00F3577F" w:rsidRPr="007E3A25" w:rsidRDefault="00F3577F" w:rsidP="007E3A25">
      <w:pPr>
        <w:spacing w:before="0" w:after="0" w:line="300" w:lineRule="auto"/>
        <w:rPr>
          <w:rFonts w:ascii="Arial" w:hAnsi="Arial" w:cs="Arial"/>
          <w:sz w:val="24"/>
          <w:szCs w:val="24"/>
        </w:rPr>
      </w:pPr>
    </w:p>
    <w:p w14:paraId="7A822A60" w14:textId="3EA271E2" w:rsidR="00F3577F" w:rsidRPr="007E3A25" w:rsidRDefault="00DD38C4" w:rsidP="007E3A25">
      <w:pPr>
        <w:spacing w:before="0" w:after="0" w:line="300" w:lineRule="auto"/>
        <w:rPr>
          <w:rFonts w:ascii="Arial" w:hAnsi="Arial" w:cs="Arial"/>
          <w:sz w:val="24"/>
          <w:szCs w:val="24"/>
        </w:rPr>
      </w:pPr>
      <w:r w:rsidRPr="007E3A25">
        <w:rPr>
          <w:rFonts w:ascii="Arial" w:hAnsi="Arial" w:cs="Arial"/>
          <w:sz w:val="24"/>
          <w:szCs w:val="24"/>
        </w:rPr>
        <w:t>Th</w:t>
      </w:r>
      <w:r w:rsidR="00B16DBF">
        <w:rPr>
          <w:rFonts w:ascii="Arial" w:hAnsi="Arial" w:cs="Arial"/>
          <w:sz w:val="24"/>
          <w:szCs w:val="24"/>
        </w:rPr>
        <w:t>is</w:t>
      </w:r>
      <w:r w:rsidRPr="007E3A25">
        <w:rPr>
          <w:rFonts w:ascii="Arial" w:hAnsi="Arial" w:cs="Arial"/>
          <w:sz w:val="24"/>
          <w:szCs w:val="24"/>
        </w:rPr>
        <w:t xml:space="preserve"> Government response </w:t>
      </w:r>
      <w:r w:rsidR="00F3577F" w:rsidRPr="007E3A25">
        <w:rPr>
          <w:rFonts w:ascii="Arial" w:hAnsi="Arial" w:cs="Arial"/>
          <w:sz w:val="24"/>
          <w:szCs w:val="24"/>
        </w:rPr>
        <w:t>addresses the</w:t>
      </w:r>
      <w:r w:rsidRPr="007E3A25">
        <w:rPr>
          <w:rFonts w:ascii="Arial" w:hAnsi="Arial" w:cs="Arial"/>
          <w:sz w:val="24"/>
          <w:szCs w:val="24"/>
        </w:rPr>
        <w:t xml:space="preserve"> Committee</w:t>
      </w:r>
      <w:r w:rsidR="00EB4A9B" w:rsidRPr="007E3A25">
        <w:rPr>
          <w:rFonts w:ascii="Arial" w:hAnsi="Arial" w:cs="Arial"/>
          <w:sz w:val="24"/>
          <w:szCs w:val="24"/>
        </w:rPr>
        <w:t xml:space="preserve">’s </w:t>
      </w:r>
      <w:r w:rsidRPr="007E3A25">
        <w:rPr>
          <w:rFonts w:ascii="Arial" w:hAnsi="Arial" w:cs="Arial"/>
          <w:sz w:val="24"/>
          <w:szCs w:val="24"/>
        </w:rPr>
        <w:t xml:space="preserve">interim report </w:t>
      </w:r>
      <w:r w:rsidR="00F3577F" w:rsidRPr="007E3A25">
        <w:rPr>
          <w:rFonts w:ascii="Arial" w:hAnsi="Arial" w:cs="Arial"/>
          <w:sz w:val="24"/>
          <w:szCs w:val="24"/>
        </w:rPr>
        <w:t xml:space="preserve">published </w:t>
      </w:r>
      <w:r w:rsidRPr="007E3A25">
        <w:rPr>
          <w:rFonts w:ascii="Arial" w:hAnsi="Arial" w:cs="Arial"/>
          <w:sz w:val="24"/>
          <w:szCs w:val="24"/>
        </w:rPr>
        <w:t>on 19</w:t>
      </w:r>
      <w:r w:rsidR="00F3577F" w:rsidRPr="007E3A25">
        <w:rPr>
          <w:rFonts w:ascii="Arial" w:hAnsi="Arial" w:cs="Arial"/>
          <w:sz w:val="24"/>
          <w:szCs w:val="24"/>
        </w:rPr>
        <w:t> </w:t>
      </w:r>
      <w:r w:rsidRPr="007E3A25">
        <w:rPr>
          <w:rFonts w:ascii="Arial" w:hAnsi="Arial" w:cs="Arial"/>
          <w:sz w:val="24"/>
          <w:szCs w:val="24"/>
        </w:rPr>
        <w:t xml:space="preserve">September 2025 and final report </w:t>
      </w:r>
      <w:r w:rsidR="00F3577F" w:rsidRPr="007E3A25">
        <w:rPr>
          <w:rFonts w:ascii="Arial" w:hAnsi="Arial" w:cs="Arial"/>
          <w:sz w:val="24"/>
          <w:szCs w:val="24"/>
        </w:rPr>
        <w:t xml:space="preserve">published on </w:t>
      </w:r>
      <w:r w:rsidRPr="007E3A25">
        <w:rPr>
          <w:rFonts w:ascii="Arial" w:hAnsi="Arial" w:cs="Arial"/>
          <w:sz w:val="24"/>
          <w:szCs w:val="24"/>
        </w:rPr>
        <w:t>11 December 2025</w:t>
      </w:r>
      <w:r w:rsidR="00F3577F" w:rsidRPr="007E3A25">
        <w:rPr>
          <w:rFonts w:ascii="Arial" w:hAnsi="Arial" w:cs="Arial"/>
          <w:sz w:val="24"/>
          <w:szCs w:val="24"/>
        </w:rPr>
        <w:t xml:space="preserve">. </w:t>
      </w:r>
    </w:p>
    <w:p w14:paraId="79A0243C" w14:textId="77777777" w:rsidR="00F3577F" w:rsidRPr="007E3A25" w:rsidRDefault="00F3577F" w:rsidP="007E3A25">
      <w:pPr>
        <w:spacing w:before="0" w:after="0" w:line="300" w:lineRule="auto"/>
        <w:rPr>
          <w:rFonts w:ascii="Arial" w:hAnsi="Arial" w:cs="Arial"/>
          <w:sz w:val="24"/>
          <w:szCs w:val="24"/>
        </w:rPr>
      </w:pPr>
    </w:p>
    <w:p w14:paraId="61598D93" w14:textId="78C86A6C" w:rsidR="00F3577F" w:rsidRPr="007E3A25" w:rsidRDefault="00F3577F" w:rsidP="00B16DBF">
      <w:pPr>
        <w:spacing w:before="0" w:after="0" w:line="300" w:lineRule="auto"/>
        <w:rPr>
          <w:rFonts w:ascii="Arial" w:hAnsi="Arial" w:cs="Arial"/>
          <w:sz w:val="24"/>
          <w:szCs w:val="24"/>
        </w:rPr>
      </w:pPr>
      <w:r w:rsidRPr="007E3A25">
        <w:rPr>
          <w:rFonts w:ascii="Arial" w:hAnsi="Arial" w:cs="Arial"/>
          <w:sz w:val="24"/>
          <w:szCs w:val="24"/>
        </w:rPr>
        <w:t xml:space="preserve">The Government acknowledges </w:t>
      </w:r>
      <w:r w:rsidR="00F8038D">
        <w:rPr>
          <w:rFonts w:ascii="Arial" w:hAnsi="Arial" w:cs="Arial"/>
          <w:sz w:val="24"/>
          <w:szCs w:val="24"/>
        </w:rPr>
        <w:t xml:space="preserve">and notes </w:t>
      </w:r>
      <w:r w:rsidRPr="007E3A25">
        <w:rPr>
          <w:rFonts w:ascii="Arial" w:hAnsi="Arial" w:cs="Arial"/>
          <w:sz w:val="24"/>
          <w:szCs w:val="24"/>
        </w:rPr>
        <w:t xml:space="preserve">the additional 16 recommendations from the Australian Greens in the interim and final reports, and the 17 recommendations made by Senator David Pocock in the final report. </w:t>
      </w:r>
    </w:p>
    <w:p w14:paraId="7F9FE474" w14:textId="3DAAB01D" w:rsidR="00DD38C4" w:rsidRPr="00FF1B62" w:rsidRDefault="007D571A" w:rsidP="00FF1B62">
      <w:pPr>
        <w:pStyle w:val="Heading1"/>
      </w:pPr>
      <w:r w:rsidRPr="00FF1B62">
        <w:t>Australian Government Response</w:t>
      </w:r>
    </w:p>
    <w:p w14:paraId="442A738D" w14:textId="4106275D" w:rsidR="007B4AB6" w:rsidRDefault="00120A54" w:rsidP="007B4AB6">
      <w:pPr>
        <w:spacing w:before="0" w:after="0" w:line="300" w:lineRule="auto"/>
        <w:rPr>
          <w:rFonts w:ascii="Arial" w:hAnsi="Arial" w:cs="Arial"/>
          <w:sz w:val="24"/>
          <w:szCs w:val="24"/>
        </w:rPr>
      </w:pPr>
      <w:r w:rsidRPr="007E3A25">
        <w:rPr>
          <w:rFonts w:ascii="Arial" w:hAnsi="Arial" w:cs="Arial"/>
          <w:sz w:val="24"/>
          <w:szCs w:val="24"/>
        </w:rPr>
        <w:t>The Government is committed to improving the transparency and accountability of Australian public university governing bodies</w:t>
      </w:r>
      <w:r w:rsidR="00E713C5">
        <w:rPr>
          <w:rFonts w:ascii="Arial" w:hAnsi="Arial" w:cs="Arial"/>
          <w:sz w:val="24"/>
          <w:szCs w:val="24"/>
        </w:rPr>
        <w:t xml:space="preserve"> and </w:t>
      </w:r>
      <w:r w:rsidR="007B4AB6" w:rsidRPr="007E3A25">
        <w:rPr>
          <w:rFonts w:ascii="Arial" w:hAnsi="Arial" w:cs="Arial"/>
          <w:sz w:val="24"/>
          <w:szCs w:val="24"/>
        </w:rPr>
        <w:t>has initiated a range of actions to strengthen governance arrangements to ensure governance at Australian universities aligns with</w:t>
      </w:r>
      <w:r w:rsidR="00DF652C">
        <w:rPr>
          <w:rFonts w:ascii="Arial" w:hAnsi="Arial" w:cs="Arial"/>
          <w:sz w:val="24"/>
          <w:szCs w:val="24"/>
        </w:rPr>
        <w:t xml:space="preserve"> the</w:t>
      </w:r>
      <w:r w:rsidR="007B4AB6" w:rsidRPr="007E3A25">
        <w:rPr>
          <w:rFonts w:ascii="Arial" w:hAnsi="Arial" w:cs="Arial"/>
          <w:sz w:val="24"/>
          <w:szCs w:val="24"/>
        </w:rPr>
        <w:t xml:space="preserve"> expectations of students, staff and the</w:t>
      </w:r>
      <w:r w:rsidR="006A1882">
        <w:rPr>
          <w:rFonts w:ascii="Arial" w:hAnsi="Arial" w:cs="Arial"/>
          <w:sz w:val="24"/>
          <w:szCs w:val="24"/>
        </w:rPr>
        <w:t>ir</w:t>
      </w:r>
      <w:r w:rsidR="007B4AB6" w:rsidRPr="007E3A25">
        <w:rPr>
          <w:rFonts w:ascii="Arial" w:hAnsi="Arial" w:cs="Arial"/>
          <w:sz w:val="24"/>
          <w:szCs w:val="24"/>
        </w:rPr>
        <w:t xml:space="preserve"> communit</w:t>
      </w:r>
      <w:r w:rsidR="006A1882">
        <w:rPr>
          <w:rFonts w:ascii="Arial" w:hAnsi="Arial" w:cs="Arial"/>
          <w:sz w:val="24"/>
          <w:szCs w:val="24"/>
        </w:rPr>
        <w:t>ies</w:t>
      </w:r>
      <w:r w:rsidR="007B4AB6" w:rsidRPr="007E3A25">
        <w:rPr>
          <w:rFonts w:ascii="Arial" w:hAnsi="Arial" w:cs="Arial"/>
          <w:sz w:val="24"/>
          <w:szCs w:val="24"/>
        </w:rPr>
        <w:t>.</w:t>
      </w:r>
    </w:p>
    <w:p w14:paraId="6BB3A61C" w14:textId="77777777" w:rsidR="005501CD" w:rsidRDefault="005501CD" w:rsidP="005501CD">
      <w:pPr>
        <w:spacing w:before="0" w:after="0" w:line="300" w:lineRule="auto"/>
        <w:rPr>
          <w:rFonts w:ascii="Arial" w:hAnsi="Arial" w:cs="Arial"/>
          <w:sz w:val="24"/>
          <w:szCs w:val="24"/>
        </w:rPr>
      </w:pPr>
    </w:p>
    <w:p w14:paraId="0961B4A0" w14:textId="35F04022" w:rsidR="005501CD" w:rsidRDefault="005501CD" w:rsidP="005501CD">
      <w:pPr>
        <w:spacing w:before="0" w:after="0" w:line="300" w:lineRule="auto"/>
        <w:rPr>
          <w:rFonts w:ascii="Arial" w:hAnsi="Arial" w:cs="Arial"/>
          <w:sz w:val="24"/>
          <w:szCs w:val="24"/>
        </w:rPr>
      </w:pPr>
      <w:r>
        <w:rPr>
          <w:rFonts w:ascii="Arial" w:hAnsi="Arial" w:cs="Arial"/>
          <w:sz w:val="24"/>
          <w:szCs w:val="24"/>
        </w:rPr>
        <w:t>The Government</w:t>
      </w:r>
      <w:r w:rsidRPr="005501CD">
        <w:rPr>
          <w:rFonts w:ascii="Arial" w:hAnsi="Arial" w:cs="Arial"/>
          <w:sz w:val="24"/>
          <w:szCs w:val="24"/>
        </w:rPr>
        <w:t xml:space="preserve"> support</w:t>
      </w:r>
      <w:r>
        <w:rPr>
          <w:rFonts w:ascii="Arial" w:hAnsi="Arial" w:cs="Arial"/>
          <w:sz w:val="24"/>
          <w:szCs w:val="24"/>
        </w:rPr>
        <w:t>s</w:t>
      </w:r>
      <w:r w:rsidRPr="005501CD">
        <w:rPr>
          <w:rFonts w:ascii="Arial" w:hAnsi="Arial" w:cs="Arial"/>
          <w:sz w:val="24"/>
          <w:szCs w:val="24"/>
        </w:rPr>
        <w:t xml:space="preserve"> staff and student involvement in the management of their university communities and in university decision-making </w:t>
      </w:r>
      <w:proofErr w:type="gramStart"/>
      <w:r w:rsidRPr="005501CD">
        <w:rPr>
          <w:rFonts w:ascii="Arial" w:hAnsi="Arial" w:cs="Arial"/>
          <w:sz w:val="24"/>
          <w:szCs w:val="24"/>
        </w:rPr>
        <w:t>processes, and</w:t>
      </w:r>
      <w:proofErr w:type="gramEnd"/>
      <w:r w:rsidRPr="005501CD">
        <w:rPr>
          <w:rFonts w:ascii="Arial" w:hAnsi="Arial" w:cs="Arial"/>
          <w:sz w:val="24"/>
          <w:szCs w:val="24"/>
        </w:rPr>
        <w:t xml:space="preserve"> support</w:t>
      </w:r>
      <w:r w:rsidR="00B16DBF">
        <w:rPr>
          <w:rFonts w:ascii="Arial" w:hAnsi="Arial" w:cs="Arial"/>
          <w:sz w:val="24"/>
          <w:szCs w:val="24"/>
        </w:rPr>
        <w:t>s</w:t>
      </w:r>
      <w:r w:rsidRPr="005501CD">
        <w:rPr>
          <w:rFonts w:ascii="Arial" w:hAnsi="Arial" w:cs="Arial"/>
          <w:sz w:val="24"/>
          <w:szCs w:val="24"/>
        </w:rPr>
        <w:t xml:space="preserve"> elected staff and student representation on university councils</w:t>
      </w:r>
      <w:r w:rsidR="00B16DBF">
        <w:rPr>
          <w:rFonts w:ascii="Arial" w:hAnsi="Arial" w:cs="Arial"/>
          <w:sz w:val="24"/>
          <w:szCs w:val="24"/>
        </w:rPr>
        <w:t>.</w:t>
      </w:r>
    </w:p>
    <w:p w14:paraId="6775752F" w14:textId="77777777" w:rsidR="007B4AB6" w:rsidRDefault="007B4AB6" w:rsidP="007B4AB6">
      <w:pPr>
        <w:spacing w:before="0" w:after="0" w:line="300" w:lineRule="auto"/>
        <w:rPr>
          <w:rFonts w:ascii="Arial" w:hAnsi="Arial" w:cs="Arial"/>
          <w:sz w:val="24"/>
          <w:szCs w:val="24"/>
        </w:rPr>
      </w:pPr>
    </w:p>
    <w:p w14:paraId="348A94A2" w14:textId="61BE2843" w:rsidR="007B4AB6" w:rsidRDefault="007B4AB6" w:rsidP="007B4AB6">
      <w:pPr>
        <w:spacing w:before="0" w:after="0" w:line="300" w:lineRule="auto"/>
        <w:rPr>
          <w:rFonts w:ascii="Arial" w:hAnsi="Arial" w:cs="Arial"/>
          <w:sz w:val="24"/>
          <w:szCs w:val="24"/>
        </w:rPr>
      </w:pPr>
      <w:r>
        <w:rPr>
          <w:rFonts w:ascii="Arial" w:hAnsi="Arial" w:cs="Arial"/>
          <w:sz w:val="24"/>
          <w:szCs w:val="24"/>
        </w:rPr>
        <w:t xml:space="preserve">The Government </w:t>
      </w:r>
      <w:r w:rsidR="00E919D7">
        <w:rPr>
          <w:rFonts w:ascii="Arial" w:hAnsi="Arial" w:cs="Arial"/>
          <w:sz w:val="24"/>
          <w:szCs w:val="24"/>
        </w:rPr>
        <w:t xml:space="preserve">notes </w:t>
      </w:r>
      <w:r w:rsidRPr="00025BF5">
        <w:rPr>
          <w:rFonts w:ascii="Arial" w:hAnsi="Arial" w:cs="Arial"/>
          <w:sz w:val="24"/>
          <w:szCs w:val="24"/>
        </w:rPr>
        <w:t>Australia’s public universities are statutory corporations established under state or territory legislation, except for the Australian National University</w:t>
      </w:r>
      <w:r>
        <w:rPr>
          <w:rFonts w:ascii="Arial" w:hAnsi="Arial" w:cs="Arial"/>
          <w:sz w:val="24"/>
          <w:szCs w:val="24"/>
        </w:rPr>
        <w:t xml:space="preserve">, and </w:t>
      </w:r>
      <w:r w:rsidR="00E919D7">
        <w:rPr>
          <w:rFonts w:ascii="Arial" w:hAnsi="Arial" w:cs="Arial"/>
          <w:sz w:val="24"/>
          <w:szCs w:val="24"/>
        </w:rPr>
        <w:t>acknowledges</w:t>
      </w:r>
      <w:r w:rsidR="00D220D8">
        <w:rPr>
          <w:rFonts w:ascii="Arial" w:hAnsi="Arial" w:cs="Arial"/>
          <w:sz w:val="24"/>
          <w:szCs w:val="24"/>
        </w:rPr>
        <w:t xml:space="preserve"> </w:t>
      </w:r>
      <w:r>
        <w:rPr>
          <w:rFonts w:ascii="Arial" w:hAnsi="Arial" w:cs="Arial"/>
          <w:sz w:val="24"/>
          <w:szCs w:val="24"/>
        </w:rPr>
        <w:t>r</w:t>
      </w:r>
      <w:r w:rsidRPr="00025BF5">
        <w:rPr>
          <w:rFonts w:ascii="Arial" w:hAnsi="Arial" w:cs="Arial"/>
          <w:sz w:val="24"/>
          <w:szCs w:val="24"/>
        </w:rPr>
        <w:t>esponsibility for the establishing acts of universities rest</w:t>
      </w:r>
      <w:r w:rsidR="00A071CF">
        <w:rPr>
          <w:rFonts w:ascii="Arial" w:hAnsi="Arial" w:cs="Arial"/>
          <w:sz w:val="24"/>
          <w:szCs w:val="24"/>
        </w:rPr>
        <w:t>s</w:t>
      </w:r>
      <w:r w:rsidRPr="00025BF5">
        <w:rPr>
          <w:rFonts w:ascii="Arial" w:hAnsi="Arial" w:cs="Arial"/>
          <w:sz w:val="24"/>
          <w:szCs w:val="24"/>
        </w:rPr>
        <w:t xml:space="preserve"> with relevant jurisdictions.</w:t>
      </w:r>
    </w:p>
    <w:p w14:paraId="639933D0" w14:textId="77777777" w:rsidR="00FF1B62" w:rsidRDefault="00FF1B62" w:rsidP="007B4AB6">
      <w:pPr>
        <w:spacing w:before="0" w:after="0" w:line="300" w:lineRule="auto"/>
        <w:rPr>
          <w:rFonts w:ascii="Arial" w:hAnsi="Arial" w:cs="Arial"/>
          <w:sz w:val="24"/>
          <w:szCs w:val="24"/>
        </w:rPr>
      </w:pPr>
    </w:p>
    <w:p w14:paraId="1DD2AFB6" w14:textId="45BFFBF8" w:rsidR="00B16DBF" w:rsidRPr="00AC7BA7" w:rsidRDefault="00B16DBF" w:rsidP="00AC7BA7">
      <w:pPr>
        <w:pStyle w:val="Heading2"/>
      </w:pPr>
      <w:r w:rsidRPr="00AC7BA7">
        <w:lastRenderedPageBreak/>
        <w:t>University governance improvements</w:t>
      </w:r>
    </w:p>
    <w:p w14:paraId="2E31A6D4" w14:textId="77777777" w:rsidR="007B4AB6" w:rsidRPr="007E3A25" w:rsidRDefault="007B4AB6" w:rsidP="007E3A25">
      <w:pPr>
        <w:spacing w:before="0" w:after="0" w:line="300" w:lineRule="auto"/>
        <w:rPr>
          <w:rFonts w:ascii="Arial" w:hAnsi="Arial" w:cs="Arial"/>
          <w:sz w:val="24"/>
          <w:szCs w:val="24"/>
        </w:rPr>
      </w:pPr>
    </w:p>
    <w:p w14:paraId="041A9511" w14:textId="7CE1513C" w:rsidR="00A72B3A" w:rsidRPr="007E3A25" w:rsidRDefault="00A72B3A" w:rsidP="0021443B">
      <w:pPr>
        <w:spacing w:before="0" w:after="0" w:line="300" w:lineRule="auto"/>
        <w:rPr>
          <w:rFonts w:ascii="Arial" w:hAnsi="Arial" w:cs="Arial"/>
          <w:sz w:val="24"/>
          <w:szCs w:val="24"/>
        </w:rPr>
      </w:pPr>
      <w:r w:rsidRPr="00B16DBF">
        <w:rPr>
          <w:rFonts w:ascii="Arial" w:hAnsi="Arial" w:cs="Arial"/>
          <w:sz w:val="24"/>
          <w:szCs w:val="24"/>
        </w:rPr>
        <w:t xml:space="preserve">In </w:t>
      </w:r>
      <w:r w:rsidR="007D5C67" w:rsidRPr="00B16DBF">
        <w:rPr>
          <w:rFonts w:ascii="Arial" w:hAnsi="Arial" w:cs="Arial"/>
          <w:sz w:val="24"/>
          <w:szCs w:val="24"/>
        </w:rPr>
        <w:t>January</w:t>
      </w:r>
      <w:r w:rsidRPr="00B16DBF">
        <w:rPr>
          <w:rFonts w:ascii="Arial" w:hAnsi="Arial" w:cs="Arial"/>
          <w:sz w:val="24"/>
          <w:szCs w:val="24"/>
        </w:rPr>
        <w:t xml:space="preserve"> 2025</w:t>
      </w:r>
      <w:r w:rsidRPr="007E3A25">
        <w:rPr>
          <w:rFonts w:ascii="Arial" w:hAnsi="Arial" w:cs="Arial"/>
          <w:sz w:val="24"/>
          <w:szCs w:val="24"/>
        </w:rPr>
        <w:t xml:space="preserve">, Education Ministers agreed </w:t>
      </w:r>
      <w:r w:rsidR="0021443B" w:rsidRPr="007E3A25">
        <w:rPr>
          <w:rFonts w:ascii="Arial" w:hAnsi="Arial" w:cs="Arial"/>
          <w:sz w:val="24"/>
          <w:szCs w:val="24"/>
        </w:rPr>
        <w:t>membership</w:t>
      </w:r>
      <w:r w:rsidRPr="007E3A25">
        <w:rPr>
          <w:rFonts w:ascii="Arial" w:hAnsi="Arial" w:cs="Arial"/>
          <w:sz w:val="24"/>
          <w:szCs w:val="24"/>
        </w:rPr>
        <w:t xml:space="preserve"> of </w:t>
      </w:r>
      <w:r w:rsidR="00D45853" w:rsidRPr="007E3A25">
        <w:rPr>
          <w:rFonts w:ascii="Arial" w:hAnsi="Arial" w:cs="Arial"/>
          <w:sz w:val="24"/>
          <w:szCs w:val="24"/>
        </w:rPr>
        <w:t>the</w:t>
      </w:r>
      <w:r w:rsidR="0024543A" w:rsidRPr="007E3A25">
        <w:rPr>
          <w:rFonts w:ascii="Arial" w:hAnsi="Arial" w:cs="Arial"/>
          <w:sz w:val="24"/>
          <w:szCs w:val="24"/>
        </w:rPr>
        <w:t xml:space="preserve"> </w:t>
      </w:r>
      <w:r w:rsidRPr="007E3A25">
        <w:rPr>
          <w:rFonts w:ascii="Arial" w:hAnsi="Arial" w:cs="Arial"/>
          <w:sz w:val="24"/>
          <w:szCs w:val="24"/>
        </w:rPr>
        <w:t xml:space="preserve">Expert Council on University Governance. The Council was formed to develop new university governance principles (the Principles) and </w:t>
      </w:r>
      <w:r w:rsidR="00F8038D">
        <w:rPr>
          <w:rFonts w:ascii="Arial" w:hAnsi="Arial" w:cs="Arial"/>
          <w:sz w:val="24"/>
          <w:szCs w:val="24"/>
        </w:rPr>
        <w:t xml:space="preserve">provide </w:t>
      </w:r>
      <w:r w:rsidRPr="007E3A25">
        <w:rPr>
          <w:rFonts w:ascii="Arial" w:hAnsi="Arial" w:cs="Arial"/>
          <w:sz w:val="24"/>
          <w:szCs w:val="24"/>
        </w:rPr>
        <w:t>recommendations</w:t>
      </w:r>
      <w:r w:rsidR="00F8038D">
        <w:rPr>
          <w:rFonts w:ascii="Arial" w:hAnsi="Arial" w:cs="Arial"/>
          <w:sz w:val="24"/>
          <w:szCs w:val="24"/>
        </w:rPr>
        <w:t xml:space="preserve"> to strengthen governance in </w:t>
      </w:r>
      <w:r w:rsidRPr="007E3A25">
        <w:rPr>
          <w:rFonts w:ascii="Arial" w:hAnsi="Arial" w:cs="Arial"/>
          <w:sz w:val="24"/>
          <w:szCs w:val="24"/>
        </w:rPr>
        <w:t>Australia’s public universities.</w:t>
      </w:r>
    </w:p>
    <w:p w14:paraId="05D49B69" w14:textId="77777777" w:rsidR="0021443B" w:rsidRPr="007E3A25" w:rsidRDefault="0021443B" w:rsidP="007E3A25">
      <w:pPr>
        <w:spacing w:before="0" w:after="0" w:line="300" w:lineRule="auto"/>
        <w:rPr>
          <w:rFonts w:ascii="Arial" w:hAnsi="Arial" w:cs="Arial"/>
          <w:sz w:val="24"/>
          <w:szCs w:val="24"/>
        </w:rPr>
      </w:pPr>
    </w:p>
    <w:p w14:paraId="76839408" w14:textId="5844182D" w:rsidR="00120A54" w:rsidRPr="007E3A25" w:rsidRDefault="00A72B3A" w:rsidP="0021443B">
      <w:pPr>
        <w:spacing w:before="0" w:after="0" w:line="300" w:lineRule="auto"/>
        <w:rPr>
          <w:rFonts w:ascii="Arial" w:hAnsi="Arial" w:cs="Arial"/>
          <w:sz w:val="24"/>
          <w:szCs w:val="24"/>
        </w:rPr>
      </w:pPr>
      <w:r w:rsidRPr="007E3A25">
        <w:rPr>
          <w:rFonts w:ascii="Arial" w:hAnsi="Arial" w:cs="Arial"/>
          <w:sz w:val="24"/>
          <w:szCs w:val="24"/>
        </w:rPr>
        <w:t xml:space="preserve">In October 2025, Education Ministers considered the Principles and </w:t>
      </w:r>
      <w:r w:rsidR="0024543A" w:rsidRPr="007E3A25">
        <w:rPr>
          <w:rFonts w:ascii="Arial" w:hAnsi="Arial" w:cs="Arial"/>
          <w:sz w:val="24"/>
          <w:szCs w:val="24"/>
        </w:rPr>
        <w:t>r</w:t>
      </w:r>
      <w:r w:rsidRPr="007E3A25">
        <w:rPr>
          <w:rFonts w:ascii="Arial" w:hAnsi="Arial" w:cs="Arial"/>
          <w:sz w:val="24"/>
          <w:szCs w:val="24"/>
        </w:rPr>
        <w:t>ecommendations from the Expert Council alongside recommendations from th</w:t>
      </w:r>
      <w:r w:rsidR="0024543A" w:rsidRPr="007E3A25">
        <w:rPr>
          <w:rFonts w:ascii="Arial" w:hAnsi="Arial" w:cs="Arial"/>
          <w:sz w:val="24"/>
          <w:szCs w:val="24"/>
        </w:rPr>
        <w:t>is</w:t>
      </w:r>
      <w:r w:rsidRPr="007E3A25">
        <w:rPr>
          <w:rFonts w:ascii="Arial" w:hAnsi="Arial" w:cs="Arial"/>
          <w:sz w:val="24"/>
          <w:szCs w:val="24"/>
        </w:rPr>
        <w:t xml:space="preserve"> Senate Committee</w:t>
      </w:r>
      <w:r w:rsidR="00D26E19">
        <w:rPr>
          <w:rFonts w:ascii="Arial" w:hAnsi="Arial" w:cs="Arial"/>
          <w:sz w:val="24"/>
          <w:szCs w:val="24"/>
        </w:rPr>
        <w:t>’s interim report</w:t>
      </w:r>
      <w:r w:rsidRPr="007E3A25">
        <w:rPr>
          <w:rFonts w:ascii="Arial" w:hAnsi="Arial" w:cs="Arial"/>
          <w:sz w:val="24"/>
          <w:szCs w:val="24"/>
        </w:rPr>
        <w:t xml:space="preserve">. </w:t>
      </w:r>
      <w:bookmarkStart w:id="0" w:name="_Hlk212193795"/>
      <w:r w:rsidR="00F8038D">
        <w:rPr>
          <w:rFonts w:ascii="Arial" w:hAnsi="Arial" w:cs="Arial"/>
          <w:sz w:val="24"/>
          <w:szCs w:val="24"/>
        </w:rPr>
        <w:t>T</w:t>
      </w:r>
      <w:r w:rsidR="00F3577F">
        <w:rPr>
          <w:rFonts w:ascii="Arial" w:hAnsi="Arial" w:cs="Arial"/>
          <w:sz w:val="24"/>
          <w:szCs w:val="24"/>
        </w:rPr>
        <w:t xml:space="preserve">he </w:t>
      </w:r>
      <w:r w:rsidR="0076119F" w:rsidRPr="007E3A25">
        <w:rPr>
          <w:rFonts w:ascii="Arial" w:hAnsi="Arial" w:cs="Arial"/>
          <w:sz w:val="24"/>
          <w:szCs w:val="24"/>
        </w:rPr>
        <w:t xml:space="preserve">Government </w:t>
      </w:r>
      <w:r w:rsidR="00F8038D">
        <w:rPr>
          <w:rFonts w:ascii="Arial" w:hAnsi="Arial" w:cs="Arial"/>
          <w:sz w:val="24"/>
          <w:szCs w:val="24"/>
        </w:rPr>
        <w:t xml:space="preserve">has </w:t>
      </w:r>
      <w:r w:rsidR="0021443B" w:rsidRPr="007E3A25">
        <w:rPr>
          <w:rFonts w:ascii="Arial" w:hAnsi="Arial" w:cs="Arial"/>
          <w:sz w:val="24"/>
          <w:szCs w:val="24"/>
        </w:rPr>
        <w:t xml:space="preserve">announced </w:t>
      </w:r>
      <w:r w:rsidR="0024543A" w:rsidRPr="007E3A25">
        <w:rPr>
          <w:rFonts w:ascii="Arial" w:hAnsi="Arial" w:cs="Arial"/>
          <w:sz w:val="24"/>
          <w:szCs w:val="24"/>
        </w:rPr>
        <w:t xml:space="preserve">it </w:t>
      </w:r>
      <w:r w:rsidR="00B16DBF">
        <w:rPr>
          <w:rFonts w:ascii="Arial" w:hAnsi="Arial" w:cs="Arial"/>
          <w:sz w:val="24"/>
          <w:szCs w:val="24"/>
        </w:rPr>
        <w:t>w</w:t>
      </w:r>
      <w:r w:rsidR="00F8038D">
        <w:rPr>
          <w:rFonts w:ascii="Arial" w:hAnsi="Arial" w:cs="Arial"/>
          <w:sz w:val="24"/>
          <w:szCs w:val="24"/>
        </w:rPr>
        <w:t>ill</w:t>
      </w:r>
      <w:r w:rsidR="00946215" w:rsidRPr="007E3A25">
        <w:rPr>
          <w:rFonts w:ascii="Arial" w:hAnsi="Arial" w:cs="Arial"/>
          <w:sz w:val="24"/>
          <w:szCs w:val="24"/>
        </w:rPr>
        <w:t xml:space="preserve"> implement </w:t>
      </w:r>
      <w:r w:rsidRPr="007E3A25">
        <w:rPr>
          <w:rFonts w:ascii="Arial" w:hAnsi="Arial" w:cs="Arial"/>
          <w:sz w:val="24"/>
          <w:szCs w:val="24"/>
        </w:rPr>
        <w:t>the</w:t>
      </w:r>
      <w:r w:rsidR="00946215" w:rsidRPr="007E3A25">
        <w:rPr>
          <w:rFonts w:ascii="Arial" w:hAnsi="Arial" w:cs="Arial"/>
          <w:sz w:val="24"/>
          <w:szCs w:val="24"/>
        </w:rPr>
        <w:t xml:space="preserve"> </w:t>
      </w:r>
      <w:r w:rsidR="0021443B" w:rsidRPr="007E3A25">
        <w:rPr>
          <w:rFonts w:ascii="Arial" w:hAnsi="Arial" w:cs="Arial"/>
          <w:sz w:val="24"/>
          <w:szCs w:val="24"/>
        </w:rPr>
        <w:t>Principles</w:t>
      </w:r>
      <w:r w:rsidR="0024543A" w:rsidRPr="007E3A25">
        <w:rPr>
          <w:rFonts w:ascii="Arial" w:hAnsi="Arial" w:cs="Arial"/>
          <w:sz w:val="24"/>
          <w:szCs w:val="24"/>
        </w:rPr>
        <w:t xml:space="preserve"> </w:t>
      </w:r>
      <w:r w:rsidR="00F3577F">
        <w:rPr>
          <w:rFonts w:ascii="Arial" w:hAnsi="Arial" w:cs="Arial"/>
          <w:sz w:val="24"/>
          <w:szCs w:val="24"/>
        </w:rPr>
        <w:t xml:space="preserve">and additional transparency requirements </w:t>
      </w:r>
      <w:r w:rsidR="0024543A" w:rsidRPr="007E3A25">
        <w:rPr>
          <w:rFonts w:ascii="Arial" w:hAnsi="Arial" w:cs="Arial"/>
          <w:sz w:val="24"/>
          <w:szCs w:val="24"/>
        </w:rPr>
        <w:t xml:space="preserve">by </w:t>
      </w:r>
      <w:r w:rsidR="0021443B" w:rsidRPr="007E3A25">
        <w:rPr>
          <w:rFonts w:ascii="Arial" w:hAnsi="Arial" w:cs="Arial"/>
          <w:sz w:val="24"/>
          <w:szCs w:val="24"/>
        </w:rPr>
        <w:t>writ</w:t>
      </w:r>
      <w:r w:rsidR="0024543A" w:rsidRPr="007E3A25">
        <w:rPr>
          <w:rFonts w:ascii="Arial" w:hAnsi="Arial" w:cs="Arial"/>
          <w:sz w:val="24"/>
          <w:szCs w:val="24"/>
        </w:rPr>
        <w:t>ing them</w:t>
      </w:r>
      <w:r w:rsidR="0021443B" w:rsidRPr="007E3A25">
        <w:rPr>
          <w:rFonts w:ascii="Arial" w:hAnsi="Arial" w:cs="Arial"/>
          <w:sz w:val="24"/>
          <w:szCs w:val="24"/>
        </w:rPr>
        <w:t xml:space="preserve"> into Commonwealth regulation through the Higher Education Standards Framework (Threshold Standards) 2021.</w:t>
      </w:r>
    </w:p>
    <w:p w14:paraId="6E3D1349" w14:textId="77777777" w:rsidR="00120A54" w:rsidRPr="007E3A25" w:rsidRDefault="00120A54" w:rsidP="0021443B">
      <w:pPr>
        <w:spacing w:before="0" w:after="0" w:line="300" w:lineRule="auto"/>
        <w:rPr>
          <w:rFonts w:ascii="Arial" w:hAnsi="Arial" w:cs="Arial"/>
          <w:sz w:val="24"/>
          <w:szCs w:val="24"/>
        </w:rPr>
      </w:pPr>
    </w:p>
    <w:p w14:paraId="2B5488DE" w14:textId="37A8977A" w:rsidR="0024543A" w:rsidRPr="007E3A25" w:rsidRDefault="007D5C67" w:rsidP="007E3A25">
      <w:pPr>
        <w:spacing w:before="0" w:after="0" w:line="300" w:lineRule="auto"/>
        <w:rPr>
          <w:rFonts w:ascii="Arial" w:hAnsi="Arial" w:cs="Arial"/>
          <w:sz w:val="24"/>
          <w:szCs w:val="24"/>
        </w:rPr>
      </w:pPr>
      <w:r w:rsidRPr="00B16DBF">
        <w:rPr>
          <w:rFonts w:ascii="Arial" w:hAnsi="Arial" w:cs="Arial"/>
          <w:sz w:val="24"/>
          <w:szCs w:val="24"/>
        </w:rPr>
        <w:t>Public</w:t>
      </w:r>
      <w:r>
        <w:rPr>
          <w:rFonts w:ascii="Arial" w:hAnsi="Arial" w:cs="Arial"/>
          <w:sz w:val="24"/>
          <w:szCs w:val="24"/>
        </w:rPr>
        <w:t xml:space="preserve"> u</w:t>
      </w:r>
      <w:r w:rsidR="0024543A" w:rsidRPr="007E3A25">
        <w:rPr>
          <w:rFonts w:ascii="Arial" w:hAnsi="Arial" w:cs="Arial"/>
          <w:sz w:val="24"/>
          <w:szCs w:val="24"/>
        </w:rPr>
        <w:t>niversities will be required to report annually on their compliance</w:t>
      </w:r>
      <w:r w:rsidR="00D45853" w:rsidRPr="007E3A25">
        <w:rPr>
          <w:rFonts w:ascii="Arial" w:hAnsi="Arial" w:cs="Arial"/>
          <w:sz w:val="24"/>
          <w:szCs w:val="24"/>
        </w:rPr>
        <w:t xml:space="preserve"> with the Principles</w:t>
      </w:r>
      <w:r w:rsidR="0024543A" w:rsidRPr="007E3A25">
        <w:rPr>
          <w:rFonts w:ascii="Arial" w:hAnsi="Arial" w:cs="Arial"/>
          <w:sz w:val="24"/>
          <w:szCs w:val="24"/>
        </w:rPr>
        <w:t xml:space="preserve"> </w:t>
      </w:r>
      <w:r w:rsidR="00EE193E">
        <w:rPr>
          <w:rFonts w:ascii="Arial" w:hAnsi="Arial" w:cs="Arial"/>
          <w:sz w:val="24"/>
          <w:szCs w:val="24"/>
        </w:rPr>
        <w:t xml:space="preserve">and additional transparency requirements </w:t>
      </w:r>
      <w:r w:rsidR="0024543A" w:rsidRPr="007E3A25">
        <w:rPr>
          <w:rFonts w:ascii="Arial" w:hAnsi="Arial" w:cs="Arial"/>
          <w:sz w:val="24"/>
          <w:szCs w:val="24"/>
        </w:rPr>
        <w:t xml:space="preserve">on an ‘if not, why not’ basis to </w:t>
      </w:r>
      <w:r w:rsidR="00CF4C7B">
        <w:rPr>
          <w:rFonts w:ascii="Arial" w:hAnsi="Arial" w:cs="Arial"/>
          <w:sz w:val="24"/>
          <w:szCs w:val="24"/>
        </w:rPr>
        <w:t>the independent higher education sector regulator, the Tertiary Education Quality and Standards Agency (</w:t>
      </w:r>
      <w:r w:rsidR="0024543A" w:rsidRPr="007E3A25">
        <w:rPr>
          <w:rFonts w:ascii="Arial" w:hAnsi="Arial" w:cs="Arial"/>
          <w:sz w:val="24"/>
          <w:szCs w:val="24"/>
        </w:rPr>
        <w:t>TEQSA</w:t>
      </w:r>
      <w:r w:rsidR="00CF4C7B">
        <w:rPr>
          <w:rFonts w:ascii="Arial" w:hAnsi="Arial" w:cs="Arial"/>
          <w:sz w:val="24"/>
          <w:szCs w:val="24"/>
        </w:rPr>
        <w:t>)</w:t>
      </w:r>
      <w:r w:rsidR="00EE193E">
        <w:rPr>
          <w:rFonts w:ascii="Arial" w:hAnsi="Arial" w:cs="Arial"/>
          <w:sz w:val="24"/>
          <w:szCs w:val="24"/>
        </w:rPr>
        <w:t xml:space="preserve">. This will allow </w:t>
      </w:r>
      <w:r w:rsidR="0024543A" w:rsidRPr="007E3A25">
        <w:rPr>
          <w:rFonts w:ascii="Arial" w:hAnsi="Arial" w:cs="Arial"/>
          <w:sz w:val="24"/>
          <w:szCs w:val="24"/>
        </w:rPr>
        <w:t>TEQSA to take compliance action against universities that repeatedly fail to meet the</w:t>
      </w:r>
      <w:r w:rsidR="00EE193E">
        <w:rPr>
          <w:rFonts w:ascii="Arial" w:hAnsi="Arial" w:cs="Arial"/>
          <w:sz w:val="24"/>
          <w:szCs w:val="24"/>
        </w:rPr>
        <w:t xml:space="preserve"> Principles and additional transparency requirements</w:t>
      </w:r>
      <w:r w:rsidR="0024543A" w:rsidRPr="007E3A25">
        <w:rPr>
          <w:rFonts w:ascii="Arial" w:hAnsi="Arial" w:cs="Arial"/>
          <w:sz w:val="24"/>
          <w:szCs w:val="24"/>
        </w:rPr>
        <w:t>.</w:t>
      </w:r>
    </w:p>
    <w:p w14:paraId="6D7263F4" w14:textId="77777777" w:rsidR="0021443B" w:rsidRPr="007E3A25" w:rsidRDefault="0021443B" w:rsidP="0021443B">
      <w:pPr>
        <w:spacing w:before="0" w:after="0" w:line="300" w:lineRule="auto"/>
        <w:rPr>
          <w:rFonts w:ascii="Arial" w:hAnsi="Arial" w:cs="Arial"/>
          <w:sz w:val="24"/>
          <w:szCs w:val="24"/>
        </w:rPr>
      </w:pPr>
    </w:p>
    <w:p w14:paraId="76FF131E" w14:textId="26DB5C23" w:rsidR="00A32E5D" w:rsidRDefault="00D45853" w:rsidP="0021443B">
      <w:pPr>
        <w:spacing w:before="0" w:after="0" w:line="300" w:lineRule="auto"/>
        <w:rPr>
          <w:rFonts w:ascii="Arial" w:hAnsi="Arial" w:cs="Arial"/>
          <w:sz w:val="24"/>
          <w:szCs w:val="24"/>
        </w:rPr>
      </w:pPr>
      <w:r w:rsidRPr="007E3A25">
        <w:rPr>
          <w:rFonts w:ascii="Arial" w:hAnsi="Arial" w:cs="Arial"/>
          <w:sz w:val="24"/>
          <w:szCs w:val="24"/>
        </w:rPr>
        <w:t xml:space="preserve">The Principles </w:t>
      </w:r>
      <w:r w:rsidR="00E30628">
        <w:rPr>
          <w:rFonts w:ascii="Arial" w:hAnsi="Arial" w:cs="Arial"/>
          <w:sz w:val="24"/>
          <w:szCs w:val="24"/>
        </w:rPr>
        <w:t xml:space="preserve">and additional transparency requirements </w:t>
      </w:r>
      <w:r w:rsidRPr="007E3A25">
        <w:rPr>
          <w:rFonts w:ascii="Arial" w:hAnsi="Arial" w:cs="Arial"/>
          <w:sz w:val="24"/>
          <w:szCs w:val="24"/>
        </w:rPr>
        <w:t>will strengthen accountability</w:t>
      </w:r>
      <w:r w:rsidR="00E30628">
        <w:rPr>
          <w:rFonts w:ascii="Arial" w:hAnsi="Arial" w:cs="Arial"/>
          <w:sz w:val="24"/>
          <w:szCs w:val="24"/>
        </w:rPr>
        <w:t xml:space="preserve"> </w:t>
      </w:r>
      <w:r w:rsidRPr="007E3A25">
        <w:rPr>
          <w:rFonts w:ascii="Arial" w:hAnsi="Arial" w:cs="Arial"/>
          <w:sz w:val="24"/>
          <w:szCs w:val="24"/>
        </w:rPr>
        <w:t xml:space="preserve">and public trust in Australian </w:t>
      </w:r>
      <w:r w:rsidR="007D5C67" w:rsidRPr="007E3A25">
        <w:rPr>
          <w:rFonts w:ascii="Arial" w:hAnsi="Arial" w:cs="Arial"/>
          <w:sz w:val="24"/>
          <w:szCs w:val="24"/>
        </w:rPr>
        <w:t>universities and</w:t>
      </w:r>
      <w:r w:rsidRPr="007E3A25">
        <w:rPr>
          <w:rFonts w:ascii="Arial" w:hAnsi="Arial" w:cs="Arial"/>
          <w:sz w:val="24"/>
          <w:szCs w:val="24"/>
        </w:rPr>
        <w:t xml:space="preserve"> provide a framework for good governance and performance that will benefit universities, students, staff and the communities they serve. </w:t>
      </w:r>
    </w:p>
    <w:p w14:paraId="75BDE353" w14:textId="77777777" w:rsidR="00A32E5D" w:rsidRDefault="00A32E5D" w:rsidP="0021443B">
      <w:pPr>
        <w:spacing w:before="0" w:after="0" w:line="300" w:lineRule="auto"/>
        <w:rPr>
          <w:rFonts w:ascii="Arial" w:hAnsi="Arial" w:cs="Arial"/>
          <w:sz w:val="24"/>
          <w:szCs w:val="24"/>
        </w:rPr>
      </w:pPr>
    </w:p>
    <w:p w14:paraId="626141C8" w14:textId="328D673A" w:rsidR="0021443B" w:rsidRPr="007E3A25" w:rsidRDefault="0021443B" w:rsidP="0021443B">
      <w:pPr>
        <w:spacing w:before="0" w:after="0" w:line="300" w:lineRule="auto"/>
        <w:rPr>
          <w:rFonts w:ascii="Arial" w:hAnsi="Arial" w:cs="Arial"/>
          <w:sz w:val="24"/>
          <w:szCs w:val="24"/>
        </w:rPr>
      </w:pPr>
      <w:r w:rsidRPr="007E3A25">
        <w:rPr>
          <w:rFonts w:ascii="Arial" w:hAnsi="Arial" w:cs="Arial"/>
          <w:sz w:val="24"/>
          <w:szCs w:val="24"/>
        </w:rPr>
        <w:t>The Principles set strong expectations across eight key themes:</w:t>
      </w:r>
    </w:p>
    <w:p w14:paraId="61621BD4" w14:textId="77777777" w:rsidR="0021443B" w:rsidRPr="007E3A25" w:rsidRDefault="0021443B" w:rsidP="0021443B">
      <w:pPr>
        <w:spacing w:before="0" w:after="0" w:line="300" w:lineRule="auto"/>
        <w:rPr>
          <w:rFonts w:ascii="Arial" w:hAnsi="Arial" w:cs="Arial"/>
          <w:sz w:val="24"/>
          <w:szCs w:val="24"/>
        </w:rPr>
      </w:pPr>
    </w:p>
    <w:p w14:paraId="48258453" w14:textId="77777777" w:rsidR="0021443B" w:rsidRPr="007E3A25" w:rsidRDefault="0021443B" w:rsidP="007E3A25">
      <w:pPr>
        <w:numPr>
          <w:ilvl w:val="0"/>
          <w:numId w:val="15"/>
        </w:numPr>
        <w:tabs>
          <w:tab w:val="num" w:pos="720"/>
        </w:tabs>
        <w:spacing w:before="0" w:after="0" w:line="300" w:lineRule="auto"/>
        <w:ind w:left="357" w:hanging="357"/>
        <w:rPr>
          <w:rFonts w:ascii="Arial" w:hAnsi="Arial" w:cs="Arial"/>
          <w:sz w:val="24"/>
          <w:szCs w:val="24"/>
        </w:rPr>
      </w:pPr>
      <w:r w:rsidRPr="007E3A25">
        <w:rPr>
          <w:rFonts w:ascii="Arial" w:hAnsi="Arial" w:cs="Arial"/>
          <w:sz w:val="24"/>
          <w:szCs w:val="24"/>
        </w:rPr>
        <w:t>Accountability: Governance structures and accountabilities are well-defined, effective and transparent.</w:t>
      </w:r>
    </w:p>
    <w:p w14:paraId="625248DB" w14:textId="77777777" w:rsidR="0021443B" w:rsidRPr="007E3A25" w:rsidRDefault="0021443B" w:rsidP="007E3A25">
      <w:pPr>
        <w:numPr>
          <w:ilvl w:val="0"/>
          <w:numId w:val="15"/>
        </w:numPr>
        <w:tabs>
          <w:tab w:val="num" w:pos="720"/>
        </w:tabs>
        <w:spacing w:before="0" w:after="0" w:line="300" w:lineRule="auto"/>
        <w:ind w:left="357" w:hanging="357"/>
        <w:rPr>
          <w:rFonts w:ascii="Arial" w:hAnsi="Arial" w:cs="Arial"/>
          <w:sz w:val="24"/>
          <w:szCs w:val="24"/>
        </w:rPr>
      </w:pPr>
      <w:r w:rsidRPr="007E3A25">
        <w:rPr>
          <w:rFonts w:ascii="Arial" w:hAnsi="Arial" w:cs="Arial"/>
          <w:sz w:val="24"/>
          <w:szCs w:val="24"/>
        </w:rPr>
        <w:t>Diversity of perspectives: Composition of the governing body enables purpose and performance.</w:t>
      </w:r>
    </w:p>
    <w:p w14:paraId="09C1D832" w14:textId="77777777" w:rsidR="0021443B" w:rsidRPr="007E3A25" w:rsidRDefault="0021443B" w:rsidP="007E3A25">
      <w:pPr>
        <w:numPr>
          <w:ilvl w:val="0"/>
          <w:numId w:val="15"/>
        </w:numPr>
        <w:tabs>
          <w:tab w:val="num" w:pos="720"/>
        </w:tabs>
        <w:spacing w:before="0" w:after="0" w:line="300" w:lineRule="auto"/>
        <w:ind w:left="357" w:hanging="357"/>
        <w:rPr>
          <w:rFonts w:ascii="Arial" w:hAnsi="Arial" w:cs="Arial"/>
          <w:sz w:val="24"/>
          <w:szCs w:val="24"/>
        </w:rPr>
      </w:pPr>
      <w:r w:rsidRPr="007E3A25">
        <w:rPr>
          <w:rFonts w:ascii="Arial" w:hAnsi="Arial" w:cs="Arial"/>
          <w:sz w:val="24"/>
          <w:szCs w:val="24"/>
        </w:rPr>
        <w:t>Independence: Academic standards and freedom are respected and protected.</w:t>
      </w:r>
    </w:p>
    <w:p w14:paraId="6C8FB973" w14:textId="77777777" w:rsidR="0021443B" w:rsidRPr="007E3A25" w:rsidRDefault="0021443B" w:rsidP="007E3A25">
      <w:pPr>
        <w:numPr>
          <w:ilvl w:val="0"/>
          <w:numId w:val="15"/>
        </w:numPr>
        <w:tabs>
          <w:tab w:val="num" w:pos="720"/>
        </w:tabs>
        <w:spacing w:before="0" w:after="0" w:line="300" w:lineRule="auto"/>
        <w:ind w:left="357" w:hanging="357"/>
        <w:rPr>
          <w:rFonts w:ascii="Arial" w:hAnsi="Arial" w:cs="Arial"/>
          <w:sz w:val="24"/>
          <w:szCs w:val="24"/>
        </w:rPr>
      </w:pPr>
      <w:r w:rsidRPr="007E3A25">
        <w:rPr>
          <w:rFonts w:ascii="Arial" w:hAnsi="Arial" w:cs="Arial"/>
          <w:sz w:val="24"/>
          <w:szCs w:val="24"/>
        </w:rPr>
        <w:t>Transparency: Purpose, strategy and performance are clear and openly communicated.</w:t>
      </w:r>
    </w:p>
    <w:p w14:paraId="60CA4EF6" w14:textId="77777777" w:rsidR="0021443B" w:rsidRPr="007E3A25" w:rsidRDefault="0021443B" w:rsidP="007E3A25">
      <w:pPr>
        <w:numPr>
          <w:ilvl w:val="0"/>
          <w:numId w:val="15"/>
        </w:numPr>
        <w:tabs>
          <w:tab w:val="num" w:pos="720"/>
        </w:tabs>
        <w:spacing w:before="0" w:after="0" w:line="300" w:lineRule="auto"/>
        <w:ind w:left="357" w:hanging="357"/>
        <w:rPr>
          <w:rFonts w:ascii="Arial" w:hAnsi="Arial" w:cs="Arial"/>
          <w:sz w:val="24"/>
          <w:szCs w:val="24"/>
        </w:rPr>
      </w:pPr>
      <w:r w:rsidRPr="007E3A25">
        <w:rPr>
          <w:rFonts w:ascii="Arial" w:hAnsi="Arial" w:cs="Arial"/>
          <w:sz w:val="24"/>
          <w:szCs w:val="24"/>
        </w:rPr>
        <w:t>Trustworthy: The university operates lawfully, ethically, responsibly, and consistent with its public purpose.</w:t>
      </w:r>
    </w:p>
    <w:p w14:paraId="4C4419A5" w14:textId="77777777" w:rsidR="0021443B" w:rsidRPr="007E3A25" w:rsidRDefault="0021443B" w:rsidP="007E3A25">
      <w:pPr>
        <w:numPr>
          <w:ilvl w:val="0"/>
          <w:numId w:val="15"/>
        </w:numPr>
        <w:tabs>
          <w:tab w:val="num" w:pos="720"/>
        </w:tabs>
        <w:spacing w:before="0" w:after="0" w:line="300" w:lineRule="auto"/>
        <w:ind w:left="357" w:hanging="357"/>
        <w:rPr>
          <w:rFonts w:ascii="Arial" w:hAnsi="Arial" w:cs="Arial"/>
          <w:sz w:val="24"/>
          <w:szCs w:val="24"/>
        </w:rPr>
      </w:pPr>
      <w:r w:rsidRPr="007E3A25">
        <w:rPr>
          <w:rFonts w:ascii="Arial" w:hAnsi="Arial" w:cs="Arial"/>
          <w:sz w:val="24"/>
          <w:szCs w:val="24"/>
        </w:rPr>
        <w:t>Inclusive and responsive: Expectations of the university's community and stakeholders are understood, respected and responded to.</w:t>
      </w:r>
    </w:p>
    <w:p w14:paraId="6B98A675" w14:textId="77777777" w:rsidR="0021443B" w:rsidRPr="007E3A25" w:rsidRDefault="0021443B" w:rsidP="007E3A25">
      <w:pPr>
        <w:numPr>
          <w:ilvl w:val="0"/>
          <w:numId w:val="15"/>
        </w:numPr>
        <w:tabs>
          <w:tab w:val="num" w:pos="720"/>
        </w:tabs>
        <w:spacing w:before="0" w:after="0" w:line="300" w:lineRule="auto"/>
        <w:ind w:left="357" w:hanging="357"/>
        <w:rPr>
          <w:rFonts w:ascii="Arial" w:hAnsi="Arial" w:cs="Arial"/>
          <w:sz w:val="24"/>
          <w:szCs w:val="24"/>
        </w:rPr>
      </w:pPr>
      <w:r w:rsidRPr="007E3A25">
        <w:rPr>
          <w:rFonts w:ascii="Arial" w:hAnsi="Arial" w:cs="Arial"/>
          <w:sz w:val="24"/>
          <w:szCs w:val="24"/>
        </w:rPr>
        <w:t>Sustainable: Risks are understood and managed effectively.</w:t>
      </w:r>
    </w:p>
    <w:p w14:paraId="5A36B656" w14:textId="15F7F6C2" w:rsidR="0021443B" w:rsidRPr="007E3A25" w:rsidRDefault="0021443B" w:rsidP="007E3A25">
      <w:pPr>
        <w:numPr>
          <w:ilvl w:val="0"/>
          <w:numId w:val="15"/>
        </w:numPr>
        <w:tabs>
          <w:tab w:val="num" w:pos="720"/>
        </w:tabs>
        <w:spacing w:before="0" w:after="0" w:line="300" w:lineRule="auto"/>
        <w:ind w:left="357" w:hanging="357"/>
        <w:rPr>
          <w:rFonts w:ascii="Arial" w:hAnsi="Arial" w:cs="Arial"/>
          <w:sz w:val="24"/>
          <w:szCs w:val="24"/>
        </w:rPr>
      </w:pPr>
      <w:r w:rsidRPr="007E3A25">
        <w:rPr>
          <w:rFonts w:ascii="Arial" w:hAnsi="Arial" w:cs="Arial"/>
          <w:sz w:val="24"/>
          <w:szCs w:val="24"/>
        </w:rPr>
        <w:t>Responsible: Workforce and remuneration are structured fairly and responsibly.</w:t>
      </w:r>
    </w:p>
    <w:p w14:paraId="1DD594B5" w14:textId="1429A43F" w:rsidR="0021443B" w:rsidRPr="007E3A25" w:rsidRDefault="00D45853" w:rsidP="007E3A25">
      <w:pPr>
        <w:spacing w:before="0" w:after="0" w:line="300" w:lineRule="auto"/>
        <w:ind w:right="-46"/>
        <w:rPr>
          <w:rFonts w:ascii="Arial" w:hAnsi="Arial" w:cs="Arial"/>
          <w:sz w:val="24"/>
          <w:szCs w:val="24"/>
        </w:rPr>
      </w:pPr>
      <w:r w:rsidRPr="007E3A25">
        <w:rPr>
          <w:rFonts w:ascii="Arial" w:hAnsi="Arial" w:cs="Arial"/>
          <w:sz w:val="24"/>
          <w:szCs w:val="24"/>
        </w:rPr>
        <w:lastRenderedPageBreak/>
        <w:t>I</w:t>
      </w:r>
      <w:r w:rsidR="00A72B3A" w:rsidRPr="007E3A25">
        <w:rPr>
          <w:rFonts w:ascii="Arial" w:hAnsi="Arial" w:cs="Arial"/>
          <w:sz w:val="24"/>
          <w:szCs w:val="24"/>
        </w:rPr>
        <w:t xml:space="preserve">n line with </w:t>
      </w:r>
      <w:r w:rsidR="0076119F" w:rsidRPr="007E3A25">
        <w:rPr>
          <w:rFonts w:ascii="Arial" w:hAnsi="Arial" w:cs="Arial"/>
          <w:sz w:val="24"/>
          <w:szCs w:val="24"/>
        </w:rPr>
        <w:t xml:space="preserve">recommendations from this Senate </w:t>
      </w:r>
      <w:r w:rsidR="00B16DBF">
        <w:rPr>
          <w:rFonts w:ascii="Arial" w:hAnsi="Arial" w:cs="Arial"/>
          <w:sz w:val="24"/>
          <w:szCs w:val="24"/>
        </w:rPr>
        <w:t>Committee</w:t>
      </w:r>
      <w:r w:rsidR="0076119F" w:rsidRPr="007E3A25">
        <w:rPr>
          <w:rFonts w:ascii="Arial" w:hAnsi="Arial" w:cs="Arial"/>
          <w:sz w:val="24"/>
          <w:szCs w:val="24"/>
        </w:rPr>
        <w:t>,</w:t>
      </w:r>
      <w:r w:rsidR="0021443B" w:rsidRPr="007E3A25">
        <w:rPr>
          <w:rFonts w:ascii="Arial" w:hAnsi="Arial" w:cs="Arial"/>
          <w:sz w:val="24"/>
          <w:szCs w:val="24"/>
        </w:rPr>
        <w:t xml:space="preserve"> </w:t>
      </w:r>
      <w:r w:rsidRPr="007E3A25">
        <w:rPr>
          <w:rFonts w:ascii="Arial" w:hAnsi="Arial" w:cs="Arial"/>
          <w:sz w:val="24"/>
          <w:szCs w:val="24"/>
        </w:rPr>
        <w:t xml:space="preserve">the Government has also announced that </w:t>
      </w:r>
      <w:r w:rsidR="0021443B" w:rsidRPr="007E3A25">
        <w:rPr>
          <w:rFonts w:ascii="Arial" w:hAnsi="Arial" w:cs="Arial"/>
          <w:sz w:val="24"/>
          <w:szCs w:val="24"/>
        </w:rPr>
        <w:t xml:space="preserve">university governing bodies will be required to </w:t>
      </w:r>
      <w:r w:rsidR="007E3A25">
        <w:rPr>
          <w:rFonts w:ascii="Arial" w:hAnsi="Arial" w:cs="Arial"/>
          <w:sz w:val="24"/>
          <w:szCs w:val="24"/>
        </w:rPr>
        <w:t xml:space="preserve">meet </w:t>
      </w:r>
      <w:r w:rsidR="007E3A25" w:rsidRPr="00025BF5">
        <w:rPr>
          <w:rFonts w:ascii="Arial" w:hAnsi="Arial" w:cs="Arial"/>
          <w:sz w:val="24"/>
          <w:szCs w:val="24"/>
        </w:rPr>
        <w:t>additional transparency requirements</w:t>
      </w:r>
      <w:r w:rsidR="007E3A25">
        <w:rPr>
          <w:rFonts w:ascii="Arial" w:hAnsi="Arial" w:cs="Arial"/>
          <w:sz w:val="24"/>
          <w:szCs w:val="24"/>
        </w:rPr>
        <w:t xml:space="preserve">, which include </w:t>
      </w:r>
      <w:r w:rsidR="0021443B" w:rsidRPr="007E3A25">
        <w:rPr>
          <w:rFonts w:ascii="Arial" w:hAnsi="Arial" w:cs="Arial"/>
          <w:sz w:val="24"/>
          <w:szCs w:val="24"/>
        </w:rPr>
        <w:t>publish</w:t>
      </w:r>
      <w:r w:rsidR="007E3A25">
        <w:rPr>
          <w:rFonts w:ascii="Arial" w:hAnsi="Arial" w:cs="Arial"/>
          <w:sz w:val="24"/>
          <w:szCs w:val="24"/>
        </w:rPr>
        <w:t>ing</w:t>
      </w:r>
      <w:r w:rsidR="0021443B" w:rsidRPr="007E3A25">
        <w:rPr>
          <w:rFonts w:ascii="Arial" w:hAnsi="Arial" w:cs="Arial"/>
          <w:sz w:val="24"/>
          <w:szCs w:val="24"/>
        </w:rPr>
        <w:t>:</w:t>
      </w:r>
    </w:p>
    <w:p w14:paraId="5324DE1E" w14:textId="77777777" w:rsidR="0021443B" w:rsidRPr="007E3A25" w:rsidRDefault="0021443B" w:rsidP="007E3A25">
      <w:pPr>
        <w:spacing w:before="0" w:after="0" w:line="300" w:lineRule="auto"/>
        <w:rPr>
          <w:rFonts w:ascii="Arial" w:hAnsi="Arial" w:cs="Arial"/>
          <w:sz w:val="24"/>
          <w:szCs w:val="24"/>
        </w:rPr>
      </w:pPr>
    </w:p>
    <w:p w14:paraId="25B693A3" w14:textId="1BA5981D" w:rsidR="0021443B" w:rsidRPr="007E3A25" w:rsidRDefault="0021443B" w:rsidP="007E3A25">
      <w:pPr>
        <w:numPr>
          <w:ilvl w:val="0"/>
          <w:numId w:val="15"/>
        </w:numPr>
        <w:tabs>
          <w:tab w:val="num" w:pos="720"/>
        </w:tabs>
        <w:spacing w:before="0" w:after="0" w:line="300" w:lineRule="auto"/>
        <w:ind w:left="357" w:hanging="357"/>
        <w:rPr>
          <w:rFonts w:ascii="Arial" w:hAnsi="Arial" w:cs="Arial"/>
          <w:sz w:val="24"/>
          <w:szCs w:val="24"/>
        </w:rPr>
      </w:pPr>
      <w:r w:rsidRPr="007E3A25">
        <w:rPr>
          <w:rFonts w:ascii="Arial" w:hAnsi="Arial" w:cs="Arial"/>
          <w:sz w:val="24"/>
          <w:szCs w:val="24"/>
        </w:rPr>
        <w:t>outcomes of meetings and decisions taken</w:t>
      </w:r>
      <w:r w:rsidR="00120A54" w:rsidRPr="007E3A25">
        <w:rPr>
          <w:rFonts w:ascii="Arial" w:hAnsi="Arial" w:cs="Arial"/>
          <w:sz w:val="24"/>
          <w:szCs w:val="24"/>
        </w:rPr>
        <w:t>;</w:t>
      </w:r>
    </w:p>
    <w:p w14:paraId="684A8A50" w14:textId="7C0C6DEC" w:rsidR="0021443B" w:rsidRPr="007E3A25" w:rsidRDefault="0021443B" w:rsidP="007E3A25">
      <w:pPr>
        <w:numPr>
          <w:ilvl w:val="0"/>
          <w:numId w:val="15"/>
        </w:numPr>
        <w:tabs>
          <w:tab w:val="num" w:pos="720"/>
        </w:tabs>
        <w:spacing w:before="0" w:after="0" w:line="300" w:lineRule="auto"/>
        <w:ind w:left="357" w:hanging="357"/>
        <w:rPr>
          <w:rFonts w:ascii="Arial" w:hAnsi="Arial" w:cs="Arial"/>
          <w:sz w:val="24"/>
          <w:szCs w:val="24"/>
        </w:rPr>
      </w:pPr>
      <w:r w:rsidRPr="007E3A25">
        <w:rPr>
          <w:rFonts w:ascii="Arial" w:hAnsi="Arial" w:cs="Arial"/>
          <w:sz w:val="24"/>
          <w:szCs w:val="24"/>
        </w:rPr>
        <w:t>consultancy spending, its purpose, value and justification</w:t>
      </w:r>
      <w:r w:rsidR="00120A54" w:rsidRPr="007E3A25">
        <w:rPr>
          <w:rFonts w:ascii="Arial" w:hAnsi="Arial" w:cs="Arial"/>
          <w:sz w:val="24"/>
          <w:szCs w:val="24"/>
        </w:rPr>
        <w:t>;</w:t>
      </w:r>
    </w:p>
    <w:p w14:paraId="0EA8FE73" w14:textId="0BA83252" w:rsidR="0021443B" w:rsidRPr="007E3A25" w:rsidRDefault="0021443B" w:rsidP="007E3A25">
      <w:pPr>
        <w:numPr>
          <w:ilvl w:val="0"/>
          <w:numId w:val="15"/>
        </w:numPr>
        <w:tabs>
          <w:tab w:val="num" w:pos="720"/>
        </w:tabs>
        <w:spacing w:before="0" w:after="0" w:line="300" w:lineRule="auto"/>
        <w:ind w:left="357" w:hanging="357"/>
        <w:rPr>
          <w:rFonts w:ascii="Arial" w:hAnsi="Arial" w:cs="Arial"/>
          <w:sz w:val="24"/>
          <w:szCs w:val="24"/>
        </w:rPr>
      </w:pPr>
      <w:r w:rsidRPr="007E3A25">
        <w:rPr>
          <w:rFonts w:ascii="Arial" w:hAnsi="Arial" w:cs="Arial"/>
          <w:sz w:val="24"/>
          <w:szCs w:val="24"/>
        </w:rPr>
        <w:t>Vice-Chancellors’ external roles, and conflicts of interest</w:t>
      </w:r>
      <w:r w:rsidR="00120A54" w:rsidRPr="007E3A25">
        <w:rPr>
          <w:rFonts w:ascii="Arial" w:hAnsi="Arial" w:cs="Arial"/>
          <w:sz w:val="24"/>
          <w:szCs w:val="24"/>
        </w:rPr>
        <w:t>;</w:t>
      </w:r>
    </w:p>
    <w:p w14:paraId="04363E06" w14:textId="4C524577" w:rsidR="0021443B" w:rsidRPr="007E3A25" w:rsidRDefault="0021443B" w:rsidP="007E3A25">
      <w:pPr>
        <w:numPr>
          <w:ilvl w:val="0"/>
          <w:numId w:val="15"/>
        </w:numPr>
        <w:tabs>
          <w:tab w:val="num" w:pos="720"/>
        </w:tabs>
        <w:spacing w:before="0" w:after="0" w:line="300" w:lineRule="auto"/>
        <w:ind w:left="357" w:hanging="357"/>
        <w:rPr>
          <w:rFonts w:ascii="Arial" w:hAnsi="Arial" w:cs="Arial"/>
          <w:sz w:val="24"/>
          <w:szCs w:val="24"/>
        </w:rPr>
      </w:pPr>
      <w:r w:rsidRPr="007E3A25">
        <w:rPr>
          <w:rFonts w:ascii="Arial" w:hAnsi="Arial" w:cs="Arial"/>
          <w:sz w:val="24"/>
          <w:szCs w:val="24"/>
        </w:rPr>
        <w:t>annual remuneration reports in line with requirements for public companies</w:t>
      </w:r>
      <w:r w:rsidR="00120A54" w:rsidRPr="007E3A25">
        <w:rPr>
          <w:rFonts w:ascii="Arial" w:hAnsi="Arial" w:cs="Arial"/>
          <w:sz w:val="24"/>
          <w:szCs w:val="24"/>
        </w:rPr>
        <w:t>;</w:t>
      </w:r>
      <w:r w:rsidRPr="007E3A25">
        <w:rPr>
          <w:rFonts w:ascii="Arial" w:hAnsi="Arial" w:cs="Arial"/>
          <w:sz w:val="24"/>
          <w:szCs w:val="24"/>
        </w:rPr>
        <w:t xml:space="preserve"> and</w:t>
      </w:r>
    </w:p>
    <w:p w14:paraId="2FF62128" w14:textId="7A78D4D5" w:rsidR="0021443B" w:rsidRPr="007E3A25" w:rsidRDefault="0021443B" w:rsidP="007E3A25">
      <w:pPr>
        <w:numPr>
          <w:ilvl w:val="0"/>
          <w:numId w:val="15"/>
        </w:numPr>
        <w:tabs>
          <w:tab w:val="num" w:pos="720"/>
        </w:tabs>
        <w:spacing w:before="0" w:after="0" w:line="300" w:lineRule="auto"/>
        <w:ind w:left="357" w:hanging="357"/>
        <w:rPr>
          <w:rFonts w:ascii="Arial" w:hAnsi="Arial" w:cs="Arial"/>
          <w:sz w:val="24"/>
          <w:szCs w:val="24"/>
        </w:rPr>
      </w:pPr>
      <w:r w:rsidRPr="007E3A25">
        <w:rPr>
          <w:rFonts w:ascii="Arial" w:hAnsi="Arial" w:cs="Arial"/>
          <w:sz w:val="24"/>
          <w:szCs w:val="24"/>
        </w:rPr>
        <w:t>composition of governing bodies.</w:t>
      </w:r>
    </w:p>
    <w:p w14:paraId="6FE75B14" w14:textId="77777777" w:rsidR="0021443B" w:rsidRPr="007E3A25" w:rsidRDefault="0021443B" w:rsidP="0021443B">
      <w:pPr>
        <w:spacing w:before="0" w:after="0" w:line="300" w:lineRule="auto"/>
        <w:rPr>
          <w:rFonts w:ascii="Arial" w:hAnsi="Arial" w:cs="Arial"/>
          <w:sz w:val="24"/>
          <w:szCs w:val="24"/>
        </w:rPr>
      </w:pPr>
    </w:p>
    <w:p w14:paraId="58F377C6" w14:textId="0F48D58B" w:rsidR="00570C49" w:rsidRPr="007E3A25" w:rsidRDefault="00570C49" w:rsidP="00570C49">
      <w:pPr>
        <w:spacing w:before="0" w:after="0" w:line="300" w:lineRule="auto"/>
        <w:rPr>
          <w:rFonts w:ascii="Arial" w:hAnsi="Arial" w:cs="Arial"/>
          <w:sz w:val="24"/>
          <w:szCs w:val="24"/>
        </w:rPr>
      </w:pPr>
      <w:r w:rsidRPr="007E3A25">
        <w:rPr>
          <w:rFonts w:ascii="Arial" w:hAnsi="Arial" w:cs="Arial"/>
          <w:sz w:val="24"/>
          <w:szCs w:val="24"/>
        </w:rPr>
        <w:t xml:space="preserve">The Government expects the </w:t>
      </w:r>
      <w:proofErr w:type="gramStart"/>
      <w:r w:rsidRPr="007E3A25">
        <w:rPr>
          <w:rFonts w:ascii="Arial" w:hAnsi="Arial" w:cs="Arial"/>
          <w:sz w:val="24"/>
          <w:szCs w:val="24"/>
        </w:rPr>
        <w:t>Principles</w:t>
      </w:r>
      <w:proofErr w:type="gramEnd"/>
      <w:r w:rsidRPr="007E3A25">
        <w:rPr>
          <w:rFonts w:ascii="Arial" w:hAnsi="Arial" w:cs="Arial"/>
          <w:sz w:val="24"/>
          <w:szCs w:val="24"/>
        </w:rPr>
        <w:t xml:space="preserve"> and additional transparency requirements will be incorporated into the Threshold Standards and commence from mid-2026.</w:t>
      </w:r>
    </w:p>
    <w:p w14:paraId="4C2A43CC" w14:textId="77777777" w:rsidR="00570C49" w:rsidRDefault="00570C49" w:rsidP="00570C49">
      <w:pPr>
        <w:spacing w:before="0" w:after="0" w:line="300" w:lineRule="auto"/>
        <w:rPr>
          <w:rFonts w:ascii="Arial" w:hAnsi="Arial" w:cs="Arial"/>
          <w:sz w:val="24"/>
          <w:szCs w:val="24"/>
        </w:rPr>
      </w:pPr>
    </w:p>
    <w:p w14:paraId="2E678857" w14:textId="77777777" w:rsidR="00CF4C7B" w:rsidRPr="007E3A25" w:rsidRDefault="00CF4C7B" w:rsidP="00CF4C7B">
      <w:pPr>
        <w:spacing w:before="0" w:after="0" w:line="300" w:lineRule="auto"/>
        <w:rPr>
          <w:rFonts w:ascii="Arial" w:hAnsi="Arial" w:cs="Arial"/>
          <w:sz w:val="24"/>
          <w:szCs w:val="24"/>
        </w:rPr>
      </w:pPr>
      <w:r>
        <w:rPr>
          <w:rFonts w:ascii="Arial" w:hAnsi="Arial" w:cs="Arial"/>
          <w:sz w:val="24"/>
          <w:szCs w:val="24"/>
        </w:rPr>
        <w:t>Further, t</w:t>
      </w:r>
      <w:r w:rsidRPr="007E3A25">
        <w:rPr>
          <w:rFonts w:ascii="Arial" w:hAnsi="Arial" w:cs="Arial"/>
          <w:sz w:val="24"/>
          <w:szCs w:val="24"/>
        </w:rPr>
        <w:t>he Government, in collaboration with the Commonwealth Remuneration Tribunal, states and territories, and stakeholders including the Universities Chancellors Council, will establish a framework for Vice-Chancellor remuneration.</w:t>
      </w:r>
    </w:p>
    <w:p w14:paraId="3942390F" w14:textId="77777777" w:rsidR="00CF4C7B" w:rsidRDefault="00CF4C7B" w:rsidP="0021443B">
      <w:pPr>
        <w:spacing w:before="0" w:after="0" w:line="300" w:lineRule="auto"/>
        <w:rPr>
          <w:rFonts w:ascii="Arial" w:hAnsi="Arial" w:cs="Arial"/>
          <w:sz w:val="24"/>
          <w:szCs w:val="24"/>
        </w:rPr>
      </w:pPr>
    </w:p>
    <w:p w14:paraId="2EC761C3" w14:textId="1741495D" w:rsidR="00B16DBF" w:rsidRPr="00B16DBF" w:rsidRDefault="00B16DBF" w:rsidP="00AC7BA7">
      <w:pPr>
        <w:pStyle w:val="Heading2"/>
      </w:pPr>
      <w:r>
        <w:t>Modernising and strengthening TEQSA’s powers</w:t>
      </w:r>
    </w:p>
    <w:p w14:paraId="47B713D5" w14:textId="77777777" w:rsidR="00B16DBF" w:rsidRPr="007E3A25" w:rsidRDefault="00B16DBF" w:rsidP="0021443B">
      <w:pPr>
        <w:spacing w:before="0" w:after="0" w:line="300" w:lineRule="auto"/>
        <w:rPr>
          <w:rFonts w:ascii="Arial" w:hAnsi="Arial" w:cs="Arial"/>
          <w:sz w:val="24"/>
          <w:szCs w:val="24"/>
        </w:rPr>
      </w:pPr>
    </w:p>
    <w:bookmarkEnd w:id="0"/>
    <w:p w14:paraId="2FD3B813" w14:textId="73FCF745" w:rsidR="00A72B3A" w:rsidRPr="007E3A25" w:rsidRDefault="00A72B3A" w:rsidP="00AB6BC4">
      <w:pPr>
        <w:spacing w:before="0" w:after="0" w:line="300" w:lineRule="auto"/>
        <w:rPr>
          <w:rFonts w:ascii="Arial" w:hAnsi="Arial" w:cs="Arial"/>
          <w:sz w:val="24"/>
          <w:szCs w:val="24"/>
        </w:rPr>
      </w:pPr>
      <w:r w:rsidRPr="00881B07">
        <w:rPr>
          <w:rFonts w:ascii="Arial" w:hAnsi="Arial" w:cs="Arial"/>
          <w:sz w:val="24"/>
          <w:szCs w:val="24"/>
        </w:rPr>
        <w:t>In September</w:t>
      </w:r>
      <w:r w:rsidR="0024543A" w:rsidRPr="00881B07">
        <w:rPr>
          <w:rFonts w:ascii="Arial" w:hAnsi="Arial" w:cs="Arial"/>
          <w:sz w:val="24"/>
          <w:szCs w:val="24"/>
        </w:rPr>
        <w:t xml:space="preserve"> and </w:t>
      </w:r>
      <w:r w:rsidRPr="00881B07">
        <w:rPr>
          <w:rFonts w:ascii="Arial" w:hAnsi="Arial" w:cs="Arial"/>
          <w:sz w:val="24"/>
          <w:szCs w:val="24"/>
        </w:rPr>
        <w:t xml:space="preserve">October 2025, the Government consulted on opportunities to </w:t>
      </w:r>
      <w:r w:rsidR="00F8038D" w:rsidRPr="009E4BA7">
        <w:rPr>
          <w:rFonts w:ascii="Arial" w:hAnsi="Arial" w:cs="Arial"/>
          <w:sz w:val="24"/>
          <w:szCs w:val="24"/>
        </w:rPr>
        <w:t>modernise and strengthen TEQSA’s powers to better meet the standards students, staff and the community expect of our universities.</w:t>
      </w:r>
      <w:r w:rsidR="00881B07" w:rsidRPr="009E4BA7">
        <w:rPr>
          <w:rFonts w:ascii="Arial" w:hAnsi="Arial" w:cs="Arial"/>
          <w:sz w:val="24"/>
          <w:szCs w:val="24"/>
        </w:rPr>
        <w:t xml:space="preserve"> This included</w:t>
      </w:r>
      <w:r w:rsidRPr="009E4BA7">
        <w:rPr>
          <w:rFonts w:ascii="Arial" w:hAnsi="Arial" w:cs="Arial"/>
          <w:sz w:val="24"/>
          <w:szCs w:val="24"/>
        </w:rPr>
        <w:t xml:space="preserve"> ensur</w:t>
      </w:r>
      <w:r w:rsidR="00881B07" w:rsidRPr="009E4BA7">
        <w:rPr>
          <w:rFonts w:ascii="Arial" w:hAnsi="Arial" w:cs="Arial"/>
          <w:sz w:val="24"/>
          <w:szCs w:val="24"/>
        </w:rPr>
        <w:t>ing</w:t>
      </w:r>
      <w:r w:rsidRPr="009E4BA7">
        <w:rPr>
          <w:rFonts w:ascii="Arial" w:hAnsi="Arial" w:cs="Arial"/>
          <w:sz w:val="24"/>
          <w:szCs w:val="24"/>
        </w:rPr>
        <w:t xml:space="preserve"> the higher education regulatory system is student</w:t>
      </w:r>
      <w:r w:rsidRPr="009E4BA7">
        <w:rPr>
          <w:rFonts w:ascii="Arial" w:hAnsi="Arial" w:cs="Arial"/>
          <w:sz w:val="24"/>
          <w:szCs w:val="24"/>
        </w:rPr>
        <w:noBreakHyphen/>
        <w:t xml:space="preserve">centred </w:t>
      </w:r>
      <w:r w:rsidR="00F3577F" w:rsidRPr="009E4BA7">
        <w:rPr>
          <w:rFonts w:ascii="Arial" w:hAnsi="Arial" w:cs="Arial"/>
          <w:sz w:val="24"/>
          <w:szCs w:val="24"/>
        </w:rPr>
        <w:t xml:space="preserve">and </w:t>
      </w:r>
      <w:r w:rsidRPr="009E4BA7">
        <w:rPr>
          <w:rFonts w:ascii="Arial" w:hAnsi="Arial" w:cs="Arial"/>
          <w:sz w:val="24"/>
          <w:szCs w:val="24"/>
        </w:rPr>
        <w:t>responsive to contemporary community expectations,</w:t>
      </w:r>
      <w:r w:rsidR="00F3577F" w:rsidRPr="009E4BA7">
        <w:rPr>
          <w:rFonts w:ascii="Arial" w:hAnsi="Arial" w:cs="Arial"/>
          <w:sz w:val="24"/>
          <w:szCs w:val="24"/>
        </w:rPr>
        <w:t xml:space="preserve"> including on university governance</w:t>
      </w:r>
      <w:r w:rsidR="005C31E0" w:rsidRPr="009E4BA7">
        <w:rPr>
          <w:rFonts w:ascii="Arial" w:hAnsi="Arial" w:cs="Arial"/>
          <w:sz w:val="24"/>
          <w:szCs w:val="24"/>
        </w:rPr>
        <w:t>, and that TEQSA is equipped to act proactively where risks emerge.</w:t>
      </w:r>
    </w:p>
    <w:p w14:paraId="3B7291D0" w14:textId="77777777" w:rsidR="00D45853" w:rsidRPr="007E3A25" w:rsidRDefault="00D45853" w:rsidP="007E3A25">
      <w:pPr>
        <w:spacing w:before="0" w:after="0" w:line="300" w:lineRule="auto"/>
        <w:rPr>
          <w:rFonts w:ascii="Arial" w:hAnsi="Arial" w:cs="Arial"/>
          <w:sz w:val="24"/>
          <w:szCs w:val="24"/>
        </w:rPr>
      </w:pPr>
    </w:p>
    <w:p w14:paraId="68496F3E" w14:textId="486A6276" w:rsidR="00A72B3A" w:rsidRPr="007E3A25" w:rsidRDefault="00A72B3A" w:rsidP="007E3A25">
      <w:pPr>
        <w:spacing w:before="0" w:after="0" w:line="300" w:lineRule="auto"/>
        <w:rPr>
          <w:rFonts w:ascii="Arial" w:hAnsi="Arial" w:cs="Arial"/>
          <w:sz w:val="24"/>
          <w:szCs w:val="24"/>
        </w:rPr>
      </w:pPr>
      <w:r w:rsidRPr="007E3A25">
        <w:rPr>
          <w:rFonts w:ascii="Arial" w:hAnsi="Arial" w:cs="Arial"/>
          <w:sz w:val="24"/>
          <w:szCs w:val="24"/>
        </w:rPr>
        <w:t xml:space="preserve">Feedback from this process will inform </w:t>
      </w:r>
      <w:r w:rsidR="00D45853" w:rsidRPr="007E3A25">
        <w:rPr>
          <w:rFonts w:ascii="Arial" w:hAnsi="Arial" w:cs="Arial"/>
          <w:sz w:val="24"/>
          <w:szCs w:val="24"/>
        </w:rPr>
        <w:t xml:space="preserve">further </w:t>
      </w:r>
      <w:r w:rsidRPr="007E3A25">
        <w:rPr>
          <w:rFonts w:ascii="Arial" w:hAnsi="Arial" w:cs="Arial"/>
          <w:sz w:val="24"/>
          <w:szCs w:val="24"/>
        </w:rPr>
        <w:t>improvements to the</w:t>
      </w:r>
      <w:r w:rsidR="00D45853" w:rsidRPr="007E3A25">
        <w:rPr>
          <w:rFonts w:ascii="Arial" w:hAnsi="Arial" w:cs="Arial"/>
          <w:sz w:val="24"/>
          <w:szCs w:val="24"/>
        </w:rPr>
        <w:t xml:space="preserve"> higher education legislative and</w:t>
      </w:r>
      <w:r w:rsidRPr="007E3A25">
        <w:rPr>
          <w:rFonts w:ascii="Arial" w:hAnsi="Arial" w:cs="Arial"/>
          <w:sz w:val="24"/>
          <w:szCs w:val="24"/>
        </w:rPr>
        <w:t xml:space="preserve"> regulatory framework</w:t>
      </w:r>
      <w:r w:rsidR="00F3577F" w:rsidRPr="007E3A25">
        <w:rPr>
          <w:rFonts w:ascii="Arial" w:hAnsi="Arial" w:cs="Arial"/>
          <w:sz w:val="24"/>
          <w:szCs w:val="24"/>
        </w:rPr>
        <w:t xml:space="preserve"> and will</w:t>
      </w:r>
      <w:r w:rsidRPr="007E3A25">
        <w:rPr>
          <w:rFonts w:ascii="Arial" w:hAnsi="Arial" w:cs="Arial"/>
          <w:sz w:val="24"/>
          <w:szCs w:val="24"/>
        </w:rPr>
        <w:t xml:space="preserve"> </w:t>
      </w:r>
      <w:r w:rsidR="00D45853" w:rsidRPr="007E3A25">
        <w:rPr>
          <w:rFonts w:ascii="Arial" w:hAnsi="Arial" w:cs="Arial"/>
          <w:sz w:val="24"/>
          <w:szCs w:val="24"/>
        </w:rPr>
        <w:t xml:space="preserve">ensure </w:t>
      </w:r>
      <w:r w:rsidRPr="007E3A25">
        <w:rPr>
          <w:rFonts w:ascii="Arial" w:hAnsi="Arial" w:cs="Arial"/>
          <w:sz w:val="24"/>
          <w:szCs w:val="24"/>
        </w:rPr>
        <w:t xml:space="preserve">TEQSA </w:t>
      </w:r>
      <w:r w:rsidR="00D45853" w:rsidRPr="007E3A25">
        <w:rPr>
          <w:rFonts w:ascii="Arial" w:hAnsi="Arial" w:cs="Arial"/>
          <w:sz w:val="24"/>
          <w:szCs w:val="24"/>
        </w:rPr>
        <w:t xml:space="preserve">can </w:t>
      </w:r>
      <w:r w:rsidRPr="007E3A25">
        <w:rPr>
          <w:rFonts w:ascii="Arial" w:hAnsi="Arial" w:cs="Arial"/>
          <w:sz w:val="24"/>
          <w:szCs w:val="24"/>
        </w:rPr>
        <w:t>step in and act when justified in the public interest.</w:t>
      </w:r>
    </w:p>
    <w:p w14:paraId="56B84602" w14:textId="77777777" w:rsidR="00B16DBF" w:rsidRDefault="00B16DBF" w:rsidP="00F547F0">
      <w:pPr>
        <w:spacing w:before="0" w:after="0" w:line="300" w:lineRule="auto"/>
        <w:rPr>
          <w:rFonts w:ascii="Arial" w:hAnsi="Arial" w:cs="Arial"/>
          <w:sz w:val="24"/>
          <w:szCs w:val="24"/>
        </w:rPr>
      </w:pPr>
    </w:p>
    <w:p w14:paraId="3F4C0BF3" w14:textId="1ECD40A5" w:rsidR="00B16DBF" w:rsidRPr="00B16DBF" w:rsidRDefault="00B16DBF" w:rsidP="00AC7BA7">
      <w:pPr>
        <w:pStyle w:val="Heading2"/>
      </w:pPr>
      <w:r>
        <w:t>Student and staff wellbeing</w:t>
      </w:r>
    </w:p>
    <w:p w14:paraId="59D11153" w14:textId="77777777" w:rsidR="00B16DBF" w:rsidRDefault="00B16DBF" w:rsidP="00F547F0">
      <w:pPr>
        <w:spacing w:before="0" w:after="0" w:line="300" w:lineRule="auto"/>
        <w:rPr>
          <w:rFonts w:ascii="Arial" w:hAnsi="Arial" w:cs="Arial"/>
          <w:sz w:val="24"/>
          <w:szCs w:val="24"/>
        </w:rPr>
      </w:pPr>
    </w:p>
    <w:p w14:paraId="73201F12" w14:textId="78C995A3" w:rsidR="00243373" w:rsidRPr="00B95772" w:rsidRDefault="00F547F0" w:rsidP="00F547F0">
      <w:pPr>
        <w:spacing w:before="0" w:after="0" w:line="300" w:lineRule="auto"/>
        <w:rPr>
          <w:rFonts w:ascii="Arial" w:hAnsi="Arial" w:cs="Arial"/>
          <w:sz w:val="24"/>
          <w:szCs w:val="24"/>
        </w:rPr>
      </w:pPr>
      <w:r w:rsidRPr="00B95772">
        <w:rPr>
          <w:rFonts w:ascii="Arial" w:hAnsi="Arial" w:cs="Arial"/>
          <w:sz w:val="24"/>
          <w:szCs w:val="24"/>
        </w:rPr>
        <w:t xml:space="preserve">The Government established the independent National Student Ombudsman (NSO) to investigate and resolve student complaints about universities. The NSO commenced operations on 1 February 2025 and </w:t>
      </w:r>
      <w:r w:rsidR="0026550D" w:rsidRPr="0026550D">
        <w:rPr>
          <w:rFonts w:ascii="Arial" w:hAnsi="Arial" w:cs="Arial"/>
          <w:sz w:val="24"/>
          <w:szCs w:val="24"/>
        </w:rPr>
        <w:t>aims to provide an effective, trauma-informed complaints mechanism for higher education students</w:t>
      </w:r>
      <w:r w:rsidR="00176A51">
        <w:rPr>
          <w:rFonts w:ascii="Arial" w:hAnsi="Arial" w:cs="Arial"/>
          <w:sz w:val="24"/>
          <w:szCs w:val="24"/>
        </w:rPr>
        <w:t>.</w:t>
      </w:r>
    </w:p>
    <w:p w14:paraId="00198F23" w14:textId="77777777" w:rsidR="00243373" w:rsidRPr="00B95772" w:rsidRDefault="00243373" w:rsidP="00243373">
      <w:pPr>
        <w:spacing w:before="0" w:after="0" w:line="300" w:lineRule="auto"/>
        <w:rPr>
          <w:rFonts w:ascii="Arial" w:hAnsi="Arial" w:cs="Arial"/>
          <w:sz w:val="24"/>
          <w:szCs w:val="24"/>
        </w:rPr>
      </w:pPr>
    </w:p>
    <w:p w14:paraId="0DAE7FED" w14:textId="764243FA" w:rsidR="00F547F0" w:rsidRPr="00B95772" w:rsidRDefault="00F547F0" w:rsidP="00243373">
      <w:pPr>
        <w:spacing w:before="0" w:after="0" w:line="300" w:lineRule="auto"/>
        <w:rPr>
          <w:rFonts w:ascii="Arial" w:hAnsi="Arial" w:cs="Arial"/>
          <w:sz w:val="24"/>
          <w:szCs w:val="24"/>
        </w:rPr>
      </w:pPr>
      <w:r w:rsidRPr="00B95772">
        <w:rPr>
          <w:rFonts w:ascii="Arial" w:hAnsi="Arial" w:cs="Arial"/>
          <w:sz w:val="24"/>
          <w:szCs w:val="24"/>
        </w:rPr>
        <w:t>The NSO has strong investigative powers</w:t>
      </w:r>
      <w:r w:rsidR="00E47F3D" w:rsidRPr="00E47F3D">
        <w:rPr>
          <w:rFonts w:ascii="Arial" w:hAnsi="Arial" w:cs="Arial"/>
          <w:sz w:val="24"/>
          <w:szCs w:val="24"/>
        </w:rPr>
        <w:t xml:space="preserve">, </w:t>
      </w:r>
      <w:proofErr w:type="gramStart"/>
      <w:r w:rsidR="00E47F3D" w:rsidRPr="00E47F3D">
        <w:rPr>
          <w:rFonts w:ascii="Arial" w:hAnsi="Arial" w:cs="Arial"/>
          <w:sz w:val="24"/>
          <w:szCs w:val="24"/>
        </w:rPr>
        <w:t>similar to</w:t>
      </w:r>
      <w:proofErr w:type="gramEnd"/>
      <w:r w:rsidR="00E47F3D" w:rsidRPr="00E47F3D">
        <w:rPr>
          <w:rFonts w:ascii="Arial" w:hAnsi="Arial" w:cs="Arial"/>
          <w:sz w:val="24"/>
          <w:szCs w:val="24"/>
        </w:rPr>
        <w:t xml:space="preserve"> those of a Royal Commission, </w:t>
      </w:r>
      <w:r w:rsidRPr="00B95772">
        <w:rPr>
          <w:rFonts w:ascii="Arial" w:hAnsi="Arial" w:cs="Arial"/>
          <w:sz w:val="24"/>
          <w:szCs w:val="24"/>
        </w:rPr>
        <w:t xml:space="preserve">and can make recommendations to a provider about the actions that should be taken to resolve a complaint. The NSO has the power to monitor a provider’s </w:t>
      </w:r>
      <w:r w:rsidRPr="00B95772">
        <w:rPr>
          <w:rFonts w:ascii="Arial" w:hAnsi="Arial" w:cs="Arial"/>
          <w:sz w:val="24"/>
          <w:szCs w:val="24"/>
        </w:rPr>
        <w:lastRenderedPageBreak/>
        <w:t>implementation of its recommendations, as well as share information with relevant regulators to provide the basis for potential compliance action where necessary.</w:t>
      </w:r>
    </w:p>
    <w:p w14:paraId="6EBC4890" w14:textId="77777777" w:rsidR="00F547F0" w:rsidRPr="00B95772" w:rsidRDefault="00F547F0" w:rsidP="006F0770">
      <w:pPr>
        <w:spacing w:before="0" w:after="0" w:line="300" w:lineRule="auto"/>
        <w:rPr>
          <w:rFonts w:ascii="Arial" w:hAnsi="Arial" w:cs="Arial"/>
          <w:sz w:val="24"/>
          <w:szCs w:val="24"/>
        </w:rPr>
      </w:pPr>
    </w:p>
    <w:p w14:paraId="7A6E5207" w14:textId="77777777" w:rsidR="00F547F0" w:rsidRPr="000C120C" w:rsidRDefault="00F547F0" w:rsidP="00F547F0">
      <w:pPr>
        <w:spacing w:before="0" w:after="0" w:line="300" w:lineRule="auto"/>
        <w:rPr>
          <w:rFonts w:ascii="Arial" w:hAnsi="Arial" w:cs="Arial"/>
          <w:sz w:val="24"/>
          <w:szCs w:val="24"/>
        </w:rPr>
      </w:pPr>
      <w:r w:rsidRPr="000C120C">
        <w:rPr>
          <w:rFonts w:ascii="Arial" w:hAnsi="Arial" w:cs="Arial"/>
          <w:sz w:val="24"/>
          <w:szCs w:val="24"/>
        </w:rPr>
        <w:t>If a provider does not take appropriate action in response to NSO recommendations, the NSO is able to provide the Minister for Education with a copy of an investigation report for tabling in Parliament. The NSO reports annually on complaint volumes, complaints outcomes and compliance with recommendations.</w:t>
      </w:r>
    </w:p>
    <w:p w14:paraId="71BD9119" w14:textId="77777777" w:rsidR="00F547F0" w:rsidRPr="000C120C" w:rsidRDefault="00F547F0" w:rsidP="006F0770">
      <w:pPr>
        <w:spacing w:before="0" w:after="0" w:line="300" w:lineRule="auto"/>
        <w:rPr>
          <w:rFonts w:ascii="Arial" w:hAnsi="Arial" w:cs="Arial"/>
          <w:sz w:val="24"/>
          <w:szCs w:val="24"/>
        </w:rPr>
      </w:pPr>
    </w:p>
    <w:p w14:paraId="7CFD6722" w14:textId="379A6009" w:rsidR="00F547F0" w:rsidRPr="000C120C" w:rsidRDefault="00E9144E" w:rsidP="007E3A25">
      <w:pPr>
        <w:spacing w:before="0" w:after="0" w:line="300" w:lineRule="auto"/>
        <w:rPr>
          <w:rFonts w:ascii="Arial" w:hAnsi="Arial" w:cs="Arial"/>
          <w:sz w:val="24"/>
          <w:szCs w:val="24"/>
        </w:rPr>
      </w:pPr>
      <w:r w:rsidRPr="000C120C">
        <w:rPr>
          <w:rFonts w:ascii="Arial" w:hAnsi="Arial" w:cs="Arial"/>
          <w:sz w:val="24"/>
          <w:szCs w:val="24"/>
        </w:rPr>
        <w:t>TEQSA</w:t>
      </w:r>
      <w:r w:rsidR="00FB2D03" w:rsidRPr="000C120C">
        <w:rPr>
          <w:rFonts w:ascii="Arial" w:hAnsi="Arial" w:cs="Arial"/>
          <w:sz w:val="24"/>
          <w:szCs w:val="24"/>
        </w:rPr>
        <w:t xml:space="preserve"> </w:t>
      </w:r>
      <w:r w:rsidR="007B4AB6" w:rsidRPr="000C120C">
        <w:rPr>
          <w:rFonts w:ascii="Arial" w:hAnsi="Arial" w:cs="Arial"/>
          <w:sz w:val="24"/>
          <w:szCs w:val="24"/>
        </w:rPr>
        <w:t xml:space="preserve">has </w:t>
      </w:r>
      <w:r w:rsidR="00F547F0" w:rsidRPr="000C120C">
        <w:rPr>
          <w:rFonts w:ascii="Arial" w:hAnsi="Arial" w:cs="Arial"/>
          <w:sz w:val="24"/>
          <w:szCs w:val="24"/>
        </w:rPr>
        <w:t xml:space="preserve">issued </w:t>
      </w:r>
      <w:r w:rsidR="00D65C93" w:rsidRPr="000C120C">
        <w:rPr>
          <w:rFonts w:ascii="Arial" w:hAnsi="Arial" w:cs="Arial"/>
          <w:sz w:val="24"/>
          <w:szCs w:val="24"/>
        </w:rPr>
        <w:t xml:space="preserve">a Statement of Regulatory Expectations on </w:t>
      </w:r>
      <w:r w:rsidR="00B16DBF" w:rsidRPr="000C120C">
        <w:rPr>
          <w:rFonts w:ascii="Arial" w:hAnsi="Arial" w:cs="Arial"/>
          <w:sz w:val="24"/>
          <w:szCs w:val="24"/>
        </w:rPr>
        <w:t>s</w:t>
      </w:r>
      <w:r w:rsidR="00D65C93" w:rsidRPr="000C120C">
        <w:rPr>
          <w:rFonts w:ascii="Arial" w:hAnsi="Arial" w:cs="Arial"/>
          <w:sz w:val="24"/>
          <w:szCs w:val="24"/>
        </w:rPr>
        <w:t>tudent grievance and complaint mechanisms</w:t>
      </w:r>
      <w:r w:rsidR="0072310C" w:rsidRPr="000C120C">
        <w:rPr>
          <w:rFonts w:ascii="Arial" w:hAnsi="Arial" w:cs="Arial"/>
          <w:sz w:val="24"/>
          <w:szCs w:val="24"/>
        </w:rPr>
        <w:t xml:space="preserve"> which </w:t>
      </w:r>
      <w:r w:rsidR="00F547F0" w:rsidRPr="000C120C">
        <w:rPr>
          <w:rFonts w:ascii="Arial" w:hAnsi="Arial" w:cs="Arial"/>
          <w:sz w:val="24"/>
          <w:szCs w:val="24"/>
        </w:rPr>
        <w:t>set</w:t>
      </w:r>
      <w:r w:rsidR="007B4AB6" w:rsidRPr="000C120C">
        <w:rPr>
          <w:rFonts w:ascii="Arial" w:hAnsi="Arial" w:cs="Arial"/>
          <w:sz w:val="24"/>
          <w:szCs w:val="24"/>
        </w:rPr>
        <w:t>s</w:t>
      </w:r>
      <w:r w:rsidR="00F547F0" w:rsidRPr="000C120C">
        <w:rPr>
          <w:rFonts w:ascii="Arial" w:hAnsi="Arial" w:cs="Arial"/>
          <w:sz w:val="24"/>
          <w:szCs w:val="24"/>
        </w:rPr>
        <w:t xml:space="preserve"> out </w:t>
      </w:r>
      <w:r w:rsidR="007B4AB6" w:rsidRPr="000C120C">
        <w:rPr>
          <w:rFonts w:ascii="Arial" w:hAnsi="Arial" w:cs="Arial"/>
          <w:sz w:val="24"/>
          <w:szCs w:val="24"/>
        </w:rPr>
        <w:t xml:space="preserve">TEQSA’s </w:t>
      </w:r>
      <w:r w:rsidR="00F547F0" w:rsidRPr="000C120C">
        <w:rPr>
          <w:rFonts w:ascii="Arial" w:hAnsi="Arial" w:cs="Arial"/>
          <w:sz w:val="24"/>
          <w:szCs w:val="24"/>
        </w:rPr>
        <w:t xml:space="preserve">expectations relating to governance and accountability </w:t>
      </w:r>
      <w:r w:rsidR="007B4AB6" w:rsidRPr="000C120C">
        <w:rPr>
          <w:rFonts w:ascii="Arial" w:hAnsi="Arial" w:cs="Arial"/>
          <w:sz w:val="24"/>
          <w:szCs w:val="24"/>
        </w:rPr>
        <w:t xml:space="preserve">regarding student complaints, </w:t>
      </w:r>
      <w:r w:rsidR="00F547F0" w:rsidRPr="000C120C">
        <w:rPr>
          <w:rFonts w:ascii="Arial" w:hAnsi="Arial" w:cs="Arial"/>
          <w:sz w:val="24"/>
          <w:szCs w:val="24"/>
        </w:rPr>
        <w:t>including assurance</w:t>
      </w:r>
      <w:r w:rsidR="0001737C" w:rsidRPr="000C120C">
        <w:rPr>
          <w:rFonts w:ascii="Arial" w:hAnsi="Arial" w:cs="Arial"/>
          <w:sz w:val="24"/>
          <w:szCs w:val="24"/>
        </w:rPr>
        <w:t xml:space="preserve"> and </w:t>
      </w:r>
      <w:r w:rsidR="00F547F0" w:rsidRPr="000C120C">
        <w:rPr>
          <w:rFonts w:ascii="Arial" w:hAnsi="Arial" w:cs="Arial"/>
          <w:sz w:val="24"/>
          <w:szCs w:val="24"/>
        </w:rPr>
        <w:t xml:space="preserve">reporting </w:t>
      </w:r>
      <w:r w:rsidR="007B4AB6" w:rsidRPr="000C120C">
        <w:rPr>
          <w:rFonts w:ascii="Arial" w:hAnsi="Arial" w:cs="Arial"/>
          <w:sz w:val="24"/>
          <w:szCs w:val="24"/>
        </w:rPr>
        <w:t>to</w:t>
      </w:r>
      <w:r w:rsidR="00F547F0" w:rsidRPr="000C120C">
        <w:rPr>
          <w:rFonts w:ascii="Arial" w:hAnsi="Arial" w:cs="Arial"/>
          <w:sz w:val="24"/>
          <w:szCs w:val="24"/>
        </w:rPr>
        <w:t xml:space="preserve"> </w:t>
      </w:r>
      <w:r w:rsidR="00692472" w:rsidRPr="000C120C">
        <w:rPr>
          <w:rFonts w:ascii="Arial" w:hAnsi="Arial" w:cs="Arial"/>
          <w:sz w:val="24"/>
          <w:szCs w:val="24"/>
        </w:rPr>
        <w:t>higher education providers</w:t>
      </w:r>
      <w:r w:rsidR="00B16DBF" w:rsidRPr="000C120C">
        <w:rPr>
          <w:rFonts w:ascii="Arial" w:hAnsi="Arial" w:cs="Arial"/>
          <w:sz w:val="24"/>
          <w:szCs w:val="24"/>
        </w:rPr>
        <w:t>’</w:t>
      </w:r>
      <w:r w:rsidR="00692472" w:rsidRPr="000C120C">
        <w:rPr>
          <w:rFonts w:ascii="Arial" w:hAnsi="Arial" w:cs="Arial"/>
          <w:sz w:val="24"/>
          <w:szCs w:val="24"/>
        </w:rPr>
        <w:t xml:space="preserve"> </w:t>
      </w:r>
      <w:r w:rsidR="00F547F0" w:rsidRPr="000C120C">
        <w:rPr>
          <w:rFonts w:ascii="Arial" w:hAnsi="Arial" w:cs="Arial"/>
          <w:sz w:val="24"/>
          <w:szCs w:val="24"/>
        </w:rPr>
        <w:t>governance bodies.</w:t>
      </w:r>
    </w:p>
    <w:p w14:paraId="5E015A99" w14:textId="77777777" w:rsidR="00136AD6" w:rsidRPr="000C120C" w:rsidRDefault="00136AD6" w:rsidP="007E3A25">
      <w:pPr>
        <w:spacing w:before="0" w:after="0" w:line="300" w:lineRule="auto"/>
        <w:rPr>
          <w:rFonts w:ascii="Arial" w:hAnsi="Arial" w:cs="Arial"/>
          <w:sz w:val="24"/>
          <w:szCs w:val="24"/>
        </w:rPr>
      </w:pPr>
    </w:p>
    <w:p w14:paraId="0AA74FE9" w14:textId="4D341B95" w:rsidR="00B772E4" w:rsidRPr="000C120C" w:rsidRDefault="00665AA3" w:rsidP="00F65467">
      <w:pPr>
        <w:spacing w:before="0" w:after="0" w:line="300" w:lineRule="auto"/>
        <w:rPr>
          <w:rFonts w:ascii="Arial" w:hAnsi="Arial" w:cs="Arial"/>
          <w:sz w:val="24"/>
          <w:szCs w:val="24"/>
        </w:rPr>
      </w:pPr>
      <w:r w:rsidRPr="000C120C">
        <w:rPr>
          <w:rFonts w:ascii="Arial" w:hAnsi="Arial" w:cs="Arial"/>
          <w:sz w:val="24"/>
          <w:szCs w:val="24"/>
        </w:rPr>
        <w:t xml:space="preserve">TEQSA </w:t>
      </w:r>
      <w:r w:rsidR="00F65467" w:rsidRPr="000C120C">
        <w:rPr>
          <w:rFonts w:ascii="Arial" w:hAnsi="Arial" w:cs="Arial"/>
          <w:sz w:val="24"/>
          <w:szCs w:val="24"/>
        </w:rPr>
        <w:t>has</w:t>
      </w:r>
      <w:r w:rsidR="00B16DBF" w:rsidRPr="000C120C">
        <w:rPr>
          <w:rFonts w:ascii="Arial" w:hAnsi="Arial" w:cs="Arial"/>
          <w:sz w:val="24"/>
          <w:szCs w:val="24"/>
        </w:rPr>
        <w:t xml:space="preserve"> </w:t>
      </w:r>
      <w:r w:rsidRPr="000C120C">
        <w:rPr>
          <w:rFonts w:ascii="Arial" w:hAnsi="Arial" w:cs="Arial"/>
          <w:sz w:val="24"/>
          <w:szCs w:val="24"/>
        </w:rPr>
        <w:t>published a Statement of Regulatory Expectation</w:t>
      </w:r>
      <w:r w:rsidR="00176A51">
        <w:rPr>
          <w:rFonts w:ascii="Arial" w:hAnsi="Arial" w:cs="Arial"/>
          <w:sz w:val="24"/>
          <w:szCs w:val="24"/>
        </w:rPr>
        <w:t>s</w:t>
      </w:r>
      <w:r w:rsidRPr="000C120C">
        <w:rPr>
          <w:rFonts w:ascii="Arial" w:hAnsi="Arial" w:cs="Arial"/>
          <w:sz w:val="24"/>
          <w:szCs w:val="24"/>
        </w:rPr>
        <w:t xml:space="preserve"> on </w:t>
      </w:r>
      <w:r w:rsidR="00B16DBF" w:rsidRPr="000C120C">
        <w:rPr>
          <w:rFonts w:ascii="Arial" w:hAnsi="Arial" w:cs="Arial"/>
          <w:sz w:val="24"/>
          <w:szCs w:val="24"/>
        </w:rPr>
        <w:t>c</w:t>
      </w:r>
      <w:r w:rsidR="00376EAB" w:rsidRPr="000C120C">
        <w:rPr>
          <w:rFonts w:ascii="Arial" w:hAnsi="Arial" w:cs="Arial"/>
          <w:sz w:val="24"/>
          <w:szCs w:val="24"/>
        </w:rPr>
        <w:t>ompliance with w</w:t>
      </w:r>
      <w:r w:rsidR="00C94A11" w:rsidRPr="000C120C">
        <w:rPr>
          <w:rFonts w:ascii="Arial" w:hAnsi="Arial" w:cs="Arial"/>
          <w:sz w:val="24"/>
          <w:szCs w:val="24"/>
        </w:rPr>
        <w:t xml:space="preserve">orkplace </w:t>
      </w:r>
      <w:r w:rsidR="00376EAB" w:rsidRPr="000C120C">
        <w:rPr>
          <w:rFonts w:ascii="Arial" w:hAnsi="Arial" w:cs="Arial"/>
          <w:sz w:val="24"/>
          <w:szCs w:val="24"/>
        </w:rPr>
        <w:t>obligations</w:t>
      </w:r>
      <w:r w:rsidR="00507E26" w:rsidRPr="000C120C">
        <w:rPr>
          <w:rFonts w:ascii="Arial" w:hAnsi="Arial" w:cs="Arial"/>
          <w:sz w:val="24"/>
          <w:szCs w:val="24"/>
        </w:rPr>
        <w:t xml:space="preserve">. This </w:t>
      </w:r>
      <w:r w:rsidR="002E7833" w:rsidRPr="000C120C">
        <w:rPr>
          <w:rFonts w:ascii="Arial" w:hAnsi="Arial" w:cs="Arial"/>
          <w:sz w:val="24"/>
          <w:szCs w:val="24"/>
        </w:rPr>
        <w:t xml:space="preserve">Statement </w:t>
      </w:r>
      <w:r w:rsidR="0052608D" w:rsidRPr="000C120C">
        <w:rPr>
          <w:rFonts w:ascii="Arial" w:hAnsi="Arial" w:cs="Arial"/>
          <w:sz w:val="24"/>
          <w:szCs w:val="24"/>
        </w:rPr>
        <w:t xml:space="preserve">sets </w:t>
      </w:r>
      <w:r w:rsidR="002E7833" w:rsidRPr="000C120C">
        <w:rPr>
          <w:rFonts w:ascii="Arial" w:hAnsi="Arial" w:cs="Arial"/>
          <w:sz w:val="24"/>
          <w:szCs w:val="24"/>
        </w:rPr>
        <w:t xml:space="preserve">out TEQSA’s </w:t>
      </w:r>
      <w:r w:rsidR="0052608D" w:rsidRPr="000C120C">
        <w:rPr>
          <w:rFonts w:ascii="Arial" w:hAnsi="Arial" w:cs="Arial"/>
          <w:sz w:val="24"/>
          <w:szCs w:val="24"/>
        </w:rPr>
        <w:t>expectations of registered higher education providers to ensure they are meeting their obligations under workplace laws (as defined in section 12 of the </w:t>
      </w:r>
      <w:r w:rsidR="0052608D" w:rsidRPr="000C120C">
        <w:rPr>
          <w:rFonts w:ascii="Arial" w:hAnsi="Arial" w:cs="Arial"/>
          <w:i/>
          <w:iCs/>
          <w:sz w:val="24"/>
          <w:szCs w:val="24"/>
        </w:rPr>
        <w:t>Fair Work Act 2009</w:t>
      </w:r>
      <w:r w:rsidR="0052608D" w:rsidRPr="000C120C">
        <w:rPr>
          <w:rFonts w:ascii="Arial" w:hAnsi="Arial" w:cs="Arial"/>
          <w:sz w:val="24"/>
          <w:szCs w:val="24"/>
        </w:rPr>
        <w:t>) to their staff.</w:t>
      </w:r>
    </w:p>
    <w:p w14:paraId="60960307" w14:textId="77777777" w:rsidR="00B772E4" w:rsidRPr="000C120C" w:rsidRDefault="00B772E4" w:rsidP="00F65467">
      <w:pPr>
        <w:spacing w:before="0" w:after="0" w:line="300" w:lineRule="auto"/>
        <w:rPr>
          <w:rFonts w:ascii="Arial" w:hAnsi="Arial" w:cs="Arial"/>
          <w:color w:val="565A66"/>
          <w:sz w:val="26"/>
          <w:szCs w:val="26"/>
          <w:shd w:val="clear" w:color="auto" w:fill="FFFFFF"/>
        </w:rPr>
      </w:pPr>
    </w:p>
    <w:p w14:paraId="1EDC3AC2" w14:textId="32BE709D" w:rsidR="00E9144E" w:rsidRPr="000C120C" w:rsidRDefault="00B772E4" w:rsidP="00F65467">
      <w:pPr>
        <w:spacing w:before="0" w:after="0" w:line="300" w:lineRule="auto"/>
        <w:rPr>
          <w:rFonts w:ascii="Arial" w:hAnsi="Arial" w:cs="Arial"/>
          <w:sz w:val="24"/>
          <w:szCs w:val="24"/>
        </w:rPr>
      </w:pPr>
      <w:r w:rsidRPr="000C120C">
        <w:rPr>
          <w:rFonts w:ascii="Arial" w:hAnsi="Arial" w:cs="Arial"/>
          <w:sz w:val="24"/>
          <w:szCs w:val="24"/>
        </w:rPr>
        <w:t>F</w:t>
      </w:r>
      <w:r w:rsidR="00D450B3" w:rsidRPr="000C120C">
        <w:rPr>
          <w:rFonts w:ascii="Arial" w:hAnsi="Arial" w:cs="Arial"/>
          <w:sz w:val="24"/>
          <w:szCs w:val="24"/>
        </w:rPr>
        <w:t>urther</w:t>
      </w:r>
      <w:r w:rsidR="00F547F0" w:rsidRPr="000C120C">
        <w:rPr>
          <w:rFonts w:ascii="Arial" w:hAnsi="Arial" w:cs="Arial"/>
          <w:sz w:val="24"/>
          <w:szCs w:val="24"/>
        </w:rPr>
        <w:t xml:space="preserve"> </w:t>
      </w:r>
      <w:r w:rsidR="007B4AB6" w:rsidRPr="000C120C">
        <w:rPr>
          <w:rFonts w:ascii="Arial" w:hAnsi="Arial" w:cs="Arial"/>
          <w:sz w:val="24"/>
          <w:szCs w:val="24"/>
        </w:rPr>
        <w:t>changes</w:t>
      </w:r>
      <w:r w:rsidR="00D65C93" w:rsidRPr="000C120C">
        <w:rPr>
          <w:rFonts w:ascii="Arial" w:hAnsi="Arial" w:cs="Arial"/>
          <w:sz w:val="24"/>
          <w:szCs w:val="24"/>
        </w:rPr>
        <w:t xml:space="preserve"> to the higher education legislative and regulatory framework</w:t>
      </w:r>
      <w:r w:rsidR="00D450B3" w:rsidRPr="000C120C">
        <w:rPr>
          <w:rFonts w:ascii="Arial" w:hAnsi="Arial" w:cs="Arial"/>
          <w:sz w:val="24"/>
          <w:szCs w:val="24"/>
        </w:rPr>
        <w:t>, as outlined above,</w:t>
      </w:r>
      <w:r w:rsidR="00D65C93" w:rsidRPr="000C120C">
        <w:rPr>
          <w:rFonts w:ascii="Arial" w:hAnsi="Arial" w:cs="Arial"/>
          <w:sz w:val="24"/>
          <w:szCs w:val="24"/>
        </w:rPr>
        <w:t xml:space="preserve"> will </w:t>
      </w:r>
      <w:r w:rsidR="00E713C5" w:rsidRPr="000C120C">
        <w:rPr>
          <w:rFonts w:ascii="Arial" w:hAnsi="Arial" w:cs="Arial"/>
          <w:sz w:val="24"/>
          <w:szCs w:val="24"/>
        </w:rPr>
        <w:t>support</w:t>
      </w:r>
      <w:r w:rsidR="00D65C93" w:rsidRPr="000C120C">
        <w:rPr>
          <w:rFonts w:ascii="Arial" w:hAnsi="Arial" w:cs="Arial"/>
          <w:sz w:val="24"/>
          <w:szCs w:val="24"/>
        </w:rPr>
        <w:t xml:space="preserve"> TEQSA to develop </w:t>
      </w:r>
      <w:r w:rsidR="001B6CCE" w:rsidRPr="000C120C">
        <w:rPr>
          <w:rFonts w:ascii="Arial" w:hAnsi="Arial" w:cs="Arial"/>
          <w:sz w:val="24"/>
          <w:szCs w:val="24"/>
        </w:rPr>
        <w:t xml:space="preserve">new </w:t>
      </w:r>
      <w:r w:rsidR="00E9144E" w:rsidRPr="000C120C">
        <w:rPr>
          <w:rFonts w:ascii="Arial" w:hAnsi="Arial" w:cs="Arial"/>
          <w:sz w:val="24"/>
          <w:szCs w:val="24"/>
        </w:rPr>
        <w:t>Statement</w:t>
      </w:r>
      <w:r w:rsidR="00D65C93" w:rsidRPr="000C120C">
        <w:rPr>
          <w:rFonts w:ascii="Arial" w:hAnsi="Arial" w:cs="Arial"/>
          <w:sz w:val="24"/>
          <w:szCs w:val="24"/>
        </w:rPr>
        <w:t>s</w:t>
      </w:r>
      <w:r w:rsidR="00E9144E" w:rsidRPr="000C120C">
        <w:rPr>
          <w:rFonts w:ascii="Arial" w:hAnsi="Arial" w:cs="Arial"/>
          <w:sz w:val="24"/>
          <w:szCs w:val="24"/>
        </w:rPr>
        <w:t xml:space="preserve"> of Regulatory Expectation</w:t>
      </w:r>
      <w:r w:rsidR="001B6CCE" w:rsidRPr="000C120C">
        <w:rPr>
          <w:rFonts w:ascii="Arial" w:hAnsi="Arial" w:cs="Arial"/>
          <w:sz w:val="24"/>
          <w:szCs w:val="24"/>
        </w:rPr>
        <w:t xml:space="preserve">, </w:t>
      </w:r>
      <w:r w:rsidR="00E713C5" w:rsidRPr="000C120C">
        <w:rPr>
          <w:rFonts w:ascii="Arial" w:hAnsi="Arial" w:cs="Arial"/>
          <w:sz w:val="24"/>
          <w:szCs w:val="24"/>
        </w:rPr>
        <w:t>includ</w:t>
      </w:r>
      <w:r w:rsidR="001B6CCE" w:rsidRPr="000C120C">
        <w:rPr>
          <w:rFonts w:ascii="Arial" w:hAnsi="Arial" w:cs="Arial"/>
          <w:sz w:val="24"/>
          <w:szCs w:val="24"/>
        </w:rPr>
        <w:t>ing on</w:t>
      </w:r>
      <w:r w:rsidR="00E713C5" w:rsidRPr="000C120C">
        <w:rPr>
          <w:rFonts w:ascii="Arial" w:hAnsi="Arial" w:cs="Arial"/>
          <w:sz w:val="24"/>
          <w:szCs w:val="24"/>
        </w:rPr>
        <w:t xml:space="preserve"> </w:t>
      </w:r>
      <w:r w:rsidR="00D65C93" w:rsidRPr="000C120C">
        <w:rPr>
          <w:rFonts w:ascii="Arial" w:hAnsi="Arial" w:cs="Arial"/>
          <w:sz w:val="24"/>
          <w:szCs w:val="24"/>
        </w:rPr>
        <w:t xml:space="preserve">university </w:t>
      </w:r>
      <w:r w:rsidR="00E9144E" w:rsidRPr="000C120C">
        <w:rPr>
          <w:rFonts w:ascii="Arial" w:hAnsi="Arial" w:cs="Arial"/>
          <w:sz w:val="24"/>
          <w:szCs w:val="24"/>
        </w:rPr>
        <w:t>governing bodies reflec</w:t>
      </w:r>
      <w:r w:rsidR="00E713C5" w:rsidRPr="000C120C">
        <w:rPr>
          <w:rFonts w:ascii="Arial" w:hAnsi="Arial" w:cs="Arial"/>
          <w:sz w:val="24"/>
          <w:szCs w:val="24"/>
        </w:rPr>
        <w:t>t</w:t>
      </w:r>
      <w:r w:rsidR="001B6CCE" w:rsidRPr="000C120C">
        <w:rPr>
          <w:rFonts w:ascii="Arial" w:hAnsi="Arial" w:cs="Arial"/>
          <w:sz w:val="24"/>
          <w:szCs w:val="24"/>
        </w:rPr>
        <w:t>ing</w:t>
      </w:r>
      <w:r w:rsidR="00E9144E" w:rsidRPr="000C120C">
        <w:rPr>
          <w:rFonts w:ascii="Arial" w:hAnsi="Arial" w:cs="Arial"/>
          <w:sz w:val="24"/>
          <w:szCs w:val="24"/>
        </w:rPr>
        <w:t xml:space="preserve"> expectations of the communities they serve and meaningfully incorporat</w:t>
      </w:r>
      <w:r w:rsidR="006A496F" w:rsidRPr="000C120C">
        <w:rPr>
          <w:rFonts w:ascii="Arial" w:hAnsi="Arial" w:cs="Arial"/>
          <w:sz w:val="24"/>
          <w:szCs w:val="24"/>
        </w:rPr>
        <w:t>ing</w:t>
      </w:r>
      <w:r w:rsidR="00E9144E" w:rsidRPr="000C120C">
        <w:rPr>
          <w:rFonts w:ascii="Arial" w:hAnsi="Arial" w:cs="Arial"/>
          <w:sz w:val="24"/>
          <w:szCs w:val="24"/>
        </w:rPr>
        <w:t xml:space="preserve"> staff and student perspectives.</w:t>
      </w:r>
    </w:p>
    <w:p w14:paraId="1B16AD98" w14:textId="77777777" w:rsidR="008C469F" w:rsidRPr="000C120C" w:rsidRDefault="008C469F" w:rsidP="006F0770">
      <w:pPr>
        <w:spacing w:before="0" w:after="0" w:line="300" w:lineRule="auto"/>
        <w:ind w:right="-188"/>
        <w:rPr>
          <w:rFonts w:ascii="Arial" w:hAnsi="Arial" w:cs="Arial"/>
          <w:sz w:val="24"/>
          <w:szCs w:val="24"/>
        </w:rPr>
      </w:pPr>
    </w:p>
    <w:p w14:paraId="7DC36E1C" w14:textId="391F14B7" w:rsidR="00B16DBF" w:rsidRPr="000C120C" w:rsidRDefault="00B16DBF" w:rsidP="00AC7BA7">
      <w:pPr>
        <w:pStyle w:val="Heading2"/>
      </w:pPr>
      <w:r w:rsidRPr="000C120C">
        <w:t>Better regulation</w:t>
      </w:r>
    </w:p>
    <w:p w14:paraId="136B5F49" w14:textId="77777777" w:rsidR="00B16DBF" w:rsidRPr="000C120C" w:rsidRDefault="00B16DBF" w:rsidP="006F0770">
      <w:pPr>
        <w:spacing w:before="0" w:after="0" w:line="300" w:lineRule="auto"/>
        <w:ind w:right="-188"/>
        <w:rPr>
          <w:rFonts w:ascii="Arial" w:hAnsi="Arial" w:cs="Arial"/>
          <w:sz w:val="24"/>
          <w:szCs w:val="24"/>
        </w:rPr>
      </w:pPr>
    </w:p>
    <w:p w14:paraId="0D5D321A" w14:textId="390AD359" w:rsidR="008C469F" w:rsidRPr="000C120C" w:rsidRDefault="008C469F" w:rsidP="008C469F">
      <w:pPr>
        <w:spacing w:before="0" w:after="0" w:line="300" w:lineRule="auto"/>
        <w:ind w:right="-188"/>
        <w:rPr>
          <w:rFonts w:ascii="Arial" w:hAnsi="Arial" w:cs="Arial"/>
          <w:sz w:val="24"/>
          <w:szCs w:val="24"/>
        </w:rPr>
      </w:pPr>
      <w:r w:rsidRPr="000C120C">
        <w:rPr>
          <w:rFonts w:ascii="Arial" w:hAnsi="Arial" w:cs="Arial"/>
          <w:sz w:val="24"/>
          <w:szCs w:val="24"/>
        </w:rPr>
        <w:t>The Government has established the Better Regulation Working Group to streamline processes and improve efficiency in the higher education sector. </w:t>
      </w:r>
      <w:r w:rsidR="00DF4024" w:rsidRPr="000C120C">
        <w:rPr>
          <w:rFonts w:ascii="Arial" w:hAnsi="Arial" w:cs="Arial"/>
          <w:sz w:val="24"/>
          <w:szCs w:val="24"/>
        </w:rPr>
        <w:t>T</w:t>
      </w:r>
      <w:r w:rsidRPr="000C120C">
        <w:rPr>
          <w:rFonts w:ascii="Arial" w:hAnsi="Arial" w:cs="Arial"/>
          <w:sz w:val="24"/>
          <w:szCs w:val="24"/>
        </w:rPr>
        <w:t xml:space="preserve">he Working Group is considering opportunities to make government regulation and internal provider operations more efficient for higher education providers, while continuing to assure quality and confidence in the sector. </w:t>
      </w:r>
    </w:p>
    <w:p w14:paraId="3A03C686" w14:textId="77777777" w:rsidR="00A87FFC" w:rsidRPr="000C120C" w:rsidRDefault="00A87FFC" w:rsidP="008C469F">
      <w:pPr>
        <w:spacing w:before="0" w:after="0" w:line="300" w:lineRule="auto"/>
        <w:ind w:right="-188"/>
        <w:rPr>
          <w:rFonts w:ascii="Arial" w:hAnsi="Arial" w:cs="Arial"/>
          <w:sz w:val="24"/>
          <w:szCs w:val="24"/>
        </w:rPr>
      </w:pPr>
    </w:p>
    <w:p w14:paraId="780F782C" w14:textId="6C4B7312" w:rsidR="00376EAB" w:rsidRPr="000C120C" w:rsidRDefault="00376EAB" w:rsidP="008C469F">
      <w:pPr>
        <w:spacing w:before="0" w:after="0" w:line="300" w:lineRule="auto"/>
        <w:ind w:right="-188"/>
        <w:rPr>
          <w:rFonts w:ascii="Arial" w:hAnsi="Arial" w:cs="Arial"/>
          <w:sz w:val="24"/>
          <w:szCs w:val="24"/>
        </w:rPr>
      </w:pPr>
      <w:r w:rsidRPr="000C120C">
        <w:rPr>
          <w:rFonts w:ascii="Arial" w:hAnsi="Arial" w:cs="Arial"/>
          <w:sz w:val="24"/>
          <w:szCs w:val="24"/>
        </w:rPr>
        <w:t xml:space="preserve">TEQSA and the Australian Skills Quality Authority </w:t>
      </w:r>
      <w:r w:rsidR="007C2AF3" w:rsidRPr="000C120C">
        <w:rPr>
          <w:rFonts w:ascii="Arial" w:hAnsi="Arial" w:cs="Arial"/>
          <w:sz w:val="24"/>
          <w:szCs w:val="24"/>
        </w:rPr>
        <w:t>have</w:t>
      </w:r>
      <w:r w:rsidR="00A87FFC" w:rsidRPr="000C120C">
        <w:rPr>
          <w:rFonts w:ascii="Arial" w:hAnsi="Arial" w:cs="Arial"/>
          <w:sz w:val="24"/>
          <w:szCs w:val="24"/>
        </w:rPr>
        <w:t xml:space="preserve"> </w:t>
      </w:r>
      <w:r w:rsidRPr="000C120C">
        <w:rPr>
          <w:rFonts w:ascii="Arial" w:hAnsi="Arial" w:cs="Arial"/>
          <w:sz w:val="24"/>
          <w:szCs w:val="24"/>
        </w:rPr>
        <w:t>jointly released the Dual Sector Regulatory</w:t>
      </w:r>
      <w:r w:rsidR="00CE283E" w:rsidRPr="000C120C">
        <w:rPr>
          <w:rFonts w:ascii="Arial" w:hAnsi="Arial" w:cs="Arial"/>
          <w:sz w:val="24"/>
          <w:szCs w:val="24"/>
        </w:rPr>
        <w:t xml:space="preserve"> Strategy</w:t>
      </w:r>
      <w:r w:rsidRPr="000C120C">
        <w:rPr>
          <w:rFonts w:ascii="Arial" w:hAnsi="Arial" w:cs="Arial"/>
          <w:sz w:val="24"/>
          <w:szCs w:val="24"/>
        </w:rPr>
        <w:t xml:space="preserve"> to reduce duplication and streamline regulation for Australia’s 57 dual sector providers</w:t>
      </w:r>
      <w:r w:rsidR="00FD349B" w:rsidRPr="000C120C">
        <w:rPr>
          <w:rFonts w:ascii="Arial" w:hAnsi="Arial" w:cs="Arial"/>
          <w:sz w:val="24"/>
          <w:szCs w:val="24"/>
        </w:rPr>
        <w:t>.</w:t>
      </w:r>
    </w:p>
    <w:p w14:paraId="3B9852E5" w14:textId="77777777" w:rsidR="00FD349B" w:rsidRPr="000C120C" w:rsidRDefault="00FD349B" w:rsidP="008C469F">
      <w:pPr>
        <w:spacing w:before="0" w:after="0" w:line="300" w:lineRule="auto"/>
        <w:ind w:right="-188"/>
        <w:rPr>
          <w:rFonts w:ascii="Arial" w:hAnsi="Arial" w:cs="Arial"/>
          <w:sz w:val="24"/>
          <w:szCs w:val="24"/>
        </w:rPr>
      </w:pPr>
    </w:p>
    <w:p w14:paraId="04823570" w14:textId="258A721A" w:rsidR="00376EAB" w:rsidRPr="000C120C" w:rsidRDefault="00376EAB" w:rsidP="008C469F">
      <w:pPr>
        <w:spacing w:before="0" w:after="0" w:line="300" w:lineRule="auto"/>
        <w:ind w:right="-188"/>
        <w:rPr>
          <w:rFonts w:ascii="Arial" w:hAnsi="Arial" w:cs="Arial"/>
          <w:sz w:val="24"/>
          <w:szCs w:val="24"/>
        </w:rPr>
      </w:pPr>
      <w:r w:rsidRPr="000C120C">
        <w:rPr>
          <w:rFonts w:ascii="Arial" w:hAnsi="Arial" w:cs="Arial"/>
          <w:sz w:val="24"/>
          <w:szCs w:val="24"/>
        </w:rPr>
        <w:t>TEQSA is working closely with agencies including the Department of Education, the Fair Work Ombudsman</w:t>
      </w:r>
      <w:r w:rsidR="00251F03">
        <w:rPr>
          <w:rFonts w:ascii="Arial" w:hAnsi="Arial" w:cs="Arial"/>
          <w:sz w:val="24"/>
          <w:szCs w:val="24"/>
        </w:rPr>
        <w:t xml:space="preserve"> and</w:t>
      </w:r>
      <w:r w:rsidRPr="000C120C">
        <w:rPr>
          <w:rFonts w:ascii="Arial" w:hAnsi="Arial" w:cs="Arial"/>
          <w:sz w:val="24"/>
          <w:szCs w:val="24"/>
        </w:rPr>
        <w:t xml:space="preserve"> the interim Australian Tertiary Education Commission</w:t>
      </w:r>
      <w:r w:rsidR="00CE283E" w:rsidRPr="000C120C">
        <w:rPr>
          <w:rFonts w:ascii="Arial" w:hAnsi="Arial" w:cs="Arial"/>
          <w:sz w:val="24"/>
          <w:szCs w:val="24"/>
        </w:rPr>
        <w:t xml:space="preserve"> (ATEC)</w:t>
      </w:r>
      <w:r w:rsidRPr="000C120C">
        <w:rPr>
          <w:rFonts w:ascii="Arial" w:hAnsi="Arial" w:cs="Arial"/>
          <w:sz w:val="24"/>
          <w:szCs w:val="24"/>
        </w:rPr>
        <w:t xml:space="preserve"> on data sharing and reducing duplicative data reporting requirements where possible.  </w:t>
      </w:r>
    </w:p>
    <w:p w14:paraId="0AEC4570" w14:textId="77777777" w:rsidR="00DF4024" w:rsidRPr="000C120C" w:rsidRDefault="00DF4024" w:rsidP="008C469F">
      <w:pPr>
        <w:spacing w:before="0" w:after="0" w:line="300" w:lineRule="auto"/>
        <w:ind w:right="-188"/>
        <w:rPr>
          <w:rFonts w:ascii="Arial" w:hAnsi="Arial" w:cs="Arial"/>
          <w:sz w:val="24"/>
          <w:szCs w:val="24"/>
        </w:rPr>
      </w:pPr>
    </w:p>
    <w:p w14:paraId="51D5BB81" w14:textId="4B480CF6" w:rsidR="00B16DBF" w:rsidRPr="000C120C" w:rsidRDefault="00B16DBF" w:rsidP="00AC7BA7">
      <w:pPr>
        <w:pStyle w:val="Heading2"/>
      </w:pPr>
      <w:r w:rsidRPr="000C120C">
        <w:lastRenderedPageBreak/>
        <w:t>Research</w:t>
      </w:r>
      <w:r w:rsidR="007E2909">
        <w:t>,</w:t>
      </w:r>
      <w:r w:rsidRPr="000C120C">
        <w:t xml:space="preserve"> </w:t>
      </w:r>
      <w:r w:rsidR="007E2909">
        <w:t xml:space="preserve">the </w:t>
      </w:r>
      <w:r w:rsidRPr="000C120C">
        <w:t>A</w:t>
      </w:r>
      <w:r w:rsidR="007E2909">
        <w:t xml:space="preserve">ustralian </w:t>
      </w:r>
      <w:r w:rsidRPr="000C120C">
        <w:t>T</w:t>
      </w:r>
      <w:r w:rsidR="007E2909">
        <w:t xml:space="preserve">ertiary </w:t>
      </w:r>
      <w:r w:rsidRPr="000C120C">
        <w:t>E</w:t>
      </w:r>
      <w:r w:rsidR="007E2909">
        <w:t xml:space="preserve">ducation </w:t>
      </w:r>
      <w:r w:rsidRPr="000C120C">
        <w:t>C</w:t>
      </w:r>
      <w:r w:rsidR="007E2909">
        <w:t xml:space="preserve">ommission (ATEC) and </w:t>
      </w:r>
      <w:r w:rsidR="00881B07">
        <w:t xml:space="preserve">the former Coalition government’s </w:t>
      </w:r>
      <w:r w:rsidR="007E2909">
        <w:t>Job-ready Graduates</w:t>
      </w:r>
      <w:r w:rsidR="00881B07">
        <w:t xml:space="preserve"> changes</w:t>
      </w:r>
    </w:p>
    <w:p w14:paraId="4C0D10BA" w14:textId="77777777" w:rsidR="00B16DBF" w:rsidRPr="000C120C" w:rsidRDefault="00B16DBF" w:rsidP="008E6E14">
      <w:pPr>
        <w:spacing w:before="0" w:after="0" w:line="300" w:lineRule="auto"/>
        <w:rPr>
          <w:rFonts w:ascii="Arial" w:hAnsi="Arial" w:cs="Arial"/>
          <w:sz w:val="24"/>
          <w:szCs w:val="24"/>
        </w:rPr>
      </w:pPr>
    </w:p>
    <w:p w14:paraId="09A598C0" w14:textId="1E768186" w:rsidR="008E6E14" w:rsidRPr="000C120C" w:rsidRDefault="008E6E14" w:rsidP="008E6E14">
      <w:pPr>
        <w:spacing w:before="0" w:after="0" w:line="300" w:lineRule="auto"/>
        <w:rPr>
          <w:rFonts w:ascii="Arial" w:hAnsi="Arial" w:cs="Arial"/>
          <w:sz w:val="24"/>
          <w:szCs w:val="24"/>
        </w:rPr>
      </w:pPr>
      <w:r w:rsidRPr="000C120C">
        <w:rPr>
          <w:rFonts w:ascii="Arial" w:hAnsi="Arial" w:cs="Arial"/>
          <w:sz w:val="24"/>
          <w:szCs w:val="24"/>
        </w:rPr>
        <w:t xml:space="preserve">The Strategic Examination of Research and Development (SERD) Final Report was provided to the Government for consideration by the SERD Expert Panel in December 2025. The Government is considering </w:t>
      </w:r>
      <w:r w:rsidR="00176A51">
        <w:rPr>
          <w:rFonts w:ascii="Arial" w:hAnsi="Arial" w:cs="Arial"/>
          <w:sz w:val="24"/>
          <w:szCs w:val="24"/>
        </w:rPr>
        <w:t>the report’s recommendations</w:t>
      </w:r>
      <w:r w:rsidRPr="000C120C">
        <w:t>.</w:t>
      </w:r>
    </w:p>
    <w:p w14:paraId="67A111FE" w14:textId="77777777" w:rsidR="00FD349B" w:rsidRPr="000C120C" w:rsidRDefault="00FD349B" w:rsidP="008C469F">
      <w:pPr>
        <w:spacing w:before="0" w:after="0" w:line="300" w:lineRule="auto"/>
        <w:ind w:right="-188"/>
        <w:rPr>
          <w:rFonts w:ascii="Arial" w:hAnsi="Arial" w:cs="Arial"/>
          <w:sz w:val="24"/>
          <w:szCs w:val="24"/>
        </w:rPr>
      </w:pPr>
    </w:p>
    <w:p w14:paraId="5848AA09" w14:textId="0CF31876" w:rsidR="007B4AB6" w:rsidRPr="00B95772" w:rsidRDefault="007B4AB6" w:rsidP="007E3A25">
      <w:pPr>
        <w:spacing w:before="0" w:after="0" w:line="300" w:lineRule="auto"/>
        <w:rPr>
          <w:rFonts w:ascii="Arial" w:hAnsi="Arial" w:cs="Arial"/>
          <w:sz w:val="24"/>
          <w:szCs w:val="24"/>
        </w:rPr>
      </w:pPr>
      <w:r w:rsidRPr="007E2909">
        <w:rPr>
          <w:rFonts w:ascii="Arial" w:hAnsi="Arial" w:cs="Arial"/>
          <w:sz w:val="24"/>
          <w:szCs w:val="24"/>
        </w:rPr>
        <w:t xml:space="preserve">Recommendations regarding the </w:t>
      </w:r>
      <w:r w:rsidR="00B16DBF" w:rsidRPr="007E2909">
        <w:rPr>
          <w:rFonts w:ascii="Arial" w:hAnsi="Arial" w:cs="Arial"/>
          <w:sz w:val="24"/>
          <w:szCs w:val="24"/>
        </w:rPr>
        <w:t>ATEC</w:t>
      </w:r>
      <w:r w:rsidR="007E2909">
        <w:rPr>
          <w:rFonts w:ascii="Arial" w:hAnsi="Arial" w:cs="Arial"/>
          <w:sz w:val="24"/>
          <w:szCs w:val="24"/>
        </w:rPr>
        <w:t xml:space="preserve"> and the former Coalition government’s</w:t>
      </w:r>
      <w:r w:rsidR="007E2909" w:rsidRPr="00DC534C">
        <w:rPr>
          <w:rFonts w:ascii="Arial" w:hAnsi="Arial" w:cs="Arial"/>
          <w:sz w:val="24"/>
          <w:szCs w:val="24"/>
        </w:rPr>
        <w:t xml:space="preserve"> </w:t>
      </w:r>
      <w:r w:rsidR="00CF4C7B" w:rsidRPr="007E2909">
        <w:rPr>
          <w:rFonts w:ascii="Arial" w:hAnsi="Arial" w:cs="Arial"/>
          <w:sz w:val="24"/>
          <w:szCs w:val="24"/>
        </w:rPr>
        <w:t xml:space="preserve">Job-ready Graduates </w:t>
      </w:r>
      <w:r w:rsidR="007E2909">
        <w:rPr>
          <w:rFonts w:ascii="Arial" w:hAnsi="Arial" w:cs="Arial"/>
          <w:sz w:val="24"/>
          <w:szCs w:val="24"/>
        </w:rPr>
        <w:t xml:space="preserve">changes </w:t>
      </w:r>
      <w:r w:rsidRPr="007E2909">
        <w:rPr>
          <w:rFonts w:ascii="Arial" w:hAnsi="Arial" w:cs="Arial"/>
          <w:sz w:val="24"/>
          <w:szCs w:val="24"/>
        </w:rPr>
        <w:t>have been addressed in other</w:t>
      </w:r>
      <w:r w:rsidR="007E2909" w:rsidRPr="00DC534C">
        <w:rPr>
          <w:rFonts w:ascii="Arial" w:hAnsi="Arial" w:cs="Arial"/>
          <w:sz w:val="24"/>
          <w:szCs w:val="24"/>
        </w:rPr>
        <w:t xml:space="preserve"> recent</w:t>
      </w:r>
      <w:r w:rsidRPr="007E2909">
        <w:rPr>
          <w:rFonts w:ascii="Arial" w:hAnsi="Arial" w:cs="Arial"/>
          <w:sz w:val="24"/>
          <w:szCs w:val="24"/>
        </w:rPr>
        <w:t xml:space="preserve"> Australian Government Responses</w:t>
      </w:r>
      <w:r w:rsidR="00E713C5" w:rsidRPr="007E2909">
        <w:rPr>
          <w:rFonts w:ascii="Arial" w:hAnsi="Arial" w:cs="Arial"/>
          <w:sz w:val="24"/>
          <w:szCs w:val="24"/>
        </w:rPr>
        <w:t xml:space="preserve"> to Senate Inquiries</w:t>
      </w:r>
      <w:r w:rsidRPr="007E2909">
        <w:rPr>
          <w:rFonts w:ascii="Arial" w:hAnsi="Arial" w:cs="Arial"/>
          <w:sz w:val="24"/>
          <w:szCs w:val="24"/>
        </w:rPr>
        <w:t>.</w:t>
      </w:r>
    </w:p>
    <w:p w14:paraId="2590EE61" w14:textId="57A1A10B" w:rsidR="002871B0" w:rsidRPr="005E1B9A" w:rsidRDefault="002871B0" w:rsidP="005E1B9A">
      <w:pPr>
        <w:rPr>
          <w:sz w:val="22"/>
          <w:szCs w:val="22"/>
        </w:rPr>
      </w:pPr>
      <w:r w:rsidRPr="00076A36">
        <w:br w:type="page"/>
      </w:r>
    </w:p>
    <w:p w14:paraId="2CA6A1D3" w14:textId="77777777" w:rsidR="00980BF6" w:rsidRDefault="00980BF6" w:rsidP="00AC7BA7">
      <w:pPr>
        <w:pStyle w:val="Heading2"/>
        <w:sectPr w:rsidR="00980BF6" w:rsidSect="00DC534C">
          <w:footerReference w:type="default" r:id="rId12"/>
          <w:pgSz w:w="11906" w:h="16838"/>
          <w:pgMar w:top="1440" w:right="1440" w:bottom="851" w:left="1440" w:header="708" w:footer="708" w:gutter="0"/>
          <w:cols w:space="708"/>
          <w:docGrid w:linePitch="360"/>
        </w:sectPr>
      </w:pPr>
    </w:p>
    <w:p w14:paraId="3A5DE49B" w14:textId="0555D915" w:rsidR="00D76E67" w:rsidRPr="00FF1B62" w:rsidRDefault="00AD1A54" w:rsidP="00FF1B62">
      <w:pPr>
        <w:pStyle w:val="Heading1"/>
        <w:rPr>
          <w:sz w:val="28"/>
          <w:szCs w:val="22"/>
        </w:rPr>
      </w:pPr>
      <w:r w:rsidRPr="00FF1B62">
        <w:rPr>
          <w:sz w:val="28"/>
          <w:szCs w:val="22"/>
        </w:rPr>
        <w:lastRenderedPageBreak/>
        <w:t>Australian Government r</w:t>
      </w:r>
      <w:r w:rsidR="00DD38C4" w:rsidRPr="00FF1B62">
        <w:rPr>
          <w:sz w:val="28"/>
          <w:szCs w:val="22"/>
        </w:rPr>
        <w:t xml:space="preserve">esponse to </w:t>
      </w:r>
      <w:r w:rsidR="00E1462C" w:rsidRPr="00FF1B62">
        <w:rPr>
          <w:sz w:val="28"/>
          <w:szCs w:val="22"/>
        </w:rPr>
        <w:t>Interim report recommendations</w:t>
      </w:r>
    </w:p>
    <w:tbl>
      <w:tblPr>
        <w:tblStyle w:val="TableGrid"/>
        <w:tblW w:w="5000" w:type="pct"/>
        <w:tblLook w:val="04A0" w:firstRow="1" w:lastRow="0" w:firstColumn="1" w:lastColumn="0" w:noHBand="0" w:noVBand="1"/>
      </w:tblPr>
      <w:tblGrid>
        <w:gridCol w:w="579"/>
        <w:gridCol w:w="7762"/>
        <w:gridCol w:w="1395"/>
      </w:tblGrid>
      <w:tr w:rsidR="00E8054E" w:rsidRPr="000D0AD9" w14:paraId="26CA8476" w14:textId="77777777" w:rsidTr="00866AE1">
        <w:trPr>
          <w:trHeight w:val="218"/>
        </w:trPr>
        <w:tc>
          <w:tcPr>
            <w:tcW w:w="302" w:type="pct"/>
            <w:shd w:val="clear" w:color="auto" w:fill="E1EBF7"/>
          </w:tcPr>
          <w:p w14:paraId="5C13D247" w14:textId="77777777" w:rsidR="00352859" w:rsidRPr="006F0770" w:rsidRDefault="00352859" w:rsidP="008038B4">
            <w:pPr>
              <w:rPr>
                <w:rFonts w:ascii="Arial" w:hAnsi="Arial" w:cs="Arial"/>
                <w:b/>
                <w:bCs/>
              </w:rPr>
            </w:pPr>
            <w:r w:rsidRPr="006F0770">
              <w:rPr>
                <w:rFonts w:ascii="Arial" w:hAnsi="Arial" w:cs="Arial"/>
                <w:b/>
                <w:bCs/>
              </w:rPr>
              <w:t>No.</w:t>
            </w:r>
          </w:p>
        </w:tc>
        <w:tc>
          <w:tcPr>
            <w:tcW w:w="3991" w:type="pct"/>
            <w:shd w:val="clear" w:color="auto" w:fill="E1EBF7"/>
          </w:tcPr>
          <w:p w14:paraId="7F76E79F" w14:textId="77777777" w:rsidR="00352859" w:rsidRPr="006F0770" w:rsidRDefault="00352859" w:rsidP="008038B4">
            <w:pPr>
              <w:rPr>
                <w:rFonts w:ascii="Arial" w:hAnsi="Arial" w:cs="Arial"/>
                <w:b/>
                <w:bCs/>
              </w:rPr>
            </w:pPr>
            <w:r w:rsidRPr="006F0770">
              <w:rPr>
                <w:rFonts w:ascii="Arial" w:hAnsi="Arial" w:cs="Arial"/>
                <w:b/>
                <w:bCs/>
              </w:rPr>
              <w:t>Recommendation</w:t>
            </w:r>
          </w:p>
        </w:tc>
        <w:tc>
          <w:tcPr>
            <w:tcW w:w="707" w:type="pct"/>
            <w:shd w:val="clear" w:color="auto" w:fill="E1EBF7"/>
          </w:tcPr>
          <w:p w14:paraId="0FA0CC4E" w14:textId="77777777" w:rsidR="00352859" w:rsidRPr="006F0770" w:rsidRDefault="00352859" w:rsidP="008038B4">
            <w:pPr>
              <w:rPr>
                <w:rFonts w:ascii="Arial" w:hAnsi="Arial" w:cs="Arial"/>
                <w:b/>
                <w:bCs/>
              </w:rPr>
            </w:pPr>
            <w:r w:rsidRPr="006F0770">
              <w:rPr>
                <w:rFonts w:ascii="Arial" w:hAnsi="Arial" w:cs="Arial"/>
                <w:b/>
                <w:bCs/>
              </w:rPr>
              <w:t>Government Response</w:t>
            </w:r>
          </w:p>
        </w:tc>
      </w:tr>
      <w:tr w:rsidR="00352859" w:rsidRPr="000D0AD9" w14:paraId="4207808A" w14:textId="77777777" w:rsidTr="00866AE1">
        <w:trPr>
          <w:trHeight w:val="629"/>
        </w:trPr>
        <w:tc>
          <w:tcPr>
            <w:tcW w:w="302" w:type="pct"/>
          </w:tcPr>
          <w:p w14:paraId="42485837" w14:textId="77777777" w:rsidR="00352859" w:rsidRPr="006F0770" w:rsidRDefault="00352859" w:rsidP="008038B4">
            <w:pPr>
              <w:rPr>
                <w:rFonts w:ascii="Arial" w:hAnsi="Arial" w:cs="Arial"/>
              </w:rPr>
            </w:pPr>
            <w:r w:rsidRPr="006F0770">
              <w:rPr>
                <w:rFonts w:ascii="Arial" w:hAnsi="Arial" w:cs="Arial"/>
              </w:rPr>
              <w:t>1</w:t>
            </w:r>
          </w:p>
        </w:tc>
        <w:tc>
          <w:tcPr>
            <w:tcW w:w="3991" w:type="pct"/>
          </w:tcPr>
          <w:p w14:paraId="30B4A95A" w14:textId="1BF9911D" w:rsidR="00DD34B1" w:rsidRPr="006F0770" w:rsidRDefault="00DD34B1" w:rsidP="00DD34B1">
            <w:pPr>
              <w:rPr>
                <w:rFonts w:ascii="Arial" w:hAnsi="Arial" w:cs="Arial"/>
              </w:rPr>
            </w:pPr>
            <w:r w:rsidRPr="006F0770">
              <w:rPr>
                <w:rFonts w:ascii="Arial" w:hAnsi="Arial" w:cs="Arial"/>
              </w:rPr>
              <w:t xml:space="preserve">The </w:t>
            </w:r>
            <w:r w:rsidR="00DC7D23" w:rsidRPr="006F0770">
              <w:rPr>
                <w:rFonts w:ascii="Arial" w:hAnsi="Arial" w:cs="Arial"/>
              </w:rPr>
              <w:t>C</w:t>
            </w:r>
            <w:r w:rsidRPr="006F0770">
              <w:rPr>
                <w:rFonts w:ascii="Arial" w:hAnsi="Arial" w:cs="Arial"/>
              </w:rPr>
              <w:t>ommittee recommends that universities improve the transparency and accountability of their governing bodies, including by:</w:t>
            </w:r>
          </w:p>
          <w:p w14:paraId="58EF5A62" w14:textId="71448002" w:rsidR="00DD34B1" w:rsidRPr="006F0770" w:rsidRDefault="00DD34B1" w:rsidP="000335A8">
            <w:pPr>
              <w:pStyle w:val="ListParagraph"/>
              <w:numPr>
                <w:ilvl w:val="0"/>
                <w:numId w:val="4"/>
              </w:numPr>
              <w:ind w:left="465" w:hanging="284"/>
              <w:rPr>
                <w:rFonts w:ascii="Arial" w:hAnsi="Arial" w:cs="Arial"/>
              </w:rPr>
            </w:pPr>
            <w:r w:rsidRPr="006F0770">
              <w:rPr>
                <w:rFonts w:ascii="Arial" w:hAnsi="Arial" w:cs="Arial"/>
              </w:rPr>
              <w:t>publishing all minutes of council meetings in their entirety, on university websites, while ensuring that personal or legally protected information is appropriately withheld</w:t>
            </w:r>
          </w:p>
          <w:p w14:paraId="716B50DE" w14:textId="5687903B" w:rsidR="00DD34B1" w:rsidRPr="006F0770" w:rsidRDefault="00DD34B1" w:rsidP="000335A8">
            <w:pPr>
              <w:pStyle w:val="ListParagraph"/>
              <w:numPr>
                <w:ilvl w:val="0"/>
                <w:numId w:val="4"/>
              </w:numPr>
              <w:ind w:left="465" w:hanging="284"/>
              <w:rPr>
                <w:rFonts w:ascii="Arial" w:hAnsi="Arial" w:cs="Arial"/>
              </w:rPr>
            </w:pPr>
            <w:r w:rsidRPr="006F0770">
              <w:rPr>
                <w:rFonts w:ascii="Arial" w:hAnsi="Arial" w:cs="Arial"/>
              </w:rPr>
              <w:t xml:space="preserve">publicly disclosing details of all spending on consultants, including the </w:t>
            </w:r>
          </w:p>
          <w:p w14:paraId="4EE1F253" w14:textId="6BEFCBF4" w:rsidR="00DD34B1" w:rsidRPr="006F0770" w:rsidRDefault="00DD34B1" w:rsidP="005E0627">
            <w:pPr>
              <w:pStyle w:val="ListParagraph"/>
              <w:ind w:left="465"/>
              <w:rPr>
                <w:rFonts w:ascii="Arial" w:hAnsi="Arial" w:cs="Arial"/>
              </w:rPr>
            </w:pPr>
            <w:r w:rsidRPr="006F0770">
              <w:rPr>
                <w:rFonts w:ascii="Arial" w:hAnsi="Arial" w:cs="Arial"/>
              </w:rPr>
              <w:t>purpose of each consultancy and the extent to which the capacity exists to perform that function within the institution</w:t>
            </w:r>
          </w:p>
          <w:p w14:paraId="1755B7DD" w14:textId="3B656EB6" w:rsidR="00DD34B1" w:rsidRPr="006F0770" w:rsidRDefault="00DD34B1" w:rsidP="000335A8">
            <w:pPr>
              <w:pStyle w:val="ListParagraph"/>
              <w:numPr>
                <w:ilvl w:val="0"/>
                <w:numId w:val="4"/>
              </w:numPr>
              <w:ind w:left="465" w:hanging="284"/>
              <w:rPr>
                <w:rFonts w:ascii="Arial" w:hAnsi="Arial" w:cs="Arial"/>
              </w:rPr>
            </w:pPr>
            <w:r w:rsidRPr="006F0770">
              <w:rPr>
                <w:rFonts w:ascii="Arial" w:hAnsi="Arial" w:cs="Arial"/>
              </w:rPr>
              <w:t xml:space="preserve">maintaining a publicly disclosed conflict-of-interest register for university council members and senior university executives. Where senior executives receive remuneration for external roles, mitigation </w:t>
            </w:r>
          </w:p>
          <w:p w14:paraId="4DB438AB" w14:textId="116C88FB" w:rsidR="00DD34B1" w:rsidRPr="006F0770" w:rsidRDefault="00DD34B1" w:rsidP="005E0627">
            <w:pPr>
              <w:pStyle w:val="ListParagraph"/>
              <w:ind w:left="465"/>
              <w:rPr>
                <w:rFonts w:ascii="Arial" w:hAnsi="Arial" w:cs="Arial"/>
              </w:rPr>
            </w:pPr>
            <w:r w:rsidRPr="006F0770">
              <w:rPr>
                <w:rFonts w:ascii="Arial" w:hAnsi="Arial" w:cs="Arial"/>
              </w:rPr>
              <w:t>actions to manage any perceived or real conflicts-of-interest (which could include the offsetting of salaries) should be both agreed and disclosed on the public register</w:t>
            </w:r>
          </w:p>
          <w:p w14:paraId="15EEE2E6" w14:textId="3D736771" w:rsidR="00DD34B1" w:rsidRPr="006F0770" w:rsidRDefault="00DD34B1" w:rsidP="000335A8">
            <w:pPr>
              <w:pStyle w:val="ListParagraph"/>
              <w:numPr>
                <w:ilvl w:val="0"/>
                <w:numId w:val="4"/>
              </w:numPr>
              <w:ind w:left="465" w:hanging="284"/>
              <w:rPr>
                <w:rFonts w:ascii="Arial" w:hAnsi="Arial" w:cs="Arial"/>
              </w:rPr>
            </w:pPr>
            <w:r w:rsidRPr="006F0770">
              <w:rPr>
                <w:rFonts w:ascii="Arial" w:hAnsi="Arial" w:cs="Arial"/>
              </w:rPr>
              <w:t xml:space="preserve">publishing annual remuneration reports in-line with requirements for </w:t>
            </w:r>
          </w:p>
          <w:p w14:paraId="2E0D8050" w14:textId="24B5C0EB" w:rsidR="00DD34B1" w:rsidRPr="006F0770" w:rsidRDefault="00DD34B1" w:rsidP="00152563">
            <w:pPr>
              <w:pStyle w:val="ListParagraph"/>
              <w:ind w:left="465"/>
              <w:rPr>
                <w:rFonts w:ascii="Arial" w:hAnsi="Arial" w:cs="Arial"/>
              </w:rPr>
            </w:pPr>
            <w:r w:rsidRPr="006F0770">
              <w:rPr>
                <w:rFonts w:ascii="Arial" w:hAnsi="Arial" w:cs="Arial"/>
              </w:rPr>
              <w:t>public companies including role-specific salaries of senior university executives</w:t>
            </w:r>
            <w:r w:rsidR="002731A2" w:rsidRPr="006F0770">
              <w:rPr>
                <w:rFonts w:ascii="Arial" w:hAnsi="Arial" w:cs="Arial"/>
              </w:rPr>
              <w:t>, and</w:t>
            </w:r>
          </w:p>
          <w:p w14:paraId="6C6D1C68" w14:textId="71312B5E" w:rsidR="00352859" w:rsidRPr="006F0770" w:rsidRDefault="00DD34B1" w:rsidP="000335A8">
            <w:pPr>
              <w:pStyle w:val="ListParagraph"/>
              <w:numPr>
                <w:ilvl w:val="0"/>
                <w:numId w:val="4"/>
              </w:numPr>
              <w:ind w:left="465" w:hanging="284"/>
              <w:rPr>
                <w:rFonts w:ascii="Arial" w:hAnsi="Arial" w:cs="Arial"/>
              </w:rPr>
            </w:pPr>
            <w:r w:rsidRPr="006F0770">
              <w:rPr>
                <w:rFonts w:ascii="Arial" w:hAnsi="Arial" w:cs="Arial"/>
              </w:rPr>
              <w:t>publicly reporting on the composition of governing bodies, including the proportion of elected members and those with public and higher education sector experience, and that there be transparency over the</w:t>
            </w:r>
            <w:r w:rsidR="00152563" w:rsidRPr="006F0770">
              <w:rPr>
                <w:rFonts w:ascii="Arial" w:hAnsi="Arial" w:cs="Arial"/>
              </w:rPr>
              <w:t xml:space="preserve"> </w:t>
            </w:r>
            <w:r w:rsidRPr="006F0770">
              <w:rPr>
                <w:rFonts w:ascii="Arial" w:hAnsi="Arial" w:cs="Arial"/>
              </w:rPr>
              <w:t>appointment process for non-elected positions</w:t>
            </w:r>
            <w:r w:rsidR="004F47C1" w:rsidRPr="006F0770">
              <w:rPr>
                <w:rFonts w:ascii="Arial" w:hAnsi="Arial" w:cs="Arial"/>
              </w:rPr>
              <w:t>.</w:t>
            </w:r>
          </w:p>
        </w:tc>
        <w:tc>
          <w:tcPr>
            <w:tcW w:w="707" w:type="pct"/>
          </w:tcPr>
          <w:p w14:paraId="30E7A73C" w14:textId="2682EDE1" w:rsidR="00F124F2" w:rsidRPr="006F0770" w:rsidRDefault="00352859" w:rsidP="00F124F2">
            <w:pPr>
              <w:rPr>
                <w:rFonts w:ascii="Arial" w:hAnsi="Arial" w:cs="Arial"/>
              </w:rPr>
            </w:pPr>
            <w:r w:rsidRPr="00DB527F">
              <w:rPr>
                <w:rFonts w:ascii="Arial" w:hAnsi="Arial" w:cs="Arial"/>
              </w:rPr>
              <w:t>Supported</w:t>
            </w:r>
          </w:p>
        </w:tc>
      </w:tr>
      <w:tr w:rsidR="00F124F2" w:rsidRPr="000D0AD9" w14:paraId="4577DBFD" w14:textId="77777777" w:rsidTr="00866AE1">
        <w:trPr>
          <w:trHeight w:val="629"/>
        </w:trPr>
        <w:tc>
          <w:tcPr>
            <w:tcW w:w="302" w:type="pct"/>
          </w:tcPr>
          <w:p w14:paraId="52AAF4EC" w14:textId="36FE7849" w:rsidR="00F124F2" w:rsidRPr="006F0770" w:rsidRDefault="00F124F2" w:rsidP="008038B4">
            <w:pPr>
              <w:rPr>
                <w:rFonts w:ascii="Arial" w:hAnsi="Arial" w:cs="Arial"/>
              </w:rPr>
            </w:pPr>
            <w:r w:rsidRPr="006F0770">
              <w:rPr>
                <w:rFonts w:ascii="Arial" w:hAnsi="Arial" w:cs="Arial"/>
              </w:rPr>
              <w:t>2</w:t>
            </w:r>
          </w:p>
        </w:tc>
        <w:tc>
          <w:tcPr>
            <w:tcW w:w="3991" w:type="pct"/>
          </w:tcPr>
          <w:p w14:paraId="0382EADD" w14:textId="3573CFDB" w:rsidR="00F124F2" w:rsidRPr="006F0770" w:rsidRDefault="00F124F2" w:rsidP="00DD34B1">
            <w:pPr>
              <w:rPr>
                <w:rFonts w:ascii="Arial" w:hAnsi="Arial" w:cs="Arial"/>
              </w:rPr>
            </w:pPr>
            <w:r w:rsidRPr="006F0770">
              <w:rPr>
                <w:rFonts w:ascii="Arial" w:hAnsi="Arial" w:cs="Arial"/>
              </w:rPr>
              <w:t xml:space="preserve">TEQSA regulatory mechanisms to enforce </w:t>
            </w:r>
            <w:proofErr w:type="gramStart"/>
            <w:r w:rsidRPr="006F0770">
              <w:rPr>
                <w:rFonts w:ascii="Arial" w:hAnsi="Arial" w:cs="Arial"/>
              </w:rPr>
              <w:t>these transparency</w:t>
            </w:r>
            <w:proofErr w:type="gramEnd"/>
            <w:r w:rsidRPr="006F0770">
              <w:rPr>
                <w:rFonts w:ascii="Arial" w:hAnsi="Arial" w:cs="Arial"/>
              </w:rPr>
              <w:t xml:space="preserve"> and accountability practices are considered alongside the current process to modernise and strengthen TEQSA's powers.</w:t>
            </w:r>
          </w:p>
        </w:tc>
        <w:tc>
          <w:tcPr>
            <w:tcW w:w="707" w:type="pct"/>
          </w:tcPr>
          <w:p w14:paraId="5078CDB1" w14:textId="72ECA0F0" w:rsidR="00F124F2" w:rsidRPr="00C54F15" w:rsidRDefault="00F124F2" w:rsidP="008038B4">
            <w:pPr>
              <w:rPr>
                <w:rFonts w:ascii="Arial" w:hAnsi="Arial" w:cs="Arial"/>
                <w:highlight w:val="yellow"/>
              </w:rPr>
            </w:pPr>
            <w:r w:rsidRPr="00DB527F">
              <w:rPr>
                <w:rFonts w:ascii="Arial" w:hAnsi="Arial" w:cs="Arial"/>
              </w:rPr>
              <w:t>Supported</w:t>
            </w:r>
          </w:p>
        </w:tc>
      </w:tr>
      <w:tr w:rsidR="0074175F" w:rsidRPr="000D0AD9" w14:paraId="4BCBA2CD" w14:textId="77777777" w:rsidTr="00866AE1">
        <w:trPr>
          <w:trHeight w:val="629"/>
        </w:trPr>
        <w:tc>
          <w:tcPr>
            <w:tcW w:w="302" w:type="pct"/>
          </w:tcPr>
          <w:p w14:paraId="44DA489A" w14:textId="6205A9F1" w:rsidR="0074175F" w:rsidRPr="006F0770" w:rsidRDefault="0074175F" w:rsidP="008038B4">
            <w:pPr>
              <w:rPr>
                <w:rFonts w:ascii="Arial" w:hAnsi="Arial" w:cs="Arial"/>
              </w:rPr>
            </w:pPr>
            <w:r w:rsidRPr="006F0770">
              <w:rPr>
                <w:rFonts w:ascii="Arial" w:hAnsi="Arial" w:cs="Arial"/>
              </w:rPr>
              <w:t>3</w:t>
            </w:r>
          </w:p>
        </w:tc>
        <w:tc>
          <w:tcPr>
            <w:tcW w:w="3991" w:type="pct"/>
          </w:tcPr>
          <w:p w14:paraId="052015B7" w14:textId="798C60F6" w:rsidR="0074175F" w:rsidRPr="006F0770" w:rsidRDefault="0074175F" w:rsidP="008038B4">
            <w:pPr>
              <w:rPr>
                <w:rFonts w:ascii="Arial" w:hAnsi="Arial" w:cs="Arial"/>
              </w:rPr>
            </w:pPr>
            <w:r w:rsidRPr="006F0770">
              <w:rPr>
                <w:rFonts w:ascii="Arial" w:hAnsi="Arial" w:cs="Arial"/>
              </w:rPr>
              <w:t>Universities adopt best-practice and meaningful consultation for major change proposals, including involvement from staff and students prior to decisions being made.</w:t>
            </w:r>
          </w:p>
        </w:tc>
        <w:tc>
          <w:tcPr>
            <w:tcW w:w="707" w:type="pct"/>
          </w:tcPr>
          <w:p w14:paraId="3AEDB1D2" w14:textId="51A1D263" w:rsidR="0074175F" w:rsidRPr="006F0770" w:rsidRDefault="0074175F" w:rsidP="00E97E32">
            <w:pPr>
              <w:rPr>
                <w:rFonts w:ascii="Arial" w:hAnsi="Arial" w:cs="Arial"/>
              </w:rPr>
            </w:pPr>
            <w:r w:rsidRPr="006F0770">
              <w:rPr>
                <w:rFonts w:ascii="Arial" w:hAnsi="Arial" w:cs="Arial"/>
              </w:rPr>
              <w:t>Supported</w:t>
            </w:r>
          </w:p>
        </w:tc>
      </w:tr>
      <w:tr w:rsidR="00D61899" w:rsidRPr="000D0AD9" w14:paraId="1B247DA4" w14:textId="77777777" w:rsidTr="00866AE1">
        <w:trPr>
          <w:trHeight w:val="629"/>
        </w:trPr>
        <w:tc>
          <w:tcPr>
            <w:tcW w:w="302" w:type="pct"/>
          </w:tcPr>
          <w:p w14:paraId="08F16D50" w14:textId="083BAF16" w:rsidR="00D61899" w:rsidRPr="006F0770" w:rsidRDefault="00D61899" w:rsidP="00D61899">
            <w:pPr>
              <w:rPr>
                <w:rFonts w:ascii="Arial" w:hAnsi="Arial" w:cs="Arial"/>
              </w:rPr>
            </w:pPr>
            <w:r w:rsidRPr="006F0770">
              <w:rPr>
                <w:rFonts w:ascii="Arial" w:hAnsi="Arial" w:cs="Arial"/>
              </w:rPr>
              <w:t>4</w:t>
            </w:r>
          </w:p>
        </w:tc>
        <w:tc>
          <w:tcPr>
            <w:tcW w:w="3991" w:type="pct"/>
          </w:tcPr>
          <w:p w14:paraId="30FB5647" w14:textId="74B88102" w:rsidR="00D61899" w:rsidRPr="006F0770" w:rsidRDefault="00D61899" w:rsidP="00D61899">
            <w:pPr>
              <w:rPr>
                <w:rFonts w:ascii="Arial" w:hAnsi="Arial" w:cs="Arial"/>
              </w:rPr>
            </w:pPr>
            <w:r w:rsidRPr="006F0770">
              <w:rPr>
                <w:rFonts w:ascii="Arial" w:hAnsi="Arial" w:cs="Arial"/>
              </w:rPr>
              <w:t>Develop a framework for remuneration classification ranges for Vice</w:t>
            </w:r>
            <w:r w:rsidRPr="00FB2D03">
              <w:rPr>
                <w:rFonts w:ascii="Cambria Math" w:hAnsi="Cambria Math" w:cs="Cambria Math"/>
              </w:rPr>
              <w:t>‑</w:t>
            </w:r>
            <w:r w:rsidRPr="006F0770">
              <w:rPr>
                <w:rFonts w:ascii="Arial" w:hAnsi="Arial" w:cs="Arial"/>
              </w:rPr>
              <w:t>Chancellors</w:t>
            </w:r>
          </w:p>
        </w:tc>
        <w:tc>
          <w:tcPr>
            <w:tcW w:w="707" w:type="pct"/>
          </w:tcPr>
          <w:p w14:paraId="3529AED2" w14:textId="007AD2ED" w:rsidR="00D61899" w:rsidRPr="006F0770" w:rsidRDefault="00D61899" w:rsidP="00D61899">
            <w:pPr>
              <w:rPr>
                <w:rFonts w:ascii="Arial" w:hAnsi="Arial" w:cs="Arial"/>
                <w:u w:val="single"/>
              </w:rPr>
            </w:pPr>
            <w:r w:rsidRPr="006F0770">
              <w:rPr>
                <w:rFonts w:ascii="Arial" w:hAnsi="Arial" w:cs="Arial"/>
              </w:rPr>
              <w:t>Supported</w:t>
            </w:r>
          </w:p>
        </w:tc>
      </w:tr>
      <w:tr w:rsidR="00D61899" w:rsidRPr="000D0AD9" w14:paraId="261D0323" w14:textId="77777777" w:rsidTr="00866AE1">
        <w:trPr>
          <w:trHeight w:val="629"/>
        </w:trPr>
        <w:tc>
          <w:tcPr>
            <w:tcW w:w="302" w:type="pct"/>
          </w:tcPr>
          <w:p w14:paraId="796CEE79" w14:textId="2971B783" w:rsidR="00D61899" w:rsidRPr="006F0770" w:rsidRDefault="00D61899" w:rsidP="00D61899">
            <w:pPr>
              <w:rPr>
                <w:rFonts w:ascii="Arial" w:hAnsi="Arial" w:cs="Arial"/>
              </w:rPr>
            </w:pPr>
            <w:r w:rsidRPr="006F0770">
              <w:rPr>
                <w:rFonts w:ascii="Arial" w:hAnsi="Arial" w:cs="Arial"/>
              </w:rPr>
              <w:t>5</w:t>
            </w:r>
          </w:p>
        </w:tc>
        <w:tc>
          <w:tcPr>
            <w:tcW w:w="3991" w:type="pct"/>
          </w:tcPr>
          <w:p w14:paraId="63058859" w14:textId="0A99EFB0" w:rsidR="00D61899" w:rsidRPr="006F0770" w:rsidRDefault="00D61899" w:rsidP="00D61899">
            <w:pPr>
              <w:rPr>
                <w:rFonts w:ascii="Arial" w:hAnsi="Arial" w:cs="Arial"/>
              </w:rPr>
            </w:pPr>
            <w:r w:rsidRPr="006F0770">
              <w:rPr>
                <w:rFonts w:ascii="Arial" w:hAnsi="Arial" w:cs="Arial"/>
              </w:rPr>
              <w:t>Universities set and implement a minimum proportion of members with public administration and higher education expertise on university governing bodies.</w:t>
            </w:r>
          </w:p>
        </w:tc>
        <w:tc>
          <w:tcPr>
            <w:tcW w:w="707" w:type="pct"/>
          </w:tcPr>
          <w:p w14:paraId="664CA9DA" w14:textId="1A566C06" w:rsidR="00D61899" w:rsidRPr="006F0770" w:rsidRDefault="00D61899" w:rsidP="00D61899">
            <w:pPr>
              <w:rPr>
                <w:rFonts w:ascii="Arial" w:hAnsi="Arial" w:cs="Arial"/>
                <w:u w:val="single"/>
              </w:rPr>
            </w:pPr>
            <w:r w:rsidRPr="006F0770">
              <w:rPr>
                <w:rFonts w:ascii="Arial" w:hAnsi="Arial" w:cs="Arial"/>
              </w:rPr>
              <w:t>Supported</w:t>
            </w:r>
          </w:p>
        </w:tc>
      </w:tr>
      <w:tr w:rsidR="00D61899" w:rsidRPr="000D0AD9" w14:paraId="6F909DE3" w14:textId="77777777" w:rsidTr="00866AE1">
        <w:trPr>
          <w:trHeight w:val="629"/>
        </w:trPr>
        <w:tc>
          <w:tcPr>
            <w:tcW w:w="302" w:type="pct"/>
          </w:tcPr>
          <w:p w14:paraId="58982F04" w14:textId="61EA44E7" w:rsidR="00D61899" w:rsidRPr="006F0770" w:rsidRDefault="00D61899" w:rsidP="00D61899">
            <w:pPr>
              <w:rPr>
                <w:rFonts w:ascii="Arial" w:hAnsi="Arial" w:cs="Arial"/>
              </w:rPr>
            </w:pPr>
            <w:r w:rsidRPr="006F0770">
              <w:rPr>
                <w:rFonts w:ascii="Arial" w:hAnsi="Arial" w:cs="Arial"/>
              </w:rPr>
              <w:t>6</w:t>
            </w:r>
          </w:p>
        </w:tc>
        <w:tc>
          <w:tcPr>
            <w:tcW w:w="3991" w:type="pct"/>
          </w:tcPr>
          <w:p w14:paraId="6150907B" w14:textId="73622F80" w:rsidR="00D61899" w:rsidRPr="00DB527F" w:rsidRDefault="00D61899" w:rsidP="00D61899">
            <w:pPr>
              <w:rPr>
                <w:rFonts w:ascii="Arial" w:hAnsi="Arial" w:cs="Arial"/>
              </w:rPr>
            </w:pPr>
            <w:r w:rsidRPr="00DB527F">
              <w:rPr>
                <w:rFonts w:ascii="Arial" w:hAnsi="Arial" w:cs="Arial"/>
              </w:rPr>
              <w:t>Universities set and implement a minimum proportion of elected representatives (staff, undergraduate and postgraduate students) on governing bodies.</w:t>
            </w:r>
          </w:p>
        </w:tc>
        <w:tc>
          <w:tcPr>
            <w:tcW w:w="707" w:type="pct"/>
          </w:tcPr>
          <w:p w14:paraId="6AC3AB54" w14:textId="0DA35DFA" w:rsidR="00D61899" w:rsidRPr="00DB527F" w:rsidRDefault="00D61899" w:rsidP="00D61899">
            <w:pPr>
              <w:rPr>
                <w:rFonts w:ascii="Arial" w:hAnsi="Arial" w:cs="Arial"/>
                <w:u w:val="single"/>
              </w:rPr>
            </w:pPr>
            <w:r w:rsidRPr="00DB527F">
              <w:rPr>
                <w:rFonts w:ascii="Arial" w:hAnsi="Arial" w:cs="Arial"/>
              </w:rPr>
              <w:t>Supported</w:t>
            </w:r>
          </w:p>
        </w:tc>
      </w:tr>
      <w:tr w:rsidR="00D61899" w:rsidRPr="000D0AD9" w14:paraId="5A547B2A" w14:textId="77777777" w:rsidTr="00866AE1">
        <w:trPr>
          <w:trHeight w:val="629"/>
        </w:trPr>
        <w:tc>
          <w:tcPr>
            <w:tcW w:w="302" w:type="pct"/>
          </w:tcPr>
          <w:p w14:paraId="37FEA60F" w14:textId="246FD8B1" w:rsidR="00D61899" w:rsidRPr="006F0770" w:rsidRDefault="00D61899" w:rsidP="00D61899">
            <w:pPr>
              <w:rPr>
                <w:rFonts w:ascii="Arial" w:hAnsi="Arial" w:cs="Arial"/>
              </w:rPr>
            </w:pPr>
            <w:r w:rsidRPr="006F0770">
              <w:rPr>
                <w:rFonts w:ascii="Arial" w:hAnsi="Arial" w:cs="Arial"/>
              </w:rPr>
              <w:t>7</w:t>
            </w:r>
          </w:p>
        </w:tc>
        <w:tc>
          <w:tcPr>
            <w:tcW w:w="3991" w:type="pct"/>
          </w:tcPr>
          <w:p w14:paraId="3F356A96" w14:textId="71D8BDB0" w:rsidR="00D61899" w:rsidRPr="006F0770" w:rsidRDefault="00D61899" w:rsidP="00D61899">
            <w:pPr>
              <w:rPr>
                <w:rFonts w:ascii="Arial" w:hAnsi="Arial" w:cs="Arial"/>
              </w:rPr>
            </w:pPr>
            <w:r w:rsidRPr="006F0770">
              <w:rPr>
                <w:rFonts w:ascii="Arial" w:hAnsi="Arial" w:cs="Arial"/>
              </w:rPr>
              <w:t>Universities ensure equal and respectful treatment of elected staff and students on governing bodies. While university governing bodies need to retain responsibility for engaging and consulting with members of their community, including students and staff, they should support elected representatives to consult with their communities as needed.</w:t>
            </w:r>
          </w:p>
        </w:tc>
        <w:tc>
          <w:tcPr>
            <w:tcW w:w="707" w:type="pct"/>
          </w:tcPr>
          <w:p w14:paraId="7F46CDDC" w14:textId="11EF8FB9" w:rsidR="00D61899" w:rsidRPr="006F0770" w:rsidRDefault="00D61899" w:rsidP="00D61899">
            <w:pPr>
              <w:rPr>
                <w:rFonts w:ascii="Arial" w:hAnsi="Arial" w:cs="Arial"/>
                <w:u w:val="single"/>
              </w:rPr>
            </w:pPr>
            <w:r w:rsidRPr="006F0770">
              <w:rPr>
                <w:rFonts w:ascii="Arial" w:hAnsi="Arial" w:cs="Arial"/>
              </w:rPr>
              <w:t>Supported</w:t>
            </w:r>
          </w:p>
        </w:tc>
      </w:tr>
      <w:tr w:rsidR="00D61899" w:rsidRPr="000D0AD9" w14:paraId="62D02985" w14:textId="77777777" w:rsidTr="00866AE1">
        <w:trPr>
          <w:trHeight w:val="629"/>
        </w:trPr>
        <w:tc>
          <w:tcPr>
            <w:tcW w:w="302" w:type="pct"/>
          </w:tcPr>
          <w:p w14:paraId="513F732B" w14:textId="60F379B1" w:rsidR="00D61899" w:rsidRPr="006F0770" w:rsidRDefault="00D61899" w:rsidP="00D61899">
            <w:pPr>
              <w:rPr>
                <w:rFonts w:ascii="Arial" w:hAnsi="Arial" w:cs="Arial"/>
              </w:rPr>
            </w:pPr>
            <w:r w:rsidRPr="006F0770">
              <w:rPr>
                <w:rFonts w:ascii="Arial" w:hAnsi="Arial" w:cs="Arial"/>
              </w:rPr>
              <w:t>8</w:t>
            </w:r>
          </w:p>
        </w:tc>
        <w:tc>
          <w:tcPr>
            <w:tcW w:w="3991" w:type="pct"/>
          </w:tcPr>
          <w:p w14:paraId="0A321277" w14:textId="77906E16" w:rsidR="00D61899" w:rsidRPr="006F0770" w:rsidRDefault="00D61899" w:rsidP="00D61899">
            <w:pPr>
              <w:rPr>
                <w:rFonts w:ascii="Arial" w:hAnsi="Arial" w:cs="Arial"/>
              </w:rPr>
            </w:pPr>
            <w:r w:rsidRPr="006F0770">
              <w:rPr>
                <w:rFonts w:ascii="Arial" w:hAnsi="Arial" w:cs="Arial"/>
              </w:rPr>
              <w:t>Universities adopt a best-practice model for the induction and continuous professional development of nominated and elected council members and facilitate governance training for these members where appropriate.</w:t>
            </w:r>
          </w:p>
        </w:tc>
        <w:tc>
          <w:tcPr>
            <w:tcW w:w="707" w:type="pct"/>
          </w:tcPr>
          <w:p w14:paraId="3DFB0A8A" w14:textId="0DFF3060" w:rsidR="00D61899" w:rsidRPr="006F0770" w:rsidRDefault="00D61899" w:rsidP="00D61899">
            <w:pPr>
              <w:rPr>
                <w:rFonts w:ascii="Arial" w:hAnsi="Arial" w:cs="Arial"/>
                <w:u w:val="single"/>
              </w:rPr>
            </w:pPr>
            <w:r w:rsidRPr="006F0770">
              <w:rPr>
                <w:rFonts w:ascii="Arial" w:hAnsi="Arial" w:cs="Arial"/>
              </w:rPr>
              <w:t>Supported</w:t>
            </w:r>
          </w:p>
        </w:tc>
      </w:tr>
      <w:tr w:rsidR="00D61899" w:rsidRPr="000D0AD9" w14:paraId="5BCDE2D6" w14:textId="77777777" w:rsidTr="00866AE1">
        <w:trPr>
          <w:trHeight w:val="629"/>
        </w:trPr>
        <w:tc>
          <w:tcPr>
            <w:tcW w:w="302" w:type="pct"/>
          </w:tcPr>
          <w:p w14:paraId="14A82E51" w14:textId="77777777" w:rsidR="00D61899" w:rsidRPr="006F0770" w:rsidRDefault="00D61899" w:rsidP="00D61899">
            <w:pPr>
              <w:rPr>
                <w:rFonts w:ascii="Arial" w:hAnsi="Arial" w:cs="Arial"/>
              </w:rPr>
            </w:pPr>
            <w:r w:rsidRPr="006F0770">
              <w:rPr>
                <w:rFonts w:ascii="Arial" w:hAnsi="Arial" w:cs="Arial"/>
              </w:rPr>
              <w:t>9</w:t>
            </w:r>
          </w:p>
          <w:p w14:paraId="6481A903" w14:textId="77777777" w:rsidR="00D61899" w:rsidRPr="006F0770" w:rsidRDefault="00D61899" w:rsidP="00D61899">
            <w:pPr>
              <w:rPr>
                <w:rFonts w:ascii="Arial" w:hAnsi="Arial" w:cs="Arial"/>
              </w:rPr>
            </w:pPr>
          </w:p>
        </w:tc>
        <w:tc>
          <w:tcPr>
            <w:tcW w:w="3991" w:type="pct"/>
          </w:tcPr>
          <w:p w14:paraId="5D3DD6DE" w14:textId="13058ACE" w:rsidR="00D61899" w:rsidRPr="006F0770" w:rsidRDefault="00D61899" w:rsidP="00D61899">
            <w:pPr>
              <w:rPr>
                <w:rFonts w:ascii="Arial" w:hAnsi="Arial" w:cs="Arial"/>
              </w:rPr>
            </w:pPr>
            <w:r w:rsidRPr="006F0770">
              <w:rPr>
                <w:rFonts w:ascii="Arial" w:hAnsi="Arial" w:cs="Arial"/>
              </w:rPr>
              <w:t xml:space="preserve">The Government, following the current consultation process being undertaken by the Department of Education, introduce legislation to provide the Tertiary Education </w:t>
            </w:r>
            <w:r w:rsidRPr="006F0770">
              <w:rPr>
                <w:rFonts w:ascii="Arial" w:hAnsi="Arial" w:cs="Arial"/>
              </w:rPr>
              <w:lastRenderedPageBreak/>
              <w:t>Quality and Standards Agency with the necessary suite of powers to investigate potential breaches of the Threshold Standards and enforce its compliance directions.</w:t>
            </w:r>
          </w:p>
        </w:tc>
        <w:tc>
          <w:tcPr>
            <w:tcW w:w="707" w:type="pct"/>
          </w:tcPr>
          <w:p w14:paraId="2868E960" w14:textId="0FFC4DBF" w:rsidR="00D61899" w:rsidRPr="006F0770" w:rsidRDefault="00D61899" w:rsidP="00D61899">
            <w:pPr>
              <w:rPr>
                <w:rFonts w:ascii="Arial" w:hAnsi="Arial" w:cs="Arial"/>
              </w:rPr>
            </w:pPr>
            <w:r w:rsidRPr="006F0770">
              <w:rPr>
                <w:rFonts w:ascii="Arial" w:hAnsi="Arial" w:cs="Arial"/>
              </w:rPr>
              <w:lastRenderedPageBreak/>
              <w:t>Supported</w:t>
            </w:r>
          </w:p>
        </w:tc>
      </w:tr>
      <w:tr w:rsidR="00D61899" w:rsidRPr="000D0AD9" w14:paraId="5C5B1125" w14:textId="77777777" w:rsidTr="00866AE1">
        <w:trPr>
          <w:trHeight w:val="558"/>
        </w:trPr>
        <w:tc>
          <w:tcPr>
            <w:tcW w:w="302" w:type="pct"/>
          </w:tcPr>
          <w:p w14:paraId="30B5803C" w14:textId="0C206CCF" w:rsidR="00D61899" w:rsidRPr="006F0770" w:rsidRDefault="00D61899" w:rsidP="00D61899">
            <w:pPr>
              <w:rPr>
                <w:rFonts w:ascii="Arial" w:hAnsi="Arial" w:cs="Arial"/>
              </w:rPr>
            </w:pPr>
            <w:r w:rsidRPr="006F0770">
              <w:rPr>
                <w:rFonts w:ascii="Arial" w:hAnsi="Arial" w:cs="Arial"/>
              </w:rPr>
              <w:t>10</w:t>
            </w:r>
          </w:p>
        </w:tc>
        <w:tc>
          <w:tcPr>
            <w:tcW w:w="3991" w:type="pct"/>
          </w:tcPr>
          <w:p w14:paraId="3E054C79" w14:textId="7324CBFB" w:rsidR="00D61899" w:rsidRPr="006F0770" w:rsidRDefault="00D61899" w:rsidP="00D61899">
            <w:pPr>
              <w:rPr>
                <w:rFonts w:ascii="Arial" w:hAnsi="Arial" w:cs="Arial"/>
              </w:rPr>
            </w:pPr>
            <w:r w:rsidRPr="006F0770">
              <w:rPr>
                <w:rFonts w:ascii="Arial" w:hAnsi="Arial" w:cs="Arial"/>
              </w:rPr>
              <w:t>TEQSA take steps to improve governance reporting requirements to enable it to identify and mitigate risk across the university sector, including public reporting on the results of its compliance processes.</w:t>
            </w:r>
          </w:p>
        </w:tc>
        <w:tc>
          <w:tcPr>
            <w:tcW w:w="707" w:type="pct"/>
          </w:tcPr>
          <w:p w14:paraId="6C538D27" w14:textId="2B506CF2" w:rsidR="00D61899" w:rsidRPr="006F0770" w:rsidRDefault="00D61899" w:rsidP="00D61899">
            <w:pPr>
              <w:rPr>
                <w:rFonts w:ascii="Arial" w:hAnsi="Arial" w:cs="Arial"/>
              </w:rPr>
            </w:pPr>
            <w:r w:rsidRPr="006F0770">
              <w:rPr>
                <w:rFonts w:ascii="Arial" w:hAnsi="Arial" w:cs="Arial"/>
              </w:rPr>
              <w:t>Supported</w:t>
            </w:r>
          </w:p>
        </w:tc>
      </w:tr>
      <w:tr w:rsidR="00D61899" w:rsidRPr="000D0AD9" w14:paraId="394026FD" w14:textId="77777777" w:rsidTr="00866AE1">
        <w:trPr>
          <w:trHeight w:val="416"/>
        </w:trPr>
        <w:tc>
          <w:tcPr>
            <w:tcW w:w="302" w:type="pct"/>
          </w:tcPr>
          <w:p w14:paraId="00B01045" w14:textId="3823EB63" w:rsidR="00D61899" w:rsidRPr="006F0770" w:rsidRDefault="00D61899" w:rsidP="00D61899">
            <w:pPr>
              <w:rPr>
                <w:rFonts w:ascii="Arial" w:hAnsi="Arial" w:cs="Arial"/>
              </w:rPr>
            </w:pPr>
            <w:r w:rsidRPr="006F0770">
              <w:rPr>
                <w:rFonts w:ascii="Arial" w:hAnsi="Arial" w:cs="Arial"/>
              </w:rPr>
              <w:t>11</w:t>
            </w:r>
          </w:p>
        </w:tc>
        <w:tc>
          <w:tcPr>
            <w:tcW w:w="3991" w:type="pct"/>
          </w:tcPr>
          <w:p w14:paraId="7D6CDA3D" w14:textId="5A504F61" w:rsidR="00D61899" w:rsidRPr="006F0770" w:rsidRDefault="00D61899" w:rsidP="00D61899">
            <w:pPr>
              <w:rPr>
                <w:rFonts w:ascii="Arial" w:hAnsi="Arial" w:cs="Arial"/>
              </w:rPr>
            </w:pPr>
            <w:r w:rsidRPr="006F0770">
              <w:rPr>
                <w:rFonts w:ascii="Arial" w:hAnsi="Arial" w:cs="Arial"/>
              </w:rPr>
              <w:t>TEQSA work with other regulatory bodies, Commonwealth and states, to identify common data requests relating to university governance, and to work across jurisdictions to avoid duplicative reporting requirements, where possible.</w:t>
            </w:r>
          </w:p>
        </w:tc>
        <w:tc>
          <w:tcPr>
            <w:tcW w:w="707" w:type="pct"/>
          </w:tcPr>
          <w:p w14:paraId="395A9915" w14:textId="136AA4FF" w:rsidR="00D61899" w:rsidRPr="006F0770" w:rsidRDefault="00D61899" w:rsidP="00D61899">
            <w:pPr>
              <w:rPr>
                <w:rFonts w:ascii="Arial" w:hAnsi="Arial" w:cs="Arial"/>
              </w:rPr>
            </w:pPr>
            <w:r w:rsidRPr="006F0770">
              <w:rPr>
                <w:rFonts w:ascii="Arial" w:hAnsi="Arial" w:cs="Arial"/>
              </w:rPr>
              <w:t>Supported</w:t>
            </w:r>
          </w:p>
          <w:p w14:paraId="53FD58AF" w14:textId="3FEFF6DE" w:rsidR="00D61899" w:rsidRPr="006F0770" w:rsidRDefault="00D61899" w:rsidP="00D61899">
            <w:pPr>
              <w:rPr>
                <w:rFonts w:ascii="Arial" w:hAnsi="Arial" w:cs="Arial"/>
              </w:rPr>
            </w:pPr>
          </w:p>
        </w:tc>
      </w:tr>
      <w:tr w:rsidR="00D61899" w:rsidRPr="000D0AD9" w14:paraId="449E8C4E" w14:textId="77777777" w:rsidTr="00866AE1">
        <w:trPr>
          <w:trHeight w:val="416"/>
        </w:trPr>
        <w:tc>
          <w:tcPr>
            <w:tcW w:w="302" w:type="pct"/>
          </w:tcPr>
          <w:p w14:paraId="35182BE2" w14:textId="39C02066" w:rsidR="00D61899" w:rsidRPr="006F0770" w:rsidRDefault="00D61899" w:rsidP="00D61899">
            <w:pPr>
              <w:rPr>
                <w:rFonts w:ascii="Arial" w:hAnsi="Arial" w:cs="Arial"/>
              </w:rPr>
            </w:pPr>
            <w:r w:rsidRPr="006F0770">
              <w:rPr>
                <w:rFonts w:ascii="Arial" w:hAnsi="Arial" w:cs="Arial"/>
              </w:rPr>
              <w:t>12</w:t>
            </w:r>
          </w:p>
        </w:tc>
        <w:tc>
          <w:tcPr>
            <w:tcW w:w="3991" w:type="pct"/>
          </w:tcPr>
          <w:p w14:paraId="7B583ECF" w14:textId="1AA7CB23" w:rsidR="00D61899" w:rsidRPr="006F0770" w:rsidRDefault="00D61899" w:rsidP="00D61899">
            <w:pPr>
              <w:rPr>
                <w:rFonts w:ascii="Arial" w:hAnsi="Arial" w:cs="Arial"/>
              </w:rPr>
            </w:pPr>
            <w:r w:rsidRPr="006F0770">
              <w:rPr>
                <w:rFonts w:ascii="Arial" w:hAnsi="Arial" w:cs="Arial"/>
              </w:rPr>
              <w:t>Universities examine and enhance their complaints processes to ensure they are effective and accessible to all members of the university community</w:t>
            </w:r>
          </w:p>
        </w:tc>
        <w:tc>
          <w:tcPr>
            <w:tcW w:w="707" w:type="pct"/>
          </w:tcPr>
          <w:p w14:paraId="036E96DF" w14:textId="0DEBBBA2" w:rsidR="00D61899" w:rsidRPr="006F0770" w:rsidRDefault="00B13169" w:rsidP="00D61899">
            <w:pPr>
              <w:rPr>
                <w:rFonts w:ascii="Arial" w:hAnsi="Arial" w:cs="Arial"/>
              </w:rPr>
            </w:pPr>
            <w:r w:rsidRPr="006F0770">
              <w:rPr>
                <w:rFonts w:ascii="Arial" w:hAnsi="Arial" w:cs="Arial"/>
              </w:rPr>
              <w:t>Supported</w:t>
            </w:r>
          </w:p>
        </w:tc>
      </w:tr>
    </w:tbl>
    <w:p w14:paraId="5ED6667C" w14:textId="1E60C08A" w:rsidR="005A7ABA" w:rsidRDefault="005A7ABA" w:rsidP="238234AF">
      <w:pPr>
        <w:spacing w:before="0" w:after="160" w:line="278" w:lineRule="auto"/>
        <w:rPr>
          <w:b/>
          <w:bCs/>
          <w:sz w:val="28"/>
          <w:szCs w:val="28"/>
        </w:rPr>
      </w:pPr>
    </w:p>
    <w:p w14:paraId="7D495754" w14:textId="77777777" w:rsidR="005A7ABA" w:rsidRDefault="005A7ABA">
      <w:pPr>
        <w:spacing w:before="0" w:after="160" w:line="278" w:lineRule="auto"/>
        <w:rPr>
          <w:b/>
          <w:bCs/>
          <w:sz w:val="28"/>
          <w:szCs w:val="28"/>
        </w:rPr>
      </w:pPr>
      <w:r>
        <w:rPr>
          <w:b/>
          <w:bCs/>
          <w:sz w:val="28"/>
          <w:szCs w:val="28"/>
        </w:rPr>
        <w:br w:type="page"/>
      </w:r>
    </w:p>
    <w:p w14:paraId="6D3B1639" w14:textId="44E9B95B" w:rsidR="00257C99" w:rsidRPr="00FF1B62" w:rsidRDefault="00AD1A54" w:rsidP="00FF1B62">
      <w:pPr>
        <w:pStyle w:val="Heading1"/>
        <w:rPr>
          <w:sz w:val="28"/>
          <w:szCs w:val="22"/>
        </w:rPr>
      </w:pPr>
      <w:r w:rsidRPr="00FF1B62">
        <w:rPr>
          <w:sz w:val="28"/>
          <w:szCs w:val="22"/>
        </w:rPr>
        <w:lastRenderedPageBreak/>
        <w:t xml:space="preserve">Australian Government response to </w:t>
      </w:r>
      <w:r w:rsidR="00257C99" w:rsidRPr="00FF1B62">
        <w:rPr>
          <w:sz w:val="28"/>
          <w:szCs w:val="22"/>
        </w:rPr>
        <w:t>Final report recommendations</w:t>
      </w:r>
    </w:p>
    <w:tbl>
      <w:tblPr>
        <w:tblStyle w:val="TableGrid"/>
        <w:tblW w:w="5000" w:type="pct"/>
        <w:tblLook w:val="04A0" w:firstRow="1" w:lastRow="0" w:firstColumn="1" w:lastColumn="0" w:noHBand="0" w:noVBand="1"/>
      </w:tblPr>
      <w:tblGrid>
        <w:gridCol w:w="579"/>
        <w:gridCol w:w="7762"/>
        <w:gridCol w:w="1395"/>
      </w:tblGrid>
      <w:tr w:rsidR="00257C99" w:rsidRPr="000D0AD9" w14:paraId="7025E491" w14:textId="77777777" w:rsidTr="00866AE1">
        <w:trPr>
          <w:trHeight w:val="218"/>
        </w:trPr>
        <w:tc>
          <w:tcPr>
            <w:tcW w:w="302" w:type="pct"/>
            <w:tcBorders>
              <w:top w:val="single" w:sz="4" w:space="0" w:color="auto"/>
              <w:left w:val="single" w:sz="4" w:space="0" w:color="auto"/>
              <w:bottom w:val="single" w:sz="4" w:space="0" w:color="auto"/>
              <w:right w:val="single" w:sz="4" w:space="0" w:color="auto"/>
            </w:tcBorders>
            <w:shd w:val="clear" w:color="auto" w:fill="E1EBF7"/>
          </w:tcPr>
          <w:p w14:paraId="7820BF1A" w14:textId="77777777" w:rsidR="00257C99" w:rsidRPr="006F0770" w:rsidRDefault="00257C99">
            <w:pPr>
              <w:rPr>
                <w:rFonts w:ascii="Arial" w:hAnsi="Arial" w:cs="Arial"/>
                <w:b/>
                <w:bCs/>
              </w:rPr>
            </w:pPr>
            <w:r w:rsidRPr="006F0770">
              <w:rPr>
                <w:rFonts w:ascii="Arial" w:hAnsi="Arial" w:cs="Arial"/>
                <w:b/>
                <w:bCs/>
              </w:rPr>
              <w:t>No.</w:t>
            </w:r>
          </w:p>
        </w:tc>
        <w:tc>
          <w:tcPr>
            <w:tcW w:w="3991" w:type="pct"/>
            <w:tcBorders>
              <w:top w:val="single" w:sz="4" w:space="0" w:color="auto"/>
              <w:left w:val="single" w:sz="4" w:space="0" w:color="auto"/>
              <w:bottom w:val="single" w:sz="4" w:space="0" w:color="auto"/>
              <w:right w:val="single" w:sz="4" w:space="0" w:color="auto"/>
            </w:tcBorders>
            <w:shd w:val="clear" w:color="auto" w:fill="E1EBF7"/>
          </w:tcPr>
          <w:p w14:paraId="1B503312" w14:textId="77777777" w:rsidR="00257C99" w:rsidRPr="006F0770" w:rsidRDefault="00257C99">
            <w:pPr>
              <w:rPr>
                <w:rFonts w:ascii="Arial" w:hAnsi="Arial" w:cs="Arial"/>
                <w:b/>
                <w:bCs/>
              </w:rPr>
            </w:pPr>
            <w:r w:rsidRPr="006F0770">
              <w:rPr>
                <w:rFonts w:ascii="Arial" w:hAnsi="Arial" w:cs="Arial"/>
                <w:b/>
                <w:bCs/>
              </w:rPr>
              <w:t>Recommendation</w:t>
            </w:r>
          </w:p>
        </w:tc>
        <w:tc>
          <w:tcPr>
            <w:tcW w:w="707" w:type="pct"/>
            <w:tcBorders>
              <w:top w:val="single" w:sz="4" w:space="0" w:color="auto"/>
              <w:left w:val="single" w:sz="4" w:space="0" w:color="auto"/>
              <w:bottom w:val="single" w:sz="4" w:space="0" w:color="auto"/>
              <w:right w:val="single" w:sz="4" w:space="0" w:color="auto"/>
            </w:tcBorders>
            <w:shd w:val="clear" w:color="auto" w:fill="E1EBF7"/>
          </w:tcPr>
          <w:p w14:paraId="6EC3FF4B" w14:textId="77777777" w:rsidR="00257C99" w:rsidRPr="006F0770" w:rsidRDefault="00257C99">
            <w:pPr>
              <w:rPr>
                <w:rFonts w:ascii="Arial" w:hAnsi="Arial" w:cs="Arial"/>
                <w:b/>
                <w:bCs/>
              </w:rPr>
            </w:pPr>
            <w:r w:rsidRPr="006F0770">
              <w:rPr>
                <w:rFonts w:ascii="Arial" w:hAnsi="Arial" w:cs="Arial"/>
                <w:b/>
                <w:bCs/>
              </w:rPr>
              <w:t>Government Response</w:t>
            </w:r>
          </w:p>
        </w:tc>
      </w:tr>
      <w:tr w:rsidR="00257C99" w:rsidRPr="000D0AD9" w14:paraId="458A18B5" w14:textId="77777777" w:rsidTr="00866AE1">
        <w:trPr>
          <w:trHeight w:val="629"/>
        </w:trPr>
        <w:tc>
          <w:tcPr>
            <w:tcW w:w="302" w:type="pct"/>
            <w:tcBorders>
              <w:top w:val="single" w:sz="4" w:space="0" w:color="auto"/>
            </w:tcBorders>
          </w:tcPr>
          <w:p w14:paraId="78BE867C" w14:textId="77777777" w:rsidR="00257C99" w:rsidRPr="006F0770" w:rsidRDefault="00257C99">
            <w:pPr>
              <w:rPr>
                <w:rFonts w:ascii="Arial" w:hAnsi="Arial" w:cs="Arial"/>
              </w:rPr>
            </w:pPr>
            <w:r w:rsidRPr="006F0770">
              <w:rPr>
                <w:rFonts w:ascii="Arial" w:hAnsi="Arial" w:cs="Arial"/>
              </w:rPr>
              <w:t>1</w:t>
            </w:r>
          </w:p>
        </w:tc>
        <w:tc>
          <w:tcPr>
            <w:tcW w:w="3991" w:type="pct"/>
            <w:tcBorders>
              <w:top w:val="single" w:sz="4" w:space="0" w:color="auto"/>
            </w:tcBorders>
          </w:tcPr>
          <w:p w14:paraId="403A2DF8" w14:textId="136462AA" w:rsidR="00257C99" w:rsidRPr="006F0770" w:rsidRDefault="00D232F6">
            <w:pPr>
              <w:rPr>
                <w:rFonts w:ascii="Arial" w:hAnsi="Arial" w:cs="Arial"/>
              </w:rPr>
            </w:pPr>
            <w:r w:rsidRPr="006F0770">
              <w:rPr>
                <w:rFonts w:ascii="Arial" w:hAnsi="Arial" w:cs="Arial"/>
              </w:rPr>
              <w:t>State and territory governments review the establishing acts of universities to ensure the primacy of public research and education in their objects and functions and consider the composition of members on governing bodies that ensure this can be achieved.</w:t>
            </w:r>
          </w:p>
        </w:tc>
        <w:tc>
          <w:tcPr>
            <w:tcW w:w="707" w:type="pct"/>
            <w:tcBorders>
              <w:top w:val="single" w:sz="4" w:space="0" w:color="auto"/>
            </w:tcBorders>
          </w:tcPr>
          <w:p w14:paraId="06C81995" w14:textId="23D7563F" w:rsidR="00257C99" w:rsidRPr="006F0770" w:rsidRDefault="00344D94" w:rsidP="00FE0CAC">
            <w:pPr>
              <w:rPr>
                <w:rFonts w:ascii="Arial" w:hAnsi="Arial" w:cs="Arial"/>
              </w:rPr>
            </w:pPr>
            <w:r>
              <w:rPr>
                <w:rFonts w:ascii="Arial" w:hAnsi="Arial" w:cs="Arial"/>
              </w:rPr>
              <w:t>Noted</w:t>
            </w:r>
          </w:p>
        </w:tc>
      </w:tr>
      <w:tr w:rsidR="00257C99" w:rsidRPr="000D0AD9" w14:paraId="76E7A586" w14:textId="77777777" w:rsidTr="00866AE1">
        <w:trPr>
          <w:trHeight w:val="629"/>
        </w:trPr>
        <w:tc>
          <w:tcPr>
            <w:tcW w:w="302" w:type="pct"/>
          </w:tcPr>
          <w:p w14:paraId="6D9A611C" w14:textId="2E9DAC33" w:rsidR="00257C99" w:rsidRPr="006F0770" w:rsidRDefault="00257C99">
            <w:pPr>
              <w:rPr>
                <w:rFonts w:ascii="Arial" w:hAnsi="Arial" w:cs="Arial"/>
              </w:rPr>
            </w:pPr>
            <w:r w:rsidRPr="006F0770">
              <w:rPr>
                <w:rFonts w:ascii="Arial" w:hAnsi="Arial" w:cs="Arial"/>
              </w:rPr>
              <w:t>2</w:t>
            </w:r>
          </w:p>
        </w:tc>
        <w:tc>
          <w:tcPr>
            <w:tcW w:w="3991" w:type="pct"/>
          </w:tcPr>
          <w:p w14:paraId="568C6DBA" w14:textId="20ABC523" w:rsidR="00257C99" w:rsidRPr="006F0770" w:rsidRDefault="00257C99" w:rsidP="00EB03AF">
            <w:pPr>
              <w:rPr>
                <w:rFonts w:ascii="Arial" w:hAnsi="Arial" w:cs="Arial"/>
              </w:rPr>
            </w:pPr>
            <w:r w:rsidRPr="006F0770">
              <w:rPr>
                <w:rFonts w:ascii="Arial" w:hAnsi="Arial" w:cs="Arial"/>
              </w:rPr>
              <w:t>Duties of council members, and assessments of the performance of university councils should reflect the primacy of public research and education</w:t>
            </w:r>
            <w:r w:rsidR="00EB03AF" w:rsidRPr="006F0770">
              <w:rPr>
                <w:rFonts w:ascii="Arial" w:hAnsi="Arial" w:cs="Arial"/>
              </w:rPr>
              <w:t xml:space="preserve"> and assessments of the performance of university councils should reflect their role in ensuring the primacy of public research and education as the core functions of universities.</w:t>
            </w:r>
          </w:p>
        </w:tc>
        <w:tc>
          <w:tcPr>
            <w:tcW w:w="707" w:type="pct"/>
          </w:tcPr>
          <w:p w14:paraId="645A4A77" w14:textId="15E7A315" w:rsidR="00257C99" w:rsidRPr="006F0770" w:rsidRDefault="00257C99">
            <w:pPr>
              <w:rPr>
                <w:rFonts w:ascii="Arial" w:hAnsi="Arial" w:cs="Arial"/>
              </w:rPr>
            </w:pPr>
            <w:r w:rsidRPr="006F0770">
              <w:rPr>
                <w:rFonts w:ascii="Arial" w:hAnsi="Arial" w:cs="Arial"/>
              </w:rPr>
              <w:t>Supported</w:t>
            </w:r>
            <w:r w:rsidR="00A46AD8">
              <w:rPr>
                <w:rFonts w:ascii="Arial" w:hAnsi="Arial" w:cs="Arial"/>
              </w:rPr>
              <w:t>-in-principle</w:t>
            </w:r>
          </w:p>
        </w:tc>
      </w:tr>
      <w:tr w:rsidR="00257C99" w:rsidRPr="000D0AD9" w14:paraId="0A33FF07" w14:textId="77777777" w:rsidTr="00866AE1">
        <w:trPr>
          <w:trHeight w:val="629"/>
        </w:trPr>
        <w:tc>
          <w:tcPr>
            <w:tcW w:w="302" w:type="pct"/>
          </w:tcPr>
          <w:p w14:paraId="39B56194" w14:textId="687FBA7E" w:rsidR="00257C99" w:rsidRPr="006F0770" w:rsidRDefault="00257C99">
            <w:pPr>
              <w:rPr>
                <w:rFonts w:ascii="Arial" w:hAnsi="Arial" w:cs="Arial"/>
              </w:rPr>
            </w:pPr>
            <w:r w:rsidRPr="006F0770">
              <w:rPr>
                <w:rFonts w:ascii="Arial" w:hAnsi="Arial" w:cs="Arial"/>
              </w:rPr>
              <w:t>3</w:t>
            </w:r>
          </w:p>
        </w:tc>
        <w:tc>
          <w:tcPr>
            <w:tcW w:w="3991" w:type="pct"/>
          </w:tcPr>
          <w:p w14:paraId="06C5A884" w14:textId="07B3AB82" w:rsidR="00BA07E4" w:rsidRPr="00164093" w:rsidRDefault="00BA07E4">
            <w:pPr>
              <w:rPr>
                <w:rFonts w:ascii="Arial" w:hAnsi="Arial" w:cs="Arial"/>
              </w:rPr>
            </w:pPr>
            <w:r w:rsidRPr="00164093">
              <w:rPr>
                <w:rFonts w:ascii="Arial" w:hAnsi="Arial" w:cs="Arial"/>
              </w:rPr>
              <w:t xml:space="preserve">The Tertiary Education Quality and Standards Agency, in addition to the embedding of the </w:t>
            </w:r>
            <w:r w:rsidR="00332717" w:rsidRPr="00164093">
              <w:rPr>
                <w:rFonts w:ascii="Arial" w:hAnsi="Arial" w:cs="Arial"/>
              </w:rPr>
              <w:t>Principles</w:t>
            </w:r>
            <w:r w:rsidRPr="00164093">
              <w:rPr>
                <w:rFonts w:ascii="Arial" w:hAnsi="Arial" w:cs="Arial"/>
              </w:rPr>
              <w:t xml:space="preserve"> into the Threshold Standards, update its guidance to universities to support proactive adoption of key compliance, oversight and governance measures (such as the following measures agreed by the University of Melbourne in its Enforceable Undertaking with the Fair Work Ombudsman) including by: </w:t>
            </w:r>
          </w:p>
          <w:p w14:paraId="7A7ECD15" w14:textId="77777777" w:rsidR="00BA07E4" w:rsidRPr="00164093" w:rsidRDefault="00BA07E4" w:rsidP="000335A8">
            <w:pPr>
              <w:pStyle w:val="ListParagraph"/>
              <w:numPr>
                <w:ilvl w:val="0"/>
                <w:numId w:val="5"/>
              </w:numPr>
              <w:ind w:left="323" w:hanging="283"/>
              <w:rPr>
                <w:rFonts w:ascii="Arial" w:hAnsi="Arial" w:cs="Arial"/>
              </w:rPr>
            </w:pPr>
            <w:r w:rsidRPr="00164093">
              <w:rPr>
                <w:rFonts w:ascii="Arial" w:hAnsi="Arial" w:cs="Arial"/>
              </w:rPr>
              <w:t>implementing a comprehensive enterprise resource planning system that includes a human resources and finance system, payroll system, and rostering and time-and-attendance system, and undertaking an audit of the new system following its implementation</w:t>
            </w:r>
          </w:p>
          <w:p w14:paraId="46398B84" w14:textId="77777777" w:rsidR="00BA07E4" w:rsidRPr="00164093" w:rsidRDefault="00BA07E4" w:rsidP="000335A8">
            <w:pPr>
              <w:pStyle w:val="ListParagraph"/>
              <w:numPr>
                <w:ilvl w:val="0"/>
                <w:numId w:val="5"/>
              </w:numPr>
              <w:ind w:left="323" w:hanging="283"/>
              <w:rPr>
                <w:rFonts w:ascii="Arial" w:hAnsi="Arial" w:cs="Arial"/>
              </w:rPr>
            </w:pPr>
            <w:r w:rsidRPr="00164093">
              <w:rPr>
                <w:rFonts w:ascii="Arial" w:hAnsi="Arial" w:cs="Arial"/>
              </w:rPr>
              <w:t>embedding a worker voice mechanism, such as a standing committee comprised of representatives from the National Tertiary Education Union and university management, and a focus on corporate governance by ensuring there is centralised oversight of and accountability for wage compliance and an effective flow of information in respect of wage compliance issues from employees to executive level, and vice versa</w:t>
            </w:r>
          </w:p>
          <w:p w14:paraId="3CCFD604" w14:textId="2ADF2969" w:rsidR="00BA07E4" w:rsidRPr="00164093" w:rsidRDefault="00BA07E4" w:rsidP="000335A8">
            <w:pPr>
              <w:pStyle w:val="ListParagraph"/>
              <w:numPr>
                <w:ilvl w:val="0"/>
                <w:numId w:val="5"/>
              </w:numPr>
              <w:ind w:left="323" w:hanging="283"/>
              <w:rPr>
                <w:rFonts w:ascii="Arial" w:hAnsi="Arial" w:cs="Arial"/>
              </w:rPr>
            </w:pPr>
            <w:r w:rsidRPr="00164093">
              <w:rPr>
                <w:rFonts w:ascii="Arial" w:hAnsi="Arial" w:cs="Arial"/>
              </w:rPr>
              <w:t xml:space="preserve">establishing subcommittees of </w:t>
            </w:r>
            <w:r w:rsidR="00972381" w:rsidRPr="00164093">
              <w:rPr>
                <w:rFonts w:ascii="Arial" w:hAnsi="Arial" w:cs="Arial"/>
              </w:rPr>
              <w:t>u</w:t>
            </w:r>
            <w:r w:rsidRPr="00164093">
              <w:rPr>
                <w:rFonts w:ascii="Arial" w:hAnsi="Arial" w:cs="Arial"/>
              </w:rPr>
              <w:t xml:space="preserve">niversity </w:t>
            </w:r>
            <w:r w:rsidR="00972381" w:rsidRPr="00164093">
              <w:rPr>
                <w:rFonts w:ascii="Arial" w:hAnsi="Arial" w:cs="Arial"/>
              </w:rPr>
              <w:t>c</w:t>
            </w:r>
            <w:r w:rsidRPr="00164093">
              <w:rPr>
                <w:rFonts w:ascii="Arial" w:hAnsi="Arial" w:cs="Arial"/>
              </w:rPr>
              <w:t>ouncil</w:t>
            </w:r>
            <w:r w:rsidR="00972381" w:rsidRPr="00164093">
              <w:rPr>
                <w:rFonts w:ascii="Arial" w:hAnsi="Arial" w:cs="Arial"/>
              </w:rPr>
              <w:t>s</w:t>
            </w:r>
            <w:r w:rsidRPr="00164093">
              <w:rPr>
                <w:rFonts w:ascii="Arial" w:hAnsi="Arial" w:cs="Arial"/>
              </w:rPr>
              <w:t xml:space="preserve"> and the </w:t>
            </w:r>
            <w:r w:rsidR="00972381" w:rsidRPr="00164093">
              <w:rPr>
                <w:rFonts w:ascii="Arial" w:hAnsi="Arial" w:cs="Arial"/>
              </w:rPr>
              <w:t>u</w:t>
            </w:r>
            <w:r w:rsidRPr="00164093">
              <w:rPr>
                <w:rFonts w:ascii="Arial" w:hAnsi="Arial" w:cs="Arial"/>
              </w:rPr>
              <w:t xml:space="preserve">niversity </w:t>
            </w:r>
            <w:r w:rsidR="00972381" w:rsidRPr="00164093">
              <w:rPr>
                <w:rFonts w:ascii="Arial" w:hAnsi="Arial" w:cs="Arial"/>
              </w:rPr>
              <w:t>e</w:t>
            </w:r>
            <w:r w:rsidRPr="00164093">
              <w:rPr>
                <w:rFonts w:ascii="Arial" w:hAnsi="Arial" w:cs="Arial"/>
              </w:rPr>
              <w:t>xecutive</w:t>
            </w:r>
            <w:r w:rsidR="00972381" w:rsidRPr="00164093">
              <w:rPr>
                <w:rFonts w:ascii="Arial" w:hAnsi="Arial" w:cs="Arial"/>
              </w:rPr>
              <w:t>s</w:t>
            </w:r>
            <w:r w:rsidRPr="00164093">
              <w:rPr>
                <w:rFonts w:ascii="Arial" w:hAnsi="Arial" w:cs="Arial"/>
              </w:rPr>
              <w:t xml:space="preserve"> with an explicit focus on workplace relations compliance as well as a new centralised Employment Compliance Directorate committed to supporting a culture of compliance and continuous improvement</w:t>
            </w:r>
          </w:p>
          <w:p w14:paraId="7E6D3085" w14:textId="0C5226CE" w:rsidR="00257C99" w:rsidRPr="00164093" w:rsidRDefault="00BA07E4" w:rsidP="000335A8">
            <w:pPr>
              <w:pStyle w:val="ListParagraph"/>
              <w:numPr>
                <w:ilvl w:val="0"/>
                <w:numId w:val="5"/>
              </w:numPr>
              <w:ind w:left="323" w:hanging="283"/>
              <w:rPr>
                <w:rFonts w:ascii="Arial" w:hAnsi="Arial" w:cs="Arial"/>
              </w:rPr>
            </w:pPr>
            <w:r w:rsidRPr="00164093">
              <w:rPr>
                <w:rFonts w:ascii="Arial" w:hAnsi="Arial" w:cs="Arial"/>
              </w:rPr>
              <w:t>commissioning training and education for relevant staff and providing clear internal pathways for employees to raise queries relating to their wages and entitlements</w:t>
            </w:r>
          </w:p>
        </w:tc>
        <w:tc>
          <w:tcPr>
            <w:tcW w:w="707" w:type="pct"/>
          </w:tcPr>
          <w:p w14:paraId="3DEB62A4" w14:textId="6AAECD7B" w:rsidR="00257C99" w:rsidRPr="00164093" w:rsidRDefault="005B55C6" w:rsidP="00FE0CAC">
            <w:pPr>
              <w:rPr>
                <w:rFonts w:ascii="Arial" w:hAnsi="Arial" w:cs="Arial"/>
              </w:rPr>
            </w:pPr>
            <w:r w:rsidRPr="00164093">
              <w:rPr>
                <w:rFonts w:ascii="Arial" w:hAnsi="Arial" w:cs="Arial"/>
              </w:rPr>
              <w:t>Supported-in-principle</w:t>
            </w:r>
          </w:p>
        </w:tc>
      </w:tr>
      <w:tr w:rsidR="00257C99" w:rsidRPr="000D0AD9" w14:paraId="1171E0AE" w14:textId="77777777" w:rsidTr="00866AE1">
        <w:trPr>
          <w:trHeight w:val="629"/>
        </w:trPr>
        <w:tc>
          <w:tcPr>
            <w:tcW w:w="302" w:type="pct"/>
          </w:tcPr>
          <w:p w14:paraId="06E9304E" w14:textId="220FB314" w:rsidR="00257C99" w:rsidRPr="006F0770" w:rsidRDefault="00257C99">
            <w:pPr>
              <w:rPr>
                <w:rFonts w:ascii="Arial" w:hAnsi="Arial" w:cs="Arial"/>
              </w:rPr>
            </w:pPr>
            <w:r w:rsidRPr="006F0770">
              <w:rPr>
                <w:rFonts w:ascii="Arial" w:hAnsi="Arial" w:cs="Arial"/>
              </w:rPr>
              <w:t>4</w:t>
            </w:r>
          </w:p>
        </w:tc>
        <w:tc>
          <w:tcPr>
            <w:tcW w:w="3991" w:type="pct"/>
          </w:tcPr>
          <w:p w14:paraId="3AEEDF20" w14:textId="6250F691" w:rsidR="00257C99" w:rsidRPr="006F0770" w:rsidRDefault="001170F6">
            <w:pPr>
              <w:rPr>
                <w:rFonts w:ascii="Arial" w:hAnsi="Arial" w:cs="Arial"/>
              </w:rPr>
            </w:pPr>
            <w:r w:rsidRPr="006F0770">
              <w:rPr>
                <w:rFonts w:ascii="Arial" w:hAnsi="Arial" w:cs="Arial"/>
              </w:rPr>
              <w:t>The Department of Education prioritise its work related to requirements for universities to provide improved data on the number of casual staff to increase transparency and understanding of workforce patterns and issues (including headcounts, as well as the proportion of teaching hours undertaken by casual staff).</w:t>
            </w:r>
          </w:p>
        </w:tc>
        <w:tc>
          <w:tcPr>
            <w:tcW w:w="707" w:type="pct"/>
          </w:tcPr>
          <w:p w14:paraId="78F2B0B4" w14:textId="08B23066" w:rsidR="00257C99" w:rsidRPr="006F0770" w:rsidRDefault="00B95772" w:rsidP="00257C99">
            <w:pPr>
              <w:rPr>
                <w:rFonts w:ascii="Arial" w:hAnsi="Arial" w:cs="Arial"/>
              </w:rPr>
            </w:pPr>
            <w:r w:rsidRPr="00CE283E">
              <w:rPr>
                <w:rFonts w:ascii="Arial" w:hAnsi="Arial" w:cs="Arial"/>
              </w:rPr>
              <w:t>Noted</w:t>
            </w:r>
          </w:p>
        </w:tc>
      </w:tr>
      <w:tr w:rsidR="00257C99" w:rsidRPr="000D0AD9" w14:paraId="0527624F" w14:textId="77777777" w:rsidTr="00866AE1">
        <w:trPr>
          <w:trHeight w:val="629"/>
        </w:trPr>
        <w:tc>
          <w:tcPr>
            <w:tcW w:w="302" w:type="pct"/>
          </w:tcPr>
          <w:p w14:paraId="57AF8B12" w14:textId="4A38571C" w:rsidR="00257C99" w:rsidRPr="006F0770" w:rsidRDefault="00257C99">
            <w:pPr>
              <w:rPr>
                <w:rFonts w:ascii="Arial" w:hAnsi="Arial" w:cs="Arial"/>
              </w:rPr>
            </w:pPr>
            <w:r w:rsidRPr="006F0770">
              <w:rPr>
                <w:rFonts w:ascii="Arial" w:hAnsi="Arial" w:cs="Arial"/>
              </w:rPr>
              <w:t>5</w:t>
            </w:r>
          </w:p>
        </w:tc>
        <w:tc>
          <w:tcPr>
            <w:tcW w:w="3991" w:type="pct"/>
          </w:tcPr>
          <w:p w14:paraId="047716D9" w14:textId="0B95B3CE" w:rsidR="00257C99" w:rsidRPr="006F0770" w:rsidRDefault="001170F6">
            <w:pPr>
              <w:rPr>
                <w:rFonts w:ascii="Arial" w:hAnsi="Arial" w:cs="Arial"/>
              </w:rPr>
            </w:pPr>
            <w:r w:rsidRPr="006F0770">
              <w:rPr>
                <w:rFonts w:ascii="Arial" w:hAnsi="Arial" w:cs="Arial"/>
              </w:rPr>
              <w:t>The Threshold Standards</w:t>
            </w:r>
            <w:r w:rsidR="001C0065" w:rsidRPr="006F0770">
              <w:rPr>
                <w:rFonts w:ascii="Arial" w:hAnsi="Arial" w:cs="Arial"/>
              </w:rPr>
              <w:t xml:space="preserve"> </w:t>
            </w:r>
            <w:r w:rsidRPr="006F0770">
              <w:rPr>
                <w:rFonts w:ascii="Arial" w:hAnsi="Arial" w:cs="Arial"/>
              </w:rPr>
              <w:t xml:space="preserve">be amended to require academic boards to conduct an annual review of the academic staffing profile for each course, ensuring there is sufficient academic oversight, teaching capacity and support to maintain high-quality learning and outcomes. This review should also ensure that courses with practicums or work-integrated learning </w:t>
            </w:r>
            <w:r w:rsidR="00EE51A0" w:rsidRPr="006F0770">
              <w:rPr>
                <w:rFonts w:ascii="Arial" w:hAnsi="Arial" w:cs="Arial"/>
              </w:rPr>
              <w:t xml:space="preserve">(WIL) </w:t>
            </w:r>
            <w:r w:rsidRPr="006F0770">
              <w:rPr>
                <w:rFonts w:ascii="Arial" w:hAnsi="Arial" w:cs="Arial"/>
              </w:rPr>
              <w:t>have an adequate number and quality of placements with appropriate supervision. The balance of continuing and casual staff must support consistent teaching quality and reliable access to individual student assistance</w:t>
            </w:r>
          </w:p>
        </w:tc>
        <w:tc>
          <w:tcPr>
            <w:tcW w:w="707" w:type="pct"/>
          </w:tcPr>
          <w:p w14:paraId="67B4261F" w14:textId="22B7C36E" w:rsidR="001D3894" w:rsidRPr="006F0770" w:rsidRDefault="001612A5" w:rsidP="00D742AD">
            <w:pPr>
              <w:rPr>
                <w:rFonts w:ascii="Arial" w:hAnsi="Arial" w:cs="Arial"/>
              </w:rPr>
            </w:pPr>
            <w:r w:rsidRPr="00B95772">
              <w:rPr>
                <w:rFonts w:ascii="Arial" w:hAnsi="Arial" w:cs="Arial"/>
              </w:rPr>
              <w:t>Noted</w:t>
            </w:r>
          </w:p>
        </w:tc>
      </w:tr>
      <w:tr w:rsidR="00257C99" w:rsidRPr="000D0AD9" w14:paraId="6B36E202" w14:textId="77777777" w:rsidTr="00866AE1">
        <w:trPr>
          <w:trHeight w:val="629"/>
        </w:trPr>
        <w:tc>
          <w:tcPr>
            <w:tcW w:w="302" w:type="pct"/>
          </w:tcPr>
          <w:p w14:paraId="149FB99D" w14:textId="2F7DE31A" w:rsidR="00257C99" w:rsidRPr="006F0770" w:rsidRDefault="00257C99">
            <w:pPr>
              <w:rPr>
                <w:rFonts w:ascii="Arial" w:hAnsi="Arial" w:cs="Arial"/>
              </w:rPr>
            </w:pPr>
            <w:r w:rsidRPr="006F0770">
              <w:rPr>
                <w:rFonts w:ascii="Arial" w:hAnsi="Arial" w:cs="Arial"/>
              </w:rPr>
              <w:t>6</w:t>
            </w:r>
          </w:p>
        </w:tc>
        <w:tc>
          <w:tcPr>
            <w:tcW w:w="3991" w:type="pct"/>
          </w:tcPr>
          <w:p w14:paraId="4EA0720F" w14:textId="7CBEFD61" w:rsidR="00257C99" w:rsidRPr="006F0770" w:rsidRDefault="002D7D94">
            <w:pPr>
              <w:rPr>
                <w:rFonts w:ascii="Arial" w:hAnsi="Arial" w:cs="Arial"/>
              </w:rPr>
            </w:pPr>
            <w:r w:rsidRPr="006F0770">
              <w:rPr>
                <w:rFonts w:ascii="Arial" w:hAnsi="Arial" w:cs="Arial"/>
              </w:rPr>
              <w:t>TEQSA develop a monitoring and reporting framework for course quality and staffing, and establish an ongoing program of course monitoring to provide continued assurance of quality and appropriate staffing</w:t>
            </w:r>
          </w:p>
        </w:tc>
        <w:tc>
          <w:tcPr>
            <w:tcW w:w="707" w:type="pct"/>
          </w:tcPr>
          <w:p w14:paraId="7C4481DC" w14:textId="17147C37" w:rsidR="00257C99" w:rsidRPr="006F0770" w:rsidRDefault="00234460" w:rsidP="00257C99">
            <w:pPr>
              <w:rPr>
                <w:rFonts w:ascii="Arial" w:hAnsi="Arial" w:cs="Arial"/>
              </w:rPr>
            </w:pPr>
            <w:r w:rsidRPr="006F0770">
              <w:rPr>
                <w:rFonts w:ascii="Arial" w:hAnsi="Arial" w:cs="Arial"/>
              </w:rPr>
              <w:t>Support</w:t>
            </w:r>
            <w:r w:rsidR="00800CF9" w:rsidRPr="006F0770">
              <w:rPr>
                <w:rFonts w:ascii="Arial" w:hAnsi="Arial" w:cs="Arial"/>
              </w:rPr>
              <w:t>ed</w:t>
            </w:r>
            <w:r w:rsidR="00A46AD8">
              <w:rPr>
                <w:rFonts w:ascii="Arial" w:hAnsi="Arial" w:cs="Arial"/>
              </w:rPr>
              <w:t>-in-principle</w:t>
            </w:r>
          </w:p>
        </w:tc>
      </w:tr>
      <w:tr w:rsidR="00257C99" w:rsidRPr="000D0AD9" w14:paraId="6B01D6C5" w14:textId="77777777" w:rsidTr="00866AE1">
        <w:trPr>
          <w:trHeight w:val="274"/>
        </w:trPr>
        <w:tc>
          <w:tcPr>
            <w:tcW w:w="302" w:type="pct"/>
          </w:tcPr>
          <w:p w14:paraId="5CB6E940" w14:textId="33B6F758" w:rsidR="00257C99" w:rsidRPr="006F0770" w:rsidRDefault="00257C99">
            <w:pPr>
              <w:rPr>
                <w:rFonts w:ascii="Arial" w:hAnsi="Arial" w:cs="Arial"/>
              </w:rPr>
            </w:pPr>
            <w:r w:rsidRPr="006F0770">
              <w:rPr>
                <w:rFonts w:ascii="Arial" w:hAnsi="Arial" w:cs="Arial"/>
              </w:rPr>
              <w:lastRenderedPageBreak/>
              <w:t>7</w:t>
            </w:r>
          </w:p>
        </w:tc>
        <w:tc>
          <w:tcPr>
            <w:tcW w:w="3991" w:type="pct"/>
          </w:tcPr>
          <w:p w14:paraId="0F4307B3" w14:textId="25BD101C" w:rsidR="002D7D94" w:rsidRPr="006F0770" w:rsidRDefault="002D7D94">
            <w:pPr>
              <w:rPr>
                <w:rFonts w:ascii="Arial" w:hAnsi="Arial" w:cs="Arial"/>
              </w:rPr>
            </w:pPr>
            <w:r w:rsidRPr="006F0770">
              <w:rPr>
                <w:rFonts w:ascii="Arial" w:hAnsi="Arial" w:cs="Arial"/>
              </w:rPr>
              <w:t xml:space="preserve">The Government, as part of its commitment to modernise and strengthen the TEQSA's powers: </w:t>
            </w:r>
          </w:p>
          <w:p w14:paraId="308FA8B4" w14:textId="77777777" w:rsidR="002D7D94" w:rsidRPr="006F0770" w:rsidRDefault="002D7D94" w:rsidP="000335A8">
            <w:pPr>
              <w:pStyle w:val="ListParagraph"/>
              <w:numPr>
                <w:ilvl w:val="0"/>
                <w:numId w:val="6"/>
              </w:numPr>
              <w:ind w:left="323" w:hanging="283"/>
              <w:rPr>
                <w:rFonts w:ascii="Arial" w:hAnsi="Arial" w:cs="Arial"/>
              </w:rPr>
            </w:pPr>
            <w:r w:rsidRPr="006F0770">
              <w:rPr>
                <w:rFonts w:ascii="Arial" w:hAnsi="Arial" w:cs="Arial"/>
              </w:rPr>
              <w:t>introduce an explicit requirement for TEQSA to consider matters relevant to the interests of students and the preservation of Australia's reputation for quality higher education as part of its regulatory function</w:t>
            </w:r>
          </w:p>
          <w:p w14:paraId="701F16FC" w14:textId="1A0F6164" w:rsidR="00257C99" w:rsidRPr="006F0770" w:rsidRDefault="002D7D94" w:rsidP="000335A8">
            <w:pPr>
              <w:pStyle w:val="ListParagraph"/>
              <w:numPr>
                <w:ilvl w:val="0"/>
                <w:numId w:val="6"/>
              </w:numPr>
              <w:ind w:left="323" w:hanging="283"/>
              <w:rPr>
                <w:rFonts w:ascii="Arial" w:hAnsi="Arial" w:cs="Arial"/>
              </w:rPr>
            </w:pPr>
            <w:r w:rsidRPr="006F0770">
              <w:rPr>
                <w:rFonts w:ascii="Arial" w:hAnsi="Arial" w:cs="Arial"/>
              </w:rPr>
              <w:t>introduce a positive duty on providers to take reasonable and proportionate actions to comply with the Threshold Standards</w:t>
            </w:r>
            <w:r w:rsidR="005663B9" w:rsidRPr="006F0770">
              <w:rPr>
                <w:rFonts w:ascii="Arial" w:hAnsi="Arial" w:cs="Arial"/>
              </w:rPr>
              <w:t>.</w:t>
            </w:r>
          </w:p>
        </w:tc>
        <w:tc>
          <w:tcPr>
            <w:tcW w:w="707" w:type="pct"/>
          </w:tcPr>
          <w:p w14:paraId="73C1C079" w14:textId="0D9E1E75" w:rsidR="00257C99" w:rsidRPr="006F0770" w:rsidRDefault="00AA4B49" w:rsidP="00D742AD">
            <w:pPr>
              <w:rPr>
                <w:rFonts w:ascii="Arial" w:hAnsi="Arial" w:cs="Arial"/>
                <w:i/>
                <w:iCs/>
              </w:rPr>
            </w:pPr>
            <w:r w:rsidRPr="006F0770">
              <w:rPr>
                <w:rFonts w:ascii="Arial" w:hAnsi="Arial" w:cs="Arial"/>
              </w:rPr>
              <w:t>Supported</w:t>
            </w:r>
          </w:p>
        </w:tc>
      </w:tr>
      <w:tr w:rsidR="00257C99" w:rsidRPr="000D0AD9" w14:paraId="6DCB71B1" w14:textId="77777777" w:rsidTr="00866AE1">
        <w:trPr>
          <w:trHeight w:val="629"/>
        </w:trPr>
        <w:tc>
          <w:tcPr>
            <w:tcW w:w="302" w:type="pct"/>
          </w:tcPr>
          <w:p w14:paraId="12AAFEA6" w14:textId="4308D964" w:rsidR="00257C99" w:rsidRPr="006F0770" w:rsidRDefault="00257C99">
            <w:pPr>
              <w:rPr>
                <w:rFonts w:ascii="Arial" w:hAnsi="Arial" w:cs="Arial"/>
              </w:rPr>
            </w:pPr>
            <w:r w:rsidRPr="006F0770">
              <w:rPr>
                <w:rFonts w:ascii="Arial" w:hAnsi="Arial" w:cs="Arial"/>
              </w:rPr>
              <w:t>8</w:t>
            </w:r>
          </w:p>
        </w:tc>
        <w:tc>
          <w:tcPr>
            <w:tcW w:w="3991" w:type="pct"/>
          </w:tcPr>
          <w:p w14:paraId="44F7E851" w14:textId="036F49C6" w:rsidR="00257C99" w:rsidRPr="006F0770" w:rsidRDefault="00257C99">
            <w:pPr>
              <w:rPr>
                <w:rFonts w:ascii="Arial" w:hAnsi="Arial" w:cs="Arial"/>
              </w:rPr>
            </w:pPr>
            <w:r w:rsidRPr="006F0770">
              <w:rPr>
                <w:rFonts w:ascii="Arial" w:hAnsi="Arial" w:cs="Arial"/>
              </w:rPr>
              <w:t xml:space="preserve">TEQSA </w:t>
            </w:r>
            <w:r w:rsidR="003747DF" w:rsidRPr="006F0770">
              <w:rPr>
                <w:rFonts w:ascii="Arial" w:hAnsi="Arial" w:cs="Arial"/>
              </w:rPr>
              <w:t>develop a statement of expectations that sets out the key considerations which academic governance processes should oversee in their internal quality assurance. This should include ratios of continuing vs casual staff, experience of teaching staff including PhD candidates and subject coordinators. It should also set out expectations of regular reporting to the governing body.</w:t>
            </w:r>
          </w:p>
        </w:tc>
        <w:tc>
          <w:tcPr>
            <w:tcW w:w="707" w:type="pct"/>
          </w:tcPr>
          <w:p w14:paraId="7598463C" w14:textId="1A71B38F" w:rsidR="00257C99" w:rsidRPr="006F0770" w:rsidRDefault="006F19AB" w:rsidP="00257C99">
            <w:pPr>
              <w:rPr>
                <w:rFonts w:ascii="Arial" w:hAnsi="Arial" w:cs="Arial"/>
              </w:rPr>
            </w:pPr>
            <w:r w:rsidRPr="006F0770">
              <w:rPr>
                <w:rFonts w:ascii="Arial" w:hAnsi="Arial" w:cs="Arial"/>
              </w:rPr>
              <w:t>Supported-in-principle</w:t>
            </w:r>
          </w:p>
        </w:tc>
      </w:tr>
    </w:tbl>
    <w:p w14:paraId="73C2B040" w14:textId="77777777" w:rsidR="006A1626" w:rsidRDefault="006A1626" w:rsidP="00257C99"/>
    <w:p w14:paraId="09A87752" w14:textId="77777777" w:rsidR="00D517E2" w:rsidRDefault="00D517E2" w:rsidP="00257C99">
      <w:pPr>
        <w:sectPr w:rsidR="00D517E2" w:rsidSect="000A34DE">
          <w:pgSz w:w="11906" w:h="16838"/>
          <w:pgMar w:top="1440" w:right="1080" w:bottom="1440" w:left="1080" w:header="709" w:footer="709" w:gutter="0"/>
          <w:cols w:space="708"/>
          <w:docGrid w:linePitch="360"/>
        </w:sectPr>
      </w:pPr>
    </w:p>
    <w:p w14:paraId="47B21E97" w14:textId="7576D3A0" w:rsidR="006A1626" w:rsidRPr="00180DA8" w:rsidRDefault="0005707A" w:rsidP="00180DA8">
      <w:pPr>
        <w:pStyle w:val="Heading1"/>
        <w:spacing w:before="120" w:after="120" w:line="240" w:lineRule="auto"/>
        <w:rPr>
          <w:b w:val="0"/>
          <w:bCs/>
          <w:color w:val="156082" w:themeColor="accent1"/>
          <w:sz w:val="24"/>
        </w:rPr>
      </w:pPr>
      <w:r w:rsidRPr="00180DA8">
        <w:rPr>
          <w:b w:val="0"/>
          <w:bCs/>
          <w:color w:val="156082" w:themeColor="accent1"/>
          <w:sz w:val="24"/>
        </w:rPr>
        <w:lastRenderedPageBreak/>
        <w:t>Australian Greens Party additional comments and recommendations</w:t>
      </w:r>
    </w:p>
    <w:p w14:paraId="37D25197" w14:textId="0DCC593B" w:rsidR="006A1626" w:rsidRPr="00180DA8" w:rsidRDefault="0005707A" w:rsidP="00180DA8">
      <w:pPr>
        <w:pStyle w:val="Heading2"/>
        <w:spacing w:before="120" w:after="120" w:line="240" w:lineRule="auto"/>
        <w:rPr>
          <w:sz w:val="22"/>
          <w:szCs w:val="22"/>
        </w:rPr>
      </w:pPr>
      <w:r w:rsidRPr="00180DA8">
        <w:rPr>
          <w:sz w:val="22"/>
          <w:szCs w:val="22"/>
        </w:rPr>
        <w:t>Interim Report</w:t>
      </w:r>
    </w:p>
    <w:p w14:paraId="794B667A" w14:textId="0A54898E" w:rsidR="00913154" w:rsidRPr="006F0770" w:rsidRDefault="00913154" w:rsidP="00257C99">
      <w:pPr>
        <w:rPr>
          <w:rFonts w:ascii="Arial" w:hAnsi="Arial" w:cs="Arial"/>
          <w:b/>
          <w:bCs/>
          <w:sz w:val="22"/>
          <w:szCs w:val="22"/>
        </w:rPr>
      </w:pPr>
      <w:r w:rsidRPr="006F0770">
        <w:rPr>
          <w:rFonts w:ascii="Arial" w:hAnsi="Arial" w:cs="Arial"/>
          <w:b/>
          <w:bCs/>
          <w:sz w:val="22"/>
          <w:szCs w:val="22"/>
        </w:rPr>
        <w:t>Recommendation 1: Australian Tertiary Education Commission's foundational legislation should clearly articulate the public mission and the educational, social, and civic functions of a public university sector.</w:t>
      </w:r>
    </w:p>
    <w:p w14:paraId="23F58897" w14:textId="77777777" w:rsidR="00112E8C" w:rsidRPr="006F0770" w:rsidRDefault="00112E8C" w:rsidP="00112E8C">
      <w:pPr>
        <w:spacing w:after="200" w:line="276" w:lineRule="auto"/>
        <w:rPr>
          <w:rFonts w:ascii="Arial" w:hAnsi="Arial" w:cs="Arial"/>
          <w:sz w:val="22"/>
          <w:szCs w:val="22"/>
          <w:lang w:val="en-US" w:eastAsia="en-AU"/>
        </w:rPr>
      </w:pPr>
      <w:r w:rsidRPr="006F0770">
        <w:rPr>
          <w:rFonts w:ascii="Arial" w:hAnsi="Arial" w:cs="Arial"/>
          <w:sz w:val="22"/>
          <w:szCs w:val="22"/>
          <w:lang w:val="en-US" w:eastAsia="en-AU"/>
        </w:rPr>
        <w:t xml:space="preserve">The Australian Government acknowledges the range of views presented to the inquiry and </w:t>
      </w:r>
      <w:r w:rsidRPr="006F0770">
        <w:rPr>
          <w:rFonts w:ascii="Arial" w:hAnsi="Arial" w:cs="Arial"/>
          <w:b/>
          <w:bCs/>
          <w:sz w:val="22"/>
          <w:szCs w:val="22"/>
          <w:lang w:val="en-US" w:eastAsia="en-AU"/>
        </w:rPr>
        <w:t>notes</w:t>
      </w:r>
      <w:r w:rsidRPr="006F0770">
        <w:rPr>
          <w:rFonts w:ascii="Arial" w:hAnsi="Arial" w:cs="Arial"/>
          <w:sz w:val="22"/>
          <w:szCs w:val="22"/>
          <w:lang w:val="en-US" w:eastAsia="en-AU"/>
        </w:rPr>
        <w:t xml:space="preserve"> this recommendation.</w:t>
      </w:r>
    </w:p>
    <w:p w14:paraId="1D85DD3A" w14:textId="77777777" w:rsidR="00112E8C" w:rsidRPr="006F0770" w:rsidRDefault="00112E8C" w:rsidP="00112E8C">
      <w:pPr>
        <w:spacing w:after="200" w:line="276" w:lineRule="auto"/>
        <w:rPr>
          <w:rFonts w:ascii="Arial" w:hAnsi="Arial" w:cs="Arial"/>
          <w:sz w:val="22"/>
          <w:szCs w:val="22"/>
          <w:lang w:val="en-US" w:eastAsia="en-AU"/>
        </w:rPr>
      </w:pPr>
      <w:r w:rsidRPr="006F0770">
        <w:rPr>
          <w:rFonts w:ascii="Arial" w:hAnsi="Arial" w:cs="Arial"/>
          <w:sz w:val="22"/>
          <w:szCs w:val="22"/>
          <w:lang w:val="en-US" w:eastAsia="en-AU"/>
        </w:rPr>
        <w:t>The Australian Government's response, as outlined above, reflects a range of actions the Government is taking to strengthen university governance, to support staff and student involvement in the management of their university communities and in university decision-making processes, and to build a better and fairer tertiary education system.</w:t>
      </w:r>
    </w:p>
    <w:p w14:paraId="34E25C3C" w14:textId="57D63E10" w:rsidR="00364C1D" w:rsidRPr="006F0770" w:rsidRDefault="00364C1D" w:rsidP="00257C99">
      <w:pPr>
        <w:rPr>
          <w:rFonts w:ascii="Arial" w:hAnsi="Arial" w:cs="Arial"/>
          <w:b/>
          <w:bCs/>
          <w:sz w:val="22"/>
          <w:szCs w:val="22"/>
        </w:rPr>
      </w:pPr>
      <w:r w:rsidRPr="006F0770">
        <w:rPr>
          <w:rFonts w:ascii="Arial" w:hAnsi="Arial" w:cs="Arial"/>
          <w:b/>
          <w:bCs/>
          <w:sz w:val="22"/>
          <w:szCs w:val="22"/>
        </w:rPr>
        <w:t>Recommendation 2:</w:t>
      </w:r>
      <w:r w:rsidR="0085709E" w:rsidRPr="006F0770">
        <w:rPr>
          <w:rFonts w:ascii="Arial" w:hAnsi="Arial" w:cs="Arial"/>
          <w:b/>
          <w:bCs/>
          <w:sz w:val="22"/>
          <w:szCs w:val="22"/>
        </w:rPr>
        <w:t xml:space="preserve"> Establishing acts of universities be amended to clarify their central purpose is public research and education, not commercial or corporate performance.</w:t>
      </w:r>
    </w:p>
    <w:p w14:paraId="0A6864A0" w14:textId="77777777" w:rsidR="00112E8C" w:rsidRPr="006F0770" w:rsidRDefault="00112E8C" w:rsidP="00112E8C">
      <w:pPr>
        <w:spacing w:after="200" w:line="276" w:lineRule="auto"/>
        <w:rPr>
          <w:rFonts w:ascii="Arial" w:hAnsi="Arial" w:cs="Arial"/>
          <w:sz w:val="22"/>
          <w:szCs w:val="22"/>
          <w:lang w:val="en-US" w:eastAsia="en-AU"/>
        </w:rPr>
      </w:pPr>
      <w:r w:rsidRPr="006F0770">
        <w:rPr>
          <w:rFonts w:ascii="Arial" w:hAnsi="Arial" w:cs="Arial"/>
          <w:sz w:val="22"/>
          <w:szCs w:val="22"/>
          <w:lang w:val="en-US" w:eastAsia="en-AU"/>
        </w:rPr>
        <w:t xml:space="preserve">The Australian Government acknowledges the range of views presented to the inquiry and </w:t>
      </w:r>
      <w:r w:rsidRPr="006F0770">
        <w:rPr>
          <w:rFonts w:ascii="Arial" w:hAnsi="Arial" w:cs="Arial"/>
          <w:b/>
          <w:bCs/>
          <w:sz w:val="22"/>
          <w:szCs w:val="22"/>
          <w:lang w:val="en-US" w:eastAsia="en-AU"/>
        </w:rPr>
        <w:t>notes</w:t>
      </w:r>
      <w:r w:rsidRPr="006F0770">
        <w:rPr>
          <w:rFonts w:ascii="Arial" w:hAnsi="Arial" w:cs="Arial"/>
          <w:sz w:val="22"/>
          <w:szCs w:val="22"/>
          <w:lang w:val="en-US" w:eastAsia="en-AU"/>
        </w:rPr>
        <w:t xml:space="preserve"> this recommendation.</w:t>
      </w:r>
    </w:p>
    <w:p w14:paraId="61E8FF20" w14:textId="77777777" w:rsidR="00112E8C" w:rsidRPr="006F0770" w:rsidRDefault="00112E8C" w:rsidP="00112E8C">
      <w:pPr>
        <w:spacing w:after="200" w:line="276" w:lineRule="auto"/>
        <w:rPr>
          <w:rFonts w:ascii="Arial" w:hAnsi="Arial" w:cs="Arial"/>
          <w:sz w:val="22"/>
          <w:szCs w:val="22"/>
          <w:lang w:val="en-US" w:eastAsia="en-AU"/>
        </w:rPr>
      </w:pPr>
      <w:r w:rsidRPr="006F0770">
        <w:rPr>
          <w:rFonts w:ascii="Arial" w:hAnsi="Arial" w:cs="Arial"/>
          <w:sz w:val="22"/>
          <w:szCs w:val="22"/>
          <w:lang w:val="en-US" w:eastAsia="en-AU"/>
        </w:rPr>
        <w:t>The Australian Government's response, as outlined above, reflects a range of actions the Government is taking to strengthen university governance, to support staff and student involvement in the management of their university communities and in university decision-making processes, and to build a better and fairer tertiary education system.</w:t>
      </w:r>
    </w:p>
    <w:p w14:paraId="25248506" w14:textId="4D0060A6" w:rsidR="00913154" w:rsidRPr="006F0770" w:rsidRDefault="00913154" w:rsidP="00257C99">
      <w:pPr>
        <w:rPr>
          <w:rFonts w:ascii="Arial" w:hAnsi="Arial" w:cs="Arial"/>
          <w:b/>
          <w:bCs/>
          <w:sz w:val="22"/>
          <w:szCs w:val="22"/>
        </w:rPr>
      </w:pPr>
      <w:r w:rsidRPr="006F0770">
        <w:rPr>
          <w:rFonts w:ascii="Arial" w:hAnsi="Arial" w:cs="Arial"/>
          <w:b/>
          <w:bCs/>
          <w:sz w:val="22"/>
          <w:szCs w:val="22"/>
        </w:rPr>
        <w:t xml:space="preserve">Recommendation </w:t>
      </w:r>
      <w:r w:rsidR="00364C1D" w:rsidRPr="006F0770">
        <w:rPr>
          <w:rFonts w:ascii="Arial" w:hAnsi="Arial" w:cs="Arial"/>
          <w:b/>
          <w:bCs/>
          <w:sz w:val="22"/>
          <w:szCs w:val="22"/>
        </w:rPr>
        <w:t>3</w:t>
      </w:r>
      <w:r w:rsidRPr="006F0770">
        <w:rPr>
          <w:rFonts w:ascii="Arial" w:hAnsi="Arial" w:cs="Arial"/>
          <w:b/>
          <w:bCs/>
          <w:sz w:val="22"/>
          <w:szCs w:val="22"/>
        </w:rPr>
        <w:t>:</w:t>
      </w:r>
      <w:r w:rsidR="00126628" w:rsidRPr="006F0770">
        <w:rPr>
          <w:rFonts w:ascii="Arial" w:hAnsi="Arial" w:cs="Arial"/>
          <w:b/>
          <w:bCs/>
          <w:sz w:val="22"/>
          <w:szCs w:val="22"/>
        </w:rPr>
        <w:t xml:space="preserve"> The Government immediately reverse the Job-ready Graduates Package fee hikes and funding cuts.</w:t>
      </w:r>
    </w:p>
    <w:p w14:paraId="4F64079A" w14:textId="77777777" w:rsidR="00036346" w:rsidRPr="006F0770" w:rsidRDefault="00036346" w:rsidP="00036346">
      <w:pPr>
        <w:spacing w:after="200" w:line="276" w:lineRule="auto"/>
        <w:rPr>
          <w:rFonts w:ascii="Arial" w:hAnsi="Arial" w:cs="Arial"/>
          <w:sz w:val="22"/>
          <w:szCs w:val="22"/>
          <w:lang w:val="en-US" w:eastAsia="en-AU"/>
        </w:rPr>
      </w:pPr>
      <w:r w:rsidRPr="006F0770">
        <w:rPr>
          <w:rFonts w:ascii="Arial" w:hAnsi="Arial" w:cs="Arial"/>
          <w:sz w:val="22"/>
          <w:szCs w:val="22"/>
          <w:lang w:val="en-US" w:eastAsia="en-AU"/>
        </w:rPr>
        <w:t xml:space="preserve">The Australian Government acknowledges the range of views presented to the inquiry and </w:t>
      </w:r>
      <w:r w:rsidRPr="006F0770">
        <w:rPr>
          <w:rFonts w:ascii="Arial" w:hAnsi="Arial" w:cs="Arial"/>
          <w:b/>
          <w:bCs/>
          <w:sz w:val="22"/>
          <w:szCs w:val="22"/>
          <w:lang w:val="en-US" w:eastAsia="en-AU"/>
        </w:rPr>
        <w:t>notes</w:t>
      </w:r>
      <w:r w:rsidRPr="006F0770">
        <w:rPr>
          <w:rFonts w:ascii="Arial" w:hAnsi="Arial" w:cs="Arial"/>
          <w:sz w:val="22"/>
          <w:szCs w:val="22"/>
          <w:lang w:val="en-US" w:eastAsia="en-AU"/>
        </w:rPr>
        <w:t xml:space="preserve"> this recommendation.</w:t>
      </w:r>
    </w:p>
    <w:p w14:paraId="4B846D65" w14:textId="77777777" w:rsidR="00036346" w:rsidRPr="006F0770" w:rsidRDefault="00036346" w:rsidP="00036346">
      <w:pPr>
        <w:spacing w:after="200" w:line="276" w:lineRule="auto"/>
        <w:rPr>
          <w:rFonts w:ascii="Arial" w:hAnsi="Arial" w:cs="Arial"/>
          <w:sz w:val="22"/>
          <w:szCs w:val="22"/>
          <w:lang w:val="en-US" w:eastAsia="en-AU"/>
        </w:rPr>
      </w:pPr>
      <w:r w:rsidRPr="006F0770">
        <w:rPr>
          <w:rFonts w:ascii="Arial" w:hAnsi="Arial" w:cs="Arial"/>
          <w:sz w:val="22"/>
          <w:szCs w:val="22"/>
          <w:lang w:val="en-US" w:eastAsia="en-AU"/>
        </w:rPr>
        <w:t>The Australian Government's response, as outlined above, reflects a range of actions the Government is taking to strengthen university governance, to support staff and student involvement in the management of their university communities and in university decision-making processes, and to build a better and fairer tertiary education system.</w:t>
      </w:r>
    </w:p>
    <w:p w14:paraId="43A32CD4" w14:textId="05A7A3ED" w:rsidR="00913154" w:rsidRPr="006F0770" w:rsidRDefault="00913154" w:rsidP="00257C99">
      <w:pPr>
        <w:rPr>
          <w:rFonts w:ascii="Arial" w:hAnsi="Arial" w:cs="Arial"/>
          <w:b/>
          <w:bCs/>
          <w:sz w:val="22"/>
          <w:szCs w:val="22"/>
        </w:rPr>
      </w:pPr>
      <w:r w:rsidRPr="006F0770">
        <w:rPr>
          <w:rFonts w:ascii="Arial" w:hAnsi="Arial" w:cs="Arial"/>
          <w:b/>
          <w:bCs/>
          <w:sz w:val="22"/>
          <w:szCs w:val="22"/>
        </w:rPr>
        <w:t xml:space="preserve">Recommendation </w:t>
      </w:r>
      <w:r w:rsidR="00364C1D" w:rsidRPr="006F0770">
        <w:rPr>
          <w:rFonts w:ascii="Arial" w:hAnsi="Arial" w:cs="Arial"/>
          <w:b/>
          <w:bCs/>
          <w:sz w:val="22"/>
          <w:szCs w:val="22"/>
        </w:rPr>
        <w:t>4</w:t>
      </w:r>
      <w:r w:rsidRPr="006F0770">
        <w:rPr>
          <w:rFonts w:ascii="Arial" w:hAnsi="Arial" w:cs="Arial"/>
          <w:b/>
          <w:bCs/>
          <w:sz w:val="22"/>
          <w:szCs w:val="22"/>
        </w:rPr>
        <w:t>:</w:t>
      </w:r>
      <w:r w:rsidR="00AE5BD5" w:rsidRPr="006F0770">
        <w:rPr>
          <w:rFonts w:ascii="Arial" w:hAnsi="Arial" w:cs="Arial"/>
          <w:b/>
          <w:bCs/>
          <w:sz w:val="22"/>
          <w:szCs w:val="22"/>
        </w:rPr>
        <w:t xml:space="preserve"> Meetings of all university councils and governing bodies be held in public and be livestreamed online.</w:t>
      </w:r>
    </w:p>
    <w:p w14:paraId="53AE9462" w14:textId="77777777" w:rsidR="0021621D" w:rsidRPr="006F0770" w:rsidRDefault="0021621D" w:rsidP="0021621D">
      <w:pPr>
        <w:spacing w:after="200" w:line="276" w:lineRule="auto"/>
        <w:rPr>
          <w:rFonts w:ascii="Arial" w:hAnsi="Arial" w:cs="Arial"/>
          <w:sz w:val="22"/>
          <w:szCs w:val="22"/>
          <w:lang w:val="en-US" w:eastAsia="en-AU"/>
        </w:rPr>
      </w:pPr>
      <w:r w:rsidRPr="006F0770">
        <w:rPr>
          <w:rFonts w:ascii="Arial" w:hAnsi="Arial" w:cs="Arial"/>
          <w:sz w:val="22"/>
          <w:szCs w:val="22"/>
          <w:lang w:val="en-US" w:eastAsia="en-AU"/>
        </w:rPr>
        <w:t xml:space="preserve">The Australian Government acknowledges the range of views presented to the inquiry and </w:t>
      </w:r>
      <w:r w:rsidRPr="006F0770">
        <w:rPr>
          <w:rFonts w:ascii="Arial" w:hAnsi="Arial" w:cs="Arial"/>
          <w:b/>
          <w:bCs/>
          <w:sz w:val="22"/>
          <w:szCs w:val="22"/>
          <w:lang w:val="en-US" w:eastAsia="en-AU"/>
        </w:rPr>
        <w:t>notes</w:t>
      </w:r>
      <w:r w:rsidRPr="006F0770">
        <w:rPr>
          <w:rFonts w:ascii="Arial" w:hAnsi="Arial" w:cs="Arial"/>
          <w:sz w:val="22"/>
          <w:szCs w:val="22"/>
          <w:lang w:val="en-US" w:eastAsia="en-AU"/>
        </w:rPr>
        <w:t xml:space="preserve"> this recommendation.</w:t>
      </w:r>
    </w:p>
    <w:p w14:paraId="6B7F493E" w14:textId="4C1F3A39" w:rsidR="0021621D" w:rsidRPr="006F0770" w:rsidRDefault="0021621D" w:rsidP="0021621D">
      <w:pPr>
        <w:spacing w:after="200" w:line="276" w:lineRule="auto"/>
        <w:rPr>
          <w:rFonts w:ascii="Arial" w:hAnsi="Arial" w:cs="Arial"/>
          <w:sz w:val="22"/>
          <w:szCs w:val="22"/>
          <w:lang w:val="en-US" w:eastAsia="en-AU"/>
        </w:rPr>
      </w:pPr>
      <w:r w:rsidRPr="006F0770">
        <w:rPr>
          <w:rFonts w:ascii="Arial" w:hAnsi="Arial" w:cs="Arial"/>
          <w:sz w:val="22"/>
          <w:szCs w:val="22"/>
          <w:lang w:val="en-US" w:eastAsia="en-AU"/>
        </w:rPr>
        <w:t>The Australian Government encourages universities to consider this recommendation in consultation with their students, staff, communities and other stakeholders.</w:t>
      </w:r>
    </w:p>
    <w:p w14:paraId="06EE7437" w14:textId="5B3FFB8D" w:rsidR="00913154" w:rsidRPr="00CE283E" w:rsidRDefault="00913154" w:rsidP="00257C99">
      <w:pPr>
        <w:rPr>
          <w:rFonts w:ascii="Arial" w:hAnsi="Arial" w:cs="Arial"/>
          <w:b/>
          <w:bCs/>
          <w:sz w:val="22"/>
          <w:szCs w:val="22"/>
        </w:rPr>
      </w:pPr>
      <w:r w:rsidRPr="006F0770">
        <w:rPr>
          <w:rFonts w:ascii="Arial" w:hAnsi="Arial" w:cs="Arial"/>
          <w:b/>
          <w:bCs/>
          <w:sz w:val="22"/>
          <w:szCs w:val="22"/>
        </w:rPr>
        <w:t xml:space="preserve">Recommendation </w:t>
      </w:r>
      <w:r w:rsidR="00364C1D" w:rsidRPr="006F0770">
        <w:rPr>
          <w:rFonts w:ascii="Arial" w:hAnsi="Arial" w:cs="Arial"/>
          <w:b/>
          <w:bCs/>
          <w:sz w:val="22"/>
          <w:szCs w:val="22"/>
        </w:rPr>
        <w:t>5</w:t>
      </w:r>
      <w:r w:rsidRPr="006F0770">
        <w:rPr>
          <w:rFonts w:ascii="Arial" w:hAnsi="Arial" w:cs="Arial"/>
          <w:b/>
          <w:bCs/>
          <w:sz w:val="22"/>
          <w:szCs w:val="22"/>
        </w:rPr>
        <w:t>:</w:t>
      </w:r>
      <w:r w:rsidR="00AE5BD5" w:rsidRPr="006F0770">
        <w:rPr>
          <w:rFonts w:ascii="Arial" w:hAnsi="Arial" w:cs="Arial"/>
          <w:b/>
          <w:bCs/>
          <w:sz w:val="22"/>
          <w:szCs w:val="22"/>
        </w:rPr>
        <w:t xml:space="preserve"> All higher education provider governing bodies reflect the community's diversity including First Nations peoples, culturally and racially </w:t>
      </w:r>
      <w:r w:rsidR="00AE5BD5" w:rsidRPr="00CE283E">
        <w:rPr>
          <w:rFonts w:ascii="Arial" w:hAnsi="Arial" w:cs="Arial"/>
          <w:b/>
          <w:bCs/>
          <w:sz w:val="22"/>
          <w:szCs w:val="22"/>
        </w:rPr>
        <w:t>marginalised people, LGBTIQA+ people and people with disabilities.</w:t>
      </w:r>
    </w:p>
    <w:p w14:paraId="0B1A43AA" w14:textId="0FDE71DF" w:rsidR="00E355D0" w:rsidRPr="006F0770" w:rsidRDefault="00E355D0" w:rsidP="00E355D0">
      <w:pPr>
        <w:spacing w:after="200" w:line="276" w:lineRule="auto"/>
        <w:rPr>
          <w:rFonts w:ascii="Arial" w:hAnsi="Arial" w:cs="Arial"/>
          <w:sz w:val="22"/>
          <w:szCs w:val="22"/>
          <w:lang w:val="en-US" w:eastAsia="en-AU"/>
        </w:rPr>
      </w:pPr>
      <w:r w:rsidRPr="00CE283E">
        <w:rPr>
          <w:rFonts w:ascii="Arial" w:hAnsi="Arial" w:cs="Arial"/>
          <w:sz w:val="22"/>
          <w:szCs w:val="22"/>
          <w:lang w:val="en-US" w:eastAsia="en-AU"/>
        </w:rPr>
        <w:t xml:space="preserve">The Australian Government acknowledges the range of views presented to the inquiry and </w:t>
      </w:r>
      <w:r w:rsidR="00150C1A">
        <w:rPr>
          <w:rFonts w:ascii="Arial" w:hAnsi="Arial" w:cs="Arial"/>
          <w:b/>
          <w:bCs/>
          <w:sz w:val="22"/>
          <w:szCs w:val="22"/>
          <w:lang w:eastAsia="en-AU"/>
        </w:rPr>
        <w:t>notes</w:t>
      </w:r>
      <w:r w:rsidRPr="00CE283E">
        <w:rPr>
          <w:rFonts w:ascii="Arial" w:hAnsi="Arial" w:cs="Arial"/>
          <w:sz w:val="22"/>
          <w:szCs w:val="22"/>
          <w:lang w:val="en-US" w:eastAsia="en-AU"/>
        </w:rPr>
        <w:t xml:space="preserve"> this recommendation</w:t>
      </w:r>
      <w:r w:rsidRPr="006F0770">
        <w:rPr>
          <w:rFonts w:ascii="Arial" w:hAnsi="Arial" w:cs="Arial"/>
          <w:sz w:val="22"/>
          <w:szCs w:val="22"/>
          <w:lang w:val="en-US" w:eastAsia="en-AU"/>
        </w:rPr>
        <w:t>.</w:t>
      </w:r>
    </w:p>
    <w:p w14:paraId="09A293BF" w14:textId="77777777" w:rsidR="00E355D0" w:rsidRPr="006F0770" w:rsidRDefault="00E355D0" w:rsidP="00E355D0">
      <w:pPr>
        <w:spacing w:after="200" w:line="276" w:lineRule="auto"/>
        <w:rPr>
          <w:rFonts w:ascii="Arial" w:hAnsi="Arial" w:cs="Arial"/>
          <w:sz w:val="22"/>
          <w:szCs w:val="22"/>
          <w:lang w:val="en-US" w:eastAsia="en-AU"/>
        </w:rPr>
      </w:pPr>
      <w:r w:rsidRPr="006F0770">
        <w:rPr>
          <w:rFonts w:ascii="Arial" w:hAnsi="Arial" w:cs="Arial"/>
          <w:sz w:val="22"/>
          <w:szCs w:val="22"/>
          <w:lang w:val="en-US" w:eastAsia="en-AU"/>
        </w:rPr>
        <w:lastRenderedPageBreak/>
        <w:t>The Australian Government encourages universities to consider this recommendation in consultation with their students, staff, communities and other stakeholders.</w:t>
      </w:r>
    </w:p>
    <w:p w14:paraId="7E3A9617" w14:textId="31F1E459" w:rsidR="00913154" w:rsidRPr="006F0770" w:rsidRDefault="00913154" w:rsidP="00257C99">
      <w:pPr>
        <w:rPr>
          <w:rFonts w:ascii="Arial" w:hAnsi="Arial" w:cs="Arial"/>
          <w:b/>
          <w:bCs/>
          <w:sz w:val="22"/>
          <w:szCs w:val="22"/>
        </w:rPr>
      </w:pPr>
      <w:r w:rsidRPr="006F0770">
        <w:rPr>
          <w:rFonts w:ascii="Arial" w:hAnsi="Arial" w:cs="Arial"/>
          <w:b/>
          <w:bCs/>
          <w:sz w:val="22"/>
          <w:szCs w:val="22"/>
        </w:rPr>
        <w:t xml:space="preserve">Recommendation </w:t>
      </w:r>
      <w:r w:rsidR="00364C1D" w:rsidRPr="006F0770">
        <w:rPr>
          <w:rFonts w:ascii="Arial" w:hAnsi="Arial" w:cs="Arial"/>
          <w:b/>
          <w:bCs/>
          <w:sz w:val="22"/>
          <w:szCs w:val="22"/>
        </w:rPr>
        <w:t>6</w:t>
      </w:r>
      <w:r w:rsidRPr="006F0770">
        <w:rPr>
          <w:rFonts w:ascii="Arial" w:hAnsi="Arial" w:cs="Arial"/>
          <w:b/>
          <w:bCs/>
          <w:sz w:val="22"/>
          <w:szCs w:val="22"/>
        </w:rPr>
        <w:t>:</w:t>
      </w:r>
      <w:r w:rsidR="006B7A8A" w:rsidRPr="006F0770">
        <w:rPr>
          <w:rFonts w:ascii="Arial" w:hAnsi="Arial" w:cs="Arial"/>
          <w:b/>
          <w:bCs/>
          <w:sz w:val="22"/>
          <w:szCs w:val="22"/>
        </w:rPr>
        <w:t xml:space="preserve"> </w:t>
      </w:r>
      <w:proofErr w:type="gramStart"/>
      <w:r w:rsidR="006B7A8A" w:rsidRPr="006F0770">
        <w:rPr>
          <w:rFonts w:ascii="Arial" w:hAnsi="Arial" w:cs="Arial"/>
          <w:b/>
          <w:bCs/>
          <w:sz w:val="22"/>
          <w:szCs w:val="22"/>
        </w:rPr>
        <w:t>The majority of</w:t>
      </w:r>
      <w:proofErr w:type="gramEnd"/>
      <w:r w:rsidR="006B7A8A" w:rsidRPr="006F0770">
        <w:rPr>
          <w:rFonts w:ascii="Arial" w:hAnsi="Arial" w:cs="Arial"/>
          <w:b/>
          <w:bCs/>
          <w:sz w:val="22"/>
          <w:szCs w:val="22"/>
        </w:rPr>
        <w:t xml:space="preserve"> members on university governing bodies have public administration and higher education expertise.</w:t>
      </w:r>
    </w:p>
    <w:p w14:paraId="43BDFB89" w14:textId="77777777" w:rsidR="0090031E" w:rsidRPr="006F0770" w:rsidRDefault="0090031E" w:rsidP="0090031E">
      <w:pPr>
        <w:spacing w:after="200" w:line="276" w:lineRule="auto"/>
        <w:rPr>
          <w:rFonts w:ascii="Arial" w:hAnsi="Arial" w:cs="Arial"/>
          <w:sz w:val="22"/>
          <w:szCs w:val="22"/>
          <w:lang w:val="en-US" w:eastAsia="en-AU"/>
        </w:rPr>
      </w:pPr>
      <w:r w:rsidRPr="006F0770">
        <w:rPr>
          <w:rFonts w:ascii="Arial" w:hAnsi="Arial" w:cs="Arial"/>
          <w:sz w:val="22"/>
          <w:szCs w:val="22"/>
          <w:lang w:val="en-US" w:eastAsia="en-AU"/>
        </w:rPr>
        <w:t xml:space="preserve">The Australian Government acknowledges the range of views presented to the inquiry and </w:t>
      </w:r>
      <w:r w:rsidRPr="006F0770">
        <w:rPr>
          <w:rFonts w:ascii="Arial" w:hAnsi="Arial" w:cs="Arial"/>
          <w:b/>
          <w:bCs/>
          <w:sz w:val="22"/>
          <w:szCs w:val="22"/>
          <w:lang w:val="en-US" w:eastAsia="en-AU"/>
        </w:rPr>
        <w:t>notes</w:t>
      </w:r>
      <w:r w:rsidRPr="006F0770">
        <w:rPr>
          <w:rFonts w:ascii="Arial" w:hAnsi="Arial" w:cs="Arial"/>
          <w:sz w:val="22"/>
          <w:szCs w:val="22"/>
          <w:lang w:val="en-US" w:eastAsia="en-AU"/>
        </w:rPr>
        <w:t xml:space="preserve"> this recommendation.</w:t>
      </w:r>
    </w:p>
    <w:p w14:paraId="6A67A12B" w14:textId="77777777" w:rsidR="0090031E" w:rsidRPr="006F0770" w:rsidRDefault="0090031E" w:rsidP="0090031E">
      <w:pPr>
        <w:spacing w:after="200" w:line="276" w:lineRule="auto"/>
        <w:rPr>
          <w:rFonts w:ascii="Arial" w:hAnsi="Arial" w:cs="Arial"/>
          <w:sz w:val="22"/>
          <w:szCs w:val="22"/>
          <w:lang w:val="en-US" w:eastAsia="en-AU"/>
        </w:rPr>
      </w:pPr>
      <w:r w:rsidRPr="006F0770">
        <w:rPr>
          <w:rFonts w:ascii="Arial" w:hAnsi="Arial" w:cs="Arial"/>
          <w:sz w:val="22"/>
          <w:szCs w:val="22"/>
          <w:lang w:val="en-US" w:eastAsia="en-AU"/>
        </w:rPr>
        <w:t>The Australian Government encourages universities to consider this recommendation in consultation with their students, staff, communities and other stakeholders.</w:t>
      </w:r>
    </w:p>
    <w:p w14:paraId="16E04DC8" w14:textId="7697DBFA" w:rsidR="00913154" w:rsidRPr="006F0770" w:rsidRDefault="00913154" w:rsidP="00257C99">
      <w:pPr>
        <w:rPr>
          <w:rFonts w:ascii="Arial" w:hAnsi="Arial" w:cs="Arial"/>
          <w:b/>
          <w:bCs/>
          <w:sz w:val="22"/>
          <w:szCs w:val="22"/>
        </w:rPr>
      </w:pPr>
      <w:r w:rsidRPr="006F0770">
        <w:rPr>
          <w:rFonts w:ascii="Arial" w:hAnsi="Arial" w:cs="Arial"/>
          <w:b/>
          <w:bCs/>
          <w:sz w:val="22"/>
          <w:szCs w:val="22"/>
        </w:rPr>
        <w:t xml:space="preserve">Recommendation </w:t>
      </w:r>
      <w:r w:rsidR="00364C1D" w:rsidRPr="006F0770">
        <w:rPr>
          <w:rFonts w:ascii="Arial" w:hAnsi="Arial" w:cs="Arial"/>
          <w:b/>
          <w:bCs/>
          <w:sz w:val="22"/>
          <w:szCs w:val="22"/>
        </w:rPr>
        <w:t>7</w:t>
      </w:r>
      <w:r w:rsidRPr="006F0770">
        <w:rPr>
          <w:rFonts w:ascii="Arial" w:hAnsi="Arial" w:cs="Arial"/>
          <w:b/>
          <w:bCs/>
          <w:sz w:val="22"/>
          <w:szCs w:val="22"/>
        </w:rPr>
        <w:t>:</w:t>
      </w:r>
      <w:r w:rsidR="00126628" w:rsidRPr="006F0770">
        <w:rPr>
          <w:rFonts w:ascii="Arial" w:hAnsi="Arial" w:cs="Arial"/>
          <w:b/>
          <w:bCs/>
          <w:sz w:val="22"/>
          <w:szCs w:val="22"/>
        </w:rPr>
        <w:t xml:space="preserve"> A minimum membership requirement of at least 50 per cent democratically elected staff and student representatives (including undergraduate and postgraduate students) be set for governing bodies.</w:t>
      </w:r>
    </w:p>
    <w:p w14:paraId="1633DE69" w14:textId="77777777" w:rsidR="00C244A2" w:rsidRPr="006F0770" w:rsidRDefault="00C244A2" w:rsidP="00C244A2">
      <w:pPr>
        <w:spacing w:after="200" w:line="276" w:lineRule="auto"/>
        <w:rPr>
          <w:rFonts w:ascii="Arial" w:hAnsi="Arial" w:cs="Arial"/>
          <w:sz w:val="22"/>
          <w:szCs w:val="22"/>
          <w:lang w:val="en-US" w:eastAsia="en-AU"/>
        </w:rPr>
      </w:pPr>
      <w:r w:rsidRPr="006F0770">
        <w:rPr>
          <w:rFonts w:ascii="Arial" w:hAnsi="Arial" w:cs="Arial"/>
          <w:sz w:val="22"/>
          <w:szCs w:val="22"/>
          <w:lang w:val="en-US" w:eastAsia="en-AU"/>
        </w:rPr>
        <w:t xml:space="preserve">The Australian Government acknowledges the range of views presented to the inquiry and </w:t>
      </w:r>
      <w:r w:rsidRPr="006F0770">
        <w:rPr>
          <w:rFonts w:ascii="Arial" w:hAnsi="Arial" w:cs="Arial"/>
          <w:b/>
          <w:bCs/>
          <w:sz w:val="22"/>
          <w:szCs w:val="22"/>
          <w:lang w:val="en-US" w:eastAsia="en-AU"/>
        </w:rPr>
        <w:t>notes</w:t>
      </w:r>
      <w:r w:rsidRPr="006F0770">
        <w:rPr>
          <w:rFonts w:ascii="Arial" w:hAnsi="Arial" w:cs="Arial"/>
          <w:sz w:val="22"/>
          <w:szCs w:val="22"/>
          <w:lang w:val="en-US" w:eastAsia="en-AU"/>
        </w:rPr>
        <w:t xml:space="preserve"> this recommendation.</w:t>
      </w:r>
    </w:p>
    <w:p w14:paraId="5EE80F1A" w14:textId="77777777" w:rsidR="00C244A2" w:rsidRPr="006F0770" w:rsidRDefault="00C244A2" w:rsidP="00C244A2">
      <w:pPr>
        <w:spacing w:after="200" w:line="276" w:lineRule="auto"/>
        <w:rPr>
          <w:rFonts w:ascii="Arial" w:hAnsi="Arial" w:cs="Arial"/>
          <w:sz w:val="22"/>
          <w:szCs w:val="22"/>
          <w:lang w:val="en-US" w:eastAsia="en-AU"/>
        </w:rPr>
      </w:pPr>
      <w:r w:rsidRPr="006F0770">
        <w:rPr>
          <w:rFonts w:ascii="Arial" w:hAnsi="Arial" w:cs="Arial"/>
          <w:sz w:val="22"/>
          <w:szCs w:val="22"/>
          <w:lang w:val="en-US" w:eastAsia="en-AU"/>
        </w:rPr>
        <w:t>The Australian Government encourages universities to consider this recommendation in consultation with their students, staff, communities and other stakeholders.</w:t>
      </w:r>
    </w:p>
    <w:p w14:paraId="15632AEF" w14:textId="281F68CA" w:rsidR="00913154" w:rsidRPr="006F0770" w:rsidRDefault="00913154" w:rsidP="00257C99">
      <w:pPr>
        <w:rPr>
          <w:rFonts w:ascii="Arial" w:hAnsi="Arial" w:cs="Arial"/>
          <w:b/>
          <w:bCs/>
          <w:sz w:val="22"/>
          <w:szCs w:val="22"/>
        </w:rPr>
      </w:pPr>
      <w:r w:rsidRPr="006F0770">
        <w:rPr>
          <w:rFonts w:ascii="Arial" w:hAnsi="Arial" w:cs="Arial"/>
          <w:b/>
          <w:bCs/>
          <w:sz w:val="22"/>
          <w:szCs w:val="22"/>
        </w:rPr>
        <w:t xml:space="preserve">Recommendation </w:t>
      </w:r>
      <w:r w:rsidR="00364C1D" w:rsidRPr="006F0770">
        <w:rPr>
          <w:rFonts w:ascii="Arial" w:hAnsi="Arial" w:cs="Arial"/>
          <w:b/>
          <w:bCs/>
          <w:sz w:val="22"/>
          <w:szCs w:val="22"/>
        </w:rPr>
        <w:t>8</w:t>
      </w:r>
      <w:r w:rsidRPr="006F0770">
        <w:rPr>
          <w:rFonts w:ascii="Arial" w:hAnsi="Arial" w:cs="Arial"/>
          <w:b/>
          <w:bCs/>
          <w:sz w:val="22"/>
          <w:szCs w:val="22"/>
        </w:rPr>
        <w:t>:</w:t>
      </w:r>
      <w:r w:rsidR="004A7176" w:rsidRPr="006F0770">
        <w:rPr>
          <w:rFonts w:ascii="Arial" w:hAnsi="Arial" w:cs="Arial"/>
          <w:b/>
          <w:bCs/>
          <w:sz w:val="22"/>
          <w:szCs w:val="22"/>
        </w:rPr>
        <w:t xml:space="preserve"> In addition to council minutes, reports produced for council and annual self-performance reviews be published on university websites.</w:t>
      </w:r>
    </w:p>
    <w:p w14:paraId="53075292" w14:textId="77777777" w:rsidR="00A705C4" w:rsidRPr="006F0770" w:rsidRDefault="00A705C4" w:rsidP="00A705C4">
      <w:pPr>
        <w:spacing w:after="200" w:line="276" w:lineRule="auto"/>
        <w:rPr>
          <w:rFonts w:ascii="Arial" w:hAnsi="Arial" w:cs="Arial"/>
          <w:sz w:val="22"/>
          <w:szCs w:val="22"/>
          <w:lang w:val="en-US" w:eastAsia="en-AU"/>
        </w:rPr>
      </w:pPr>
      <w:r w:rsidRPr="006F0770">
        <w:rPr>
          <w:rFonts w:ascii="Arial" w:hAnsi="Arial" w:cs="Arial"/>
          <w:sz w:val="22"/>
          <w:szCs w:val="22"/>
          <w:lang w:val="en-US" w:eastAsia="en-AU"/>
        </w:rPr>
        <w:t xml:space="preserve">The Australian Government acknowledges the range of views presented to the inquiry and </w:t>
      </w:r>
      <w:r w:rsidRPr="006F0770">
        <w:rPr>
          <w:rFonts w:ascii="Arial" w:hAnsi="Arial" w:cs="Arial"/>
          <w:b/>
          <w:bCs/>
          <w:sz w:val="22"/>
          <w:szCs w:val="22"/>
          <w:lang w:val="en-US" w:eastAsia="en-AU"/>
        </w:rPr>
        <w:t>notes</w:t>
      </w:r>
      <w:r w:rsidRPr="006F0770">
        <w:rPr>
          <w:rFonts w:ascii="Arial" w:hAnsi="Arial" w:cs="Arial"/>
          <w:sz w:val="22"/>
          <w:szCs w:val="22"/>
          <w:lang w:val="en-US" w:eastAsia="en-AU"/>
        </w:rPr>
        <w:t xml:space="preserve"> this recommendation.</w:t>
      </w:r>
    </w:p>
    <w:p w14:paraId="5AF79357" w14:textId="77777777" w:rsidR="00A705C4" w:rsidRPr="006F0770" w:rsidRDefault="00A705C4" w:rsidP="00A705C4">
      <w:pPr>
        <w:spacing w:after="200" w:line="276" w:lineRule="auto"/>
        <w:rPr>
          <w:rFonts w:ascii="Arial" w:hAnsi="Arial" w:cs="Arial"/>
          <w:sz w:val="22"/>
          <w:szCs w:val="22"/>
          <w:lang w:val="en-US" w:eastAsia="en-AU"/>
        </w:rPr>
      </w:pPr>
      <w:r w:rsidRPr="006F0770">
        <w:rPr>
          <w:rFonts w:ascii="Arial" w:hAnsi="Arial" w:cs="Arial"/>
          <w:sz w:val="22"/>
          <w:szCs w:val="22"/>
          <w:lang w:val="en-US" w:eastAsia="en-AU"/>
        </w:rPr>
        <w:t>The Australian Government encourages universities to consider this recommendation in consultation with their students, staff, communities and other stakeholders.</w:t>
      </w:r>
    </w:p>
    <w:p w14:paraId="0F61E593" w14:textId="7BE23605" w:rsidR="00364C1D" w:rsidRPr="006F0770" w:rsidRDefault="00364C1D" w:rsidP="00257C99">
      <w:pPr>
        <w:rPr>
          <w:rFonts w:ascii="Arial" w:hAnsi="Arial" w:cs="Arial"/>
          <w:b/>
          <w:bCs/>
          <w:sz w:val="22"/>
          <w:szCs w:val="22"/>
        </w:rPr>
      </w:pPr>
      <w:r w:rsidRPr="006F0770">
        <w:rPr>
          <w:rFonts w:ascii="Arial" w:hAnsi="Arial" w:cs="Arial"/>
          <w:b/>
          <w:bCs/>
          <w:sz w:val="22"/>
          <w:szCs w:val="22"/>
        </w:rPr>
        <w:t>Recommendation 9:</w:t>
      </w:r>
      <w:r w:rsidR="004A7176" w:rsidRPr="006F0770">
        <w:rPr>
          <w:rFonts w:ascii="Arial" w:hAnsi="Arial" w:cs="Arial"/>
          <w:b/>
          <w:bCs/>
          <w:sz w:val="22"/>
          <w:szCs w:val="22"/>
        </w:rPr>
        <w:t xml:space="preserve"> Complaints processes be examined and enhanced by working with students, staff, and student bodies.</w:t>
      </w:r>
    </w:p>
    <w:p w14:paraId="6998784E" w14:textId="255B6F71" w:rsidR="00A705C4" w:rsidRPr="006F0770" w:rsidRDefault="00A705C4" w:rsidP="00A705C4">
      <w:pPr>
        <w:spacing w:after="200" w:line="276" w:lineRule="auto"/>
        <w:rPr>
          <w:rFonts w:ascii="Arial" w:hAnsi="Arial" w:cs="Arial"/>
          <w:sz w:val="22"/>
          <w:szCs w:val="22"/>
          <w:lang w:val="en-US" w:eastAsia="en-AU"/>
        </w:rPr>
      </w:pPr>
      <w:r w:rsidRPr="00CE283E">
        <w:rPr>
          <w:rFonts w:ascii="Arial" w:hAnsi="Arial" w:cs="Arial"/>
          <w:sz w:val="22"/>
          <w:szCs w:val="22"/>
          <w:lang w:val="en-US" w:eastAsia="en-AU"/>
        </w:rPr>
        <w:t xml:space="preserve">The Australian Government acknowledges the range of views presented to the inquiry and </w:t>
      </w:r>
      <w:r w:rsidR="00150C1A">
        <w:rPr>
          <w:rFonts w:ascii="Arial" w:hAnsi="Arial" w:cs="Arial"/>
          <w:b/>
          <w:bCs/>
          <w:sz w:val="22"/>
          <w:szCs w:val="22"/>
          <w:lang w:eastAsia="en-AU"/>
        </w:rPr>
        <w:t>notes</w:t>
      </w:r>
      <w:r w:rsidR="00164093" w:rsidRPr="00CE283E">
        <w:rPr>
          <w:rFonts w:ascii="Arial" w:hAnsi="Arial" w:cs="Arial"/>
          <w:sz w:val="22"/>
          <w:szCs w:val="22"/>
          <w:lang w:val="en-US" w:eastAsia="en-AU"/>
        </w:rPr>
        <w:t xml:space="preserve"> </w:t>
      </w:r>
      <w:r w:rsidRPr="00CE283E">
        <w:rPr>
          <w:rFonts w:ascii="Arial" w:hAnsi="Arial" w:cs="Arial"/>
          <w:sz w:val="22"/>
          <w:szCs w:val="22"/>
          <w:lang w:val="en-US" w:eastAsia="en-AU"/>
        </w:rPr>
        <w:t>this</w:t>
      </w:r>
      <w:r w:rsidRPr="006F0770">
        <w:rPr>
          <w:rFonts w:ascii="Arial" w:hAnsi="Arial" w:cs="Arial"/>
          <w:sz w:val="22"/>
          <w:szCs w:val="22"/>
          <w:lang w:val="en-US" w:eastAsia="en-AU"/>
        </w:rPr>
        <w:t xml:space="preserve"> recommendation.</w:t>
      </w:r>
    </w:p>
    <w:p w14:paraId="194C391B" w14:textId="77777777" w:rsidR="00A705C4" w:rsidRPr="006F0770" w:rsidRDefault="00A705C4" w:rsidP="00A705C4">
      <w:pPr>
        <w:spacing w:after="200" w:line="276" w:lineRule="auto"/>
        <w:rPr>
          <w:rFonts w:ascii="Arial" w:hAnsi="Arial" w:cs="Arial"/>
          <w:sz w:val="22"/>
          <w:szCs w:val="22"/>
          <w:lang w:val="en-US" w:eastAsia="en-AU"/>
        </w:rPr>
      </w:pPr>
      <w:r w:rsidRPr="006F0770">
        <w:rPr>
          <w:rFonts w:ascii="Arial" w:hAnsi="Arial" w:cs="Arial"/>
          <w:sz w:val="22"/>
          <w:szCs w:val="22"/>
          <w:lang w:val="en-US" w:eastAsia="en-AU"/>
        </w:rPr>
        <w:t>The Australian Government encourages universities to consider this recommendation in consultation with their students, staff, communities and other stakeholders.</w:t>
      </w:r>
    </w:p>
    <w:p w14:paraId="4FD7701F" w14:textId="51DF2FC7" w:rsidR="00364C1D" w:rsidRPr="006F0770" w:rsidRDefault="00364C1D" w:rsidP="00257C99">
      <w:pPr>
        <w:rPr>
          <w:rFonts w:ascii="Arial" w:hAnsi="Arial" w:cs="Arial"/>
          <w:b/>
          <w:bCs/>
          <w:sz w:val="22"/>
          <w:szCs w:val="22"/>
        </w:rPr>
      </w:pPr>
      <w:r w:rsidRPr="006F0770">
        <w:rPr>
          <w:rFonts w:ascii="Arial" w:hAnsi="Arial" w:cs="Arial"/>
          <w:b/>
          <w:bCs/>
          <w:sz w:val="22"/>
          <w:szCs w:val="22"/>
        </w:rPr>
        <w:t>Recommendation 10:</w:t>
      </w:r>
      <w:r w:rsidR="0085709E" w:rsidRPr="006F0770">
        <w:rPr>
          <w:rFonts w:ascii="Arial" w:hAnsi="Arial" w:cs="Arial"/>
          <w:b/>
          <w:bCs/>
          <w:sz w:val="22"/>
          <w:szCs w:val="22"/>
        </w:rPr>
        <w:t xml:space="preserve"> The TEQSA regulatory framework be amended to include a consultation framework for how universities meaningfully involve, consult and work with students and staff as partners in major change proposals, prior to decisions being made.</w:t>
      </w:r>
    </w:p>
    <w:p w14:paraId="56BC9F4B" w14:textId="77777777" w:rsidR="00087557" w:rsidRPr="006F0770" w:rsidRDefault="00087557" w:rsidP="00087557">
      <w:pPr>
        <w:spacing w:after="200" w:line="276" w:lineRule="auto"/>
        <w:rPr>
          <w:rFonts w:ascii="Arial" w:hAnsi="Arial" w:cs="Arial"/>
          <w:sz w:val="22"/>
          <w:szCs w:val="22"/>
          <w:lang w:val="en-US" w:eastAsia="en-AU"/>
        </w:rPr>
      </w:pPr>
      <w:r w:rsidRPr="006F0770">
        <w:rPr>
          <w:rFonts w:ascii="Arial" w:hAnsi="Arial" w:cs="Arial"/>
          <w:sz w:val="22"/>
          <w:szCs w:val="22"/>
          <w:lang w:val="en-US" w:eastAsia="en-AU"/>
        </w:rPr>
        <w:t xml:space="preserve">The Australian Government acknowledges the range of views presented to the inquiry and </w:t>
      </w:r>
      <w:r w:rsidRPr="006F0770">
        <w:rPr>
          <w:rFonts w:ascii="Arial" w:hAnsi="Arial" w:cs="Arial"/>
          <w:b/>
          <w:bCs/>
          <w:sz w:val="22"/>
          <w:szCs w:val="22"/>
          <w:lang w:val="en-US" w:eastAsia="en-AU"/>
        </w:rPr>
        <w:t>notes</w:t>
      </w:r>
      <w:r w:rsidRPr="006F0770">
        <w:rPr>
          <w:rFonts w:ascii="Arial" w:hAnsi="Arial" w:cs="Arial"/>
          <w:sz w:val="22"/>
          <w:szCs w:val="22"/>
          <w:lang w:val="en-US" w:eastAsia="en-AU"/>
        </w:rPr>
        <w:t xml:space="preserve"> this recommendation.</w:t>
      </w:r>
    </w:p>
    <w:p w14:paraId="1D37E254" w14:textId="77777777" w:rsidR="00087557" w:rsidRPr="006F0770" w:rsidRDefault="00087557" w:rsidP="00087557">
      <w:pPr>
        <w:spacing w:after="200" w:line="276" w:lineRule="auto"/>
        <w:rPr>
          <w:rFonts w:ascii="Arial" w:hAnsi="Arial" w:cs="Arial"/>
          <w:sz w:val="22"/>
          <w:szCs w:val="22"/>
          <w:lang w:val="en-US" w:eastAsia="en-AU"/>
        </w:rPr>
      </w:pPr>
      <w:r w:rsidRPr="006F0770">
        <w:rPr>
          <w:rFonts w:ascii="Arial" w:hAnsi="Arial" w:cs="Arial"/>
          <w:sz w:val="22"/>
          <w:szCs w:val="22"/>
          <w:lang w:val="en-US" w:eastAsia="en-AU"/>
        </w:rPr>
        <w:t>The Australian Government's response, as outlined above, reflects a range of actions the Government is taking to strengthen university governance, to support staff and student involvement in the management of their university communities and in university decision-making processes, and to build a better and fairer tertiary education system.</w:t>
      </w:r>
    </w:p>
    <w:p w14:paraId="61826BDE" w14:textId="7CDFAAC2" w:rsidR="0005707A" w:rsidRPr="00180DA8" w:rsidRDefault="0005707A" w:rsidP="00180DA8">
      <w:pPr>
        <w:pStyle w:val="Heading2"/>
        <w:keepNext/>
        <w:spacing w:before="120" w:after="120" w:line="240" w:lineRule="auto"/>
        <w:rPr>
          <w:sz w:val="22"/>
          <w:szCs w:val="22"/>
        </w:rPr>
      </w:pPr>
      <w:r w:rsidRPr="00180DA8">
        <w:rPr>
          <w:sz w:val="22"/>
          <w:szCs w:val="22"/>
        </w:rPr>
        <w:lastRenderedPageBreak/>
        <w:t>Final Report</w:t>
      </w:r>
    </w:p>
    <w:p w14:paraId="684D73D1" w14:textId="0B4C0D26" w:rsidR="0005707A" w:rsidRPr="00A6187A" w:rsidRDefault="00D517E2" w:rsidP="00257C99">
      <w:pPr>
        <w:rPr>
          <w:rFonts w:ascii="Arial" w:hAnsi="Arial" w:cs="Arial"/>
          <w:b/>
          <w:bCs/>
          <w:sz w:val="22"/>
          <w:szCs w:val="22"/>
        </w:rPr>
      </w:pPr>
      <w:r w:rsidRPr="00A6187A">
        <w:rPr>
          <w:rFonts w:ascii="Arial" w:hAnsi="Arial" w:cs="Arial"/>
          <w:b/>
          <w:bCs/>
          <w:sz w:val="22"/>
          <w:szCs w:val="22"/>
        </w:rPr>
        <w:t>Recommendation 1: To limit the use of consultants and outsourcing at universities, an appropriate Federal government agency develops principles for this purpose that prioritise in-house expertise.</w:t>
      </w:r>
    </w:p>
    <w:p w14:paraId="2619FEA4" w14:textId="77777777" w:rsidR="006C5E68" w:rsidRPr="00A6187A" w:rsidRDefault="006C5E68" w:rsidP="006C5E68">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 xml:space="preserve">The Australian Government acknowledges the range of views presented to the inquiry and </w:t>
      </w:r>
      <w:r w:rsidRPr="00A6187A">
        <w:rPr>
          <w:rFonts w:ascii="Arial" w:hAnsi="Arial" w:cs="Arial"/>
          <w:b/>
          <w:bCs/>
          <w:sz w:val="22"/>
          <w:szCs w:val="22"/>
          <w:lang w:val="en-US" w:eastAsia="en-AU"/>
        </w:rPr>
        <w:t>notes</w:t>
      </w:r>
      <w:r w:rsidRPr="00A6187A">
        <w:rPr>
          <w:rFonts w:ascii="Arial" w:hAnsi="Arial" w:cs="Arial"/>
          <w:sz w:val="22"/>
          <w:szCs w:val="22"/>
          <w:lang w:val="en-US" w:eastAsia="en-AU"/>
        </w:rPr>
        <w:t xml:space="preserve"> this recommendation.</w:t>
      </w:r>
    </w:p>
    <w:p w14:paraId="4E4AA734" w14:textId="77777777" w:rsidR="006C5E68" w:rsidRPr="00A6187A" w:rsidRDefault="006C5E68" w:rsidP="006C5E68">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The Australian Government's response, as outlined above, reflects a range of actions the Government is taking to strengthen university governance, to support staff and student involvement in the management of their university communities and in university decision-making processes, and to build a better and fairer tertiary education system.</w:t>
      </w:r>
    </w:p>
    <w:p w14:paraId="63304088" w14:textId="38D11A13" w:rsidR="00D517E2" w:rsidRPr="00A6187A" w:rsidRDefault="00D517E2" w:rsidP="00257C99">
      <w:pPr>
        <w:rPr>
          <w:rFonts w:ascii="Arial" w:hAnsi="Arial" w:cs="Arial"/>
          <w:b/>
          <w:bCs/>
          <w:sz w:val="22"/>
          <w:szCs w:val="22"/>
        </w:rPr>
      </w:pPr>
      <w:r w:rsidRPr="00A6187A">
        <w:rPr>
          <w:rFonts w:ascii="Arial" w:hAnsi="Arial" w:cs="Arial"/>
          <w:b/>
          <w:bCs/>
          <w:sz w:val="22"/>
          <w:szCs w:val="22"/>
        </w:rPr>
        <w:t>Recommendation 2:</w:t>
      </w:r>
      <w:r w:rsidR="00941246" w:rsidRPr="00A6187A">
        <w:rPr>
          <w:rFonts w:ascii="Arial" w:hAnsi="Arial" w:cs="Arial"/>
          <w:b/>
          <w:bCs/>
          <w:sz w:val="22"/>
          <w:szCs w:val="22"/>
        </w:rPr>
        <w:t xml:space="preserve"> Federal government funding to public universities be increased to fully fund universities and make them free, starting by increasing funding to at least the Organisation for Economic Co-operation and Development average.</w:t>
      </w:r>
    </w:p>
    <w:p w14:paraId="60F3CFB7" w14:textId="77777777" w:rsidR="006C5E68" w:rsidRPr="00A6187A" w:rsidRDefault="006C5E68" w:rsidP="006C5E68">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 xml:space="preserve">The Australian Government acknowledges the range of views presented to the inquiry and </w:t>
      </w:r>
      <w:r w:rsidRPr="00A6187A">
        <w:rPr>
          <w:rFonts w:ascii="Arial" w:hAnsi="Arial" w:cs="Arial"/>
          <w:b/>
          <w:bCs/>
          <w:sz w:val="22"/>
          <w:szCs w:val="22"/>
          <w:lang w:val="en-US" w:eastAsia="en-AU"/>
        </w:rPr>
        <w:t>notes</w:t>
      </w:r>
      <w:r w:rsidRPr="00A6187A">
        <w:rPr>
          <w:rFonts w:ascii="Arial" w:hAnsi="Arial" w:cs="Arial"/>
          <w:sz w:val="22"/>
          <w:szCs w:val="22"/>
          <w:lang w:val="en-US" w:eastAsia="en-AU"/>
        </w:rPr>
        <w:t xml:space="preserve"> this recommendation.</w:t>
      </w:r>
    </w:p>
    <w:p w14:paraId="047491AD" w14:textId="77777777" w:rsidR="006C5E68" w:rsidRPr="00A6187A" w:rsidRDefault="006C5E68" w:rsidP="006C5E68">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The Australian Government's response, as outlined above, reflects a range of actions the Government is taking to strengthen university governance, to support staff and student involvement in the management of their university communities and in university decision-making processes, and to build a better and fairer tertiary education system.</w:t>
      </w:r>
    </w:p>
    <w:p w14:paraId="7CC55C35" w14:textId="292E1D95" w:rsidR="00D517E2" w:rsidRPr="00A6187A" w:rsidRDefault="00D517E2" w:rsidP="00257C99">
      <w:pPr>
        <w:rPr>
          <w:rFonts w:ascii="Arial" w:hAnsi="Arial" w:cs="Arial"/>
          <w:b/>
          <w:bCs/>
          <w:sz w:val="22"/>
          <w:szCs w:val="22"/>
        </w:rPr>
      </w:pPr>
      <w:r w:rsidRPr="00A6187A">
        <w:rPr>
          <w:rFonts w:ascii="Arial" w:hAnsi="Arial" w:cs="Arial"/>
          <w:b/>
          <w:bCs/>
          <w:sz w:val="22"/>
          <w:szCs w:val="22"/>
        </w:rPr>
        <w:t>Recommendation 3:</w:t>
      </w:r>
      <w:r w:rsidR="00000881" w:rsidRPr="00A6187A">
        <w:rPr>
          <w:rFonts w:ascii="Arial" w:hAnsi="Arial" w:cs="Arial"/>
          <w:b/>
          <w:bCs/>
          <w:sz w:val="22"/>
          <w:szCs w:val="22"/>
        </w:rPr>
        <w:t xml:space="preserve"> Universities implement protections for whistleblowers and student activists, including the establishment of a Whistleblower Protection Authority, and protect the right of students and staff to protest on university campuses.</w:t>
      </w:r>
    </w:p>
    <w:p w14:paraId="405DA8FA" w14:textId="77777777" w:rsidR="00E63F5E" w:rsidRPr="00A6187A" w:rsidRDefault="00E63F5E" w:rsidP="00E63F5E">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 xml:space="preserve">The Australian Government acknowledges the range of views presented to the inquiry and </w:t>
      </w:r>
      <w:r w:rsidRPr="00A6187A">
        <w:rPr>
          <w:rFonts w:ascii="Arial" w:hAnsi="Arial" w:cs="Arial"/>
          <w:b/>
          <w:bCs/>
          <w:sz w:val="22"/>
          <w:szCs w:val="22"/>
          <w:lang w:val="en-US" w:eastAsia="en-AU"/>
        </w:rPr>
        <w:t>notes</w:t>
      </w:r>
      <w:r w:rsidRPr="00A6187A">
        <w:rPr>
          <w:rFonts w:ascii="Arial" w:hAnsi="Arial" w:cs="Arial"/>
          <w:sz w:val="22"/>
          <w:szCs w:val="22"/>
          <w:lang w:val="en-US" w:eastAsia="en-AU"/>
        </w:rPr>
        <w:t xml:space="preserve"> this recommendation.</w:t>
      </w:r>
    </w:p>
    <w:p w14:paraId="317CADFE" w14:textId="77777777" w:rsidR="002A4645" w:rsidRPr="00A6187A" w:rsidRDefault="002A4645" w:rsidP="002A4645">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The Australian Government encourages universities to consider this recommendation in consultation with their students, staff, communities and other stakeholders.</w:t>
      </w:r>
    </w:p>
    <w:p w14:paraId="11ACA3DF" w14:textId="7FB134F5" w:rsidR="00D517E2" w:rsidRPr="00A6187A" w:rsidRDefault="00D517E2" w:rsidP="00257C99">
      <w:pPr>
        <w:rPr>
          <w:rFonts w:ascii="Arial" w:hAnsi="Arial" w:cs="Arial"/>
          <w:b/>
          <w:bCs/>
          <w:sz w:val="22"/>
          <w:szCs w:val="22"/>
        </w:rPr>
      </w:pPr>
      <w:r w:rsidRPr="00A6187A">
        <w:rPr>
          <w:rFonts w:ascii="Arial" w:hAnsi="Arial" w:cs="Arial"/>
          <w:b/>
          <w:bCs/>
          <w:sz w:val="22"/>
          <w:szCs w:val="22"/>
        </w:rPr>
        <w:t>Recommendation 4:</w:t>
      </w:r>
      <w:r w:rsidR="00000881" w:rsidRPr="00A6187A">
        <w:rPr>
          <w:rFonts w:ascii="Arial" w:hAnsi="Arial" w:cs="Arial"/>
          <w:b/>
          <w:bCs/>
          <w:sz w:val="22"/>
          <w:szCs w:val="22"/>
        </w:rPr>
        <w:t xml:space="preserve"> Require all public universities to adopt transparent ethical investment and procurement policies, with binding commitments to divest from weapons manufacturers, fossil fuel corporations, and gambling industries.</w:t>
      </w:r>
    </w:p>
    <w:p w14:paraId="437CFB17" w14:textId="77777777" w:rsidR="00E63F5E" w:rsidRPr="00A6187A" w:rsidRDefault="00E63F5E" w:rsidP="00E63F5E">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 xml:space="preserve">The Australian Government acknowledges the range of views presented to the inquiry and </w:t>
      </w:r>
      <w:r w:rsidRPr="00A6187A">
        <w:rPr>
          <w:rFonts w:ascii="Arial" w:hAnsi="Arial" w:cs="Arial"/>
          <w:b/>
          <w:bCs/>
          <w:sz w:val="22"/>
          <w:szCs w:val="22"/>
          <w:lang w:val="en-US" w:eastAsia="en-AU"/>
        </w:rPr>
        <w:t>notes</w:t>
      </w:r>
      <w:r w:rsidRPr="00A6187A">
        <w:rPr>
          <w:rFonts w:ascii="Arial" w:hAnsi="Arial" w:cs="Arial"/>
          <w:sz w:val="22"/>
          <w:szCs w:val="22"/>
          <w:lang w:val="en-US" w:eastAsia="en-AU"/>
        </w:rPr>
        <w:t xml:space="preserve"> this recommendation.</w:t>
      </w:r>
    </w:p>
    <w:p w14:paraId="6CC0543E" w14:textId="77777777" w:rsidR="002A4645" w:rsidRPr="00A6187A" w:rsidRDefault="002A4645" w:rsidP="002A4645">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The Australian Government encourages universities to consider this recommendation in consultation with their students, staff, communities and other stakeholders.</w:t>
      </w:r>
    </w:p>
    <w:p w14:paraId="4AC76DCF" w14:textId="4E32A21B" w:rsidR="00D517E2" w:rsidRPr="00A6187A" w:rsidRDefault="00D517E2" w:rsidP="00257C99">
      <w:pPr>
        <w:rPr>
          <w:rFonts w:ascii="Arial" w:hAnsi="Arial" w:cs="Arial"/>
          <w:b/>
          <w:bCs/>
          <w:sz w:val="22"/>
          <w:szCs w:val="22"/>
        </w:rPr>
      </w:pPr>
      <w:r w:rsidRPr="00A6187A">
        <w:rPr>
          <w:rFonts w:ascii="Arial" w:hAnsi="Arial" w:cs="Arial"/>
          <w:b/>
          <w:bCs/>
          <w:sz w:val="22"/>
          <w:szCs w:val="22"/>
        </w:rPr>
        <w:t>Recommendation 5:</w:t>
      </w:r>
      <w:r w:rsidR="00941246" w:rsidRPr="00A6187A">
        <w:rPr>
          <w:rFonts w:ascii="Arial" w:hAnsi="Arial" w:cs="Arial"/>
          <w:b/>
          <w:bCs/>
          <w:sz w:val="22"/>
          <w:szCs w:val="22"/>
        </w:rPr>
        <w:t xml:space="preserve"> Establish a publicly accessible register of all university partnerships, sponsorships, and funding arrangements with corporations and external entities, including the nature and value of the partnership.</w:t>
      </w:r>
    </w:p>
    <w:p w14:paraId="799C4FF3" w14:textId="77777777" w:rsidR="00C922A3" w:rsidRPr="00A6187A" w:rsidRDefault="00C922A3" w:rsidP="00C922A3">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 xml:space="preserve">The Australian Government acknowledges the range of views presented to the inquiry and </w:t>
      </w:r>
      <w:r w:rsidRPr="00A6187A">
        <w:rPr>
          <w:rFonts w:ascii="Arial" w:hAnsi="Arial" w:cs="Arial"/>
          <w:b/>
          <w:bCs/>
          <w:sz w:val="22"/>
          <w:szCs w:val="22"/>
          <w:lang w:val="en-US" w:eastAsia="en-AU"/>
        </w:rPr>
        <w:t>notes</w:t>
      </w:r>
      <w:r w:rsidRPr="00A6187A">
        <w:rPr>
          <w:rFonts w:ascii="Arial" w:hAnsi="Arial" w:cs="Arial"/>
          <w:sz w:val="22"/>
          <w:szCs w:val="22"/>
          <w:lang w:val="en-US" w:eastAsia="en-AU"/>
        </w:rPr>
        <w:t xml:space="preserve"> this recommendation.</w:t>
      </w:r>
    </w:p>
    <w:p w14:paraId="7F22F340" w14:textId="77777777" w:rsidR="00693615" w:rsidRPr="00A6187A" w:rsidRDefault="00693615" w:rsidP="00693615">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The Australian Government encourages universities to consider this recommendation in consultation with their students, staff, communities and other stakeholders.</w:t>
      </w:r>
    </w:p>
    <w:p w14:paraId="218A29BC" w14:textId="51A690CA" w:rsidR="00941246" w:rsidRPr="00A6187A" w:rsidRDefault="00941246" w:rsidP="00257C99">
      <w:pPr>
        <w:rPr>
          <w:rFonts w:ascii="Arial" w:hAnsi="Arial" w:cs="Arial"/>
          <w:b/>
          <w:bCs/>
          <w:sz w:val="22"/>
          <w:szCs w:val="22"/>
        </w:rPr>
      </w:pPr>
      <w:r w:rsidRPr="00A6187A">
        <w:rPr>
          <w:rFonts w:ascii="Arial" w:hAnsi="Arial" w:cs="Arial"/>
          <w:b/>
          <w:bCs/>
          <w:sz w:val="22"/>
          <w:szCs w:val="22"/>
        </w:rPr>
        <w:lastRenderedPageBreak/>
        <w:t>Recommendation 6: Increase PhD stipends to above the minimum wage.</w:t>
      </w:r>
    </w:p>
    <w:p w14:paraId="597B94ED" w14:textId="77777777" w:rsidR="00C922A3" w:rsidRPr="00A6187A" w:rsidRDefault="00C922A3" w:rsidP="00C922A3">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 xml:space="preserve">The Australian Government acknowledges the range of views presented to the inquiry and </w:t>
      </w:r>
      <w:r w:rsidRPr="00A6187A">
        <w:rPr>
          <w:rFonts w:ascii="Arial" w:hAnsi="Arial" w:cs="Arial"/>
          <w:b/>
          <w:bCs/>
          <w:sz w:val="22"/>
          <w:szCs w:val="22"/>
          <w:lang w:val="en-US" w:eastAsia="en-AU"/>
        </w:rPr>
        <w:t>notes</w:t>
      </w:r>
      <w:r w:rsidRPr="00A6187A">
        <w:rPr>
          <w:rFonts w:ascii="Arial" w:hAnsi="Arial" w:cs="Arial"/>
          <w:sz w:val="22"/>
          <w:szCs w:val="22"/>
          <w:lang w:val="en-US" w:eastAsia="en-AU"/>
        </w:rPr>
        <w:t xml:space="preserve"> this recommendation.</w:t>
      </w:r>
    </w:p>
    <w:p w14:paraId="750D2288" w14:textId="77777777" w:rsidR="00C922A3" w:rsidRPr="00A6187A" w:rsidRDefault="00C922A3" w:rsidP="00C922A3">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The Australian Government's response, as outlined above, reflects a range of actions the Government is taking to strengthen university governance, to support staff and student involvement in the management of their university communities and in university decision-making processes, and to build a better and fairer tertiary education system.</w:t>
      </w:r>
    </w:p>
    <w:p w14:paraId="43C4ECF5" w14:textId="0EFE94F5" w:rsidR="00C922A3" w:rsidRPr="00A6187A" w:rsidRDefault="00C922A3">
      <w:pPr>
        <w:spacing w:before="0" w:after="160" w:line="278" w:lineRule="auto"/>
        <w:rPr>
          <w:rFonts w:ascii="Arial" w:hAnsi="Arial" w:cs="Arial"/>
          <w:sz w:val="22"/>
          <w:szCs w:val="22"/>
        </w:rPr>
      </w:pPr>
      <w:r w:rsidRPr="00A6187A">
        <w:rPr>
          <w:rFonts w:ascii="Arial" w:hAnsi="Arial" w:cs="Arial"/>
          <w:sz w:val="22"/>
          <w:szCs w:val="22"/>
        </w:rPr>
        <w:br w:type="page"/>
      </w:r>
    </w:p>
    <w:p w14:paraId="03620C67" w14:textId="09AC8C7E" w:rsidR="006A1626" w:rsidRPr="00180DA8" w:rsidRDefault="006A1626" w:rsidP="00180DA8">
      <w:pPr>
        <w:pStyle w:val="Heading1"/>
        <w:spacing w:before="120" w:after="120" w:line="240" w:lineRule="auto"/>
        <w:rPr>
          <w:b w:val="0"/>
          <w:bCs/>
          <w:color w:val="156082" w:themeColor="accent1"/>
          <w:sz w:val="24"/>
        </w:rPr>
      </w:pPr>
      <w:r w:rsidRPr="00180DA8">
        <w:rPr>
          <w:b w:val="0"/>
          <w:bCs/>
          <w:color w:val="156082" w:themeColor="accent1"/>
          <w:sz w:val="24"/>
        </w:rPr>
        <w:lastRenderedPageBreak/>
        <w:t xml:space="preserve">Senator David Pocock </w:t>
      </w:r>
      <w:r w:rsidR="00B34058" w:rsidRPr="00180DA8">
        <w:rPr>
          <w:b w:val="0"/>
          <w:bCs/>
          <w:color w:val="156082" w:themeColor="accent1"/>
          <w:sz w:val="24"/>
        </w:rPr>
        <w:t>additional comments and recommendations</w:t>
      </w:r>
    </w:p>
    <w:p w14:paraId="2175DB6A" w14:textId="46385675" w:rsidR="006A1626" w:rsidRPr="00A6187A" w:rsidRDefault="00B34058" w:rsidP="00180DA8">
      <w:pPr>
        <w:pStyle w:val="Heading2"/>
        <w:spacing w:before="120" w:after="120" w:line="240" w:lineRule="auto"/>
        <w:rPr>
          <w:sz w:val="22"/>
          <w:szCs w:val="22"/>
        </w:rPr>
      </w:pPr>
      <w:r w:rsidRPr="00A6187A">
        <w:rPr>
          <w:sz w:val="22"/>
          <w:szCs w:val="22"/>
        </w:rPr>
        <w:t>Final Report</w:t>
      </w:r>
    </w:p>
    <w:p w14:paraId="1036A3CD" w14:textId="5A6503D3" w:rsidR="00B34058" w:rsidRPr="00A6187A" w:rsidRDefault="00B34058" w:rsidP="00B34058">
      <w:pPr>
        <w:rPr>
          <w:rFonts w:ascii="Arial" w:hAnsi="Arial" w:cs="Arial"/>
          <w:b/>
          <w:bCs/>
          <w:sz w:val="22"/>
          <w:szCs w:val="22"/>
        </w:rPr>
      </w:pPr>
      <w:r w:rsidRPr="00A6187A">
        <w:rPr>
          <w:rFonts w:ascii="Arial" w:hAnsi="Arial" w:cs="Arial"/>
          <w:b/>
          <w:bCs/>
          <w:sz w:val="22"/>
          <w:szCs w:val="22"/>
        </w:rPr>
        <w:t xml:space="preserve">Recommendation </w:t>
      </w:r>
      <w:r w:rsidR="00095564" w:rsidRPr="00A6187A">
        <w:rPr>
          <w:rFonts w:ascii="Arial" w:hAnsi="Arial" w:cs="Arial"/>
          <w:b/>
          <w:bCs/>
          <w:sz w:val="22"/>
          <w:szCs w:val="22"/>
        </w:rPr>
        <w:t>1</w:t>
      </w:r>
      <w:r w:rsidR="00205C33" w:rsidRPr="00A6187A">
        <w:rPr>
          <w:rFonts w:ascii="Arial" w:hAnsi="Arial" w:cs="Arial"/>
          <w:b/>
          <w:bCs/>
          <w:sz w:val="22"/>
          <w:szCs w:val="22"/>
        </w:rPr>
        <w:t>: ATEC should prioritise work to develop and consult on new models to sustainably fund Australia's universities to achieve their primary purpose in the public good. ATEC's work program must also tackle with urgency reforming the failed Job Ready Graduates Scheme and changing the timing of indexation of student debt</w:t>
      </w:r>
      <w:r w:rsidR="00563434" w:rsidRPr="00A6187A">
        <w:rPr>
          <w:rFonts w:ascii="Arial" w:hAnsi="Arial" w:cs="Arial"/>
          <w:b/>
          <w:bCs/>
          <w:sz w:val="22"/>
          <w:szCs w:val="22"/>
        </w:rPr>
        <w:t>.</w:t>
      </w:r>
    </w:p>
    <w:p w14:paraId="044226C4" w14:textId="77777777" w:rsidR="00D517E2" w:rsidRPr="00A6187A" w:rsidRDefault="00D517E2" w:rsidP="00D517E2">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 xml:space="preserve">The Australian Government acknowledges the range of views presented to the inquiry and </w:t>
      </w:r>
      <w:r w:rsidRPr="00A6187A">
        <w:rPr>
          <w:rFonts w:ascii="Arial" w:hAnsi="Arial" w:cs="Arial"/>
          <w:b/>
          <w:bCs/>
          <w:sz w:val="22"/>
          <w:szCs w:val="22"/>
          <w:lang w:val="en-US" w:eastAsia="en-AU"/>
        </w:rPr>
        <w:t>notes</w:t>
      </w:r>
      <w:r w:rsidRPr="00A6187A">
        <w:rPr>
          <w:rFonts w:ascii="Arial" w:hAnsi="Arial" w:cs="Arial"/>
          <w:sz w:val="22"/>
          <w:szCs w:val="22"/>
          <w:lang w:val="en-US" w:eastAsia="en-AU"/>
        </w:rPr>
        <w:t xml:space="preserve"> this recommendation.</w:t>
      </w:r>
    </w:p>
    <w:p w14:paraId="78D5D895" w14:textId="77777777" w:rsidR="00D517E2" w:rsidRPr="00A6187A" w:rsidRDefault="00D517E2" w:rsidP="00D517E2">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The Australian Government's response, as outlined above, reflects a range of actions the Government is taking to strengthen university governance, to support staff and student involvement in the management of their university communities and in university decision-making processes, and to build a better and fairer tertiary education system.</w:t>
      </w:r>
    </w:p>
    <w:p w14:paraId="23DBDF95" w14:textId="514DE9FB" w:rsidR="00B34058" w:rsidRPr="00A6187A" w:rsidRDefault="00B34058" w:rsidP="00B34058">
      <w:pPr>
        <w:rPr>
          <w:rFonts w:ascii="Arial" w:hAnsi="Arial" w:cs="Arial"/>
          <w:b/>
          <w:bCs/>
          <w:sz w:val="22"/>
          <w:szCs w:val="22"/>
        </w:rPr>
      </w:pPr>
      <w:r w:rsidRPr="00A6187A">
        <w:rPr>
          <w:rFonts w:ascii="Arial" w:hAnsi="Arial" w:cs="Arial"/>
          <w:b/>
          <w:bCs/>
          <w:sz w:val="22"/>
          <w:szCs w:val="22"/>
        </w:rPr>
        <w:t xml:space="preserve">Recommendation </w:t>
      </w:r>
      <w:r w:rsidR="00095564" w:rsidRPr="00A6187A">
        <w:rPr>
          <w:rFonts w:ascii="Arial" w:hAnsi="Arial" w:cs="Arial"/>
          <w:b/>
          <w:bCs/>
          <w:sz w:val="22"/>
          <w:szCs w:val="22"/>
        </w:rPr>
        <w:t>2</w:t>
      </w:r>
      <w:r w:rsidR="00205C33" w:rsidRPr="00A6187A">
        <w:rPr>
          <w:rFonts w:ascii="Arial" w:hAnsi="Arial" w:cs="Arial"/>
          <w:b/>
          <w:bCs/>
          <w:sz w:val="22"/>
          <w:szCs w:val="22"/>
        </w:rPr>
        <w:t>: With due consideration of the final report of the Strategic Examination of Research and Development review, the Government should commit to a pathway for increasing investment in research over the short, medium and longer term. This should also address the long-neglected issue of increasing PhD stipend base rates to support the next generation of researchers and academics our country will rely upon.</w:t>
      </w:r>
    </w:p>
    <w:p w14:paraId="69AA6FE7" w14:textId="77777777" w:rsidR="00D517E2" w:rsidRPr="00A6187A" w:rsidRDefault="00D517E2" w:rsidP="00D517E2">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 xml:space="preserve">The Australian Government acknowledges the range of views presented to the inquiry and </w:t>
      </w:r>
      <w:r w:rsidRPr="00A6187A">
        <w:rPr>
          <w:rFonts w:ascii="Arial" w:hAnsi="Arial" w:cs="Arial"/>
          <w:b/>
          <w:bCs/>
          <w:sz w:val="22"/>
          <w:szCs w:val="22"/>
          <w:lang w:val="en-US" w:eastAsia="en-AU"/>
        </w:rPr>
        <w:t>notes</w:t>
      </w:r>
      <w:r w:rsidRPr="00A6187A">
        <w:rPr>
          <w:rFonts w:ascii="Arial" w:hAnsi="Arial" w:cs="Arial"/>
          <w:sz w:val="22"/>
          <w:szCs w:val="22"/>
          <w:lang w:val="en-US" w:eastAsia="en-AU"/>
        </w:rPr>
        <w:t xml:space="preserve"> this recommendation.</w:t>
      </w:r>
    </w:p>
    <w:p w14:paraId="4A93DFF6" w14:textId="77777777" w:rsidR="00D517E2" w:rsidRPr="00A6187A" w:rsidRDefault="00D517E2" w:rsidP="00D517E2">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The Australian Government's response, as outlined above, reflects a range of actions the Government is taking to strengthen university governance, to support staff and student involvement in the management of their university communities and in university decision-making processes, and to build a better and fairer tertiary education system.</w:t>
      </w:r>
    </w:p>
    <w:p w14:paraId="69FF23AB" w14:textId="35162E3B" w:rsidR="00095564" w:rsidRPr="00A6187A" w:rsidRDefault="00095564" w:rsidP="00095564">
      <w:pPr>
        <w:rPr>
          <w:rFonts w:ascii="Arial" w:hAnsi="Arial" w:cs="Arial"/>
          <w:b/>
          <w:bCs/>
          <w:sz w:val="22"/>
          <w:szCs w:val="22"/>
        </w:rPr>
      </w:pPr>
      <w:r w:rsidRPr="00A6187A">
        <w:rPr>
          <w:rFonts w:ascii="Arial" w:hAnsi="Arial" w:cs="Arial"/>
          <w:b/>
          <w:bCs/>
          <w:sz w:val="22"/>
          <w:szCs w:val="22"/>
        </w:rPr>
        <w:t>Recommendation 3</w:t>
      </w:r>
      <w:r w:rsidR="00205C33" w:rsidRPr="00A6187A">
        <w:rPr>
          <w:rFonts w:ascii="Arial" w:hAnsi="Arial" w:cs="Arial"/>
          <w:b/>
          <w:bCs/>
          <w:sz w:val="22"/>
          <w:szCs w:val="22"/>
        </w:rPr>
        <w:t>: Inquiries into university governance should be replicated in all other Australian states and territories to ensure that universities are meeting community expectations regarding governance practices.</w:t>
      </w:r>
    </w:p>
    <w:p w14:paraId="2F7187D4" w14:textId="6F7CCF21" w:rsidR="00D517E2" w:rsidRPr="00A6187A" w:rsidRDefault="00D517E2" w:rsidP="00D517E2">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 xml:space="preserve">The Australian Government acknowledges the range of views presented to the inquiry and </w:t>
      </w:r>
      <w:r w:rsidRPr="00A6187A">
        <w:rPr>
          <w:rFonts w:ascii="Arial" w:hAnsi="Arial" w:cs="Arial"/>
          <w:b/>
          <w:bCs/>
          <w:sz w:val="22"/>
          <w:szCs w:val="22"/>
          <w:lang w:val="en-US" w:eastAsia="en-AU"/>
        </w:rPr>
        <w:t>notes</w:t>
      </w:r>
      <w:r w:rsidRPr="00A6187A">
        <w:rPr>
          <w:rFonts w:ascii="Arial" w:hAnsi="Arial" w:cs="Arial"/>
          <w:sz w:val="22"/>
          <w:szCs w:val="22"/>
          <w:lang w:val="en-US" w:eastAsia="en-AU"/>
        </w:rPr>
        <w:t xml:space="preserve"> this recommendation</w:t>
      </w:r>
      <w:r w:rsidR="00167733" w:rsidRPr="00A6187A">
        <w:rPr>
          <w:rFonts w:ascii="Arial" w:hAnsi="Arial" w:cs="Arial"/>
          <w:sz w:val="22"/>
          <w:szCs w:val="22"/>
          <w:lang w:val="en-US" w:eastAsia="en-AU"/>
        </w:rPr>
        <w:t xml:space="preserve"> is a matter for States and Territories</w:t>
      </w:r>
      <w:r w:rsidRPr="00A6187A">
        <w:rPr>
          <w:rFonts w:ascii="Arial" w:hAnsi="Arial" w:cs="Arial"/>
          <w:sz w:val="22"/>
          <w:szCs w:val="22"/>
          <w:lang w:val="en-US" w:eastAsia="en-AU"/>
        </w:rPr>
        <w:t>.</w:t>
      </w:r>
    </w:p>
    <w:p w14:paraId="3368136B" w14:textId="2EF8646D" w:rsidR="00B34058" w:rsidRPr="00A6187A" w:rsidRDefault="00B34058" w:rsidP="00095564">
      <w:pPr>
        <w:tabs>
          <w:tab w:val="left" w:pos="2436"/>
        </w:tabs>
        <w:rPr>
          <w:rFonts w:ascii="Arial" w:hAnsi="Arial" w:cs="Arial"/>
          <w:b/>
          <w:bCs/>
          <w:sz w:val="22"/>
          <w:szCs w:val="22"/>
        </w:rPr>
      </w:pPr>
      <w:r w:rsidRPr="00A6187A">
        <w:rPr>
          <w:rFonts w:ascii="Arial" w:hAnsi="Arial" w:cs="Arial"/>
          <w:b/>
          <w:bCs/>
          <w:sz w:val="22"/>
          <w:szCs w:val="22"/>
        </w:rPr>
        <w:t xml:space="preserve">Recommendation </w:t>
      </w:r>
      <w:r w:rsidR="00095564" w:rsidRPr="00A6187A">
        <w:rPr>
          <w:rFonts w:ascii="Arial" w:hAnsi="Arial" w:cs="Arial"/>
          <w:b/>
          <w:bCs/>
          <w:sz w:val="22"/>
          <w:szCs w:val="22"/>
        </w:rPr>
        <w:t>4</w:t>
      </w:r>
      <w:r w:rsidR="00205C33" w:rsidRPr="00A6187A">
        <w:rPr>
          <w:rFonts w:ascii="Arial" w:hAnsi="Arial" w:cs="Arial"/>
          <w:b/>
          <w:bCs/>
          <w:sz w:val="22"/>
          <w:szCs w:val="22"/>
        </w:rPr>
        <w:t>: Further to the Committee's first recommendation, state and territory governments, in reviewing the establishing acts of universities, should also amend those acts to ensure they meet, at a minimum, the recommendations of this inquiry and the Expert Council. University establishing acts ought to have explicit public good objectives and should require that governing bodies have the appropriate structure and composition to meet such public good objectives.</w:t>
      </w:r>
    </w:p>
    <w:p w14:paraId="7919E55F" w14:textId="56EF65D5" w:rsidR="00D517E2" w:rsidRPr="00A6187A" w:rsidRDefault="00D517E2" w:rsidP="00D517E2">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 xml:space="preserve">The Australian Government acknowledges the range of views presented to the inquiry and </w:t>
      </w:r>
      <w:r w:rsidRPr="00A6187A">
        <w:rPr>
          <w:rFonts w:ascii="Arial" w:hAnsi="Arial" w:cs="Arial"/>
          <w:b/>
          <w:bCs/>
          <w:sz w:val="22"/>
          <w:szCs w:val="22"/>
          <w:lang w:val="en-US" w:eastAsia="en-AU"/>
        </w:rPr>
        <w:t>notes</w:t>
      </w:r>
      <w:r w:rsidRPr="00A6187A">
        <w:rPr>
          <w:rFonts w:ascii="Arial" w:hAnsi="Arial" w:cs="Arial"/>
          <w:sz w:val="22"/>
          <w:szCs w:val="22"/>
          <w:lang w:val="en-US" w:eastAsia="en-AU"/>
        </w:rPr>
        <w:t xml:space="preserve"> this recommendation</w:t>
      </w:r>
      <w:r w:rsidR="009A4AB7" w:rsidRPr="00A6187A">
        <w:rPr>
          <w:rFonts w:ascii="Arial" w:hAnsi="Arial" w:cs="Arial"/>
          <w:sz w:val="22"/>
          <w:szCs w:val="22"/>
          <w:lang w:val="en-US" w:eastAsia="en-AU"/>
        </w:rPr>
        <w:t xml:space="preserve"> is a matter for States and Territories</w:t>
      </w:r>
      <w:r w:rsidRPr="00A6187A">
        <w:rPr>
          <w:rFonts w:ascii="Arial" w:hAnsi="Arial" w:cs="Arial"/>
          <w:sz w:val="22"/>
          <w:szCs w:val="22"/>
          <w:lang w:val="en-US" w:eastAsia="en-AU"/>
        </w:rPr>
        <w:t>.</w:t>
      </w:r>
    </w:p>
    <w:p w14:paraId="3D9A25DD" w14:textId="2591A111" w:rsidR="00B34058" w:rsidRPr="00A6187A" w:rsidRDefault="00B34058" w:rsidP="00257C99">
      <w:pPr>
        <w:rPr>
          <w:rFonts w:ascii="Arial" w:hAnsi="Arial" w:cs="Arial"/>
          <w:b/>
          <w:bCs/>
          <w:sz w:val="22"/>
          <w:szCs w:val="22"/>
        </w:rPr>
      </w:pPr>
      <w:r w:rsidRPr="00A6187A">
        <w:rPr>
          <w:rFonts w:ascii="Arial" w:hAnsi="Arial" w:cs="Arial"/>
          <w:b/>
          <w:bCs/>
          <w:sz w:val="22"/>
          <w:szCs w:val="22"/>
        </w:rPr>
        <w:t>Recommendation 5</w:t>
      </w:r>
      <w:r w:rsidR="00205C33" w:rsidRPr="00A6187A">
        <w:rPr>
          <w:rFonts w:ascii="Arial" w:hAnsi="Arial" w:cs="Arial"/>
          <w:b/>
          <w:bCs/>
          <w:sz w:val="22"/>
          <w:szCs w:val="22"/>
        </w:rPr>
        <w:t>: Independent bodies representing university stakeholders be created with powers to appoint new governing body members and, in cases of serious failure, breach, or loss of confidence, to terminate the appointment of existing members.</w:t>
      </w:r>
    </w:p>
    <w:p w14:paraId="41841D9D" w14:textId="77777777" w:rsidR="00D517E2" w:rsidRPr="00A6187A" w:rsidRDefault="00D517E2" w:rsidP="00D517E2">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 xml:space="preserve">The Australian Government acknowledges the range of views presented to the inquiry and </w:t>
      </w:r>
      <w:r w:rsidRPr="00A6187A">
        <w:rPr>
          <w:rFonts w:ascii="Arial" w:hAnsi="Arial" w:cs="Arial"/>
          <w:b/>
          <w:bCs/>
          <w:sz w:val="22"/>
          <w:szCs w:val="22"/>
          <w:lang w:val="en-US" w:eastAsia="en-AU"/>
        </w:rPr>
        <w:t>notes</w:t>
      </w:r>
      <w:r w:rsidRPr="00A6187A">
        <w:rPr>
          <w:rFonts w:ascii="Arial" w:hAnsi="Arial" w:cs="Arial"/>
          <w:sz w:val="22"/>
          <w:szCs w:val="22"/>
          <w:lang w:val="en-US" w:eastAsia="en-AU"/>
        </w:rPr>
        <w:t xml:space="preserve"> this recommendation.</w:t>
      </w:r>
    </w:p>
    <w:p w14:paraId="7C0E9155" w14:textId="77777777" w:rsidR="003B40CD" w:rsidRPr="00A6187A" w:rsidRDefault="003B40CD" w:rsidP="003B40CD">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lastRenderedPageBreak/>
        <w:t>The Australian Government encourages universities to consider this recommendation in consultation with their students, staff, communities and other stakeholders.</w:t>
      </w:r>
    </w:p>
    <w:p w14:paraId="2138DE84" w14:textId="67376FBD" w:rsidR="00B34058" w:rsidRPr="00A6187A" w:rsidRDefault="00B34058" w:rsidP="00B34058">
      <w:pPr>
        <w:rPr>
          <w:rFonts w:ascii="Arial" w:hAnsi="Arial" w:cs="Arial"/>
          <w:b/>
          <w:bCs/>
          <w:sz w:val="22"/>
          <w:szCs w:val="22"/>
        </w:rPr>
      </w:pPr>
      <w:r w:rsidRPr="00A6187A">
        <w:rPr>
          <w:rFonts w:ascii="Arial" w:hAnsi="Arial" w:cs="Arial"/>
          <w:b/>
          <w:bCs/>
          <w:sz w:val="22"/>
          <w:szCs w:val="22"/>
        </w:rPr>
        <w:t>Recommendation 6</w:t>
      </w:r>
      <w:r w:rsidR="00205C33" w:rsidRPr="00A6187A">
        <w:rPr>
          <w:rFonts w:ascii="Arial" w:hAnsi="Arial" w:cs="Arial"/>
          <w:b/>
          <w:bCs/>
          <w:sz w:val="22"/>
          <w:szCs w:val="22"/>
        </w:rPr>
        <w:t>: Update university practices and procedures to prohibit or severely limit the circumstances in which non-disclosure or non-disparagement clauses or agreements can be used and establish a mechanism to oversee and challenge any such use.</w:t>
      </w:r>
    </w:p>
    <w:p w14:paraId="512D5C6E" w14:textId="77777777" w:rsidR="00D517E2" w:rsidRPr="00A6187A" w:rsidRDefault="00D517E2" w:rsidP="00D517E2">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 xml:space="preserve">The Australian Government acknowledges the range of views presented to the inquiry and </w:t>
      </w:r>
      <w:r w:rsidRPr="00A6187A">
        <w:rPr>
          <w:rFonts w:ascii="Arial" w:hAnsi="Arial" w:cs="Arial"/>
          <w:b/>
          <w:bCs/>
          <w:sz w:val="22"/>
          <w:szCs w:val="22"/>
          <w:lang w:val="en-US" w:eastAsia="en-AU"/>
        </w:rPr>
        <w:t>notes</w:t>
      </w:r>
      <w:r w:rsidRPr="00A6187A">
        <w:rPr>
          <w:rFonts w:ascii="Arial" w:hAnsi="Arial" w:cs="Arial"/>
          <w:sz w:val="22"/>
          <w:szCs w:val="22"/>
          <w:lang w:val="en-US" w:eastAsia="en-AU"/>
        </w:rPr>
        <w:t xml:space="preserve"> this recommendation.</w:t>
      </w:r>
    </w:p>
    <w:p w14:paraId="073A3545" w14:textId="0FE50601" w:rsidR="003575B7" w:rsidRPr="00A6187A" w:rsidRDefault="003575B7" w:rsidP="00D517E2">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The Australian Government encourages universities to consider this recommendation in consultation with their students, staff, communities and other stakeholders.</w:t>
      </w:r>
    </w:p>
    <w:p w14:paraId="7EF9E520" w14:textId="3EC589AF" w:rsidR="00B34058" w:rsidRPr="00A6187A" w:rsidRDefault="00B34058" w:rsidP="00B34058">
      <w:pPr>
        <w:rPr>
          <w:rFonts w:ascii="Arial" w:hAnsi="Arial" w:cs="Arial"/>
          <w:b/>
          <w:bCs/>
          <w:sz w:val="22"/>
          <w:szCs w:val="22"/>
        </w:rPr>
      </w:pPr>
      <w:r w:rsidRPr="00A6187A">
        <w:rPr>
          <w:rFonts w:ascii="Arial" w:hAnsi="Arial" w:cs="Arial"/>
          <w:b/>
          <w:bCs/>
          <w:sz w:val="22"/>
          <w:szCs w:val="22"/>
        </w:rPr>
        <w:t>Recommendation 7</w:t>
      </w:r>
      <w:r w:rsidR="00205C33" w:rsidRPr="00A6187A">
        <w:rPr>
          <w:rFonts w:ascii="Arial" w:hAnsi="Arial" w:cs="Arial"/>
          <w:b/>
          <w:bCs/>
          <w:sz w:val="22"/>
          <w:szCs w:val="22"/>
        </w:rPr>
        <w:t>: The Threshold Standards should prescribe an explicit minimum proportion of elected staff and student members on Australian university councils of at least one-half.</w:t>
      </w:r>
    </w:p>
    <w:p w14:paraId="7AC1B508" w14:textId="77777777" w:rsidR="00D517E2" w:rsidRPr="00A6187A" w:rsidRDefault="00D517E2" w:rsidP="00D517E2">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 xml:space="preserve">The Australian Government acknowledges the range of views presented to the inquiry and </w:t>
      </w:r>
      <w:r w:rsidRPr="00A6187A">
        <w:rPr>
          <w:rFonts w:ascii="Arial" w:hAnsi="Arial" w:cs="Arial"/>
          <w:b/>
          <w:bCs/>
          <w:sz w:val="22"/>
          <w:szCs w:val="22"/>
          <w:lang w:val="en-US" w:eastAsia="en-AU"/>
        </w:rPr>
        <w:t>notes</w:t>
      </w:r>
      <w:r w:rsidRPr="00A6187A">
        <w:rPr>
          <w:rFonts w:ascii="Arial" w:hAnsi="Arial" w:cs="Arial"/>
          <w:sz w:val="22"/>
          <w:szCs w:val="22"/>
          <w:lang w:val="en-US" w:eastAsia="en-AU"/>
        </w:rPr>
        <w:t xml:space="preserve"> this recommendation.</w:t>
      </w:r>
    </w:p>
    <w:p w14:paraId="744ADB4E" w14:textId="77777777" w:rsidR="00D517E2" w:rsidRPr="00A6187A" w:rsidRDefault="00D517E2" w:rsidP="00D517E2">
      <w:pPr>
        <w:spacing w:after="200" w:line="276" w:lineRule="auto"/>
        <w:rPr>
          <w:rFonts w:ascii="Arial" w:hAnsi="Arial" w:cs="Arial"/>
          <w:sz w:val="22"/>
          <w:szCs w:val="22"/>
          <w:lang w:val="en-US" w:eastAsia="en-AU"/>
        </w:rPr>
      </w:pPr>
      <w:r w:rsidRPr="00A6187A">
        <w:rPr>
          <w:rFonts w:ascii="Arial" w:hAnsi="Arial" w:cs="Arial"/>
          <w:sz w:val="22"/>
          <w:szCs w:val="22"/>
          <w:lang w:val="en-US" w:eastAsia="en-AU"/>
        </w:rPr>
        <w:t>The Australian Government's response, as outlined above, reflects a range of actions the Government is taking to strengthen university governance, to support staff and student involvement in the management of their university communities and in university decision-making processes, and to build a better and fairer tertiary education system.</w:t>
      </w:r>
    </w:p>
    <w:p w14:paraId="199D596A" w14:textId="4FAC356E" w:rsidR="00B34058" w:rsidRPr="00F9676E" w:rsidRDefault="00B34058" w:rsidP="00B34058">
      <w:pPr>
        <w:rPr>
          <w:rFonts w:ascii="Arial" w:hAnsi="Arial" w:cs="Arial"/>
          <w:b/>
          <w:bCs/>
          <w:sz w:val="22"/>
          <w:szCs w:val="22"/>
        </w:rPr>
      </w:pPr>
      <w:r w:rsidRPr="00A6187A">
        <w:rPr>
          <w:rFonts w:ascii="Arial" w:hAnsi="Arial" w:cs="Arial"/>
          <w:b/>
          <w:bCs/>
          <w:sz w:val="22"/>
          <w:szCs w:val="22"/>
        </w:rPr>
        <w:t>Recommendation 8</w:t>
      </w:r>
      <w:r w:rsidR="00205C33" w:rsidRPr="00A6187A">
        <w:rPr>
          <w:rFonts w:ascii="Arial" w:hAnsi="Arial" w:cs="Arial"/>
          <w:b/>
          <w:bCs/>
          <w:sz w:val="22"/>
          <w:szCs w:val="22"/>
        </w:rPr>
        <w:t>: All universities should transition to adopt a single, transparent, standard method for calculating and publishing their 'underlying operating result', developed with the ATEC and appropriate consultation, with the full methodology openly disclosed and reasons for inclusion or exclusion of revenues and expenditures individually and publicly reported. In addition to this standard measure, universities should also report common private-sector indicators such as earnings before interest, taxes, depreciation, and amortisation (EBITDA). States and territories should align their reporting requirements with this standard method.</w:t>
      </w:r>
    </w:p>
    <w:p w14:paraId="443CB3FE" w14:textId="77777777" w:rsidR="00240005" w:rsidRPr="00F9676E" w:rsidRDefault="00240005" w:rsidP="00240005">
      <w:pPr>
        <w:spacing w:after="200" w:line="276" w:lineRule="auto"/>
        <w:rPr>
          <w:rFonts w:ascii="Arial" w:hAnsi="Arial" w:cs="Arial"/>
          <w:sz w:val="22"/>
          <w:szCs w:val="22"/>
          <w:lang w:val="en-US" w:eastAsia="en-AU"/>
        </w:rPr>
      </w:pPr>
      <w:r w:rsidRPr="00F9676E">
        <w:rPr>
          <w:rFonts w:ascii="Arial" w:hAnsi="Arial" w:cs="Arial"/>
          <w:sz w:val="22"/>
          <w:szCs w:val="22"/>
          <w:lang w:val="en-US" w:eastAsia="en-AU"/>
        </w:rPr>
        <w:t xml:space="preserve">The Australian Government acknowledges the range of views presented to the inquiry and </w:t>
      </w:r>
      <w:r w:rsidRPr="00F9676E">
        <w:rPr>
          <w:rFonts w:ascii="Arial" w:hAnsi="Arial" w:cs="Arial"/>
          <w:b/>
          <w:bCs/>
          <w:sz w:val="22"/>
          <w:szCs w:val="22"/>
          <w:lang w:val="en-US" w:eastAsia="en-AU"/>
        </w:rPr>
        <w:t>notes</w:t>
      </w:r>
      <w:r w:rsidRPr="00F9676E">
        <w:rPr>
          <w:rFonts w:ascii="Arial" w:hAnsi="Arial" w:cs="Arial"/>
          <w:sz w:val="22"/>
          <w:szCs w:val="22"/>
          <w:lang w:val="en-US" w:eastAsia="en-AU"/>
        </w:rPr>
        <w:t xml:space="preserve"> this recommendation.</w:t>
      </w:r>
    </w:p>
    <w:p w14:paraId="7BA2C361" w14:textId="77777777" w:rsidR="003575B7" w:rsidRPr="00F9676E" w:rsidRDefault="003575B7" w:rsidP="003575B7">
      <w:pPr>
        <w:spacing w:after="200" w:line="276" w:lineRule="auto"/>
        <w:rPr>
          <w:rFonts w:ascii="Arial" w:hAnsi="Arial" w:cs="Arial"/>
          <w:sz w:val="22"/>
          <w:szCs w:val="22"/>
          <w:lang w:val="en-US" w:eastAsia="en-AU"/>
        </w:rPr>
      </w:pPr>
      <w:r w:rsidRPr="00F9676E">
        <w:rPr>
          <w:rFonts w:ascii="Arial" w:hAnsi="Arial" w:cs="Arial"/>
          <w:sz w:val="22"/>
          <w:szCs w:val="22"/>
          <w:lang w:val="en-US" w:eastAsia="en-AU"/>
        </w:rPr>
        <w:t>The Australian Government encourages universities to consider this recommendation in consultation with their students, staff, communities and other stakeholders.</w:t>
      </w:r>
    </w:p>
    <w:p w14:paraId="67D1E127" w14:textId="77777777" w:rsidR="00240005" w:rsidRPr="00F9676E" w:rsidRDefault="00240005" w:rsidP="00240005">
      <w:pPr>
        <w:spacing w:after="200" w:line="276" w:lineRule="auto"/>
        <w:rPr>
          <w:rFonts w:ascii="Arial" w:hAnsi="Arial" w:cs="Arial"/>
          <w:sz w:val="22"/>
          <w:szCs w:val="22"/>
          <w:lang w:val="en-US" w:eastAsia="en-AU"/>
        </w:rPr>
      </w:pPr>
      <w:r w:rsidRPr="00F9676E">
        <w:rPr>
          <w:rFonts w:ascii="Arial" w:hAnsi="Arial" w:cs="Arial"/>
          <w:sz w:val="22"/>
          <w:szCs w:val="22"/>
          <w:lang w:val="en-US" w:eastAsia="en-AU"/>
        </w:rPr>
        <w:t>The Australian Government's response, as outlined above, reflects a range of actions the Government is taking to strengthen university governance, to support staff and student involvement in the management of their university communities and in university decision-making processes, and to build a better and fairer tertiary education system.</w:t>
      </w:r>
    </w:p>
    <w:p w14:paraId="0385EA77" w14:textId="0A317F05" w:rsidR="00B34058" w:rsidRPr="00F9676E" w:rsidRDefault="00B34058" w:rsidP="00B34058">
      <w:pPr>
        <w:rPr>
          <w:rFonts w:ascii="Arial" w:hAnsi="Arial" w:cs="Arial"/>
          <w:b/>
          <w:bCs/>
          <w:sz w:val="22"/>
          <w:szCs w:val="22"/>
        </w:rPr>
      </w:pPr>
      <w:r w:rsidRPr="00F9676E">
        <w:rPr>
          <w:rFonts w:ascii="Arial" w:hAnsi="Arial" w:cs="Arial"/>
          <w:b/>
          <w:bCs/>
          <w:sz w:val="22"/>
          <w:szCs w:val="22"/>
        </w:rPr>
        <w:t>Recommendation 9</w:t>
      </w:r>
      <w:r w:rsidR="00205C33" w:rsidRPr="00F9676E">
        <w:rPr>
          <w:rFonts w:ascii="Arial" w:hAnsi="Arial" w:cs="Arial"/>
          <w:b/>
          <w:bCs/>
          <w:sz w:val="22"/>
          <w:szCs w:val="22"/>
        </w:rPr>
        <w:t>: Universities make disclosure-of-interests registers for senior executives and governing body members public and update them in real time.</w:t>
      </w:r>
    </w:p>
    <w:p w14:paraId="5EEC402D" w14:textId="16EAE560" w:rsidR="00240005" w:rsidRPr="00F9676E" w:rsidRDefault="00240005" w:rsidP="00240005">
      <w:pPr>
        <w:spacing w:after="200" w:line="276" w:lineRule="auto"/>
        <w:rPr>
          <w:rFonts w:ascii="Arial" w:hAnsi="Arial" w:cs="Arial"/>
          <w:sz w:val="22"/>
          <w:szCs w:val="22"/>
          <w:lang w:val="en-US" w:eastAsia="en-AU"/>
        </w:rPr>
      </w:pPr>
      <w:r w:rsidRPr="00F9676E">
        <w:rPr>
          <w:rFonts w:ascii="Arial" w:hAnsi="Arial" w:cs="Arial"/>
          <w:sz w:val="22"/>
          <w:szCs w:val="22"/>
          <w:lang w:val="en-US" w:eastAsia="en-AU"/>
        </w:rPr>
        <w:t xml:space="preserve">The </w:t>
      </w:r>
      <w:r w:rsidRPr="00CE283E">
        <w:rPr>
          <w:rFonts w:ascii="Arial" w:hAnsi="Arial" w:cs="Arial"/>
          <w:sz w:val="22"/>
          <w:szCs w:val="22"/>
          <w:lang w:val="en-US" w:eastAsia="en-AU"/>
        </w:rPr>
        <w:t xml:space="preserve">Australian Government acknowledges the range of views presented to the inquiry and </w:t>
      </w:r>
      <w:r w:rsidR="002F5BE0" w:rsidRPr="00CE283E">
        <w:rPr>
          <w:rFonts w:ascii="Arial" w:hAnsi="Arial" w:cs="Arial"/>
          <w:b/>
          <w:bCs/>
          <w:sz w:val="22"/>
          <w:szCs w:val="22"/>
          <w:lang w:eastAsia="en-AU"/>
        </w:rPr>
        <w:t>supports</w:t>
      </w:r>
      <w:r w:rsidR="00303DAB">
        <w:rPr>
          <w:rFonts w:ascii="Arial" w:hAnsi="Arial" w:cs="Arial"/>
          <w:b/>
          <w:bCs/>
          <w:sz w:val="22"/>
          <w:szCs w:val="22"/>
          <w:lang w:eastAsia="en-AU"/>
        </w:rPr>
        <w:t>-</w:t>
      </w:r>
      <w:r w:rsidR="002F5BE0" w:rsidRPr="00CE283E">
        <w:rPr>
          <w:rFonts w:ascii="Arial" w:hAnsi="Arial" w:cs="Arial"/>
          <w:b/>
          <w:bCs/>
          <w:sz w:val="22"/>
          <w:szCs w:val="22"/>
          <w:lang w:eastAsia="en-AU"/>
        </w:rPr>
        <w:t>in-principle</w:t>
      </w:r>
      <w:r w:rsidR="002F5BE0" w:rsidRPr="00CE283E">
        <w:rPr>
          <w:rFonts w:ascii="Arial" w:hAnsi="Arial" w:cs="Arial"/>
          <w:sz w:val="22"/>
          <w:szCs w:val="22"/>
          <w:lang w:val="en-US" w:eastAsia="en-AU"/>
        </w:rPr>
        <w:t xml:space="preserve"> </w:t>
      </w:r>
      <w:r w:rsidRPr="00CE283E">
        <w:rPr>
          <w:rFonts w:ascii="Arial" w:hAnsi="Arial" w:cs="Arial"/>
          <w:sz w:val="22"/>
          <w:szCs w:val="22"/>
          <w:lang w:val="en-US" w:eastAsia="en-AU"/>
        </w:rPr>
        <w:t>this recommendation</w:t>
      </w:r>
      <w:r w:rsidRPr="00F9676E">
        <w:rPr>
          <w:rFonts w:ascii="Arial" w:hAnsi="Arial" w:cs="Arial"/>
          <w:sz w:val="22"/>
          <w:szCs w:val="22"/>
          <w:lang w:val="en-US" w:eastAsia="en-AU"/>
        </w:rPr>
        <w:t>.</w:t>
      </w:r>
    </w:p>
    <w:p w14:paraId="6F255668" w14:textId="77777777" w:rsidR="00C33343" w:rsidRPr="00F9676E" w:rsidRDefault="00C33343" w:rsidP="00C33343">
      <w:pPr>
        <w:spacing w:after="200" w:line="276" w:lineRule="auto"/>
        <w:rPr>
          <w:rFonts w:ascii="Arial" w:hAnsi="Arial" w:cs="Arial"/>
          <w:sz w:val="22"/>
          <w:szCs w:val="22"/>
          <w:lang w:val="en-US" w:eastAsia="en-AU"/>
        </w:rPr>
      </w:pPr>
      <w:r w:rsidRPr="00F9676E">
        <w:rPr>
          <w:rFonts w:ascii="Arial" w:hAnsi="Arial" w:cs="Arial"/>
          <w:sz w:val="22"/>
          <w:szCs w:val="22"/>
          <w:lang w:val="en-US" w:eastAsia="en-AU"/>
        </w:rPr>
        <w:t>The Australian Government encourages universities to consider this recommendation in consultation with their students, staff, communities and other stakeholders.</w:t>
      </w:r>
    </w:p>
    <w:p w14:paraId="6826D9A0" w14:textId="27E298FE" w:rsidR="00B34058" w:rsidRPr="00F9676E" w:rsidRDefault="00B34058" w:rsidP="00B34058">
      <w:pPr>
        <w:rPr>
          <w:rFonts w:ascii="Arial" w:hAnsi="Arial" w:cs="Arial"/>
          <w:b/>
          <w:bCs/>
          <w:sz w:val="22"/>
          <w:szCs w:val="22"/>
        </w:rPr>
      </w:pPr>
      <w:r w:rsidRPr="00F9676E">
        <w:rPr>
          <w:rFonts w:ascii="Arial" w:hAnsi="Arial" w:cs="Arial"/>
          <w:b/>
          <w:bCs/>
          <w:sz w:val="22"/>
          <w:szCs w:val="22"/>
        </w:rPr>
        <w:lastRenderedPageBreak/>
        <w:t>Recommendation 10</w:t>
      </w:r>
      <w:r w:rsidR="00205C33" w:rsidRPr="00F9676E">
        <w:rPr>
          <w:rFonts w:ascii="Arial" w:hAnsi="Arial" w:cs="Arial"/>
          <w:b/>
          <w:bCs/>
          <w:sz w:val="22"/>
          <w:szCs w:val="22"/>
        </w:rPr>
        <w:t xml:space="preserve">: To strengthen financial accountability, prevent conflicts of interest, and align university governance with established public sector integrity standards, universities should be required to report all procurement contracts through their jurisdictions' reporting portal. For the ANU, this would mean registering their contracts with the Commonwealth's public sector reporting platform, </w:t>
      </w:r>
      <w:proofErr w:type="spellStart"/>
      <w:r w:rsidR="00205C33" w:rsidRPr="00F9676E">
        <w:rPr>
          <w:rFonts w:ascii="Arial" w:hAnsi="Arial" w:cs="Arial"/>
          <w:b/>
          <w:bCs/>
          <w:sz w:val="22"/>
          <w:szCs w:val="22"/>
        </w:rPr>
        <w:t>AusTender</w:t>
      </w:r>
      <w:proofErr w:type="spellEnd"/>
      <w:r w:rsidR="00205C33" w:rsidRPr="00F9676E">
        <w:rPr>
          <w:rFonts w:ascii="Arial" w:hAnsi="Arial" w:cs="Arial"/>
          <w:b/>
          <w:bCs/>
          <w:sz w:val="22"/>
          <w:szCs w:val="22"/>
        </w:rPr>
        <w:t>.</w:t>
      </w:r>
    </w:p>
    <w:p w14:paraId="485D5A30" w14:textId="77777777" w:rsidR="00703C91" w:rsidRPr="00F9676E" w:rsidRDefault="00703C91" w:rsidP="00703C91">
      <w:pPr>
        <w:spacing w:after="200" w:line="276" w:lineRule="auto"/>
        <w:rPr>
          <w:rFonts w:ascii="Arial" w:hAnsi="Arial" w:cs="Arial"/>
          <w:sz w:val="22"/>
          <w:szCs w:val="22"/>
          <w:lang w:val="en-US" w:eastAsia="en-AU"/>
        </w:rPr>
      </w:pPr>
      <w:r w:rsidRPr="00F9676E">
        <w:rPr>
          <w:rFonts w:ascii="Arial" w:hAnsi="Arial" w:cs="Arial"/>
          <w:sz w:val="22"/>
          <w:szCs w:val="22"/>
          <w:lang w:val="en-US" w:eastAsia="en-AU"/>
        </w:rPr>
        <w:t xml:space="preserve">The Australian Government acknowledges the range of views presented to the inquiry and </w:t>
      </w:r>
      <w:r w:rsidRPr="00F9676E">
        <w:rPr>
          <w:rFonts w:ascii="Arial" w:hAnsi="Arial" w:cs="Arial"/>
          <w:b/>
          <w:bCs/>
          <w:sz w:val="22"/>
          <w:szCs w:val="22"/>
          <w:lang w:val="en-US" w:eastAsia="en-AU"/>
        </w:rPr>
        <w:t>notes</w:t>
      </w:r>
      <w:r w:rsidRPr="00F9676E">
        <w:rPr>
          <w:rFonts w:ascii="Arial" w:hAnsi="Arial" w:cs="Arial"/>
          <w:sz w:val="22"/>
          <w:szCs w:val="22"/>
          <w:lang w:val="en-US" w:eastAsia="en-AU"/>
        </w:rPr>
        <w:t xml:space="preserve"> this recommendation.</w:t>
      </w:r>
    </w:p>
    <w:p w14:paraId="426E99E2" w14:textId="77777777" w:rsidR="00C33343" w:rsidRPr="00F9676E" w:rsidRDefault="00C33343" w:rsidP="00C33343">
      <w:pPr>
        <w:spacing w:after="200" w:line="276" w:lineRule="auto"/>
        <w:rPr>
          <w:rFonts w:ascii="Arial" w:hAnsi="Arial" w:cs="Arial"/>
          <w:sz w:val="22"/>
          <w:szCs w:val="22"/>
          <w:lang w:val="en-US" w:eastAsia="en-AU"/>
        </w:rPr>
      </w:pPr>
      <w:r w:rsidRPr="00F9676E">
        <w:rPr>
          <w:rFonts w:ascii="Arial" w:hAnsi="Arial" w:cs="Arial"/>
          <w:sz w:val="22"/>
          <w:szCs w:val="22"/>
          <w:lang w:val="en-US" w:eastAsia="en-AU"/>
        </w:rPr>
        <w:t>The Australian Government encourages universities to consider this recommendation in consultation with their students, staff, communities and other stakeholders.</w:t>
      </w:r>
    </w:p>
    <w:p w14:paraId="4F7E7047" w14:textId="3B140843" w:rsidR="00B34058" w:rsidRPr="00F9676E" w:rsidRDefault="00B34058" w:rsidP="00B34058">
      <w:pPr>
        <w:rPr>
          <w:rFonts w:ascii="Arial" w:hAnsi="Arial" w:cs="Arial"/>
          <w:b/>
          <w:bCs/>
          <w:sz w:val="22"/>
          <w:szCs w:val="22"/>
        </w:rPr>
      </w:pPr>
      <w:r w:rsidRPr="00F9676E">
        <w:rPr>
          <w:rFonts w:ascii="Arial" w:hAnsi="Arial" w:cs="Arial"/>
          <w:b/>
          <w:bCs/>
          <w:sz w:val="22"/>
          <w:szCs w:val="22"/>
        </w:rPr>
        <w:t>Recommendation 11</w:t>
      </w:r>
      <w:r w:rsidR="00205C33" w:rsidRPr="00F9676E">
        <w:rPr>
          <w:rFonts w:ascii="Arial" w:hAnsi="Arial" w:cs="Arial"/>
          <w:b/>
          <w:bCs/>
          <w:sz w:val="22"/>
          <w:szCs w:val="22"/>
        </w:rPr>
        <w:t>:</w:t>
      </w:r>
      <w:r w:rsidR="00095564" w:rsidRPr="00F9676E">
        <w:rPr>
          <w:rFonts w:ascii="Arial" w:hAnsi="Arial" w:cs="Arial"/>
          <w:b/>
          <w:bCs/>
          <w:sz w:val="22"/>
          <w:szCs w:val="22"/>
        </w:rPr>
        <w:t xml:space="preserve"> Universities should adopt a clear transparency framework under which council meetings would be open to the public and livestreamed by default. Only a tightly limited in camera session would remain, reserved for matters where there is a demonstrable and compelling public interest in confidentiality. Council should publish reasons for the confidentiality of each in camera item. To support this, universities should establish clear and codified criteria that distinguish legitimate confidentiality from unnecessary secrecy, ensuring that staff, students, and the broader community can be confident that closed sessions are the exception rather than the norm.</w:t>
      </w:r>
    </w:p>
    <w:p w14:paraId="77C81E09" w14:textId="77777777" w:rsidR="00CC45B7" w:rsidRPr="00F9676E" w:rsidRDefault="00CC45B7" w:rsidP="00CC45B7">
      <w:pPr>
        <w:spacing w:after="200" w:line="276" w:lineRule="auto"/>
        <w:rPr>
          <w:rFonts w:ascii="Arial" w:hAnsi="Arial" w:cs="Arial"/>
          <w:sz w:val="22"/>
          <w:szCs w:val="22"/>
          <w:lang w:val="en-US" w:eastAsia="en-AU"/>
        </w:rPr>
      </w:pPr>
      <w:r w:rsidRPr="00F9676E">
        <w:rPr>
          <w:rFonts w:ascii="Arial" w:hAnsi="Arial" w:cs="Arial"/>
          <w:sz w:val="22"/>
          <w:szCs w:val="22"/>
          <w:lang w:val="en-US" w:eastAsia="en-AU"/>
        </w:rPr>
        <w:t xml:space="preserve">The Australian Government acknowledges the range of views presented to the inquiry and </w:t>
      </w:r>
      <w:r w:rsidRPr="00F9676E">
        <w:rPr>
          <w:rFonts w:ascii="Arial" w:hAnsi="Arial" w:cs="Arial"/>
          <w:b/>
          <w:bCs/>
          <w:sz w:val="22"/>
          <w:szCs w:val="22"/>
          <w:lang w:val="en-US" w:eastAsia="en-AU"/>
        </w:rPr>
        <w:t>notes</w:t>
      </w:r>
      <w:r w:rsidRPr="00F9676E">
        <w:rPr>
          <w:rFonts w:ascii="Arial" w:hAnsi="Arial" w:cs="Arial"/>
          <w:sz w:val="22"/>
          <w:szCs w:val="22"/>
          <w:lang w:val="en-US" w:eastAsia="en-AU"/>
        </w:rPr>
        <w:t xml:space="preserve"> this recommendation.</w:t>
      </w:r>
    </w:p>
    <w:p w14:paraId="2BB87A5F" w14:textId="77777777" w:rsidR="001403B8" w:rsidRPr="00F9676E" w:rsidRDefault="001403B8" w:rsidP="001403B8">
      <w:pPr>
        <w:spacing w:after="200" w:line="276" w:lineRule="auto"/>
        <w:rPr>
          <w:rFonts w:ascii="Arial" w:hAnsi="Arial" w:cs="Arial"/>
          <w:sz w:val="22"/>
          <w:szCs w:val="22"/>
          <w:lang w:val="en-US" w:eastAsia="en-AU"/>
        </w:rPr>
      </w:pPr>
      <w:r w:rsidRPr="00F9676E">
        <w:rPr>
          <w:rFonts w:ascii="Arial" w:hAnsi="Arial" w:cs="Arial"/>
          <w:sz w:val="22"/>
          <w:szCs w:val="22"/>
          <w:lang w:val="en-US" w:eastAsia="en-AU"/>
        </w:rPr>
        <w:t>The Australian Government encourages universities to consider this recommendation in consultation with their students, staff, communities and other stakeholders.</w:t>
      </w:r>
    </w:p>
    <w:p w14:paraId="232CF478" w14:textId="0A8DD0D4" w:rsidR="00B34058" w:rsidRPr="00F9676E" w:rsidRDefault="00B34058" w:rsidP="00B34058">
      <w:pPr>
        <w:rPr>
          <w:rFonts w:ascii="Arial" w:hAnsi="Arial" w:cs="Arial"/>
          <w:b/>
          <w:bCs/>
          <w:sz w:val="22"/>
          <w:szCs w:val="22"/>
        </w:rPr>
      </w:pPr>
      <w:r w:rsidRPr="00F9676E">
        <w:rPr>
          <w:rFonts w:ascii="Arial" w:hAnsi="Arial" w:cs="Arial"/>
          <w:b/>
          <w:bCs/>
          <w:sz w:val="22"/>
          <w:szCs w:val="22"/>
        </w:rPr>
        <w:t>Recommendation 12</w:t>
      </w:r>
      <w:r w:rsidR="00205C33" w:rsidRPr="00F9676E">
        <w:rPr>
          <w:rFonts w:ascii="Arial" w:hAnsi="Arial" w:cs="Arial"/>
          <w:b/>
          <w:bCs/>
          <w:sz w:val="22"/>
          <w:szCs w:val="22"/>
        </w:rPr>
        <w:t>:</w:t>
      </w:r>
      <w:r w:rsidR="00095564" w:rsidRPr="00F9676E">
        <w:rPr>
          <w:rFonts w:ascii="Arial" w:hAnsi="Arial" w:cs="Arial"/>
          <w:b/>
          <w:bCs/>
          <w:sz w:val="22"/>
          <w:szCs w:val="22"/>
        </w:rPr>
        <w:t xml:space="preserve"> Specific timeframes for publishing council minutes should be established and rules adopted governing the appropriate labelling and sourcing of all reports and documentation presented to council. This will both improve transparency </w:t>
      </w:r>
      <w:proofErr w:type="gramStart"/>
      <w:r w:rsidR="00095564" w:rsidRPr="00F9676E">
        <w:rPr>
          <w:rFonts w:ascii="Arial" w:hAnsi="Arial" w:cs="Arial"/>
          <w:b/>
          <w:bCs/>
          <w:sz w:val="22"/>
          <w:szCs w:val="22"/>
        </w:rPr>
        <w:t>and also</w:t>
      </w:r>
      <w:proofErr w:type="gramEnd"/>
      <w:r w:rsidR="00095564" w:rsidRPr="00F9676E">
        <w:rPr>
          <w:rFonts w:ascii="Arial" w:hAnsi="Arial" w:cs="Arial"/>
          <w:b/>
          <w:bCs/>
          <w:sz w:val="22"/>
          <w:szCs w:val="22"/>
        </w:rPr>
        <w:t xml:space="preserve"> help guard against any unwitting reliance on data, analysis and documents provided by external consultants by council members in their decision making.</w:t>
      </w:r>
    </w:p>
    <w:p w14:paraId="4111598F" w14:textId="4C6E45ED" w:rsidR="00CC45B7" w:rsidRPr="00CE283E" w:rsidRDefault="00CC45B7" w:rsidP="00CC45B7">
      <w:pPr>
        <w:spacing w:after="200" w:line="276" w:lineRule="auto"/>
        <w:rPr>
          <w:rFonts w:ascii="Arial" w:hAnsi="Arial" w:cs="Arial"/>
          <w:sz w:val="22"/>
          <w:szCs w:val="22"/>
          <w:lang w:val="en-US" w:eastAsia="en-AU"/>
        </w:rPr>
      </w:pPr>
      <w:r w:rsidRPr="00CE283E">
        <w:rPr>
          <w:rFonts w:ascii="Arial" w:hAnsi="Arial" w:cs="Arial"/>
          <w:sz w:val="22"/>
          <w:szCs w:val="22"/>
          <w:lang w:val="en-US" w:eastAsia="en-AU"/>
        </w:rPr>
        <w:t xml:space="preserve">The Australian Government acknowledges the range of views presented to the inquiry and </w:t>
      </w:r>
      <w:r w:rsidR="002F5BE0" w:rsidRPr="00CE283E">
        <w:rPr>
          <w:rFonts w:ascii="Arial" w:hAnsi="Arial" w:cs="Arial"/>
          <w:b/>
          <w:bCs/>
          <w:sz w:val="22"/>
          <w:szCs w:val="22"/>
          <w:lang w:eastAsia="en-AU"/>
        </w:rPr>
        <w:t>supports</w:t>
      </w:r>
      <w:r w:rsidR="00AB3F7C">
        <w:rPr>
          <w:rFonts w:ascii="Arial" w:hAnsi="Arial" w:cs="Arial"/>
          <w:b/>
          <w:bCs/>
          <w:sz w:val="22"/>
          <w:szCs w:val="22"/>
          <w:lang w:eastAsia="en-AU"/>
        </w:rPr>
        <w:t>-</w:t>
      </w:r>
      <w:r w:rsidR="002F5BE0" w:rsidRPr="00CE283E">
        <w:rPr>
          <w:rFonts w:ascii="Arial" w:hAnsi="Arial" w:cs="Arial"/>
          <w:b/>
          <w:bCs/>
          <w:sz w:val="22"/>
          <w:szCs w:val="22"/>
          <w:lang w:eastAsia="en-AU"/>
        </w:rPr>
        <w:t>in-principle</w:t>
      </w:r>
      <w:r w:rsidR="002F5BE0" w:rsidRPr="00CE283E">
        <w:rPr>
          <w:rFonts w:ascii="Arial" w:hAnsi="Arial" w:cs="Arial"/>
          <w:sz w:val="22"/>
          <w:szCs w:val="22"/>
          <w:lang w:val="en-US" w:eastAsia="en-AU"/>
        </w:rPr>
        <w:t xml:space="preserve"> </w:t>
      </w:r>
      <w:r w:rsidRPr="00CE283E">
        <w:rPr>
          <w:rFonts w:ascii="Arial" w:hAnsi="Arial" w:cs="Arial"/>
          <w:sz w:val="22"/>
          <w:szCs w:val="22"/>
          <w:lang w:val="en-US" w:eastAsia="en-AU"/>
        </w:rPr>
        <w:t>this recommendation.</w:t>
      </w:r>
    </w:p>
    <w:p w14:paraId="5C713D14" w14:textId="77777777" w:rsidR="001403B8" w:rsidRPr="00CE283E" w:rsidRDefault="001403B8" w:rsidP="001403B8">
      <w:pPr>
        <w:spacing w:after="200" w:line="276" w:lineRule="auto"/>
        <w:rPr>
          <w:rFonts w:ascii="Arial" w:hAnsi="Arial" w:cs="Arial"/>
          <w:sz w:val="22"/>
          <w:szCs w:val="22"/>
          <w:lang w:val="en-US" w:eastAsia="en-AU"/>
        </w:rPr>
      </w:pPr>
      <w:r w:rsidRPr="00CE283E">
        <w:rPr>
          <w:rFonts w:ascii="Arial" w:hAnsi="Arial" w:cs="Arial"/>
          <w:sz w:val="22"/>
          <w:szCs w:val="22"/>
          <w:lang w:val="en-US" w:eastAsia="en-AU"/>
        </w:rPr>
        <w:t>The Australian Government encourages universities to consider this recommendation in consultation with their students, staff, communities and other stakeholders.</w:t>
      </w:r>
    </w:p>
    <w:p w14:paraId="1371D996" w14:textId="7D910A5C" w:rsidR="00B34058" w:rsidRPr="00CE283E" w:rsidRDefault="00B34058" w:rsidP="00B34058">
      <w:pPr>
        <w:rPr>
          <w:rFonts w:ascii="Arial" w:hAnsi="Arial" w:cs="Arial"/>
          <w:b/>
          <w:bCs/>
          <w:sz w:val="22"/>
          <w:szCs w:val="22"/>
        </w:rPr>
      </w:pPr>
      <w:r w:rsidRPr="00CE283E">
        <w:rPr>
          <w:rFonts w:ascii="Arial" w:hAnsi="Arial" w:cs="Arial"/>
          <w:b/>
          <w:bCs/>
          <w:sz w:val="22"/>
          <w:szCs w:val="22"/>
        </w:rPr>
        <w:t>Recommendation 13</w:t>
      </w:r>
      <w:r w:rsidR="00205C33" w:rsidRPr="00CE283E">
        <w:rPr>
          <w:rFonts w:ascii="Arial" w:hAnsi="Arial" w:cs="Arial"/>
          <w:b/>
          <w:bCs/>
          <w:sz w:val="22"/>
          <w:szCs w:val="22"/>
        </w:rPr>
        <w:t>:</w:t>
      </w:r>
      <w:r w:rsidR="00095564" w:rsidRPr="00CE283E">
        <w:rPr>
          <w:rFonts w:ascii="Arial" w:hAnsi="Arial" w:cs="Arial"/>
          <w:b/>
          <w:bCs/>
          <w:sz w:val="22"/>
          <w:szCs w:val="22"/>
        </w:rPr>
        <w:t xml:space="preserve"> The Higher Education Standards Framework (Threshold Standards) 2021 should be amended to require all Australian universities to maintain genuinely independent, safe and transparent complaints and misconduct-handling systems, including for complaints made against senior leadership. In the case of the latter, such processes must be fit-for-purpose and not rest in the hands of more junior staff.</w:t>
      </w:r>
    </w:p>
    <w:p w14:paraId="4E3C9796" w14:textId="3D7D7BD3" w:rsidR="00CC45B7" w:rsidRPr="00F9676E" w:rsidRDefault="00CC45B7" w:rsidP="00CC45B7">
      <w:pPr>
        <w:spacing w:after="200" w:line="276" w:lineRule="auto"/>
        <w:rPr>
          <w:rFonts w:ascii="Arial" w:hAnsi="Arial" w:cs="Arial"/>
          <w:sz w:val="22"/>
          <w:szCs w:val="22"/>
          <w:lang w:val="en-US" w:eastAsia="en-AU"/>
        </w:rPr>
      </w:pPr>
      <w:r w:rsidRPr="00CE283E">
        <w:rPr>
          <w:rFonts w:ascii="Arial" w:hAnsi="Arial" w:cs="Arial"/>
          <w:sz w:val="22"/>
          <w:szCs w:val="22"/>
          <w:lang w:val="en-US" w:eastAsia="en-AU"/>
        </w:rPr>
        <w:t xml:space="preserve">The Australian Government acknowledges the range of views presented to the inquiry and </w:t>
      </w:r>
      <w:r w:rsidR="00B835EB" w:rsidRPr="00CE283E">
        <w:rPr>
          <w:rFonts w:ascii="Arial" w:hAnsi="Arial" w:cs="Arial"/>
          <w:b/>
          <w:bCs/>
          <w:sz w:val="22"/>
          <w:szCs w:val="22"/>
          <w:lang w:eastAsia="en-AU"/>
        </w:rPr>
        <w:t>supports</w:t>
      </w:r>
      <w:r w:rsidR="00AB3F7C">
        <w:rPr>
          <w:rFonts w:ascii="Arial" w:hAnsi="Arial" w:cs="Arial"/>
          <w:b/>
          <w:bCs/>
          <w:sz w:val="22"/>
          <w:szCs w:val="22"/>
          <w:lang w:eastAsia="en-AU"/>
        </w:rPr>
        <w:t>-</w:t>
      </w:r>
      <w:r w:rsidR="00B835EB" w:rsidRPr="00CE283E">
        <w:rPr>
          <w:rFonts w:ascii="Arial" w:hAnsi="Arial" w:cs="Arial"/>
          <w:b/>
          <w:bCs/>
          <w:sz w:val="22"/>
          <w:szCs w:val="22"/>
          <w:lang w:eastAsia="en-AU"/>
        </w:rPr>
        <w:t>in-principle</w:t>
      </w:r>
      <w:r w:rsidR="00B835EB" w:rsidRPr="006F0770">
        <w:rPr>
          <w:rFonts w:ascii="Arial" w:hAnsi="Arial" w:cs="Arial"/>
          <w:sz w:val="22"/>
          <w:szCs w:val="22"/>
          <w:lang w:val="en-US" w:eastAsia="en-AU"/>
        </w:rPr>
        <w:t xml:space="preserve"> </w:t>
      </w:r>
      <w:r w:rsidRPr="00F9676E">
        <w:rPr>
          <w:rFonts w:ascii="Arial" w:hAnsi="Arial" w:cs="Arial"/>
          <w:sz w:val="22"/>
          <w:szCs w:val="22"/>
          <w:lang w:val="en-US" w:eastAsia="en-AU"/>
        </w:rPr>
        <w:t>this recommendation.</w:t>
      </w:r>
    </w:p>
    <w:p w14:paraId="059038DA" w14:textId="77777777" w:rsidR="00CC45B7" w:rsidRPr="00F9676E" w:rsidRDefault="00CC45B7" w:rsidP="00CC45B7">
      <w:pPr>
        <w:spacing w:after="200" w:line="276" w:lineRule="auto"/>
        <w:rPr>
          <w:rFonts w:ascii="Arial" w:hAnsi="Arial" w:cs="Arial"/>
          <w:sz w:val="22"/>
          <w:szCs w:val="22"/>
          <w:lang w:val="en-US" w:eastAsia="en-AU"/>
        </w:rPr>
      </w:pPr>
      <w:r w:rsidRPr="00F9676E">
        <w:rPr>
          <w:rFonts w:ascii="Arial" w:hAnsi="Arial" w:cs="Arial"/>
          <w:sz w:val="22"/>
          <w:szCs w:val="22"/>
          <w:lang w:val="en-US" w:eastAsia="en-AU"/>
        </w:rPr>
        <w:t>The Australian Government's response, as outlined above, reflects a range of actions the Government is taking to strengthen university governance, to support staff and student involvement in the management of their university communities and in university decision-making processes, and to build a better and fairer tertiary education system.</w:t>
      </w:r>
    </w:p>
    <w:p w14:paraId="0F18F1C8" w14:textId="40477836" w:rsidR="00B34058" w:rsidRPr="00F9676E" w:rsidRDefault="00B34058" w:rsidP="00B34058">
      <w:pPr>
        <w:rPr>
          <w:rFonts w:ascii="Arial" w:hAnsi="Arial" w:cs="Arial"/>
          <w:b/>
          <w:bCs/>
          <w:sz w:val="22"/>
          <w:szCs w:val="22"/>
        </w:rPr>
      </w:pPr>
      <w:r w:rsidRPr="00F9676E">
        <w:rPr>
          <w:rFonts w:ascii="Arial" w:hAnsi="Arial" w:cs="Arial"/>
          <w:b/>
          <w:bCs/>
          <w:sz w:val="22"/>
          <w:szCs w:val="22"/>
        </w:rPr>
        <w:lastRenderedPageBreak/>
        <w:t>Recommendation 14</w:t>
      </w:r>
      <w:r w:rsidR="00205C33" w:rsidRPr="00F9676E">
        <w:rPr>
          <w:rFonts w:ascii="Arial" w:hAnsi="Arial" w:cs="Arial"/>
          <w:b/>
          <w:bCs/>
          <w:sz w:val="22"/>
          <w:szCs w:val="22"/>
        </w:rPr>
        <w:t>:</w:t>
      </w:r>
      <w:r w:rsidR="00095564" w:rsidRPr="00F9676E">
        <w:rPr>
          <w:rFonts w:ascii="Arial" w:hAnsi="Arial" w:cs="Arial"/>
          <w:b/>
          <w:bCs/>
          <w:sz w:val="22"/>
          <w:szCs w:val="22"/>
        </w:rPr>
        <w:t xml:space="preserve"> Universities should be required to publicly disclose all consultancy contracts, consistent with Recommendation 10, and to publish any consultant-produced advice in a timely manner, including the underlying data and methodologies, with only narrow and clearly defined exemptions.</w:t>
      </w:r>
    </w:p>
    <w:p w14:paraId="0A44E17A" w14:textId="77777777" w:rsidR="00432062" w:rsidRPr="00F9676E" w:rsidRDefault="00432062" w:rsidP="00432062">
      <w:pPr>
        <w:spacing w:after="200" w:line="276" w:lineRule="auto"/>
        <w:rPr>
          <w:rFonts w:ascii="Arial" w:hAnsi="Arial" w:cs="Arial"/>
          <w:sz w:val="22"/>
          <w:szCs w:val="22"/>
          <w:lang w:val="en-US" w:eastAsia="en-AU"/>
        </w:rPr>
      </w:pPr>
      <w:r w:rsidRPr="00F9676E">
        <w:rPr>
          <w:rFonts w:ascii="Arial" w:hAnsi="Arial" w:cs="Arial"/>
          <w:sz w:val="22"/>
          <w:szCs w:val="22"/>
          <w:lang w:val="en-US" w:eastAsia="en-AU"/>
        </w:rPr>
        <w:t xml:space="preserve">The Australian Government acknowledges the range of views presented to the inquiry and </w:t>
      </w:r>
      <w:r w:rsidRPr="00F9676E">
        <w:rPr>
          <w:rFonts w:ascii="Arial" w:hAnsi="Arial" w:cs="Arial"/>
          <w:b/>
          <w:bCs/>
          <w:sz w:val="22"/>
          <w:szCs w:val="22"/>
          <w:lang w:val="en-US" w:eastAsia="en-AU"/>
        </w:rPr>
        <w:t>notes</w:t>
      </w:r>
      <w:r w:rsidRPr="00F9676E">
        <w:rPr>
          <w:rFonts w:ascii="Arial" w:hAnsi="Arial" w:cs="Arial"/>
          <w:sz w:val="22"/>
          <w:szCs w:val="22"/>
          <w:lang w:val="en-US" w:eastAsia="en-AU"/>
        </w:rPr>
        <w:t xml:space="preserve"> this recommendation.</w:t>
      </w:r>
    </w:p>
    <w:p w14:paraId="6F66610E" w14:textId="77777777" w:rsidR="00FE3E7F" w:rsidRPr="00F9676E" w:rsidRDefault="00FE3E7F" w:rsidP="00FE3E7F">
      <w:pPr>
        <w:spacing w:after="200" w:line="276" w:lineRule="auto"/>
        <w:rPr>
          <w:rFonts w:ascii="Arial" w:hAnsi="Arial" w:cs="Arial"/>
          <w:sz w:val="22"/>
          <w:szCs w:val="22"/>
          <w:lang w:val="en-US" w:eastAsia="en-AU"/>
        </w:rPr>
      </w:pPr>
      <w:r w:rsidRPr="00F9676E">
        <w:rPr>
          <w:rFonts w:ascii="Arial" w:hAnsi="Arial" w:cs="Arial"/>
          <w:sz w:val="22"/>
          <w:szCs w:val="22"/>
          <w:lang w:val="en-US" w:eastAsia="en-AU"/>
        </w:rPr>
        <w:t>The Australian Government encourages universities to consider this recommendation in consultation with their students, staff, communities and other stakeholders.</w:t>
      </w:r>
    </w:p>
    <w:p w14:paraId="0B279880" w14:textId="10DB9526" w:rsidR="00B34058" w:rsidRPr="00F9676E" w:rsidRDefault="00B34058" w:rsidP="00B34058">
      <w:pPr>
        <w:rPr>
          <w:rFonts w:ascii="Arial" w:hAnsi="Arial" w:cs="Arial"/>
          <w:b/>
          <w:bCs/>
          <w:sz w:val="22"/>
          <w:szCs w:val="22"/>
        </w:rPr>
      </w:pPr>
      <w:r w:rsidRPr="00F9676E">
        <w:rPr>
          <w:rFonts w:ascii="Arial" w:hAnsi="Arial" w:cs="Arial"/>
          <w:b/>
          <w:bCs/>
          <w:sz w:val="22"/>
          <w:szCs w:val="22"/>
        </w:rPr>
        <w:t>Recommendation 15</w:t>
      </w:r>
      <w:r w:rsidR="00205C33" w:rsidRPr="00F9676E">
        <w:rPr>
          <w:rFonts w:ascii="Arial" w:hAnsi="Arial" w:cs="Arial"/>
          <w:b/>
          <w:bCs/>
          <w:sz w:val="22"/>
          <w:szCs w:val="22"/>
        </w:rPr>
        <w:t>:</w:t>
      </w:r>
      <w:r w:rsidR="00095564" w:rsidRPr="00F9676E">
        <w:rPr>
          <w:rFonts w:ascii="Arial" w:hAnsi="Arial" w:cs="Arial"/>
          <w:b/>
          <w:bCs/>
          <w:sz w:val="22"/>
          <w:szCs w:val="22"/>
        </w:rPr>
        <w:t xml:space="preserve"> To prevent real or perceived conflicts of interest arising from the revolving door between universities and consulting firms, individuals should be prohibited from holding senior university roles and consultancy positions concurrently, and a mandatory cooling-off period should apply before a former executive or council member can be employed by a consultancy firm, and vice versa.</w:t>
      </w:r>
    </w:p>
    <w:p w14:paraId="0AE6FFF7" w14:textId="77777777" w:rsidR="00432062" w:rsidRPr="00F9676E" w:rsidRDefault="00432062" w:rsidP="00432062">
      <w:pPr>
        <w:spacing w:after="200" w:line="276" w:lineRule="auto"/>
        <w:rPr>
          <w:rFonts w:ascii="Arial" w:hAnsi="Arial" w:cs="Arial"/>
          <w:sz w:val="22"/>
          <w:szCs w:val="22"/>
          <w:lang w:val="en-US" w:eastAsia="en-AU"/>
        </w:rPr>
      </w:pPr>
      <w:r w:rsidRPr="00F9676E">
        <w:rPr>
          <w:rFonts w:ascii="Arial" w:hAnsi="Arial" w:cs="Arial"/>
          <w:sz w:val="22"/>
          <w:szCs w:val="22"/>
          <w:lang w:val="en-US" w:eastAsia="en-AU"/>
        </w:rPr>
        <w:t xml:space="preserve">The Australian Government acknowledges the range of views presented to the inquiry and </w:t>
      </w:r>
      <w:r w:rsidRPr="00F9676E">
        <w:rPr>
          <w:rFonts w:ascii="Arial" w:hAnsi="Arial" w:cs="Arial"/>
          <w:b/>
          <w:bCs/>
          <w:sz w:val="22"/>
          <w:szCs w:val="22"/>
          <w:lang w:val="en-US" w:eastAsia="en-AU"/>
        </w:rPr>
        <w:t>notes</w:t>
      </w:r>
      <w:r w:rsidRPr="00F9676E">
        <w:rPr>
          <w:rFonts w:ascii="Arial" w:hAnsi="Arial" w:cs="Arial"/>
          <w:sz w:val="22"/>
          <w:szCs w:val="22"/>
          <w:lang w:val="en-US" w:eastAsia="en-AU"/>
        </w:rPr>
        <w:t xml:space="preserve"> this recommendation.</w:t>
      </w:r>
    </w:p>
    <w:p w14:paraId="0894247D" w14:textId="77777777" w:rsidR="00FE3E7F" w:rsidRPr="00F9676E" w:rsidRDefault="00FE3E7F" w:rsidP="00FE3E7F">
      <w:pPr>
        <w:spacing w:after="200" w:line="276" w:lineRule="auto"/>
        <w:rPr>
          <w:rFonts w:ascii="Arial" w:hAnsi="Arial" w:cs="Arial"/>
          <w:sz w:val="22"/>
          <w:szCs w:val="22"/>
          <w:lang w:val="en-US" w:eastAsia="en-AU"/>
        </w:rPr>
      </w:pPr>
      <w:r w:rsidRPr="00F9676E">
        <w:rPr>
          <w:rFonts w:ascii="Arial" w:hAnsi="Arial" w:cs="Arial"/>
          <w:sz w:val="22"/>
          <w:szCs w:val="22"/>
          <w:lang w:val="en-US" w:eastAsia="en-AU"/>
        </w:rPr>
        <w:t>The Australian Government encourages universities to consider this recommendation in consultation with their students, staff, communities and other stakeholders.</w:t>
      </w:r>
    </w:p>
    <w:p w14:paraId="1CBADF9C" w14:textId="52F58B00" w:rsidR="00B34058" w:rsidRPr="00F9676E" w:rsidRDefault="00B34058" w:rsidP="00B34058">
      <w:pPr>
        <w:rPr>
          <w:rFonts w:ascii="Arial" w:hAnsi="Arial" w:cs="Arial"/>
          <w:b/>
          <w:bCs/>
          <w:sz w:val="22"/>
          <w:szCs w:val="22"/>
        </w:rPr>
      </w:pPr>
      <w:r w:rsidRPr="00F9676E">
        <w:rPr>
          <w:rFonts w:ascii="Arial" w:hAnsi="Arial" w:cs="Arial"/>
          <w:b/>
          <w:bCs/>
          <w:sz w:val="22"/>
          <w:szCs w:val="22"/>
        </w:rPr>
        <w:t>Recommendation 16</w:t>
      </w:r>
      <w:r w:rsidR="00205C33" w:rsidRPr="00F9676E">
        <w:rPr>
          <w:rFonts w:ascii="Arial" w:hAnsi="Arial" w:cs="Arial"/>
          <w:b/>
          <w:bCs/>
          <w:sz w:val="22"/>
          <w:szCs w:val="22"/>
        </w:rPr>
        <w:t>:</w:t>
      </w:r>
      <w:r w:rsidR="00095564" w:rsidRPr="00F9676E">
        <w:rPr>
          <w:rFonts w:ascii="Arial" w:hAnsi="Arial" w:cs="Arial"/>
          <w:b/>
          <w:bCs/>
          <w:sz w:val="22"/>
          <w:szCs w:val="22"/>
        </w:rPr>
        <w:t xml:space="preserve"> That the </w:t>
      </w:r>
      <w:r w:rsidR="00095564" w:rsidRPr="00F9676E">
        <w:rPr>
          <w:rFonts w:ascii="Arial" w:hAnsi="Arial" w:cs="Arial"/>
          <w:b/>
          <w:bCs/>
          <w:i/>
          <w:iCs/>
          <w:sz w:val="22"/>
          <w:szCs w:val="22"/>
        </w:rPr>
        <w:t>Australian National University Act 1991</w:t>
      </w:r>
      <w:r w:rsidR="00095564" w:rsidRPr="00F9676E">
        <w:rPr>
          <w:rFonts w:ascii="Arial" w:hAnsi="Arial" w:cs="Arial"/>
          <w:b/>
          <w:bCs/>
          <w:sz w:val="22"/>
          <w:szCs w:val="22"/>
        </w:rPr>
        <w:t xml:space="preserve"> be amended to establish a statutory Australian National University Forum or Senate as a dedicated internal accountability body, with defined powers of providing advice, scrutiny, public questioning, information access, and appointment and recall in relation to the Chancellor and council members.</w:t>
      </w:r>
    </w:p>
    <w:p w14:paraId="0496CF98" w14:textId="77777777" w:rsidR="00506898" w:rsidRPr="00F9676E" w:rsidRDefault="00506898" w:rsidP="00506898">
      <w:pPr>
        <w:spacing w:after="200" w:line="276" w:lineRule="auto"/>
        <w:rPr>
          <w:rFonts w:ascii="Arial" w:hAnsi="Arial" w:cs="Arial"/>
          <w:sz w:val="22"/>
          <w:szCs w:val="22"/>
          <w:lang w:val="en-US" w:eastAsia="en-AU"/>
        </w:rPr>
      </w:pPr>
      <w:r w:rsidRPr="00F9676E">
        <w:rPr>
          <w:rFonts w:ascii="Arial" w:hAnsi="Arial" w:cs="Arial"/>
          <w:sz w:val="22"/>
          <w:szCs w:val="22"/>
          <w:lang w:val="en-US" w:eastAsia="en-AU"/>
        </w:rPr>
        <w:t xml:space="preserve">The Australian Government acknowledges the range of views presented to the inquiry and </w:t>
      </w:r>
      <w:r w:rsidRPr="00F9676E">
        <w:rPr>
          <w:rFonts w:ascii="Arial" w:hAnsi="Arial" w:cs="Arial"/>
          <w:b/>
          <w:bCs/>
          <w:sz w:val="22"/>
          <w:szCs w:val="22"/>
          <w:lang w:val="en-US" w:eastAsia="en-AU"/>
        </w:rPr>
        <w:t>notes</w:t>
      </w:r>
      <w:r w:rsidRPr="00F9676E">
        <w:rPr>
          <w:rFonts w:ascii="Arial" w:hAnsi="Arial" w:cs="Arial"/>
          <w:sz w:val="22"/>
          <w:szCs w:val="22"/>
          <w:lang w:val="en-US" w:eastAsia="en-AU"/>
        </w:rPr>
        <w:t xml:space="preserve"> this recommendation.</w:t>
      </w:r>
    </w:p>
    <w:p w14:paraId="28A6BCAF" w14:textId="4E023758" w:rsidR="00506898" w:rsidRPr="00F9676E" w:rsidRDefault="00506898" w:rsidP="00506898">
      <w:pPr>
        <w:spacing w:after="200" w:line="276" w:lineRule="auto"/>
        <w:rPr>
          <w:rFonts w:ascii="Arial" w:hAnsi="Arial" w:cs="Arial"/>
          <w:sz w:val="22"/>
          <w:szCs w:val="22"/>
          <w:lang w:val="en-US" w:eastAsia="en-AU"/>
        </w:rPr>
      </w:pPr>
      <w:r w:rsidRPr="00F9676E">
        <w:rPr>
          <w:rFonts w:ascii="Arial" w:hAnsi="Arial" w:cs="Arial"/>
          <w:sz w:val="22"/>
          <w:szCs w:val="22"/>
          <w:lang w:val="en-US" w:eastAsia="en-AU"/>
        </w:rPr>
        <w:t xml:space="preserve">The Australian Government's response, as outlined above, reflects a range of actions the Government is taking to </w:t>
      </w:r>
      <w:r w:rsidR="00386AF5" w:rsidRPr="00F9676E">
        <w:rPr>
          <w:rFonts w:ascii="Arial" w:hAnsi="Arial" w:cs="Arial"/>
          <w:sz w:val="22"/>
          <w:szCs w:val="22"/>
          <w:lang w:val="en-US" w:eastAsia="en-AU"/>
        </w:rPr>
        <w:t>strengthen university governance</w:t>
      </w:r>
      <w:r w:rsidR="007C3395" w:rsidRPr="00F9676E">
        <w:rPr>
          <w:rFonts w:ascii="Arial" w:hAnsi="Arial" w:cs="Arial"/>
          <w:sz w:val="22"/>
          <w:szCs w:val="22"/>
          <w:lang w:val="en-US" w:eastAsia="en-AU"/>
        </w:rPr>
        <w:t>, to support staff and student involvement in the management of their university communities and in university decision-making processes</w:t>
      </w:r>
      <w:r w:rsidR="007138EE" w:rsidRPr="00F9676E">
        <w:rPr>
          <w:rFonts w:ascii="Arial" w:hAnsi="Arial" w:cs="Arial"/>
          <w:sz w:val="22"/>
          <w:szCs w:val="22"/>
          <w:lang w:val="en-US" w:eastAsia="en-AU"/>
        </w:rPr>
        <w:t>, a</w:t>
      </w:r>
      <w:r w:rsidRPr="00F9676E">
        <w:rPr>
          <w:rFonts w:ascii="Arial" w:hAnsi="Arial" w:cs="Arial"/>
          <w:sz w:val="22"/>
          <w:szCs w:val="22"/>
          <w:lang w:val="en-US" w:eastAsia="en-AU"/>
        </w:rPr>
        <w:t>nd to build a better and fairer tertiary education system.</w:t>
      </w:r>
    </w:p>
    <w:p w14:paraId="6903B460" w14:textId="045DC8E1" w:rsidR="006A1626" w:rsidRPr="00F9676E" w:rsidRDefault="00B34058" w:rsidP="00257C99">
      <w:pPr>
        <w:rPr>
          <w:rFonts w:ascii="Arial" w:hAnsi="Arial" w:cs="Arial"/>
          <w:b/>
          <w:bCs/>
          <w:sz w:val="22"/>
          <w:szCs w:val="22"/>
        </w:rPr>
      </w:pPr>
      <w:r w:rsidRPr="00F9676E">
        <w:rPr>
          <w:rFonts w:ascii="Arial" w:hAnsi="Arial" w:cs="Arial"/>
          <w:b/>
          <w:bCs/>
          <w:sz w:val="22"/>
          <w:szCs w:val="22"/>
        </w:rPr>
        <w:t>Recommendation 17: That the ANU leadership methodically work through and provide a public response to each of the recommendations in the final report of the Australian National University Governance Project.</w:t>
      </w:r>
    </w:p>
    <w:p w14:paraId="3BCBDF8A" w14:textId="77777777" w:rsidR="00506898" w:rsidRPr="00F9676E" w:rsidRDefault="00506898" w:rsidP="00506898">
      <w:pPr>
        <w:spacing w:after="200" w:line="276" w:lineRule="auto"/>
        <w:rPr>
          <w:rFonts w:ascii="Arial" w:hAnsi="Arial" w:cs="Arial"/>
          <w:sz w:val="22"/>
          <w:szCs w:val="22"/>
          <w:lang w:val="en-US" w:eastAsia="en-AU"/>
        </w:rPr>
      </w:pPr>
      <w:r w:rsidRPr="00F9676E">
        <w:rPr>
          <w:rFonts w:ascii="Arial" w:hAnsi="Arial" w:cs="Arial"/>
          <w:sz w:val="22"/>
          <w:szCs w:val="22"/>
          <w:lang w:val="en-US" w:eastAsia="en-AU"/>
        </w:rPr>
        <w:t xml:space="preserve">The Australian Government acknowledges the range of views presented to the inquiry and </w:t>
      </w:r>
      <w:r w:rsidRPr="00F9676E">
        <w:rPr>
          <w:rFonts w:ascii="Arial" w:hAnsi="Arial" w:cs="Arial"/>
          <w:b/>
          <w:bCs/>
          <w:sz w:val="22"/>
          <w:szCs w:val="22"/>
          <w:lang w:val="en-US" w:eastAsia="en-AU"/>
        </w:rPr>
        <w:t>notes</w:t>
      </w:r>
      <w:r w:rsidRPr="00F9676E">
        <w:rPr>
          <w:rFonts w:ascii="Arial" w:hAnsi="Arial" w:cs="Arial"/>
          <w:sz w:val="22"/>
          <w:szCs w:val="22"/>
          <w:lang w:val="en-US" w:eastAsia="en-AU"/>
        </w:rPr>
        <w:t xml:space="preserve"> this recommendation.</w:t>
      </w:r>
    </w:p>
    <w:p w14:paraId="424A2CE2" w14:textId="79181479" w:rsidR="00D71F5A" w:rsidRPr="00F9676E" w:rsidRDefault="00783A49" w:rsidP="00783A49">
      <w:pPr>
        <w:spacing w:after="200" w:line="276" w:lineRule="auto"/>
        <w:rPr>
          <w:rFonts w:ascii="Arial" w:hAnsi="Arial" w:cs="Arial"/>
          <w:sz w:val="24"/>
          <w:szCs w:val="24"/>
          <w:lang w:val="en-US" w:eastAsia="en-AU"/>
        </w:rPr>
      </w:pPr>
      <w:r w:rsidRPr="00F9676E">
        <w:rPr>
          <w:rFonts w:ascii="Arial" w:hAnsi="Arial" w:cs="Arial"/>
          <w:sz w:val="22"/>
          <w:szCs w:val="22"/>
          <w:lang w:val="en-US" w:eastAsia="en-AU"/>
        </w:rPr>
        <w:t xml:space="preserve">The Australian Government encourages </w:t>
      </w:r>
      <w:r w:rsidR="0067102C" w:rsidRPr="00F9676E">
        <w:rPr>
          <w:rFonts w:ascii="Arial" w:hAnsi="Arial" w:cs="Arial"/>
          <w:sz w:val="22"/>
          <w:szCs w:val="22"/>
          <w:lang w:val="en-US" w:eastAsia="en-AU"/>
        </w:rPr>
        <w:t>the ANU</w:t>
      </w:r>
      <w:r w:rsidRPr="00F9676E">
        <w:rPr>
          <w:rFonts w:ascii="Arial" w:hAnsi="Arial" w:cs="Arial"/>
          <w:sz w:val="22"/>
          <w:szCs w:val="22"/>
          <w:lang w:val="en-US" w:eastAsia="en-AU"/>
        </w:rPr>
        <w:t xml:space="preserve"> to consider this recommendation in consultation with their students, staff, communities and other stakeholders.</w:t>
      </w:r>
    </w:p>
    <w:sectPr w:rsidR="00D71F5A" w:rsidRPr="00F9676E" w:rsidSect="00D517E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23E3" w14:textId="77777777" w:rsidR="006B6B13" w:rsidRDefault="006B6B13" w:rsidP="008038B4">
      <w:r>
        <w:separator/>
      </w:r>
    </w:p>
  </w:endnote>
  <w:endnote w:type="continuationSeparator" w:id="0">
    <w:p w14:paraId="01603407" w14:textId="77777777" w:rsidR="006B6B13" w:rsidRDefault="006B6B13" w:rsidP="0080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152889"/>
      <w:docPartObj>
        <w:docPartGallery w:val="Page Numbers (Bottom of Page)"/>
        <w:docPartUnique/>
      </w:docPartObj>
    </w:sdtPr>
    <w:sdtEndPr>
      <w:rPr>
        <w:noProof/>
      </w:rPr>
    </w:sdtEndPr>
    <w:sdtContent>
      <w:p w14:paraId="0799984D" w14:textId="60B4D5BE" w:rsidR="00124EBB" w:rsidRDefault="00124EBB" w:rsidP="00DC53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7CB7C" w14:textId="77777777" w:rsidR="006B6B13" w:rsidRDefault="006B6B13" w:rsidP="008038B4">
      <w:r>
        <w:separator/>
      </w:r>
    </w:p>
  </w:footnote>
  <w:footnote w:type="continuationSeparator" w:id="0">
    <w:p w14:paraId="69DF5CF5" w14:textId="77777777" w:rsidR="006B6B13" w:rsidRDefault="006B6B13" w:rsidP="0080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7184"/>
    <w:multiLevelType w:val="hybridMultilevel"/>
    <w:tmpl w:val="2D0EC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C73D86"/>
    <w:multiLevelType w:val="hybridMultilevel"/>
    <w:tmpl w:val="F994597E"/>
    <w:lvl w:ilvl="0" w:tplc="E7FADF50">
      <w:start w:val="1"/>
      <w:numFmt w:val="bullet"/>
      <w:lvlText w:val=""/>
      <w:lvlJc w:val="left"/>
      <w:pPr>
        <w:ind w:left="360" w:hanging="360"/>
      </w:pPr>
      <w:rPr>
        <w:rFonts w:ascii="Symbol" w:hAnsi="Symbol" w:hint="default"/>
      </w:rPr>
    </w:lvl>
    <w:lvl w:ilvl="1" w:tplc="A1F22A4E">
      <w:start w:val="1"/>
      <w:numFmt w:val="bullet"/>
      <w:lvlText w:val="o"/>
      <w:lvlJc w:val="left"/>
      <w:pPr>
        <w:ind w:left="1080" w:hanging="360"/>
      </w:pPr>
      <w:rPr>
        <w:rFonts w:ascii="Courier New" w:hAnsi="Courier New" w:cs="Courier New" w:hint="default"/>
      </w:rPr>
    </w:lvl>
    <w:lvl w:ilvl="2" w:tplc="7EF84D16">
      <w:start w:val="1"/>
      <w:numFmt w:val="bullet"/>
      <w:lvlText w:val=""/>
      <w:lvlJc w:val="left"/>
      <w:pPr>
        <w:ind w:left="1800" w:hanging="360"/>
      </w:pPr>
      <w:rPr>
        <w:rFonts w:ascii="Wingdings" w:hAnsi="Wingdings" w:hint="default"/>
      </w:rPr>
    </w:lvl>
    <w:lvl w:ilvl="3" w:tplc="DA209158">
      <w:start w:val="1"/>
      <w:numFmt w:val="bullet"/>
      <w:lvlText w:val=""/>
      <w:lvlJc w:val="left"/>
      <w:pPr>
        <w:ind w:left="2520" w:hanging="360"/>
      </w:pPr>
      <w:rPr>
        <w:rFonts w:ascii="Symbol" w:hAnsi="Symbol" w:hint="default"/>
      </w:rPr>
    </w:lvl>
    <w:lvl w:ilvl="4" w:tplc="562EA5A4">
      <w:start w:val="1"/>
      <w:numFmt w:val="bullet"/>
      <w:lvlText w:val="o"/>
      <w:lvlJc w:val="left"/>
      <w:pPr>
        <w:ind w:left="3240" w:hanging="360"/>
      </w:pPr>
      <w:rPr>
        <w:rFonts w:ascii="Courier New" w:hAnsi="Courier New" w:cs="Courier New" w:hint="default"/>
      </w:rPr>
    </w:lvl>
    <w:lvl w:ilvl="5" w:tplc="34400310">
      <w:start w:val="1"/>
      <w:numFmt w:val="bullet"/>
      <w:lvlText w:val=""/>
      <w:lvlJc w:val="left"/>
      <w:pPr>
        <w:ind w:left="3960" w:hanging="360"/>
      </w:pPr>
      <w:rPr>
        <w:rFonts w:ascii="Wingdings" w:hAnsi="Wingdings" w:hint="default"/>
      </w:rPr>
    </w:lvl>
    <w:lvl w:ilvl="6" w:tplc="CAD024B8">
      <w:start w:val="1"/>
      <w:numFmt w:val="bullet"/>
      <w:lvlText w:val=""/>
      <w:lvlJc w:val="left"/>
      <w:pPr>
        <w:ind w:left="4680" w:hanging="360"/>
      </w:pPr>
      <w:rPr>
        <w:rFonts w:ascii="Symbol" w:hAnsi="Symbol" w:hint="default"/>
      </w:rPr>
    </w:lvl>
    <w:lvl w:ilvl="7" w:tplc="3216EB92">
      <w:start w:val="1"/>
      <w:numFmt w:val="bullet"/>
      <w:lvlText w:val="o"/>
      <w:lvlJc w:val="left"/>
      <w:pPr>
        <w:ind w:left="5400" w:hanging="360"/>
      </w:pPr>
      <w:rPr>
        <w:rFonts w:ascii="Courier New" w:hAnsi="Courier New" w:cs="Courier New" w:hint="default"/>
      </w:rPr>
    </w:lvl>
    <w:lvl w:ilvl="8" w:tplc="E286E82A">
      <w:start w:val="1"/>
      <w:numFmt w:val="bullet"/>
      <w:lvlText w:val=""/>
      <w:lvlJc w:val="left"/>
      <w:pPr>
        <w:ind w:left="6120" w:hanging="360"/>
      </w:pPr>
      <w:rPr>
        <w:rFonts w:ascii="Wingdings" w:hAnsi="Wingdings" w:hint="default"/>
      </w:rPr>
    </w:lvl>
  </w:abstractNum>
  <w:abstractNum w:abstractNumId="2" w15:restartNumberingAfterBreak="0">
    <w:nsid w:val="18BA41C0"/>
    <w:multiLevelType w:val="hybridMultilevel"/>
    <w:tmpl w:val="67605CDA"/>
    <w:lvl w:ilvl="0" w:tplc="D0A4B804">
      <w:start w:val="8"/>
      <w:numFmt w:val="bullet"/>
      <w:lvlText w:val="-"/>
      <w:lvlJc w:val="left"/>
      <w:pPr>
        <w:ind w:left="360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7B59FE"/>
    <w:multiLevelType w:val="multilevel"/>
    <w:tmpl w:val="7A1CE7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4A96A34"/>
    <w:multiLevelType w:val="multilevel"/>
    <w:tmpl w:val="2968FBBA"/>
    <w:name w:val="List number3"/>
    <w:lvl w:ilvl="0">
      <w:start w:val="1"/>
      <w:numFmt w:val="decimal"/>
      <w:pStyle w:val="List"/>
      <w:lvlText w:val="%1"/>
      <w:lvlJc w:val="left"/>
      <w:pPr>
        <w:ind w:left="357" w:hanging="357"/>
      </w:pPr>
      <w:rPr>
        <w:rFonts w:hint="default"/>
        <w:color w:val="auto"/>
      </w:rPr>
    </w:lvl>
    <w:lvl w:ilvl="1">
      <w:start w:val="1"/>
      <w:numFmt w:val="lowerLetter"/>
      <w:lvlText w:val="%2"/>
      <w:lvlJc w:val="left"/>
      <w:pPr>
        <w:ind w:left="714" w:hanging="357"/>
      </w:pPr>
      <w:rPr>
        <w:rFonts w:hint="default"/>
      </w:rPr>
    </w:lvl>
    <w:lvl w:ilvl="2">
      <w:start w:val="1"/>
      <w:numFmt w:val="lowerRoman"/>
      <w:lvlText w:val="%3"/>
      <w:lvlJc w:val="left"/>
      <w:pPr>
        <w:tabs>
          <w:tab w:val="num" w:pos="1985"/>
        </w:tabs>
        <w:ind w:left="1071" w:hanging="357"/>
      </w:pPr>
      <w:rPr>
        <w:rFonts w:hint="default"/>
      </w:rPr>
    </w:lvl>
    <w:lvl w:ilvl="3">
      <w:start w:val="1"/>
      <w:numFmt w:val="bullet"/>
      <w:lvlText w:val="–"/>
      <w:lvlJc w:val="left"/>
      <w:pPr>
        <w:tabs>
          <w:tab w:val="num" w:pos="2552"/>
        </w:tabs>
        <w:ind w:left="1428" w:hanging="357"/>
      </w:pPr>
      <w:rPr>
        <w:rFonts w:ascii="Calibri" w:hAnsi="Calibri"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3D0D5E58"/>
    <w:multiLevelType w:val="hybridMultilevel"/>
    <w:tmpl w:val="48BCAE76"/>
    <w:lvl w:ilvl="0" w:tplc="D0A4B804">
      <w:start w:val="8"/>
      <w:numFmt w:val="bullet"/>
      <w:lvlText w:val="-"/>
      <w:lvlJc w:val="left"/>
      <w:pPr>
        <w:ind w:left="360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4C371E"/>
    <w:multiLevelType w:val="singleLevel"/>
    <w:tmpl w:val="8BF6BD58"/>
    <w:lvl w:ilvl="0">
      <w:start w:val="1"/>
      <w:numFmt w:val="bullet"/>
      <w:pStyle w:val="legcomeasuredash"/>
      <w:lvlText w:val=""/>
      <w:lvlJc w:val="left"/>
      <w:pPr>
        <w:tabs>
          <w:tab w:val="num" w:pos="757"/>
        </w:tabs>
        <w:ind w:left="397" w:firstLine="0"/>
      </w:pPr>
      <w:rPr>
        <w:rFonts w:ascii="Wingdings" w:hAnsi="Wingdings" w:hint="default"/>
        <w:color w:val="auto"/>
        <w:sz w:val="16"/>
      </w:rPr>
    </w:lvl>
  </w:abstractNum>
  <w:abstractNum w:abstractNumId="7" w15:restartNumberingAfterBreak="0">
    <w:nsid w:val="552B20EF"/>
    <w:multiLevelType w:val="hybridMultilevel"/>
    <w:tmpl w:val="52FE640A"/>
    <w:lvl w:ilvl="0" w:tplc="D0A4B804">
      <w:start w:val="8"/>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B2F6E1A"/>
    <w:multiLevelType w:val="hybridMultilevel"/>
    <w:tmpl w:val="8B64F4EC"/>
    <w:lvl w:ilvl="0" w:tplc="D0A4B804">
      <w:start w:val="8"/>
      <w:numFmt w:val="bullet"/>
      <w:lvlText w:val="-"/>
      <w:lvlJc w:val="left"/>
      <w:pPr>
        <w:ind w:left="3600" w:hanging="360"/>
      </w:pPr>
      <w:rPr>
        <w:rFonts w:ascii="Aptos" w:eastAsiaTheme="minorHAnsi" w:hAnsi="Aptos" w:cstheme="minorBidi"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9" w15:restartNumberingAfterBreak="0">
    <w:nsid w:val="62727585"/>
    <w:multiLevelType w:val="multilevel"/>
    <w:tmpl w:val="7EDA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1456DB"/>
    <w:multiLevelType w:val="hybridMultilevel"/>
    <w:tmpl w:val="B6C07E56"/>
    <w:lvl w:ilvl="0" w:tplc="D0A4B804">
      <w:start w:val="8"/>
      <w:numFmt w:val="bullet"/>
      <w:lvlText w:val="-"/>
      <w:lvlJc w:val="left"/>
      <w:pPr>
        <w:ind w:left="720" w:hanging="360"/>
      </w:pPr>
      <w:rPr>
        <w:rFonts w:ascii="Aptos" w:eastAsiaTheme="minorHAnsi" w:hAnsi="Aptos" w:cstheme="minorBidi" w:hint="default"/>
      </w:rPr>
    </w:lvl>
    <w:lvl w:ilvl="1" w:tplc="D0A4B804">
      <w:start w:val="8"/>
      <w:numFmt w:val="bullet"/>
      <w:lvlText w:val="-"/>
      <w:lvlJc w:val="left"/>
      <w:pPr>
        <w:ind w:left="3600" w:hanging="360"/>
      </w:pPr>
      <w:rPr>
        <w:rFonts w:ascii="Aptos" w:eastAsiaTheme="minorHAnsi" w:hAnsi="Aptos"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5E4240"/>
    <w:multiLevelType w:val="multilevel"/>
    <w:tmpl w:val="C3E6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B448CB"/>
    <w:multiLevelType w:val="hybridMultilevel"/>
    <w:tmpl w:val="46F0F654"/>
    <w:lvl w:ilvl="0" w:tplc="0C09000F">
      <w:start w:val="1"/>
      <w:numFmt w:val="decimal"/>
      <w:lvlText w:val="%1."/>
      <w:lvlJc w:val="left"/>
      <w:pPr>
        <w:ind w:left="360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40A7367"/>
    <w:multiLevelType w:val="multilevel"/>
    <w:tmpl w:val="F0C0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44138"/>
    <w:multiLevelType w:val="hybridMultilevel"/>
    <w:tmpl w:val="8BD026F2"/>
    <w:lvl w:ilvl="0" w:tplc="D0A4B804">
      <w:start w:val="8"/>
      <w:numFmt w:val="bullet"/>
      <w:lvlText w:val="-"/>
      <w:lvlJc w:val="left"/>
      <w:pPr>
        <w:ind w:left="1080" w:hanging="360"/>
      </w:pPr>
      <w:rPr>
        <w:rFonts w:ascii="Aptos" w:eastAsiaTheme="minorHAnsi" w:hAnsi="Apto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79796E05"/>
    <w:multiLevelType w:val="hybridMultilevel"/>
    <w:tmpl w:val="04E4F4E0"/>
    <w:lvl w:ilvl="0" w:tplc="D0A4B804">
      <w:start w:val="8"/>
      <w:numFmt w:val="bullet"/>
      <w:lvlText w:val="-"/>
      <w:lvlJc w:val="left"/>
      <w:pPr>
        <w:ind w:left="360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674595">
    <w:abstractNumId w:val="4"/>
  </w:num>
  <w:num w:numId="2" w16cid:durableId="1702825550">
    <w:abstractNumId w:val="6"/>
  </w:num>
  <w:num w:numId="3" w16cid:durableId="123622564">
    <w:abstractNumId w:val="8"/>
  </w:num>
  <w:num w:numId="4" w16cid:durableId="186481500">
    <w:abstractNumId w:val="5"/>
  </w:num>
  <w:num w:numId="5" w16cid:durableId="1386224668">
    <w:abstractNumId w:val="2"/>
  </w:num>
  <w:num w:numId="6" w16cid:durableId="32735049">
    <w:abstractNumId w:val="15"/>
  </w:num>
  <w:num w:numId="7" w16cid:durableId="1302073009">
    <w:abstractNumId w:val="14"/>
  </w:num>
  <w:num w:numId="8" w16cid:durableId="1738816342">
    <w:abstractNumId w:val="12"/>
  </w:num>
  <w:num w:numId="9" w16cid:durableId="777600371">
    <w:abstractNumId w:val="7"/>
  </w:num>
  <w:num w:numId="10" w16cid:durableId="1047795872">
    <w:abstractNumId w:val="10"/>
  </w:num>
  <w:num w:numId="11" w16cid:durableId="225070273">
    <w:abstractNumId w:val="11"/>
  </w:num>
  <w:num w:numId="12" w16cid:durableId="670063308">
    <w:abstractNumId w:val="0"/>
  </w:num>
  <w:num w:numId="13" w16cid:durableId="619797247">
    <w:abstractNumId w:val="1"/>
  </w:num>
  <w:num w:numId="14" w16cid:durableId="1812557292">
    <w:abstractNumId w:val="13"/>
  </w:num>
  <w:num w:numId="15" w16cid:durableId="2028483219">
    <w:abstractNumId w:val="3"/>
  </w:num>
  <w:num w:numId="16" w16cid:durableId="95795513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8B"/>
    <w:rsid w:val="00000526"/>
    <w:rsid w:val="00000881"/>
    <w:rsid w:val="000010C1"/>
    <w:rsid w:val="00002353"/>
    <w:rsid w:val="00002B70"/>
    <w:rsid w:val="000042E4"/>
    <w:rsid w:val="00004896"/>
    <w:rsid w:val="00005106"/>
    <w:rsid w:val="00005390"/>
    <w:rsid w:val="0000582B"/>
    <w:rsid w:val="00005D02"/>
    <w:rsid w:val="00005F75"/>
    <w:rsid w:val="00006461"/>
    <w:rsid w:val="00006648"/>
    <w:rsid w:val="00006CB2"/>
    <w:rsid w:val="00007A4B"/>
    <w:rsid w:val="00007B5A"/>
    <w:rsid w:val="0001042C"/>
    <w:rsid w:val="0001060C"/>
    <w:rsid w:val="00010B40"/>
    <w:rsid w:val="00011218"/>
    <w:rsid w:val="00011611"/>
    <w:rsid w:val="00012300"/>
    <w:rsid w:val="00012339"/>
    <w:rsid w:val="00012557"/>
    <w:rsid w:val="00012663"/>
    <w:rsid w:val="00013908"/>
    <w:rsid w:val="00013D19"/>
    <w:rsid w:val="00013E29"/>
    <w:rsid w:val="00014FE8"/>
    <w:rsid w:val="000156C2"/>
    <w:rsid w:val="00016338"/>
    <w:rsid w:val="0001640E"/>
    <w:rsid w:val="0001643F"/>
    <w:rsid w:val="00016824"/>
    <w:rsid w:val="000168FC"/>
    <w:rsid w:val="0001737C"/>
    <w:rsid w:val="00017422"/>
    <w:rsid w:val="00017B1D"/>
    <w:rsid w:val="0002000B"/>
    <w:rsid w:val="00020626"/>
    <w:rsid w:val="00020957"/>
    <w:rsid w:val="0002127A"/>
    <w:rsid w:val="00021343"/>
    <w:rsid w:val="0002195A"/>
    <w:rsid w:val="00021E49"/>
    <w:rsid w:val="000220D3"/>
    <w:rsid w:val="00022B26"/>
    <w:rsid w:val="000237F9"/>
    <w:rsid w:val="00023BBD"/>
    <w:rsid w:val="0002451B"/>
    <w:rsid w:val="000245B0"/>
    <w:rsid w:val="0002470D"/>
    <w:rsid w:val="00024A4B"/>
    <w:rsid w:val="00024BD1"/>
    <w:rsid w:val="00024E76"/>
    <w:rsid w:val="00025271"/>
    <w:rsid w:val="000257A0"/>
    <w:rsid w:val="00026764"/>
    <w:rsid w:val="00026E5C"/>
    <w:rsid w:val="000273FA"/>
    <w:rsid w:val="000276C3"/>
    <w:rsid w:val="00027825"/>
    <w:rsid w:val="0002785C"/>
    <w:rsid w:val="00027B73"/>
    <w:rsid w:val="00030C0C"/>
    <w:rsid w:val="000310FA"/>
    <w:rsid w:val="00031E01"/>
    <w:rsid w:val="0003228E"/>
    <w:rsid w:val="00032333"/>
    <w:rsid w:val="000324B2"/>
    <w:rsid w:val="000335A8"/>
    <w:rsid w:val="00033747"/>
    <w:rsid w:val="0003431F"/>
    <w:rsid w:val="00034D5F"/>
    <w:rsid w:val="000355F9"/>
    <w:rsid w:val="00035645"/>
    <w:rsid w:val="000361BC"/>
    <w:rsid w:val="00036346"/>
    <w:rsid w:val="00036936"/>
    <w:rsid w:val="00037C07"/>
    <w:rsid w:val="000417F2"/>
    <w:rsid w:val="0004189B"/>
    <w:rsid w:val="00041CC0"/>
    <w:rsid w:val="000426A9"/>
    <w:rsid w:val="00042A5C"/>
    <w:rsid w:val="0004502A"/>
    <w:rsid w:val="00045AD2"/>
    <w:rsid w:val="00045B34"/>
    <w:rsid w:val="00046442"/>
    <w:rsid w:val="00046882"/>
    <w:rsid w:val="0004724F"/>
    <w:rsid w:val="0005089F"/>
    <w:rsid w:val="00051BD5"/>
    <w:rsid w:val="00052344"/>
    <w:rsid w:val="00052A10"/>
    <w:rsid w:val="00052E58"/>
    <w:rsid w:val="000539FF"/>
    <w:rsid w:val="000543B8"/>
    <w:rsid w:val="000547CA"/>
    <w:rsid w:val="00054DE6"/>
    <w:rsid w:val="00055717"/>
    <w:rsid w:val="000559BF"/>
    <w:rsid w:val="000559C1"/>
    <w:rsid w:val="00056695"/>
    <w:rsid w:val="00056C9C"/>
    <w:rsid w:val="0005707A"/>
    <w:rsid w:val="00060305"/>
    <w:rsid w:val="00060526"/>
    <w:rsid w:val="000605C1"/>
    <w:rsid w:val="000607E7"/>
    <w:rsid w:val="00060AEF"/>
    <w:rsid w:val="00060D5C"/>
    <w:rsid w:val="00061683"/>
    <w:rsid w:val="00061792"/>
    <w:rsid w:val="00061890"/>
    <w:rsid w:val="00061A63"/>
    <w:rsid w:val="00062256"/>
    <w:rsid w:val="000631CF"/>
    <w:rsid w:val="000636D5"/>
    <w:rsid w:val="000637E7"/>
    <w:rsid w:val="00063B96"/>
    <w:rsid w:val="00064320"/>
    <w:rsid w:val="00064EEF"/>
    <w:rsid w:val="00065B4E"/>
    <w:rsid w:val="00066213"/>
    <w:rsid w:val="0006655B"/>
    <w:rsid w:val="000671C5"/>
    <w:rsid w:val="00067396"/>
    <w:rsid w:val="000678A4"/>
    <w:rsid w:val="00067BF4"/>
    <w:rsid w:val="00067EA7"/>
    <w:rsid w:val="0007062D"/>
    <w:rsid w:val="00070AF1"/>
    <w:rsid w:val="000710B1"/>
    <w:rsid w:val="00071389"/>
    <w:rsid w:val="0007152E"/>
    <w:rsid w:val="000717EE"/>
    <w:rsid w:val="00071C4A"/>
    <w:rsid w:val="000722E9"/>
    <w:rsid w:val="00072B58"/>
    <w:rsid w:val="00073010"/>
    <w:rsid w:val="000733C8"/>
    <w:rsid w:val="00073A82"/>
    <w:rsid w:val="00073B23"/>
    <w:rsid w:val="00073F96"/>
    <w:rsid w:val="00074348"/>
    <w:rsid w:val="00075036"/>
    <w:rsid w:val="00075267"/>
    <w:rsid w:val="00075FDE"/>
    <w:rsid w:val="0007693A"/>
    <w:rsid w:val="00076A36"/>
    <w:rsid w:val="00076BE0"/>
    <w:rsid w:val="00076C91"/>
    <w:rsid w:val="00076CD1"/>
    <w:rsid w:val="0007727D"/>
    <w:rsid w:val="000776A6"/>
    <w:rsid w:val="00077F0C"/>
    <w:rsid w:val="00080982"/>
    <w:rsid w:val="00081CA0"/>
    <w:rsid w:val="00082513"/>
    <w:rsid w:val="000828F6"/>
    <w:rsid w:val="000829F9"/>
    <w:rsid w:val="00082C1B"/>
    <w:rsid w:val="00082D9D"/>
    <w:rsid w:val="000836FD"/>
    <w:rsid w:val="000838C4"/>
    <w:rsid w:val="00084172"/>
    <w:rsid w:val="000846C1"/>
    <w:rsid w:val="000846DF"/>
    <w:rsid w:val="00084D39"/>
    <w:rsid w:val="00085737"/>
    <w:rsid w:val="00085D89"/>
    <w:rsid w:val="00086B33"/>
    <w:rsid w:val="00086CB8"/>
    <w:rsid w:val="00087557"/>
    <w:rsid w:val="0009009B"/>
    <w:rsid w:val="0009043F"/>
    <w:rsid w:val="0009053D"/>
    <w:rsid w:val="0009180B"/>
    <w:rsid w:val="000919BE"/>
    <w:rsid w:val="00091D5B"/>
    <w:rsid w:val="00092104"/>
    <w:rsid w:val="00092ECB"/>
    <w:rsid w:val="000932C6"/>
    <w:rsid w:val="0009354D"/>
    <w:rsid w:val="00093D7E"/>
    <w:rsid w:val="00093DAC"/>
    <w:rsid w:val="00093E27"/>
    <w:rsid w:val="00094505"/>
    <w:rsid w:val="0009539E"/>
    <w:rsid w:val="00095564"/>
    <w:rsid w:val="00095775"/>
    <w:rsid w:val="0009665C"/>
    <w:rsid w:val="00096812"/>
    <w:rsid w:val="00096BA3"/>
    <w:rsid w:val="00096E26"/>
    <w:rsid w:val="00097558"/>
    <w:rsid w:val="000A0E7D"/>
    <w:rsid w:val="000A107A"/>
    <w:rsid w:val="000A10D4"/>
    <w:rsid w:val="000A141A"/>
    <w:rsid w:val="000A187D"/>
    <w:rsid w:val="000A2420"/>
    <w:rsid w:val="000A34DE"/>
    <w:rsid w:val="000A369D"/>
    <w:rsid w:val="000A40A3"/>
    <w:rsid w:val="000A4509"/>
    <w:rsid w:val="000A50B7"/>
    <w:rsid w:val="000A5A5B"/>
    <w:rsid w:val="000A5E1D"/>
    <w:rsid w:val="000B01B2"/>
    <w:rsid w:val="000B037F"/>
    <w:rsid w:val="000B042E"/>
    <w:rsid w:val="000B0701"/>
    <w:rsid w:val="000B0890"/>
    <w:rsid w:val="000B09C0"/>
    <w:rsid w:val="000B0ACD"/>
    <w:rsid w:val="000B18F3"/>
    <w:rsid w:val="000B1C0D"/>
    <w:rsid w:val="000B2066"/>
    <w:rsid w:val="000B325B"/>
    <w:rsid w:val="000B4629"/>
    <w:rsid w:val="000B4E9C"/>
    <w:rsid w:val="000B603A"/>
    <w:rsid w:val="000B61E7"/>
    <w:rsid w:val="000B64C3"/>
    <w:rsid w:val="000B69A3"/>
    <w:rsid w:val="000B69ED"/>
    <w:rsid w:val="000C07B5"/>
    <w:rsid w:val="000C0CF1"/>
    <w:rsid w:val="000C120C"/>
    <w:rsid w:val="000C147D"/>
    <w:rsid w:val="000C15F4"/>
    <w:rsid w:val="000C18CE"/>
    <w:rsid w:val="000C223E"/>
    <w:rsid w:val="000C31E8"/>
    <w:rsid w:val="000C338E"/>
    <w:rsid w:val="000C3591"/>
    <w:rsid w:val="000C3D20"/>
    <w:rsid w:val="000C4117"/>
    <w:rsid w:val="000C4577"/>
    <w:rsid w:val="000C52A2"/>
    <w:rsid w:val="000C551D"/>
    <w:rsid w:val="000C5D12"/>
    <w:rsid w:val="000C6A60"/>
    <w:rsid w:val="000C6CD7"/>
    <w:rsid w:val="000C6D89"/>
    <w:rsid w:val="000C70D7"/>
    <w:rsid w:val="000C70F4"/>
    <w:rsid w:val="000D0CFB"/>
    <w:rsid w:val="000D123A"/>
    <w:rsid w:val="000D1408"/>
    <w:rsid w:val="000D1596"/>
    <w:rsid w:val="000D17E4"/>
    <w:rsid w:val="000D1C1A"/>
    <w:rsid w:val="000D2101"/>
    <w:rsid w:val="000D25AA"/>
    <w:rsid w:val="000D2882"/>
    <w:rsid w:val="000D36C5"/>
    <w:rsid w:val="000D46C8"/>
    <w:rsid w:val="000D4C5F"/>
    <w:rsid w:val="000D51C0"/>
    <w:rsid w:val="000D55AE"/>
    <w:rsid w:val="000D5857"/>
    <w:rsid w:val="000D625F"/>
    <w:rsid w:val="000D62A4"/>
    <w:rsid w:val="000D6E0D"/>
    <w:rsid w:val="000E02AA"/>
    <w:rsid w:val="000E02CB"/>
    <w:rsid w:val="000E04B7"/>
    <w:rsid w:val="000E1E5F"/>
    <w:rsid w:val="000E21ED"/>
    <w:rsid w:val="000E223C"/>
    <w:rsid w:val="000E26E9"/>
    <w:rsid w:val="000E2802"/>
    <w:rsid w:val="000E32C4"/>
    <w:rsid w:val="000E33C8"/>
    <w:rsid w:val="000E3CDD"/>
    <w:rsid w:val="000E42DA"/>
    <w:rsid w:val="000E45D1"/>
    <w:rsid w:val="000E4D29"/>
    <w:rsid w:val="000E52B7"/>
    <w:rsid w:val="000E5AA0"/>
    <w:rsid w:val="000E63F8"/>
    <w:rsid w:val="000E6D3A"/>
    <w:rsid w:val="000E6E63"/>
    <w:rsid w:val="000E7776"/>
    <w:rsid w:val="000F0094"/>
    <w:rsid w:val="000F020D"/>
    <w:rsid w:val="000F0E8E"/>
    <w:rsid w:val="000F168A"/>
    <w:rsid w:val="000F22BB"/>
    <w:rsid w:val="000F322B"/>
    <w:rsid w:val="000F46F4"/>
    <w:rsid w:val="000F4991"/>
    <w:rsid w:val="000F5577"/>
    <w:rsid w:val="000F5A2C"/>
    <w:rsid w:val="000F5C5A"/>
    <w:rsid w:val="000F60BB"/>
    <w:rsid w:val="000F7563"/>
    <w:rsid w:val="000F77AE"/>
    <w:rsid w:val="001000B6"/>
    <w:rsid w:val="001008DC"/>
    <w:rsid w:val="00100A9D"/>
    <w:rsid w:val="00100D07"/>
    <w:rsid w:val="00100E3B"/>
    <w:rsid w:val="001024D7"/>
    <w:rsid w:val="00103126"/>
    <w:rsid w:val="001032D2"/>
    <w:rsid w:val="001036C1"/>
    <w:rsid w:val="001041E0"/>
    <w:rsid w:val="001049E5"/>
    <w:rsid w:val="00104CAA"/>
    <w:rsid w:val="00104D8E"/>
    <w:rsid w:val="00104FB1"/>
    <w:rsid w:val="0010514A"/>
    <w:rsid w:val="00106CBF"/>
    <w:rsid w:val="00106F08"/>
    <w:rsid w:val="001076D1"/>
    <w:rsid w:val="00107B21"/>
    <w:rsid w:val="0011050F"/>
    <w:rsid w:val="00111042"/>
    <w:rsid w:val="00111421"/>
    <w:rsid w:val="001116CE"/>
    <w:rsid w:val="00111ACE"/>
    <w:rsid w:val="00111F08"/>
    <w:rsid w:val="00112E8C"/>
    <w:rsid w:val="00113120"/>
    <w:rsid w:val="0011318B"/>
    <w:rsid w:val="00113BB0"/>
    <w:rsid w:val="00113F91"/>
    <w:rsid w:val="00114074"/>
    <w:rsid w:val="0011475E"/>
    <w:rsid w:val="001147D2"/>
    <w:rsid w:val="00114E2D"/>
    <w:rsid w:val="00115357"/>
    <w:rsid w:val="001153B0"/>
    <w:rsid w:val="00116CF3"/>
    <w:rsid w:val="001170F6"/>
    <w:rsid w:val="0011777B"/>
    <w:rsid w:val="0011784D"/>
    <w:rsid w:val="00117FBE"/>
    <w:rsid w:val="00120A54"/>
    <w:rsid w:val="00120CDF"/>
    <w:rsid w:val="00121BBF"/>
    <w:rsid w:val="00122A18"/>
    <w:rsid w:val="00122B58"/>
    <w:rsid w:val="00123B83"/>
    <w:rsid w:val="00124697"/>
    <w:rsid w:val="001247F1"/>
    <w:rsid w:val="00124EBB"/>
    <w:rsid w:val="00125A2C"/>
    <w:rsid w:val="00126628"/>
    <w:rsid w:val="00126EA6"/>
    <w:rsid w:val="00126FB1"/>
    <w:rsid w:val="00130478"/>
    <w:rsid w:val="001304FA"/>
    <w:rsid w:val="00131386"/>
    <w:rsid w:val="0013152D"/>
    <w:rsid w:val="00131AF6"/>
    <w:rsid w:val="00132D09"/>
    <w:rsid w:val="00133B8C"/>
    <w:rsid w:val="00134D1B"/>
    <w:rsid w:val="00136AD6"/>
    <w:rsid w:val="00136C83"/>
    <w:rsid w:val="00137106"/>
    <w:rsid w:val="001372B9"/>
    <w:rsid w:val="00137CB3"/>
    <w:rsid w:val="001403B8"/>
    <w:rsid w:val="00141F2E"/>
    <w:rsid w:val="0014250D"/>
    <w:rsid w:val="0014282D"/>
    <w:rsid w:val="00142B05"/>
    <w:rsid w:val="00143064"/>
    <w:rsid w:val="0014368B"/>
    <w:rsid w:val="001437C8"/>
    <w:rsid w:val="00144386"/>
    <w:rsid w:val="0014450D"/>
    <w:rsid w:val="00144693"/>
    <w:rsid w:val="00144F04"/>
    <w:rsid w:val="0014599C"/>
    <w:rsid w:val="001460F5"/>
    <w:rsid w:val="00146277"/>
    <w:rsid w:val="00146628"/>
    <w:rsid w:val="00146B97"/>
    <w:rsid w:val="00146D51"/>
    <w:rsid w:val="00146DBF"/>
    <w:rsid w:val="00150351"/>
    <w:rsid w:val="00150C1A"/>
    <w:rsid w:val="00150F86"/>
    <w:rsid w:val="00151063"/>
    <w:rsid w:val="0015193F"/>
    <w:rsid w:val="00151BB7"/>
    <w:rsid w:val="00152563"/>
    <w:rsid w:val="0015287C"/>
    <w:rsid w:val="00152FC3"/>
    <w:rsid w:val="001531BF"/>
    <w:rsid w:val="001539EB"/>
    <w:rsid w:val="00154A02"/>
    <w:rsid w:val="00154E00"/>
    <w:rsid w:val="00154EEE"/>
    <w:rsid w:val="00155C0A"/>
    <w:rsid w:val="00155ECE"/>
    <w:rsid w:val="00156442"/>
    <w:rsid w:val="00157D22"/>
    <w:rsid w:val="00157E78"/>
    <w:rsid w:val="00160439"/>
    <w:rsid w:val="001605E9"/>
    <w:rsid w:val="001609C2"/>
    <w:rsid w:val="00160C3A"/>
    <w:rsid w:val="00160D71"/>
    <w:rsid w:val="00160E8E"/>
    <w:rsid w:val="0016122A"/>
    <w:rsid w:val="001612A5"/>
    <w:rsid w:val="00161A9D"/>
    <w:rsid w:val="001623B4"/>
    <w:rsid w:val="001630B5"/>
    <w:rsid w:val="00163401"/>
    <w:rsid w:val="00163507"/>
    <w:rsid w:val="00163939"/>
    <w:rsid w:val="00163A7E"/>
    <w:rsid w:val="00164093"/>
    <w:rsid w:val="00164D05"/>
    <w:rsid w:val="00164EC0"/>
    <w:rsid w:val="001650D0"/>
    <w:rsid w:val="001664E2"/>
    <w:rsid w:val="00166DB4"/>
    <w:rsid w:val="0016723F"/>
    <w:rsid w:val="00167588"/>
    <w:rsid w:val="00167733"/>
    <w:rsid w:val="00167EF3"/>
    <w:rsid w:val="00170064"/>
    <w:rsid w:val="0017014D"/>
    <w:rsid w:val="001702A3"/>
    <w:rsid w:val="00170510"/>
    <w:rsid w:val="00170894"/>
    <w:rsid w:val="00170992"/>
    <w:rsid w:val="001716FF"/>
    <w:rsid w:val="00171F58"/>
    <w:rsid w:val="0017248C"/>
    <w:rsid w:val="0017253D"/>
    <w:rsid w:val="0017275E"/>
    <w:rsid w:val="00172BA2"/>
    <w:rsid w:val="00172CCE"/>
    <w:rsid w:val="00173620"/>
    <w:rsid w:val="001744A0"/>
    <w:rsid w:val="00174799"/>
    <w:rsid w:val="00175511"/>
    <w:rsid w:val="001758CD"/>
    <w:rsid w:val="00175C37"/>
    <w:rsid w:val="00175D12"/>
    <w:rsid w:val="00176A51"/>
    <w:rsid w:val="00176BA5"/>
    <w:rsid w:val="001771F6"/>
    <w:rsid w:val="00180DA8"/>
    <w:rsid w:val="00181F7B"/>
    <w:rsid w:val="001831D1"/>
    <w:rsid w:val="00183B7F"/>
    <w:rsid w:val="00184348"/>
    <w:rsid w:val="001854CD"/>
    <w:rsid w:val="00185763"/>
    <w:rsid w:val="001866F7"/>
    <w:rsid w:val="00186A76"/>
    <w:rsid w:val="00186D0C"/>
    <w:rsid w:val="001906CE"/>
    <w:rsid w:val="0019131D"/>
    <w:rsid w:val="00191688"/>
    <w:rsid w:val="00191760"/>
    <w:rsid w:val="00191D33"/>
    <w:rsid w:val="0019293B"/>
    <w:rsid w:val="00192C1C"/>
    <w:rsid w:val="00192E21"/>
    <w:rsid w:val="0019332A"/>
    <w:rsid w:val="001939F9"/>
    <w:rsid w:val="00193D70"/>
    <w:rsid w:val="00193EF0"/>
    <w:rsid w:val="0019580B"/>
    <w:rsid w:val="0019605B"/>
    <w:rsid w:val="00196C17"/>
    <w:rsid w:val="001972E5"/>
    <w:rsid w:val="0019738D"/>
    <w:rsid w:val="00197872"/>
    <w:rsid w:val="001979FE"/>
    <w:rsid w:val="00197A10"/>
    <w:rsid w:val="001A0EC1"/>
    <w:rsid w:val="001A14FD"/>
    <w:rsid w:val="001A16D1"/>
    <w:rsid w:val="001A1721"/>
    <w:rsid w:val="001A2503"/>
    <w:rsid w:val="001A253F"/>
    <w:rsid w:val="001A2C09"/>
    <w:rsid w:val="001A3554"/>
    <w:rsid w:val="001A36E5"/>
    <w:rsid w:val="001A3766"/>
    <w:rsid w:val="001A398F"/>
    <w:rsid w:val="001A3E8E"/>
    <w:rsid w:val="001A4C26"/>
    <w:rsid w:val="001A4C30"/>
    <w:rsid w:val="001A6335"/>
    <w:rsid w:val="001A65E6"/>
    <w:rsid w:val="001A66A9"/>
    <w:rsid w:val="001A6C9C"/>
    <w:rsid w:val="001A74B1"/>
    <w:rsid w:val="001A760A"/>
    <w:rsid w:val="001B0BA0"/>
    <w:rsid w:val="001B0FB3"/>
    <w:rsid w:val="001B13C8"/>
    <w:rsid w:val="001B17D3"/>
    <w:rsid w:val="001B1896"/>
    <w:rsid w:val="001B2159"/>
    <w:rsid w:val="001B21D4"/>
    <w:rsid w:val="001B23C0"/>
    <w:rsid w:val="001B3BFC"/>
    <w:rsid w:val="001B3FA4"/>
    <w:rsid w:val="001B511C"/>
    <w:rsid w:val="001B5216"/>
    <w:rsid w:val="001B5794"/>
    <w:rsid w:val="001B59A0"/>
    <w:rsid w:val="001B6222"/>
    <w:rsid w:val="001B69DC"/>
    <w:rsid w:val="001B6CCE"/>
    <w:rsid w:val="001B75A7"/>
    <w:rsid w:val="001C0065"/>
    <w:rsid w:val="001C042C"/>
    <w:rsid w:val="001C1ECD"/>
    <w:rsid w:val="001C2E9E"/>
    <w:rsid w:val="001C33A3"/>
    <w:rsid w:val="001C360F"/>
    <w:rsid w:val="001C3B3E"/>
    <w:rsid w:val="001C3DDF"/>
    <w:rsid w:val="001C522A"/>
    <w:rsid w:val="001C5D49"/>
    <w:rsid w:val="001C6B19"/>
    <w:rsid w:val="001C6CAF"/>
    <w:rsid w:val="001C6CE2"/>
    <w:rsid w:val="001C6FFD"/>
    <w:rsid w:val="001C780C"/>
    <w:rsid w:val="001C7BA1"/>
    <w:rsid w:val="001C7F56"/>
    <w:rsid w:val="001D0381"/>
    <w:rsid w:val="001D041A"/>
    <w:rsid w:val="001D0B97"/>
    <w:rsid w:val="001D1304"/>
    <w:rsid w:val="001D1468"/>
    <w:rsid w:val="001D1E45"/>
    <w:rsid w:val="001D1F37"/>
    <w:rsid w:val="001D2F15"/>
    <w:rsid w:val="001D3596"/>
    <w:rsid w:val="001D361F"/>
    <w:rsid w:val="001D3894"/>
    <w:rsid w:val="001D437A"/>
    <w:rsid w:val="001D4F9B"/>
    <w:rsid w:val="001D5453"/>
    <w:rsid w:val="001D561C"/>
    <w:rsid w:val="001D57BE"/>
    <w:rsid w:val="001D60EB"/>
    <w:rsid w:val="001D647F"/>
    <w:rsid w:val="001D7084"/>
    <w:rsid w:val="001D7713"/>
    <w:rsid w:val="001D78FB"/>
    <w:rsid w:val="001D7B1D"/>
    <w:rsid w:val="001D7BD4"/>
    <w:rsid w:val="001E05E7"/>
    <w:rsid w:val="001E061F"/>
    <w:rsid w:val="001E0B1F"/>
    <w:rsid w:val="001E0C9F"/>
    <w:rsid w:val="001E15DD"/>
    <w:rsid w:val="001E17F2"/>
    <w:rsid w:val="001E2834"/>
    <w:rsid w:val="001E2F7A"/>
    <w:rsid w:val="001E3333"/>
    <w:rsid w:val="001E556B"/>
    <w:rsid w:val="001E5F66"/>
    <w:rsid w:val="001E6537"/>
    <w:rsid w:val="001E6942"/>
    <w:rsid w:val="001E73F0"/>
    <w:rsid w:val="001E7522"/>
    <w:rsid w:val="001F0491"/>
    <w:rsid w:val="001F0B2F"/>
    <w:rsid w:val="001F12D7"/>
    <w:rsid w:val="001F13F5"/>
    <w:rsid w:val="001F1699"/>
    <w:rsid w:val="001F1A65"/>
    <w:rsid w:val="001F1E70"/>
    <w:rsid w:val="001F1EBE"/>
    <w:rsid w:val="001F1F49"/>
    <w:rsid w:val="001F2870"/>
    <w:rsid w:val="001F29BD"/>
    <w:rsid w:val="001F2E20"/>
    <w:rsid w:val="001F3181"/>
    <w:rsid w:val="001F3348"/>
    <w:rsid w:val="001F5D90"/>
    <w:rsid w:val="001F725B"/>
    <w:rsid w:val="001F7722"/>
    <w:rsid w:val="00200987"/>
    <w:rsid w:val="00200AEE"/>
    <w:rsid w:val="00201965"/>
    <w:rsid w:val="002023F5"/>
    <w:rsid w:val="00202E67"/>
    <w:rsid w:val="00203486"/>
    <w:rsid w:val="00203881"/>
    <w:rsid w:val="00203A40"/>
    <w:rsid w:val="00203F28"/>
    <w:rsid w:val="00203F6E"/>
    <w:rsid w:val="00204891"/>
    <w:rsid w:val="0020489E"/>
    <w:rsid w:val="00204A82"/>
    <w:rsid w:val="00205C33"/>
    <w:rsid w:val="00206028"/>
    <w:rsid w:val="00206EF4"/>
    <w:rsid w:val="002072C7"/>
    <w:rsid w:val="00207886"/>
    <w:rsid w:val="00210ABB"/>
    <w:rsid w:val="00210B1D"/>
    <w:rsid w:val="002121EC"/>
    <w:rsid w:val="00212EB7"/>
    <w:rsid w:val="002130E6"/>
    <w:rsid w:val="00213AEA"/>
    <w:rsid w:val="0021443B"/>
    <w:rsid w:val="002146DD"/>
    <w:rsid w:val="00214914"/>
    <w:rsid w:val="00214E98"/>
    <w:rsid w:val="00215434"/>
    <w:rsid w:val="0021621D"/>
    <w:rsid w:val="002167BB"/>
    <w:rsid w:val="00216E81"/>
    <w:rsid w:val="00217E41"/>
    <w:rsid w:val="002207B5"/>
    <w:rsid w:val="00220E3F"/>
    <w:rsid w:val="00221031"/>
    <w:rsid w:val="002212EB"/>
    <w:rsid w:val="00221AB5"/>
    <w:rsid w:val="00221E22"/>
    <w:rsid w:val="0022229E"/>
    <w:rsid w:val="00223A7F"/>
    <w:rsid w:val="00224972"/>
    <w:rsid w:val="00224F4A"/>
    <w:rsid w:val="0022552E"/>
    <w:rsid w:val="0022561A"/>
    <w:rsid w:val="00226ED4"/>
    <w:rsid w:val="00226FC4"/>
    <w:rsid w:val="0022711E"/>
    <w:rsid w:val="002273B0"/>
    <w:rsid w:val="00227E0C"/>
    <w:rsid w:val="00227E6D"/>
    <w:rsid w:val="002303E7"/>
    <w:rsid w:val="00230DD6"/>
    <w:rsid w:val="00231606"/>
    <w:rsid w:val="0023162A"/>
    <w:rsid w:val="00231C32"/>
    <w:rsid w:val="00232B32"/>
    <w:rsid w:val="00232F24"/>
    <w:rsid w:val="002336E4"/>
    <w:rsid w:val="00233ACC"/>
    <w:rsid w:val="00234228"/>
    <w:rsid w:val="00234393"/>
    <w:rsid w:val="00234460"/>
    <w:rsid w:val="002346A1"/>
    <w:rsid w:val="00234D56"/>
    <w:rsid w:val="00234F06"/>
    <w:rsid w:val="00235DEF"/>
    <w:rsid w:val="0023653E"/>
    <w:rsid w:val="00236664"/>
    <w:rsid w:val="002372E9"/>
    <w:rsid w:val="0023760B"/>
    <w:rsid w:val="002377B6"/>
    <w:rsid w:val="00240005"/>
    <w:rsid w:val="00240EF7"/>
    <w:rsid w:val="002411F1"/>
    <w:rsid w:val="00241CD9"/>
    <w:rsid w:val="0024231A"/>
    <w:rsid w:val="00242741"/>
    <w:rsid w:val="0024285A"/>
    <w:rsid w:val="00242953"/>
    <w:rsid w:val="00242B96"/>
    <w:rsid w:val="00243373"/>
    <w:rsid w:val="002436EB"/>
    <w:rsid w:val="00243739"/>
    <w:rsid w:val="00243AE6"/>
    <w:rsid w:val="00243EBB"/>
    <w:rsid w:val="002443DA"/>
    <w:rsid w:val="00244CA6"/>
    <w:rsid w:val="00244DDE"/>
    <w:rsid w:val="00244E25"/>
    <w:rsid w:val="002450BB"/>
    <w:rsid w:val="0024543A"/>
    <w:rsid w:val="00246282"/>
    <w:rsid w:val="002464BA"/>
    <w:rsid w:val="0024697B"/>
    <w:rsid w:val="002472E3"/>
    <w:rsid w:val="00247707"/>
    <w:rsid w:val="00247B07"/>
    <w:rsid w:val="00247B68"/>
    <w:rsid w:val="00250238"/>
    <w:rsid w:val="002509ED"/>
    <w:rsid w:val="00250E7C"/>
    <w:rsid w:val="00251C31"/>
    <w:rsid w:val="00251F03"/>
    <w:rsid w:val="00253E1A"/>
    <w:rsid w:val="002542A7"/>
    <w:rsid w:val="00254446"/>
    <w:rsid w:val="002548D6"/>
    <w:rsid w:val="00254A48"/>
    <w:rsid w:val="00254C7D"/>
    <w:rsid w:val="002551D6"/>
    <w:rsid w:val="002553C3"/>
    <w:rsid w:val="002553FC"/>
    <w:rsid w:val="00255409"/>
    <w:rsid w:val="00255C39"/>
    <w:rsid w:val="002563D9"/>
    <w:rsid w:val="00256844"/>
    <w:rsid w:val="00256E86"/>
    <w:rsid w:val="00257B87"/>
    <w:rsid w:val="00257C99"/>
    <w:rsid w:val="00260008"/>
    <w:rsid w:val="00260679"/>
    <w:rsid w:val="00260D64"/>
    <w:rsid w:val="00260E9E"/>
    <w:rsid w:val="00260F48"/>
    <w:rsid w:val="00261328"/>
    <w:rsid w:val="002617B9"/>
    <w:rsid w:val="002617DD"/>
    <w:rsid w:val="002621F5"/>
    <w:rsid w:val="002626C4"/>
    <w:rsid w:val="0026323D"/>
    <w:rsid w:val="00263BA7"/>
    <w:rsid w:val="00263EDC"/>
    <w:rsid w:val="002640C6"/>
    <w:rsid w:val="00264116"/>
    <w:rsid w:val="002641A7"/>
    <w:rsid w:val="002643C9"/>
    <w:rsid w:val="0026550D"/>
    <w:rsid w:val="002659E3"/>
    <w:rsid w:val="00266175"/>
    <w:rsid w:val="0026686D"/>
    <w:rsid w:val="00266A8C"/>
    <w:rsid w:val="00266F7B"/>
    <w:rsid w:val="00267BC8"/>
    <w:rsid w:val="00267C51"/>
    <w:rsid w:val="002704D6"/>
    <w:rsid w:val="002712C1"/>
    <w:rsid w:val="00271607"/>
    <w:rsid w:val="00271CCB"/>
    <w:rsid w:val="002725C8"/>
    <w:rsid w:val="0027302F"/>
    <w:rsid w:val="0027305B"/>
    <w:rsid w:val="002731A2"/>
    <w:rsid w:val="0027356B"/>
    <w:rsid w:val="00274464"/>
    <w:rsid w:val="00274C29"/>
    <w:rsid w:val="00275030"/>
    <w:rsid w:val="002755B6"/>
    <w:rsid w:val="00275FF8"/>
    <w:rsid w:val="0027606F"/>
    <w:rsid w:val="00276141"/>
    <w:rsid w:val="00276C03"/>
    <w:rsid w:val="00276C23"/>
    <w:rsid w:val="00276E7F"/>
    <w:rsid w:val="00276FD6"/>
    <w:rsid w:val="00277B80"/>
    <w:rsid w:val="0028073D"/>
    <w:rsid w:val="00280BD9"/>
    <w:rsid w:val="00281A6B"/>
    <w:rsid w:val="00281FB0"/>
    <w:rsid w:val="002829CC"/>
    <w:rsid w:val="002835A0"/>
    <w:rsid w:val="002847B8"/>
    <w:rsid w:val="0028498C"/>
    <w:rsid w:val="0028524E"/>
    <w:rsid w:val="00286332"/>
    <w:rsid w:val="002867F4"/>
    <w:rsid w:val="002870C3"/>
    <w:rsid w:val="002871B0"/>
    <w:rsid w:val="0028726C"/>
    <w:rsid w:val="00287278"/>
    <w:rsid w:val="002877F1"/>
    <w:rsid w:val="002904EE"/>
    <w:rsid w:val="00290E16"/>
    <w:rsid w:val="002910B5"/>
    <w:rsid w:val="002912A3"/>
    <w:rsid w:val="002919D9"/>
    <w:rsid w:val="0029213C"/>
    <w:rsid w:val="002922E7"/>
    <w:rsid w:val="002926C0"/>
    <w:rsid w:val="00292E70"/>
    <w:rsid w:val="002931E1"/>
    <w:rsid w:val="0029390C"/>
    <w:rsid w:val="00293A99"/>
    <w:rsid w:val="00293CEB"/>
    <w:rsid w:val="00295D34"/>
    <w:rsid w:val="00296054"/>
    <w:rsid w:val="0029625A"/>
    <w:rsid w:val="00297918"/>
    <w:rsid w:val="00297C47"/>
    <w:rsid w:val="00297E66"/>
    <w:rsid w:val="002A028D"/>
    <w:rsid w:val="002A02FE"/>
    <w:rsid w:val="002A0859"/>
    <w:rsid w:val="002A0CA4"/>
    <w:rsid w:val="002A1091"/>
    <w:rsid w:val="002A1504"/>
    <w:rsid w:val="002A16B3"/>
    <w:rsid w:val="002A1894"/>
    <w:rsid w:val="002A1B48"/>
    <w:rsid w:val="002A2668"/>
    <w:rsid w:val="002A2E7D"/>
    <w:rsid w:val="002A304D"/>
    <w:rsid w:val="002A3637"/>
    <w:rsid w:val="002A3B39"/>
    <w:rsid w:val="002A3BF6"/>
    <w:rsid w:val="002A4645"/>
    <w:rsid w:val="002A4FEB"/>
    <w:rsid w:val="002A529C"/>
    <w:rsid w:val="002A53B0"/>
    <w:rsid w:val="002A5474"/>
    <w:rsid w:val="002A549E"/>
    <w:rsid w:val="002A58F0"/>
    <w:rsid w:val="002A5D04"/>
    <w:rsid w:val="002A5F9B"/>
    <w:rsid w:val="002A66D9"/>
    <w:rsid w:val="002A671F"/>
    <w:rsid w:val="002A6FA6"/>
    <w:rsid w:val="002A76BE"/>
    <w:rsid w:val="002A7BFF"/>
    <w:rsid w:val="002A7C97"/>
    <w:rsid w:val="002B023F"/>
    <w:rsid w:val="002B047B"/>
    <w:rsid w:val="002B0951"/>
    <w:rsid w:val="002B0DA6"/>
    <w:rsid w:val="002B1E2F"/>
    <w:rsid w:val="002B2042"/>
    <w:rsid w:val="002B29AF"/>
    <w:rsid w:val="002B2F38"/>
    <w:rsid w:val="002B2F5E"/>
    <w:rsid w:val="002B34C6"/>
    <w:rsid w:val="002B447D"/>
    <w:rsid w:val="002B4B82"/>
    <w:rsid w:val="002B4BFE"/>
    <w:rsid w:val="002B50D6"/>
    <w:rsid w:val="002B52F8"/>
    <w:rsid w:val="002B5852"/>
    <w:rsid w:val="002B66D8"/>
    <w:rsid w:val="002B6822"/>
    <w:rsid w:val="002B6F6D"/>
    <w:rsid w:val="002B775E"/>
    <w:rsid w:val="002B7B26"/>
    <w:rsid w:val="002B7CA4"/>
    <w:rsid w:val="002C106E"/>
    <w:rsid w:val="002C2D88"/>
    <w:rsid w:val="002C394F"/>
    <w:rsid w:val="002C3B7D"/>
    <w:rsid w:val="002C4A59"/>
    <w:rsid w:val="002C51C7"/>
    <w:rsid w:val="002C5645"/>
    <w:rsid w:val="002C5E99"/>
    <w:rsid w:val="002C622E"/>
    <w:rsid w:val="002C6D68"/>
    <w:rsid w:val="002C732F"/>
    <w:rsid w:val="002C7F9A"/>
    <w:rsid w:val="002D18A4"/>
    <w:rsid w:val="002D1B10"/>
    <w:rsid w:val="002D278F"/>
    <w:rsid w:val="002D3BD0"/>
    <w:rsid w:val="002D4A6A"/>
    <w:rsid w:val="002D52DE"/>
    <w:rsid w:val="002D53B8"/>
    <w:rsid w:val="002D5C82"/>
    <w:rsid w:val="002D5DCB"/>
    <w:rsid w:val="002D5FF0"/>
    <w:rsid w:val="002D6038"/>
    <w:rsid w:val="002D6088"/>
    <w:rsid w:val="002D60DD"/>
    <w:rsid w:val="002D7031"/>
    <w:rsid w:val="002D7D94"/>
    <w:rsid w:val="002D7F9B"/>
    <w:rsid w:val="002E1BA7"/>
    <w:rsid w:val="002E202C"/>
    <w:rsid w:val="002E221B"/>
    <w:rsid w:val="002E2583"/>
    <w:rsid w:val="002E3E45"/>
    <w:rsid w:val="002E4C3A"/>
    <w:rsid w:val="002E5010"/>
    <w:rsid w:val="002E5190"/>
    <w:rsid w:val="002E5228"/>
    <w:rsid w:val="002E5809"/>
    <w:rsid w:val="002E5C10"/>
    <w:rsid w:val="002E5D39"/>
    <w:rsid w:val="002E6A64"/>
    <w:rsid w:val="002E6BE4"/>
    <w:rsid w:val="002E72E2"/>
    <w:rsid w:val="002E7833"/>
    <w:rsid w:val="002E7D33"/>
    <w:rsid w:val="002F0677"/>
    <w:rsid w:val="002F0827"/>
    <w:rsid w:val="002F177B"/>
    <w:rsid w:val="002F1B86"/>
    <w:rsid w:val="002F1D15"/>
    <w:rsid w:val="002F1D57"/>
    <w:rsid w:val="002F211F"/>
    <w:rsid w:val="002F2C17"/>
    <w:rsid w:val="002F37D6"/>
    <w:rsid w:val="002F3C09"/>
    <w:rsid w:val="002F4A7D"/>
    <w:rsid w:val="002F4FCE"/>
    <w:rsid w:val="002F5904"/>
    <w:rsid w:val="002F5A10"/>
    <w:rsid w:val="002F5BE0"/>
    <w:rsid w:val="002F634F"/>
    <w:rsid w:val="002F6762"/>
    <w:rsid w:val="002F6A4A"/>
    <w:rsid w:val="002F7060"/>
    <w:rsid w:val="002F7A15"/>
    <w:rsid w:val="002F7C41"/>
    <w:rsid w:val="002F7EDB"/>
    <w:rsid w:val="00300164"/>
    <w:rsid w:val="00300712"/>
    <w:rsid w:val="00301878"/>
    <w:rsid w:val="00301F4F"/>
    <w:rsid w:val="00302483"/>
    <w:rsid w:val="00303DAB"/>
    <w:rsid w:val="00303F66"/>
    <w:rsid w:val="00304F41"/>
    <w:rsid w:val="00305D0F"/>
    <w:rsid w:val="003069D2"/>
    <w:rsid w:val="0030775A"/>
    <w:rsid w:val="0030790C"/>
    <w:rsid w:val="00307DD7"/>
    <w:rsid w:val="00307E3D"/>
    <w:rsid w:val="00307F36"/>
    <w:rsid w:val="00310394"/>
    <w:rsid w:val="00310EEE"/>
    <w:rsid w:val="00313221"/>
    <w:rsid w:val="0031446F"/>
    <w:rsid w:val="00314773"/>
    <w:rsid w:val="00314873"/>
    <w:rsid w:val="00314CEB"/>
    <w:rsid w:val="00314DF5"/>
    <w:rsid w:val="00315416"/>
    <w:rsid w:val="00315776"/>
    <w:rsid w:val="00316363"/>
    <w:rsid w:val="00316E53"/>
    <w:rsid w:val="00317F5E"/>
    <w:rsid w:val="00320B41"/>
    <w:rsid w:val="003219E3"/>
    <w:rsid w:val="00321D80"/>
    <w:rsid w:val="00322311"/>
    <w:rsid w:val="00322636"/>
    <w:rsid w:val="003229F1"/>
    <w:rsid w:val="00323723"/>
    <w:rsid w:val="00323A69"/>
    <w:rsid w:val="00323A6C"/>
    <w:rsid w:val="00323EC8"/>
    <w:rsid w:val="00324071"/>
    <w:rsid w:val="003240DD"/>
    <w:rsid w:val="0032439C"/>
    <w:rsid w:val="00324DDB"/>
    <w:rsid w:val="003255D6"/>
    <w:rsid w:val="0032652A"/>
    <w:rsid w:val="00326A30"/>
    <w:rsid w:val="003271A0"/>
    <w:rsid w:val="003271FF"/>
    <w:rsid w:val="00327AF9"/>
    <w:rsid w:val="00327C38"/>
    <w:rsid w:val="00327D9A"/>
    <w:rsid w:val="0033027B"/>
    <w:rsid w:val="00330344"/>
    <w:rsid w:val="003309EA"/>
    <w:rsid w:val="00330D8F"/>
    <w:rsid w:val="00330E00"/>
    <w:rsid w:val="003316F1"/>
    <w:rsid w:val="00331B9D"/>
    <w:rsid w:val="00331F74"/>
    <w:rsid w:val="00331FE8"/>
    <w:rsid w:val="0033216F"/>
    <w:rsid w:val="00332361"/>
    <w:rsid w:val="003325F8"/>
    <w:rsid w:val="00332717"/>
    <w:rsid w:val="00333B67"/>
    <w:rsid w:val="00335232"/>
    <w:rsid w:val="00336260"/>
    <w:rsid w:val="00336951"/>
    <w:rsid w:val="00336AE9"/>
    <w:rsid w:val="00340210"/>
    <w:rsid w:val="00340C11"/>
    <w:rsid w:val="00340F7C"/>
    <w:rsid w:val="003413EE"/>
    <w:rsid w:val="00341471"/>
    <w:rsid w:val="00341CCF"/>
    <w:rsid w:val="0034265C"/>
    <w:rsid w:val="00342B3D"/>
    <w:rsid w:val="00342B6B"/>
    <w:rsid w:val="0034396E"/>
    <w:rsid w:val="00343E44"/>
    <w:rsid w:val="00343F66"/>
    <w:rsid w:val="0034412D"/>
    <w:rsid w:val="003445DE"/>
    <w:rsid w:val="00344701"/>
    <w:rsid w:val="00344D94"/>
    <w:rsid w:val="00344F5A"/>
    <w:rsid w:val="003460B4"/>
    <w:rsid w:val="003462AC"/>
    <w:rsid w:val="003462EE"/>
    <w:rsid w:val="00346708"/>
    <w:rsid w:val="0034773B"/>
    <w:rsid w:val="00347BFB"/>
    <w:rsid w:val="00347DB2"/>
    <w:rsid w:val="00351316"/>
    <w:rsid w:val="0035148F"/>
    <w:rsid w:val="00351B16"/>
    <w:rsid w:val="00352859"/>
    <w:rsid w:val="00352AEE"/>
    <w:rsid w:val="00353074"/>
    <w:rsid w:val="003531FE"/>
    <w:rsid w:val="003544C8"/>
    <w:rsid w:val="00354EC8"/>
    <w:rsid w:val="003552BE"/>
    <w:rsid w:val="0035543D"/>
    <w:rsid w:val="0035576A"/>
    <w:rsid w:val="00355D52"/>
    <w:rsid w:val="003562ED"/>
    <w:rsid w:val="00357473"/>
    <w:rsid w:val="003575B7"/>
    <w:rsid w:val="003610E0"/>
    <w:rsid w:val="0036156D"/>
    <w:rsid w:val="003619AB"/>
    <w:rsid w:val="00361D72"/>
    <w:rsid w:val="00362000"/>
    <w:rsid w:val="003625A5"/>
    <w:rsid w:val="00363293"/>
    <w:rsid w:val="00363D1D"/>
    <w:rsid w:val="003640C2"/>
    <w:rsid w:val="00364540"/>
    <w:rsid w:val="00364BD8"/>
    <w:rsid w:val="00364C1D"/>
    <w:rsid w:val="00364E72"/>
    <w:rsid w:val="00364E7B"/>
    <w:rsid w:val="003651DE"/>
    <w:rsid w:val="003656EE"/>
    <w:rsid w:val="00365CB1"/>
    <w:rsid w:val="00365CC9"/>
    <w:rsid w:val="00366305"/>
    <w:rsid w:val="00366C71"/>
    <w:rsid w:val="00366DDB"/>
    <w:rsid w:val="00366EAD"/>
    <w:rsid w:val="003672D0"/>
    <w:rsid w:val="00367776"/>
    <w:rsid w:val="00367CA3"/>
    <w:rsid w:val="003707FD"/>
    <w:rsid w:val="00370AD5"/>
    <w:rsid w:val="00371046"/>
    <w:rsid w:val="003713CE"/>
    <w:rsid w:val="003718CB"/>
    <w:rsid w:val="00371AC0"/>
    <w:rsid w:val="00371B3F"/>
    <w:rsid w:val="00372C06"/>
    <w:rsid w:val="003732B9"/>
    <w:rsid w:val="00374277"/>
    <w:rsid w:val="003747DF"/>
    <w:rsid w:val="00375080"/>
    <w:rsid w:val="00375187"/>
    <w:rsid w:val="00375419"/>
    <w:rsid w:val="00375923"/>
    <w:rsid w:val="003759EB"/>
    <w:rsid w:val="00375B3E"/>
    <w:rsid w:val="00375EBD"/>
    <w:rsid w:val="00376EAB"/>
    <w:rsid w:val="00377959"/>
    <w:rsid w:val="00377A02"/>
    <w:rsid w:val="00377BD9"/>
    <w:rsid w:val="003807D1"/>
    <w:rsid w:val="003809CB"/>
    <w:rsid w:val="003811E5"/>
    <w:rsid w:val="00381444"/>
    <w:rsid w:val="00381E1C"/>
    <w:rsid w:val="003828EC"/>
    <w:rsid w:val="00383AA3"/>
    <w:rsid w:val="0038502F"/>
    <w:rsid w:val="003850A1"/>
    <w:rsid w:val="003850DD"/>
    <w:rsid w:val="00385348"/>
    <w:rsid w:val="00385533"/>
    <w:rsid w:val="00385F0C"/>
    <w:rsid w:val="003864C4"/>
    <w:rsid w:val="003867AA"/>
    <w:rsid w:val="00386AF5"/>
    <w:rsid w:val="00386C14"/>
    <w:rsid w:val="003872BD"/>
    <w:rsid w:val="003874BC"/>
    <w:rsid w:val="00387709"/>
    <w:rsid w:val="00387C3D"/>
    <w:rsid w:val="00387F60"/>
    <w:rsid w:val="00390101"/>
    <w:rsid w:val="00390A39"/>
    <w:rsid w:val="00390BAD"/>
    <w:rsid w:val="00390D37"/>
    <w:rsid w:val="00390DC3"/>
    <w:rsid w:val="003913E6"/>
    <w:rsid w:val="0039183F"/>
    <w:rsid w:val="00391BD2"/>
    <w:rsid w:val="00391F80"/>
    <w:rsid w:val="00392357"/>
    <w:rsid w:val="003927FE"/>
    <w:rsid w:val="003929D4"/>
    <w:rsid w:val="00392C6F"/>
    <w:rsid w:val="0039308B"/>
    <w:rsid w:val="00393589"/>
    <w:rsid w:val="00393C73"/>
    <w:rsid w:val="00393F4A"/>
    <w:rsid w:val="00394383"/>
    <w:rsid w:val="00396402"/>
    <w:rsid w:val="00396459"/>
    <w:rsid w:val="00396AD8"/>
    <w:rsid w:val="0039707F"/>
    <w:rsid w:val="003976D6"/>
    <w:rsid w:val="00397C25"/>
    <w:rsid w:val="003A007B"/>
    <w:rsid w:val="003A0246"/>
    <w:rsid w:val="003A0DC6"/>
    <w:rsid w:val="003A108A"/>
    <w:rsid w:val="003A138F"/>
    <w:rsid w:val="003A244D"/>
    <w:rsid w:val="003A259D"/>
    <w:rsid w:val="003A2F6F"/>
    <w:rsid w:val="003A34BC"/>
    <w:rsid w:val="003A3C32"/>
    <w:rsid w:val="003A3FB0"/>
    <w:rsid w:val="003A4171"/>
    <w:rsid w:val="003A4DEC"/>
    <w:rsid w:val="003A52E2"/>
    <w:rsid w:val="003A56D8"/>
    <w:rsid w:val="003A67CC"/>
    <w:rsid w:val="003A7270"/>
    <w:rsid w:val="003A78B0"/>
    <w:rsid w:val="003A7A2A"/>
    <w:rsid w:val="003A7CEC"/>
    <w:rsid w:val="003B1434"/>
    <w:rsid w:val="003B1B41"/>
    <w:rsid w:val="003B2050"/>
    <w:rsid w:val="003B305A"/>
    <w:rsid w:val="003B3450"/>
    <w:rsid w:val="003B38F0"/>
    <w:rsid w:val="003B3A7E"/>
    <w:rsid w:val="003B3BC5"/>
    <w:rsid w:val="003B40CD"/>
    <w:rsid w:val="003B421C"/>
    <w:rsid w:val="003B50E4"/>
    <w:rsid w:val="003B5300"/>
    <w:rsid w:val="003B5492"/>
    <w:rsid w:val="003B54EE"/>
    <w:rsid w:val="003B5ABE"/>
    <w:rsid w:val="003B5E2F"/>
    <w:rsid w:val="003B6789"/>
    <w:rsid w:val="003B69A1"/>
    <w:rsid w:val="003B73B1"/>
    <w:rsid w:val="003C0053"/>
    <w:rsid w:val="003C052E"/>
    <w:rsid w:val="003C0910"/>
    <w:rsid w:val="003C0A7C"/>
    <w:rsid w:val="003C0C4C"/>
    <w:rsid w:val="003C144F"/>
    <w:rsid w:val="003C1854"/>
    <w:rsid w:val="003C1CD5"/>
    <w:rsid w:val="003C38A0"/>
    <w:rsid w:val="003C3F40"/>
    <w:rsid w:val="003C4788"/>
    <w:rsid w:val="003C4DEB"/>
    <w:rsid w:val="003C5431"/>
    <w:rsid w:val="003C5606"/>
    <w:rsid w:val="003C5DE0"/>
    <w:rsid w:val="003C5E92"/>
    <w:rsid w:val="003C68D8"/>
    <w:rsid w:val="003C69A1"/>
    <w:rsid w:val="003C6BAF"/>
    <w:rsid w:val="003C6FD7"/>
    <w:rsid w:val="003C75F4"/>
    <w:rsid w:val="003C7A1C"/>
    <w:rsid w:val="003C7DDF"/>
    <w:rsid w:val="003D00A9"/>
    <w:rsid w:val="003D03FC"/>
    <w:rsid w:val="003D0635"/>
    <w:rsid w:val="003D079C"/>
    <w:rsid w:val="003D12B7"/>
    <w:rsid w:val="003D13FE"/>
    <w:rsid w:val="003D19A1"/>
    <w:rsid w:val="003D1A11"/>
    <w:rsid w:val="003D1E32"/>
    <w:rsid w:val="003D2537"/>
    <w:rsid w:val="003D25A7"/>
    <w:rsid w:val="003D2827"/>
    <w:rsid w:val="003D2D0C"/>
    <w:rsid w:val="003D39EB"/>
    <w:rsid w:val="003D3C60"/>
    <w:rsid w:val="003D4830"/>
    <w:rsid w:val="003D492F"/>
    <w:rsid w:val="003D5DDC"/>
    <w:rsid w:val="003D60B8"/>
    <w:rsid w:val="003D6895"/>
    <w:rsid w:val="003D69F4"/>
    <w:rsid w:val="003D714F"/>
    <w:rsid w:val="003D7E37"/>
    <w:rsid w:val="003E1FF7"/>
    <w:rsid w:val="003E3277"/>
    <w:rsid w:val="003E32D4"/>
    <w:rsid w:val="003E3959"/>
    <w:rsid w:val="003E439E"/>
    <w:rsid w:val="003E4635"/>
    <w:rsid w:val="003E4BBA"/>
    <w:rsid w:val="003E51AB"/>
    <w:rsid w:val="003E51C5"/>
    <w:rsid w:val="003E52C5"/>
    <w:rsid w:val="003E568A"/>
    <w:rsid w:val="003E57EE"/>
    <w:rsid w:val="003E5B46"/>
    <w:rsid w:val="003E68A6"/>
    <w:rsid w:val="003E6F13"/>
    <w:rsid w:val="003E7741"/>
    <w:rsid w:val="003E7B6B"/>
    <w:rsid w:val="003F0CD7"/>
    <w:rsid w:val="003F1696"/>
    <w:rsid w:val="003F1D03"/>
    <w:rsid w:val="003F21F0"/>
    <w:rsid w:val="003F2600"/>
    <w:rsid w:val="003F2A8F"/>
    <w:rsid w:val="003F2EF0"/>
    <w:rsid w:val="003F39BD"/>
    <w:rsid w:val="003F3F1E"/>
    <w:rsid w:val="003F4655"/>
    <w:rsid w:val="003F4FC8"/>
    <w:rsid w:val="003F5389"/>
    <w:rsid w:val="003F731F"/>
    <w:rsid w:val="003F794D"/>
    <w:rsid w:val="003F79BE"/>
    <w:rsid w:val="003F7A73"/>
    <w:rsid w:val="00400EBC"/>
    <w:rsid w:val="004016BE"/>
    <w:rsid w:val="00402EE1"/>
    <w:rsid w:val="004031A8"/>
    <w:rsid w:val="004031AA"/>
    <w:rsid w:val="004031EA"/>
    <w:rsid w:val="004041CD"/>
    <w:rsid w:val="004042B6"/>
    <w:rsid w:val="0040433E"/>
    <w:rsid w:val="004044DD"/>
    <w:rsid w:val="004047C5"/>
    <w:rsid w:val="00404D5B"/>
    <w:rsid w:val="004051D8"/>
    <w:rsid w:val="004057FD"/>
    <w:rsid w:val="004072E7"/>
    <w:rsid w:val="00407834"/>
    <w:rsid w:val="00407A72"/>
    <w:rsid w:val="004114AF"/>
    <w:rsid w:val="00411FE4"/>
    <w:rsid w:val="00412630"/>
    <w:rsid w:val="00412A2E"/>
    <w:rsid w:val="00412AF2"/>
    <w:rsid w:val="00412EA0"/>
    <w:rsid w:val="00412F7F"/>
    <w:rsid w:val="0041339A"/>
    <w:rsid w:val="004135BE"/>
    <w:rsid w:val="00413C03"/>
    <w:rsid w:val="00414D41"/>
    <w:rsid w:val="00414E54"/>
    <w:rsid w:val="004167C7"/>
    <w:rsid w:val="0041772B"/>
    <w:rsid w:val="0042166D"/>
    <w:rsid w:val="00421AFF"/>
    <w:rsid w:val="00421B61"/>
    <w:rsid w:val="00421C5D"/>
    <w:rsid w:val="004221F2"/>
    <w:rsid w:val="00422EF7"/>
    <w:rsid w:val="00424396"/>
    <w:rsid w:val="00424C42"/>
    <w:rsid w:val="00424D4A"/>
    <w:rsid w:val="00426211"/>
    <w:rsid w:val="00426D82"/>
    <w:rsid w:val="00427DEA"/>
    <w:rsid w:val="004307BD"/>
    <w:rsid w:val="00430A55"/>
    <w:rsid w:val="00430B3F"/>
    <w:rsid w:val="004314FA"/>
    <w:rsid w:val="004316BD"/>
    <w:rsid w:val="00432062"/>
    <w:rsid w:val="00432D61"/>
    <w:rsid w:val="004331DE"/>
    <w:rsid w:val="0043331D"/>
    <w:rsid w:val="00433B9B"/>
    <w:rsid w:val="00433D19"/>
    <w:rsid w:val="004343C7"/>
    <w:rsid w:val="00435148"/>
    <w:rsid w:val="0043585B"/>
    <w:rsid w:val="00435AFE"/>
    <w:rsid w:val="00435DC9"/>
    <w:rsid w:val="00436D6E"/>
    <w:rsid w:val="00437287"/>
    <w:rsid w:val="004377D2"/>
    <w:rsid w:val="00437917"/>
    <w:rsid w:val="00437B7F"/>
    <w:rsid w:val="004405CC"/>
    <w:rsid w:val="00440B6C"/>
    <w:rsid w:val="00440FF5"/>
    <w:rsid w:val="00443033"/>
    <w:rsid w:val="004430D8"/>
    <w:rsid w:val="00443D48"/>
    <w:rsid w:val="00444043"/>
    <w:rsid w:val="00444347"/>
    <w:rsid w:val="00444476"/>
    <w:rsid w:val="00444789"/>
    <w:rsid w:val="00445B12"/>
    <w:rsid w:val="0044664E"/>
    <w:rsid w:val="004467C6"/>
    <w:rsid w:val="00446864"/>
    <w:rsid w:val="004469A8"/>
    <w:rsid w:val="00447226"/>
    <w:rsid w:val="00447A8B"/>
    <w:rsid w:val="0045038C"/>
    <w:rsid w:val="00450606"/>
    <w:rsid w:val="00450770"/>
    <w:rsid w:val="00450AD5"/>
    <w:rsid w:val="00450CCD"/>
    <w:rsid w:val="00451D7E"/>
    <w:rsid w:val="0045202D"/>
    <w:rsid w:val="00452E81"/>
    <w:rsid w:val="00453CB0"/>
    <w:rsid w:val="0045423B"/>
    <w:rsid w:val="00454322"/>
    <w:rsid w:val="00455436"/>
    <w:rsid w:val="004557FB"/>
    <w:rsid w:val="00456988"/>
    <w:rsid w:val="004572EE"/>
    <w:rsid w:val="00457382"/>
    <w:rsid w:val="00457E5A"/>
    <w:rsid w:val="00462109"/>
    <w:rsid w:val="00462300"/>
    <w:rsid w:val="004632E8"/>
    <w:rsid w:val="00463343"/>
    <w:rsid w:val="00463860"/>
    <w:rsid w:val="00463FAD"/>
    <w:rsid w:val="00464163"/>
    <w:rsid w:val="00464D1C"/>
    <w:rsid w:val="004650A5"/>
    <w:rsid w:val="004652FB"/>
    <w:rsid w:val="00465680"/>
    <w:rsid w:val="004657F6"/>
    <w:rsid w:val="0046609B"/>
    <w:rsid w:val="0046660D"/>
    <w:rsid w:val="0046683C"/>
    <w:rsid w:val="00466ABE"/>
    <w:rsid w:val="00466EE2"/>
    <w:rsid w:val="0046728A"/>
    <w:rsid w:val="0046782A"/>
    <w:rsid w:val="00470934"/>
    <w:rsid w:val="00470FCC"/>
    <w:rsid w:val="00471017"/>
    <w:rsid w:val="0047144B"/>
    <w:rsid w:val="004717B5"/>
    <w:rsid w:val="004717CC"/>
    <w:rsid w:val="00471DE9"/>
    <w:rsid w:val="004732B9"/>
    <w:rsid w:val="00473488"/>
    <w:rsid w:val="00474253"/>
    <w:rsid w:val="0047434B"/>
    <w:rsid w:val="00474701"/>
    <w:rsid w:val="00474FE4"/>
    <w:rsid w:val="0047521A"/>
    <w:rsid w:val="00475E24"/>
    <w:rsid w:val="004765C7"/>
    <w:rsid w:val="00476EE6"/>
    <w:rsid w:val="004771AD"/>
    <w:rsid w:val="00477D04"/>
    <w:rsid w:val="00477FC8"/>
    <w:rsid w:val="004808AD"/>
    <w:rsid w:val="00480CB9"/>
    <w:rsid w:val="00480D72"/>
    <w:rsid w:val="00481981"/>
    <w:rsid w:val="00481DBD"/>
    <w:rsid w:val="00481F73"/>
    <w:rsid w:val="00482598"/>
    <w:rsid w:val="004827C9"/>
    <w:rsid w:val="00482A76"/>
    <w:rsid w:val="00482FA3"/>
    <w:rsid w:val="00483585"/>
    <w:rsid w:val="00483732"/>
    <w:rsid w:val="0048576E"/>
    <w:rsid w:val="00485FE6"/>
    <w:rsid w:val="00486123"/>
    <w:rsid w:val="0048651C"/>
    <w:rsid w:val="00486B64"/>
    <w:rsid w:val="00487342"/>
    <w:rsid w:val="00487EBE"/>
    <w:rsid w:val="0049054D"/>
    <w:rsid w:val="00490707"/>
    <w:rsid w:val="00490761"/>
    <w:rsid w:val="00490E1F"/>
    <w:rsid w:val="004915AC"/>
    <w:rsid w:val="004917E3"/>
    <w:rsid w:val="004917E5"/>
    <w:rsid w:val="00491DC7"/>
    <w:rsid w:val="00492788"/>
    <w:rsid w:val="00492865"/>
    <w:rsid w:val="00492DCC"/>
    <w:rsid w:val="00493179"/>
    <w:rsid w:val="00493874"/>
    <w:rsid w:val="00493B9D"/>
    <w:rsid w:val="00494815"/>
    <w:rsid w:val="00494A53"/>
    <w:rsid w:val="00494C9D"/>
    <w:rsid w:val="004952BA"/>
    <w:rsid w:val="00495452"/>
    <w:rsid w:val="004958CF"/>
    <w:rsid w:val="00495D94"/>
    <w:rsid w:val="004962C3"/>
    <w:rsid w:val="00496511"/>
    <w:rsid w:val="004977CF"/>
    <w:rsid w:val="00497CE7"/>
    <w:rsid w:val="004A1341"/>
    <w:rsid w:val="004A2A13"/>
    <w:rsid w:val="004A3B61"/>
    <w:rsid w:val="004A3D25"/>
    <w:rsid w:val="004A46E6"/>
    <w:rsid w:val="004A47AF"/>
    <w:rsid w:val="004A4C46"/>
    <w:rsid w:val="004A60F6"/>
    <w:rsid w:val="004A673A"/>
    <w:rsid w:val="004A68ED"/>
    <w:rsid w:val="004A6F02"/>
    <w:rsid w:val="004A7176"/>
    <w:rsid w:val="004A725D"/>
    <w:rsid w:val="004A7861"/>
    <w:rsid w:val="004B03BA"/>
    <w:rsid w:val="004B0DFC"/>
    <w:rsid w:val="004B0F63"/>
    <w:rsid w:val="004B1D4E"/>
    <w:rsid w:val="004B350C"/>
    <w:rsid w:val="004B3532"/>
    <w:rsid w:val="004B3A9E"/>
    <w:rsid w:val="004B3D19"/>
    <w:rsid w:val="004B3EC6"/>
    <w:rsid w:val="004B4088"/>
    <w:rsid w:val="004B4499"/>
    <w:rsid w:val="004B4E5B"/>
    <w:rsid w:val="004B55F4"/>
    <w:rsid w:val="004B671D"/>
    <w:rsid w:val="004B6813"/>
    <w:rsid w:val="004B69B1"/>
    <w:rsid w:val="004B6B6F"/>
    <w:rsid w:val="004B6E86"/>
    <w:rsid w:val="004B6EE4"/>
    <w:rsid w:val="004B6FB7"/>
    <w:rsid w:val="004B7FF4"/>
    <w:rsid w:val="004C0029"/>
    <w:rsid w:val="004C01A2"/>
    <w:rsid w:val="004C03E3"/>
    <w:rsid w:val="004C05BA"/>
    <w:rsid w:val="004C088D"/>
    <w:rsid w:val="004C0B44"/>
    <w:rsid w:val="004C0F39"/>
    <w:rsid w:val="004C1C5E"/>
    <w:rsid w:val="004C20CB"/>
    <w:rsid w:val="004C26D5"/>
    <w:rsid w:val="004C26DD"/>
    <w:rsid w:val="004C277F"/>
    <w:rsid w:val="004C2BFF"/>
    <w:rsid w:val="004C2EE2"/>
    <w:rsid w:val="004C498A"/>
    <w:rsid w:val="004C4AF6"/>
    <w:rsid w:val="004C4E25"/>
    <w:rsid w:val="004C5190"/>
    <w:rsid w:val="004C51F1"/>
    <w:rsid w:val="004C55A6"/>
    <w:rsid w:val="004C5812"/>
    <w:rsid w:val="004C6653"/>
    <w:rsid w:val="004C6841"/>
    <w:rsid w:val="004C6B32"/>
    <w:rsid w:val="004D081E"/>
    <w:rsid w:val="004D1079"/>
    <w:rsid w:val="004D1346"/>
    <w:rsid w:val="004D1568"/>
    <w:rsid w:val="004D1E7D"/>
    <w:rsid w:val="004D20D6"/>
    <w:rsid w:val="004D2176"/>
    <w:rsid w:val="004D2188"/>
    <w:rsid w:val="004D23AE"/>
    <w:rsid w:val="004D23D0"/>
    <w:rsid w:val="004D2925"/>
    <w:rsid w:val="004D3280"/>
    <w:rsid w:val="004D336E"/>
    <w:rsid w:val="004D3A65"/>
    <w:rsid w:val="004D419F"/>
    <w:rsid w:val="004D4290"/>
    <w:rsid w:val="004D463D"/>
    <w:rsid w:val="004D4A89"/>
    <w:rsid w:val="004D4ABB"/>
    <w:rsid w:val="004D593C"/>
    <w:rsid w:val="004D6275"/>
    <w:rsid w:val="004D7FBE"/>
    <w:rsid w:val="004E000A"/>
    <w:rsid w:val="004E028E"/>
    <w:rsid w:val="004E05C2"/>
    <w:rsid w:val="004E12A1"/>
    <w:rsid w:val="004E12EA"/>
    <w:rsid w:val="004E1517"/>
    <w:rsid w:val="004E1983"/>
    <w:rsid w:val="004E2448"/>
    <w:rsid w:val="004E2795"/>
    <w:rsid w:val="004E27A2"/>
    <w:rsid w:val="004E2841"/>
    <w:rsid w:val="004E292F"/>
    <w:rsid w:val="004E2AF1"/>
    <w:rsid w:val="004E3148"/>
    <w:rsid w:val="004E31E0"/>
    <w:rsid w:val="004E334F"/>
    <w:rsid w:val="004E341D"/>
    <w:rsid w:val="004E37E6"/>
    <w:rsid w:val="004E4DBE"/>
    <w:rsid w:val="004E51D9"/>
    <w:rsid w:val="004E5918"/>
    <w:rsid w:val="004E5A4A"/>
    <w:rsid w:val="004E5B64"/>
    <w:rsid w:val="004E5F8E"/>
    <w:rsid w:val="004E5FA2"/>
    <w:rsid w:val="004E600A"/>
    <w:rsid w:val="004E7684"/>
    <w:rsid w:val="004E78F8"/>
    <w:rsid w:val="004E7E89"/>
    <w:rsid w:val="004F02CC"/>
    <w:rsid w:val="004F0560"/>
    <w:rsid w:val="004F0B24"/>
    <w:rsid w:val="004F1322"/>
    <w:rsid w:val="004F1563"/>
    <w:rsid w:val="004F1891"/>
    <w:rsid w:val="004F1990"/>
    <w:rsid w:val="004F1A09"/>
    <w:rsid w:val="004F1A92"/>
    <w:rsid w:val="004F1AD2"/>
    <w:rsid w:val="004F248A"/>
    <w:rsid w:val="004F26FF"/>
    <w:rsid w:val="004F27E5"/>
    <w:rsid w:val="004F30C7"/>
    <w:rsid w:val="004F3C18"/>
    <w:rsid w:val="004F3E43"/>
    <w:rsid w:val="004F4266"/>
    <w:rsid w:val="004F47C1"/>
    <w:rsid w:val="004F48D4"/>
    <w:rsid w:val="004F49B6"/>
    <w:rsid w:val="004F4CB8"/>
    <w:rsid w:val="004F4F3F"/>
    <w:rsid w:val="004F5254"/>
    <w:rsid w:val="004F61E5"/>
    <w:rsid w:val="004F6FB5"/>
    <w:rsid w:val="004F706B"/>
    <w:rsid w:val="004F72F8"/>
    <w:rsid w:val="004F7396"/>
    <w:rsid w:val="004F75BE"/>
    <w:rsid w:val="004F7A80"/>
    <w:rsid w:val="00500A57"/>
    <w:rsid w:val="00500AD2"/>
    <w:rsid w:val="00501081"/>
    <w:rsid w:val="00502345"/>
    <w:rsid w:val="005025EA"/>
    <w:rsid w:val="005026FD"/>
    <w:rsid w:val="00503467"/>
    <w:rsid w:val="00503835"/>
    <w:rsid w:val="00504DE6"/>
    <w:rsid w:val="00505845"/>
    <w:rsid w:val="00505AFC"/>
    <w:rsid w:val="00505E6C"/>
    <w:rsid w:val="005060B3"/>
    <w:rsid w:val="00506104"/>
    <w:rsid w:val="00506898"/>
    <w:rsid w:val="00507E26"/>
    <w:rsid w:val="0051175C"/>
    <w:rsid w:val="00511984"/>
    <w:rsid w:val="00512116"/>
    <w:rsid w:val="005122EE"/>
    <w:rsid w:val="00512429"/>
    <w:rsid w:val="0051299C"/>
    <w:rsid w:val="005129D0"/>
    <w:rsid w:val="005134DB"/>
    <w:rsid w:val="00513791"/>
    <w:rsid w:val="00513CA8"/>
    <w:rsid w:val="00514372"/>
    <w:rsid w:val="005148D8"/>
    <w:rsid w:val="00515414"/>
    <w:rsid w:val="00515E6A"/>
    <w:rsid w:val="005163C4"/>
    <w:rsid w:val="005165CA"/>
    <w:rsid w:val="0051663F"/>
    <w:rsid w:val="00516CE8"/>
    <w:rsid w:val="00516E53"/>
    <w:rsid w:val="00520255"/>
    <w:rsid w:val="00520A75"/>
    <w:rsid w:val="005212C4"/>
    <w:rsid w:val="00521888"/>
    <w:rsid w:val="00521BD4"/>
    <w:rsid w:val="0052210F"/>
    <w:rsid w:val="005221BA"/>
    <w:rsid w:val="0052278B"/>
    <w:rsid w:val="00522AC4"/>
    <w:rsid w:val="00523A04"/>
    <w:rsid w:val="0052420C"/>
    <w:rsid w:val="0052497A"/>
    <w:rsid w:val="005257C7"/>
    <w:rsid w:val="00525A5A"/>
    <w:rsid w:val="00525B67"/>
    <w:rsid w:val="0052608D"/>
    <w:rsid w:val="00526311"/>
    <w:rsid w:val="005264C9"/>
    <w:rsid w:val="00526AF6"/>
    <w:rsid w:val="00526CFE"/>
    <w:rsid w:val="00526F87"/>
    <w:rsid w:val="005273DC"/>
    <w:rsid w:val="0053023B"/>
    <w:rsid w:val="00530302"/>
    <w:rsid w:val="00531318"/>
    <w:rsid w:val="00531F93"/>
    <w:rsid w:val="00532627"/>
    <w:rsid w:val="00532852"/>
    <w:rsid w:val="00532B1E"/>
    <w:rsid w:val="00532E52"/>
    <w:rsid w:val="00533E6B"/>
    <w:rsid w:val="00536470"/>
    <w:rsid w:val="00536A38"/>
    <w:rsid w:val="00536E67"/>
    <w:rsid w:val="00536F82"/>
    <w:rsid w:val="00537400"/>
    <w:rsid w:val="005379F6"/>
    <w:rsid w:val="00537BEC"/>
    <w:rsid w:val="00537F4B"/>
    <w:rsid w:val="00540177"/>
    <w:rsid w:val="005401C3"/>
    <w:rsid w:val="005406A2"/>
    <w:rsid w:val="00540F61"/>
    <w:rsid w:val="0054137B"/>
    <w:rsid w:val="00541B4E"/>
    <w:rsid w:val="00541F5E"/>
    <w:rsid w:val="005422AF"/>
    <w:rsid w:val="00542F61"/>
    <w:rsid w:val="00543409"/>
    <w:rsid w:val="00543F26"/>
    <w:rsid w:val="00545766"/>
    <w:rsid w:val="00545768"/>
    <w:rsid w:val="005462B5"/>
    <w:rsid w:val="00546D0C"/>
    <w:rsid w:val="00547FED"/>
    <w:rsid w:val="005501CD"/>
    <w:rsid w:val="00550FD0"/>
    <w:rsid w:val="0055113E"/>
    <w:rsid w:val="005515CF"/>
    <w:rsid w:val="0055182B"/>
    <w:rsid w:val="00551C4C"/>
    <w:rsid w:val="00551E11"/>
    <w:rsid w:val="00552189"/>
    <w:rsid w:val="00552901"/>
    <w:rsid w:val="00553DCF"/>
    <w:rsid w:val="00553F28"/>
    <w:rsid w:val="0055416A"/>
    <w:rsid w:val="00554509"/>
    <w:rsid w:val="005550E8"/>
    <w:rsid w:val="00555CE5"/>
    <w:rsid w:val="00556C8B"/>
    <w:rsid w:val="00556FCC"/>
    <w:rsid w:val="005573E5"/>
    <w:rsid w:val="0056031A"/>
    <w:rsid w:val="00560CB0"/>
    <w:rsid w:val="00560F84"/>
    <w:rsid w:val="005611C6"/>
    <w:rsid w:val="00561A01"/>
    <w:rsid w:val="00561D4E"/>
    <w:rsid w:val="00561DBF"/>
    <w:rsid w:val="00562AC4"/>
    <w:rsid w:val="00563434"/>
    <w:rsid w:val="00565635"/>
    <w:rsid w:val="00565F73"/>
    <w:rsid w:val="005663B9"/>
    <w:rsid w:val="005670A2"/>
    <w:rsid w:val="00567711"/>
    <w:rsid w:val="00567F19"/>
    <w:rsid w:val="0057044E"/>
    <w:rsid w:val="00570C49"/>
    <w:rsid w:val="005710A1"/>
    <w:rsid w:val="0057112E"/>
    <w:rsid w:val="00572ACC"/>
    <w:rsid w:val="005733D5"/>
    <w:rsid w:val="005736DE"/>
    <w:rsid w:val="00573971"/>
    <w:rsid w:val="00573F89"/>
    <w:rsid w:val="00574232"/>
    <w:rsid w:val="0057459D"/>
    <w:rsid w:val="00574B9A"/>
    <w:rsid w:val="00575BF7"/>
    <w:rsid w:val="00580D46"/>
    <w:rsid w:val="00581A1B"/>
    <w:rsid w:val="00581DC5"/>
    <w:rsid w:val="0058212B"/>
    <w:rsid w:val="0058266D"/>
    <w:rsid w:val="00582692"/>
    <w:rsid w:val="00582827"/>
    <w:rsid w:val="00582EB3"/>
    <w:rsid w:val="00583F32"/>
    <w:rsid w:val="005846EC"/>
    <w:rsid w:val="00584A23"/>
    <w:rsid w:val="0058561C"/>
    <w:rsid w:val="005857D3"/>
    <w:rsid w:val="005857D9"/>
    <w:rsid w:val="00585E1C"/>
    <w:rsid w:val="00585E6E"/>
    <w:rsid w:val="00587DDA"/>
    <w:rsid w:val="005901E2"/>
    <w:rsid w:val="00590CE1"/>
    <w:rsid w:val="00590E86"/>
    <w:rsid w:val="005911F8"/>
    <w:rsid w:val="00591DB1"/>
    <w:rsid w:val="005923F8"/>
    <w:rsid w:val="00593C51"/>
    <w:rsid w:val="00594171"/>
    <w:rsid w:val="0059455C"/>
    <w:rsid w:val="00594E26"/>
    <w:rsid w:val="0059544A"/>
    <w:rsid w:val="00595BAF"/>
    <w:rsid w:val="00595C3C"/>
    <w:rsid w:val="00595D4D"/>
    <w:rsid w:val="00596A24"/>
    <w:rsid w:val="00596BBA"/>
    <w:rsid w:val="00597506"/>
    <w:rsid w:val="005A1978"/>
    <w:rsid w:val="005A1BB1"/>
    <w:rsid w:val="005A210B"/>
    <w:rsid w:val="005A245C"/>
    <w:rsid w:val="005A2950"/>
    <w:rsid w:val="005A3B3C"/>
    <w:rsid w:val="005A4368"/>
    <w:rsid w:val="005A4841"/>
    <w:rsid w:val="005A5464"/>
    <w:rsid w:val="005A5676"/>
    <w:rsid w:val="005A64C9"/>
    <w:rsid w:val="005A7713"/>
    <w:rsid w:val="005A7ABA"/>
    <w:rsid w:val="005A7D56"/>
    <w:rsid w:val="005A7D6C"/>
    <w:rsid w:val="005A7F20"/>
    <w:rsid w:val="005B19A6"/>
    <w:rsid w:val="005B1AE4"/>
    <w:rsid w:val="005B20BD"/>
    <w:rsid w:val="005B37C0"/>
    <w:rsid w:val="005B3875"/>
    <w:rsid w:val="005B3EF6"/>
    <w:rsid w:val="005B4594"/>
    <w:rsid w:val="005B4C44"/>
    <w:rsid w:val="005B51EB"/>
    <w:rsid w:val="005B55C6"/>
    <w:rsid w:val="005B55F2"/>
    <w:rsid w:val="005B5CF7"/>
    <w:rsid w:val="005B6327"/>
    <w:rsid w:val="005B6D8F"/>
    <w:rsid w:val="005B7852"/>
    <w:rsid w:val="005B7C44"/>
    <w:rsid w:val="005C067D"/>
    <w:rsid w:val="005C0B12"/>
    <w:rsid w:val="005C213E"/>
    <w:rsid w:val="005C2FE5"/>
    <w:rsid w:val="005C31E0"/>
    <w:rsid w:val="005C35BD"/>
    <w:rsid w:val="005C3EDA"/>
    <w:rsid w:val="005C4459"/>
    <w:rsid w:val="005C463A"/>
    <w:rsid w:val="005C47F0"/>
    <w:rsid w:val="005C4911"/>
    <w:rsid w:val="005C4AA3"/>
    <w:rsid w:val="005C4D6A"/>
    <w:rsid w:val="005C4DCE"/>
    <w:rsid w:val="005C5713"/>
    <w:rsid w:val="005C5A49"/>
    <w:rsid w:val="005C5C69"/>
    <w:rsid w:val="005C6018"/>
    <w:rsid w:val="005C6FD6"/>
    <w:rsid w:val="005C7875"/>
    <w:rsid w:val="005C7C56"/>
    <w:rsid w:val="005D0112"/>
    <w:rsid w:val="005D05A1"/>
    <w:rsid w:val="005D1F6B"/>
    <w:rsid w:val="005D1F73"/>
    <w:rsid w:val="005D232C"/>
    <w:rsid w:val="005D24BB"/>
    <w:rsid w:val="005D2703"/>
    <w:rsid w:val="005D2C41"/>
    <w:rsid w:val="005D32B2"/>
    <w:rsid w:val="005D3544"/>
    <w:rsid w:val="005D4402"/>
    <w:rsid w:val="005D4856"/>
    <w:rsid w:val="005D4877"/>
    <w:rsid w:val="005D49E9"/>
    <w:rsid w:val="005D4E90"/>
    <w:rsid w:val="005D52F9"/>
    <w:rsid w:val="005D53F1"/>
    <w:rsid w:val="005D54AF"/>
    <w:rsid w:val="005D5C34"/>
    <w:rsid w:val="005D6C8F"/>
    <w:rsid w:val="005E0627"/>
    <w:rsid w:val="005E06A2"/>
    <w:rsid w:val="005E0A8B"/>
    <w:rsid w:val="005E0AF0"/>
    <w:rsid w:val="005E1B9A"/>
    <w:rsid w:val="005E1CAF"/>
    <w:rsid w:val="005E1FE8"/>
    <w:rsid w:val="005E2256"/>
    <w:rsid w:val="005E2BE7"/>
    <w:rsid w:val="005E3041"/>
    <w:rsid w:val="005E385D"/>
    <w:rsid w:val="005E4198"/>
    <w:rsid w:val="005E46E4"/>
    <w:rsid w:val="005E5236"/>
    <w:rsid w:val="005E60E3"/>
    <w:rsid w:val="005E67E0"/>
    <w:rsid w:val="005E70B6"/>
    <w:rsid w:val="005F04BE"/>
    <w:rsid w:val="005F09BA"/>
    <w:rsid w:val="005F150A"/>
    <w:rsid w:val="005F1DA5"/>
    <w:rsid w:val="005F1DA9"/>
    <w:rsid w:val="005F2845"/>
    <w:rsid w:val="005F2E77"/>
    <w:rsid w:val="005F3798"/>
    <w:rsid w:val="005F4840"/>
    <w:rsid w:val="005F4C1B"/>
    <w:rsid w:val="005F58F1"/>
    <w:rsid w:val="005F6250"/>
    <w:rsid w:val="005F62C9"/>
    <w:rsid w:val="005F62E2"/>
    <w:rsid w:val="005F6E4C"/>
    <w:rsid w:val="005F78E3"/>
    <w:rsid w:val="0060094B"/>
    <w:rsid w:val="00600D34"/>
    <w:rsid w:val="006013A4"/>
    <w:rsid w:val="00601B91"/>
    <w:rsid w:val="006029D1"/>
    <w:rsid w:val="00602D21"/>
    <w:rsid w:val="00602E80"/>
    <w:rsid w:val="0060488B"/>
    <w:rsid w:val="00604AE0"/>
    <w:rsid w:val="00604B60"/>
    <w:rsid w:val="00604DC4"/>
    <w:rsid w:val="00604EBD"/>
    <w:rsid w:val="00605291"/>
    <w:rsid w:val="006054FC"/>
    <w:rsid w:val="0060566C"/>
    <w:rsid w:val="006057E7"/>
    <w:rsid w:val="00605D43"/>
    <w:rsid w:val="0060607D"/>
    <w:rsid w:val="0060625D"/>
    <w:rsid w:val="00607802"/>
    <w:rsid w:val="00607C16"/>
    <w:rsid w:val="00607D90"/>
    <w:rsid w:val="00610B6E"/>
    <w:rsid w:val="0061283C"/>
    <w:rsid w:val="00612BF6"/>
    <w:rsid w:val="0061345A"/>
    <w:rsid w:val="00613D43"/>
    <w:rsid w:val="00613EBB"/>
    <w:rsid w:val="00614923"/>
    <w:rsid w:val="00614E91"/>
    <w:rsid w:val="00615904"/>
    <w:rsid w:val="00615BDA"/>
    <w:rsid w:val="00616F7E"/>
    <w:rsid w:val="006174DA"/>
    <w:rsid w:val="00617686"/>
    <w:rsid w:val="00617D9C"/>
    <w:rsid w:val="00620657"/>
    <w:rsid w:val="00620871"/>
    <w:rsid w:val="00620963"/>
    <w:rsid w:val="00620FB2"/>
    <w:rsid w:val="006215FC"/>
    <w:rsid w:val="0062195E"/>
    <w:rsid w:val="0062286D"/>
    <w:rsid w:val="00622A56"/>
    <w:rsid w:val="00622B6F"/>
    <w:rsid w:val="00622D85"/>
    <w:rsid w:val="006234EF"/>
    <w:rsid w:val="00623BC6"/>
    <w:rsid w:val="00624233"/>
    <w:rsid w:val="006245F7"/>
    <w:rsid w:val="00625779"/>
    <w:rsid w:val="00626489"/>
    <w:rsid w:val="00626659"/>
    <w:rsid w:val="00626C37"/>
    <w:rsid w:val="00627873"/>
    <w:rsid w:val="0063034D"/>
    <w:rsid w:val="00630380"/>
    <w:rsid w:val="0063081D"/>
    <w:rsid w:val="00631EF3"/>
    <w:rsid w:val="0063246E"/>
    <w:rsid w:val="00632D54"/>
    <w:rsid w:val="00632D72"/>
    <w:rsid w:val="0063418F"/>
    <w:rsid w:val="0063429B"/>
    <w:rsid w:val="006345E4"/>
    <w:rsid w:val="00635959"/>
    <w:rsid w:val="00635C18"/>
    <w:rsid w:val="00636286"/>
    <w:rsid w:val="0063769F"/>
    <w:rsid w:val="00637E7F"/>
    <w:rsid w:val="00637F37"/>
    <w:rsid w:val="00637FBE"/>
    <w:rsid w:val="006401BB"/>
    <w:rsid w:val="006403D2"/>
    <w:rsid w:val="0064087C"/>
    <w:rsid w:val="0064088F"/>
    <w:rsid w:val="006422D2"/>
    <w:rsid w:val="00642375"/>
    <w:rsid w:val="0064295B"/>
    <w:rsid w:val="00644704"/>
    <w:rsid w:val="00645738"/>
    <w:rsid w:val="00645BAF"/>
    <w:rsid w:val="00645E14"/>
    <w:rsid w:val="00645F7B"/>
    <w:rsid w:val="0064678C"/>
    <w:rsid w:val="0064679F"/>
    <w:rsid w:val="00646C51"/>
    <w:rsid w:val="00647231"/>
    <w:rsid w:val="00647793"/>
    <w:rsid w:val="006477CC"/>
    <w:rsid w:val="00650089"/>
    <w:rsid w:val="00650219"/>
    <w:rsid w:val="00650D9C"/>
    <w:rsid w:val="00650EC6"/>
    <w:rsid w:val="006514D6"/>
    <w:rsid w:val="00651742"/>
    <w:rsid w:val="00651873"/>
    <w:rsid w:val="0065236B"/>
    <w:rsid w:val="00652DD7"/>
    <w:rsid w:val="00652DDB"/>
    <w:rsid w:val="0065392F"/>
    <w:rsid w:val="00653A41"/>
    <w:rsid w:val="006541EC"/>
    <w:rsid w:val="00654676"/>
    <w:rsid w:val="006546D2"/>
    <w:rsid w:val="0065591A"/>
    <w:rsid w:val="00655A61"/>
    <w:rsid w:val="00656000"/>
    <w:rsid w:val="006563C6"/>
    <w:rsid w:val="0065787D"/>
    <w:rsid w:val="00657882"/>
    <w:rsid w:val="0066036C"/>
    <w:rsid w:val="006604F0"/>
    <w:rsid w:val="00660CBF"/>
    <w:rsid w:val="00660D70"/>
    <w:rsid w:val="0066270A"/>
    <w:rsid w:val="00662A9D"/>
    <w:rsid w:val="00662F7D"/>
    <w:rsid w:val="00663252"/>
    <w:rsid w:val="006641C6"/>
    <w:rsid w:val="00664518"/>
    <w:rsid w:val="00664BFB"/>
    <w:rsid w:val="0066513D"/>
    <w:rsid w:val="00665AA3"/>
    <w:rsid w:val="00665D0A"/>
    <w:rsid w:val="006663D9"/>
    <w:rsid w:val="00666AED"/>
    <w:rsid w:val="00666CA6"/>
    <w:rsid w:val="00666CC0"/>
    <w:rsid w:val="00666CE8"/>
    <w:rsid w:val="006674CB"/>
    <w:rsid w:val="006674ED"/>
    <w:rsid w:val="00667760"/>
    <w:rsid w:val="00667B39"/>
    <w:rsid w:val="00670044"/>
    <w:rsid w:val="0067075C"/>
    <w:rsid w:val="00670B83"/>
    <w:rsid w:val="00670E7E"/>
    <w:rsid w:val="0067102C"/>
    <w:rsid w:val="00671580"/>
    <w:rsid w:val="006728BD"/>
    <w:rsid w:val="0067413F"/>
    <w:rsid w:val="00674316"/>
    <w:rsid w:val="0067455E"/>
    <w:rsid w:val="006745CD"/>
    <w:rsid w:val="00674E3F"/>
    <w:rsid w:val="006754FE"/>
    <w:rsid w:val="006756EC"/>
    <w:rsid w:val="00675CBA"/>
    <w:rsid w:val="00675D1D"/>
    <w:rsid w:val="00676253"/>
    <w:rsid w:val="00677E96"/>
    <w:rsid w:val="00680F8E"/>
    <w:rsid w:val="00681570"/>
    <w:rsid w:val="00681730"/>
    <w:rsid w:val="00681AF1"/>
    <w:rsid w:val="00682115"/>
    <w:rsid w:val="006838B9"/>
    <w:rsid w:val="00684063"/>
    <w:rsid w:val="00684200"/>
    <w:rsid w:val="00684A2E"/>
    <w:rsid w:val="00684F00"/>
    <w:rsid w:val="00684FBB"/>
    <w:rsid w:val="00685043"/>
    <w:rsid w:val="00685406"/>
    <w:rsid w:val="00685449"/>
    <w:rsid w:val="006856FD"/>
    <w:rsid w:val="00685779"/>
    <w:rsid w:val="00685F84"/>
    <w:rsid w:val="006863D0"/>
    <w:rsid w:val="00686655"/>
    <w:rsid w:val="00686991"/>
    <w:rsid w:val="006879C0"/>
    <w:rsid w:val="00687D7B"/>
    <w:rsid w:val="006900C9"/>
    <w:rsid w:val="006909A4"/>
    <w:rsid w:val="00691659"/>
    <w:rsid w:val="00691730"/>
    <w:rsid w:val="00692472"/>
    <w:rsid w:val="0069296F"/>
    <w:rsid w:val="006932C0"/>
    <w:rsid w:val="00693615"/>
    <w:rsid w:val="006936A0"/>
    <w:rsid w:val="00693984"/>
    <w:rsid w:val="006941CB"/>
    <w:rsid w:val="0069455B"/>
    <w:rsid w:val="00695611"/>
    <w:rsid w:val="006967AE"/>
    <w:rsid w:val="006970F9"/>
    <w:rsid w:val="00697506"/>
    <w:rsid w:val="00697EA8"/>
    <w:rsid w:val="006A0AA6"/>
    <w:rsid w:val="006A0ABB"/>
    <w:rsid w:val="006A0AD6"/>
    <w:rsid w:val="006A0F65"/>
    <w:rsid w:val="006A1626"/>
    <w:rsid w:val="006A17FF"/>
    <w:rsid w:val="006A1882"/>
    <w:rsid w:val="006A1B28"/>
    <w:rsid w:val="006A26E4"/>
    <w:rsid w:val="006A2F24"/>
    <w:rsid w:val="006A32B9"/>
    <w:rsid w:val="006A38BB"/>
    <w:rsid w:val="006A42C0"/>
    <w:rsid w:val="006A496F"/>
    <w:rsid w:val="006A4DA2"/>
    <w:rsid w:val="006A4F7B"/>
    <w:rsid w:val="006A59FC"/>
    <w:rsid w:val="006A5DEA"/>
    <w:rsid w:val="006A6003"/>
    <w:rsid w:val="006A6D5F"/>
    <w:rsid w:val="006A7036"/>
    <w:rsid w:val="006A7327"/>
    <w:rsid w:val="006B02C9"/>
    <w:rsid w:val="006B0C75"/>
    <w:rsid w:val="006B2D9E"/>
    <w:rsid w:val="006B40E1"/>
    <w:rsid w:val="006B4A4D"/>
    <w:rsid w:val="006B54A2"/>
    <w:rsid w:val="006B5A7E"/>
    <w:rsid w:val="006B5DA5"/>
    <w:rsid w:val="006B685C"/>
    <w:rsid w:val="006B6B13"/>
    <w:rsid w:val="006B7136"/>
    <w:rsid w:val="006B73DC"/>
    <w:rsid w:val="006B7573"/>
    <w:rsid w:val="006B7A8A"/>
    <w:rsid w:val="006C09BB"/>
    <w:rsid w:val="006C1CAC"/>
    <w:rsid w:val="006C23D6"/>
    <w:rsid w:val="006C2BBE"/>
    <w:rsid w:val="006C3388"/>
    <w:rsid w:val="006C3AB0"/>
    <w:rsid w:val="006C508E"/>
    <w:rsid w:val="006C567D"/>
    <w:rsid w:val="006C5E68"/>
    <w:rsid w:val="006C6BCA"/>
    <w:rsid w:val="006C6DF0"/>
    <w:rsid w:val="006C7C4D"/>
    <w:rsid w:val="006D0643"/>
    <w:rsid w:val="006D124D"/>
    <w:rsid w:val="006D1523"/>
    <w:rsid w:val="006D207B"/>
    <w:rsid w:val="006D2144"/>
    <w:rsid w:val="006D2160"/>
    <w:rsid w:val="006D2715"/>
    <w:rsid w:val="006D29F9"/>
    <w:rsid w:val="006D2AA6"/>
    <w:rsid w:val="006D2DD2"/>
    <w:rsid w:val="006D461D"/>
    <w:rsid w:val="006D4C60"/>
    <w:rsid w:val="006D5516"/>
    <w:rsid w:val="006D58AE"/>
    <w:rsid w:val="006D5991"/>
    <w:rsid w:val="006D651F"/>
    <w:rsid w:val="006D6545"/>
    <w:rsid w:val="006D6793"/>
    <w:rsid w:val="006D6C08"/>
    <w:rsid w:val="006D7259"/>
    <w:rsid w:val="006D7940"/>
    <w:rsid w:val="006D7DC1"/>
    <w:rsid w:val="006E08A1"/>
    <w:rsid w:val="006E08B6"/>
    <w:rsid w:val="006E09DC"/>
    <w:rsid w:val="006E0CF7"/>
    <w:rsid w:val="006E1479"/>
    <w:rsid w:val="006E2750"/>
    <w:rsid w:val="006E33BB"/>
    <w:rsid w:val="006E3979"/>
    <w:rsid w:val="006E3F6A"/>
    <w:rsid w:val="006E427A"/>
    <w:rsid w:val="006E46DC"/>
    <w:rsid w:val="006E5788"/>
    <w:rsid w:val="006E5A34"/>
    <w:rsid w:val="006E5D85"/>
    <w:rsid w:val="006E60BC"/>
    <w:rsid w:val="006E6889"/>
    <w:rsid w:val="006E70D0"/>
    <w:rsid w:val="006E74DA"/>
    <w:rsid w:val="006E7705"/>
    <w:rsid w:val="006E7801"/>
    <w:rsid w:val="006E7A34"/>
    <w:rsid w:val="006E7D3A"/>
    <w:rsid w:val="006F04FD"/>
    <w:rsid w:val="006F0770"/>
    <w:rsid w:val="006F0F90"/>
    <w:rsid w:val="006F13A0"/>
    <w:rsid w:val="006F19AB"/>
    <w:rsid w:val="006F2B88"/>
    <w:rsid w:val="006F36C8"/>
    <w:rsid w:val="006F3826"/>
    <w:rsid w:val="006F45A5"/>
    <w:rsid w:val="006F4622"/>
    <w:rsid w:val="006F466E"/>
    <w:rsid w:val="006F49DF"/>
    <w:rsid w:val="006F57AA"/>
    <w:rsid w:val="006F5A00"/>
    <w:rsid w:val="006F663F"/>
    <w:rsid w:val="006F71A5"/>
    <w:rsid w:val="007008E5"/>
    <w:rsid w:val="00701295"/>
    <w:rsid w:val="0070155E"/>
    <w:rsid w:val="007016AA"/>
    <w:rsid w:val="00701BF0"/>
    <w:rsid w:val="00702039"/>
    <w:rsid w:val="00702139"/>
    <w:rsid w:val="0070232E"/>
    <w:rsid w:val="007026EF"/>
    <w:rsid w:val="00702F17"/>
    <w:rsid w:val="00703880"/>
    <w:rsid w:val="00703C91"/>
    <w:rsid w:val="00703C94"/>
    <w:rsid w:val="007068EC"/>
    <w:rsid w:val="00706C7F"/>
    <w:rsid w:val="00707EBD"/>
    <w:rsid w:val="007106A4"/>
    <w:rsid w:val="00711401"/>
    <w:rsid w:val="007115AB"/>
    <w:rsid w:val="00711660"/>
    <w:rsid w:val="00711CE9"/>
    <w:rsid w:val="00711DA4"/>
    <w:rsid w:val="00712446"/>
    <w:rsid w:val="00712E6D"/>
    <w:rsid w:val="0071310D"/>
    <w:rsid w:val="0071353F"/>
    <w:rsid w:val="0071359C"/>
    <w:rsid w:val="007138EE"/>
    <w:rsid w:val="00713B08"/>
    <w:rsid w:val="00713B66"/>
    <w:rsid w:val="00714642"/>
    <w:rsid w:val="00714FE6"/>
    <w:rsid w:val="00715400"/>
    <w:rsid w:val="007159CA"/>
    <w:rsid w:val="00715E8D"/>
    <w:rsid w:val="00716FDD"/>
    <w:rsid w:val="00717697"/>
    <w:rsid w:val="0072044D"/>
    <w:rsid w:val="007205D0"/>
    <w:rsid w:val="00720752"/>
    <w:rsid w:val="00720A87"/>
    <w:rsid w:val="00720B73"/>
    <w:rsid w:val="00721094"/>
    <w:rsid w:val="007215E4"/>
    <w:rsid w:val="00721A64"/>
    <w:rsid w:val="00721D83"/>
    <w:rsid w:val="00722A2D"/>
    <w:rsid w:val="00722CFC"/>
    <w:rsid w:val="0072310C"/>
    <w:rsid w:val="0072337E"/>
    <w:rsid w:val="00723760"/>
    <w:rsid w:val="00723959"/>
    <w:rsid w:val="00723F04"/>
    <w:rsid w:val="007245E8"/>
    <w:rsid w:val="0072489A"/>
    <w:rsid w:val="0072518D"/>
    <w:rsid w:val="00725276"/>
    <w:rsid w:val="007254D6"/>
    <w:rsid w:val="0072579A"/>
    <w:rsid w:val="007263B0"/>
    <w:rsid w:val="007263D1"/>
    <w:rsid w:val="00727488"/>
    <w:rsid w:val="007303FA"/>
    <w:rsid w:val="00730A0C"/>
    <w:rsid w:val="00731004"/>
    <w:rsid w:val="007310AF"/>
    <w:rsid w:val="00731C11"/>
    <w:rsid w:val="00731E13"/>
    <w:rsid w:val="00732453"/>
    <w:rsid w:val="00732A56"/>
    <w:rsid w:val="00733370"/>
    <w:rsid w:val="00733540"/>
    <w:rsid w:val="007341B1"/>
    <w:rsid w:val="00734BE1"/>
    <w:rsid w:val="00734CD9"/>
    <w:rsid w:val="0073573F"/>
    <w:rsid w:val="007358B5"/>
    <w:rsid w:val="007359B4"/>
    <w:rsid w:val="00735AEC"/>
    <w:rsid w:val="00735E26"/>
    <w:rsid w:val="00736125"/>
    <w:rsid w:val="007366B1"/>
    <w:rsid w:val="00737288"/>
    <w:rsid w:val="00737F68"/>
    <w:rsid w:val="007403B9"/>
    <w:rsid w:val="00740B75"/>
    <w:rsid w:val="007414B5"/>
    <w:rsid w:val="0074175F"/>
    <w:rsid w:val="0074183F"/>
    <w:rsid w:val="00741FD8"/>
    <w:rsid w:val="007420BD"/>
    <w:rsid w:val="007457A1"/>
    <w:rsid w:val="00745BEB"/>
    <w:rsid w:val="00746E4D"/>
    <w:rsid w:val="00746F07"/>
    <w:rsid w:val="00747188"/>
    <w:rsid w:val="00747E64"/>
    <w:rsid w:val="007509F3"/>
    <w:rsid w:val="00750BE8"/>
    <w:rsid w:val="00750C7E"/>
    <w:rsid w:val="00751300"/>
    <w:rsid w:val="00751C53"/>
    <w:rsid w:val="00751E65"/>
    <w:rsid w:val="007523F7"/>
    <w:rsid w:val="00752582"/>
    <w:rsid w:val="00752F1C"/>
    <w:rsid w:val="00753184"/>
    <w:rsid w:val="00753F03"/>
    <w:rsid w:val="00754168"/>
    <w:rsid w:val="0075452C"/>
    <w:rsid w:val="00755391"/>
    <w:rsid w:val="007557D6"/>
    <w:rsid w:val="007558B1"/>
    <w:rsid w:val="0075768A"/>
    <w:rsid w:val="00757EA6"/>
    <w:rsid w:val="00760857"/>
    <w:rsid w:val="00760DAC"/>
    <w:rsid w:val="0076119F"/>
    <w:rsid w:val="00762284"/>
    <w:rsid w:val="0076265E"/>
    <w:rsid w:val="00762BB9"/>
    <w:rsid w:val="00762E51"/>
    <w:rsid w:val="00763594"/>
    <w:rsid w:val="00763DFD"/>
    <w:rsid w:val="00764011"/>
    <w:rsid w:val="007642BE"/>
    <w:rsid w:val="00764950"/>
    <w:rsid w:val="007653AE"/>
    <w:rsid w:val="00765AF8"/>
    <w:rsid w:val="00765DE9"/>
    <w:rsid w:val="00767238"/>
    <w:rsid w:val="0076793F"/>
    <w:rsid w:val="00767C0E"/>
    <w:rsid w:val="007703B5"/>
    <w:rsid w:val="007705DB"/>
    <w:rsid w:val="00770667"/>
    <w:rsid w:val="0077093F"/>
    <w:rsid w:val="00770D7B"/>
    <w:rsid w:val="00771193"/>
    <w:rsid w:val="007711EF"/>
    <w:rsid w:val="0077143E"/>
    <w:rsid w:val="0077202E"/>
    <w:rsid w:val="0077242E"/>
    <w:rsid w:val="007730A3"/>
    <w:rsid w:val="00774408"/>
    <w:rsid w:val="007744F7"/>
    <w:rsid w:val="00774BEE"/>
    <w:rsid w:val="00774D60"/>
    <w:rsid w:val="00775477"/>
    <w:rsid w:val="00775F00"/>
    <w:rsid w:val="007767C1"/>
    <w:rsid w:val="00776852"/>
    <w:rsid w:val="00777A0E"/>
    <w:rsid w:val="00777FC3"/>
    <w:rsid w:val="007805FA"/>
    <w:rsid w:val="00780948"/>
    <w:rsid w:val="00780CF0"/>
    <w:rsid w:val="00780D84"/>
    <w:rsid w:val="00780E35"/>
    <w:rsid w:val="00781312"/>
    <w:rsid w:val="00781C10"/>
    <w:rsid w:val="00781D27"/>
    <w:rsid w:val="00782477"/>
    <w:rsid w:val="0078384F"/>
    <w:rsid w:val="00783A49"/>
    <w:rsid w:val="00783A5B"/>
    <w:rsid w:val="007843D2"/>
    <w:rsid w:val="00784604"/>
    <w:rsid w:val="00784E50"/>
    <w:rsid w:val="00784F57"/>
    <w:rsid w:val="007851DF"/>
    <w:rsid w:val="00785891"/>
    <w:rsid w:val="00785FD5"/>
    <w:rsid w:val="00786E50"/>
    <w:rsid w:val="00787026"/>
    <w:rsid w:val="0078736A"/>
    <w:rsid w:val="00787653"/>
    <w:rsid w:val="0079030B"/>
    <w:rsid w:val="007912BE"/>
    <w:rsid w:val="00791EB3"/>
    <w:rsid w:val="007920CA"/>
    <w:rsid w:val="007923AB"/>
    <w:rsid w:val="00792419"/>
    <w:rsid w:val="00794422"/>
    <w:rsid w:val="00794497"/>
    <w:rsid w:val="00794ADB"/>
    <w:rsid w:val="00794C47"/>
    <w:rsid w:val="00795376"/>
    <w:rsid w:val="0079564E"/>
    <w:rsid w:val="0079572A"/>
    <w:rsid w:val="00796012"/>
    <w:rsid w:val="0079658E"/>
    <w:rsid w:val="0079697A"/>
    <w:rsid w:val="00797171"/>
    <w:rsid w:val="00797FFC"/>
    <w:rsid w:val="007A04C9"/>
    <w:rsid w:val="007A059A"/>
    <w:rsid w:val="007A224C"/>
    <w:rsid w:val="007A2C8A"/>
    <w:rsid w:val="007A2CE6"/>
    <w:rsid w:val="007A2DE1"/>
    <w:rsid w:val="007A407E"/>
    <w:rsid w:val="007A5A9B"/>
    <w:rsid w:val="007A5BFD"/>
    <w:rsid w:val="007A6690"/>
    <w:rsid w:val="007B000D"/>
    <w:rsid w:val="007B04EB"/>
    <w:rsid w:val="007B0758"/>
    <w:rsid w:val="007B0775"/>
    <w:rsid w:val="007B174F"/>
    <w:rsid w:val="007B1853"/>
    <w:rsid w:val="007B28C8"/>
    <w:rsid w:val="007B2B27"/>
    <w:rsid w:val="007B2FCA"/>
    <w:rsid w:val="007B481E"/>
    <w:rsid w:val="007B4AB6"/>
    <w:rsid w:val="007B4FCC"/>
    <w:rsid w:val="007B52F3"/>
    <w:rsid w:val="007B52FA"/>
    <w:rsid w:val="007B576A"/>
    <w:rsid w:val="007B5E03"/>
    <w:rsid w:val="007B6835"/>
    <w:rsid w:val="007B6941"/>
    <w:rsid w:val="007B6B23"/>
    <w:rsid w:val="007B6DF6"/>
    <w:rsid w:val="007B7910"/>
    <w:rsid w:val="007B7BC1"/>
    <w:rsid w:val="007B7E67"/>
    <w:rsid w:val="007C0114"/>
    <w:rsid w:val="007C15A6"/>
    <w:rsid w:val="007C1D52"/>
    <w:rsid w:val="007C20CC"/>
    <w:rsid w:val="007C2135"/>
    <w:rsid w:val="007C2681"/>
    <w:rsid w:val="007C2A1F"/>
    <w:rsid w:val="007C2AF3"/>
    <w:rsid w:val="007C2FB3"/>
    <w:rsid w:val="007C3395"/>
    <w:rsid w:val="007C3662"/>
    <w:rsid w:val="007C3C7C"/>
    <w:rsid w:val="007C5C74"/>
    <w:rsid w:val="007C5D65"/>
    <w:rsid w:val="007C5EE5"/>
    <w:rsid w:val="007C61B3"/>
    <w:rsid w:val="007C6651"/>
    <w:rsid w:val="007C6BD2"/>
    <w:rsid w:val="007C6F53"/>
    <w:rsid w:val="007C7189"/>
    <w:rsid w:val="007C7540"/>
    <w:rsid w:val="007C7673"/>
    <w:rsid w:val="007D1F7C"/>
    <w:rsid w:val="007D22FE"/>
    <w:rsid w:val="007D2726"/>
    <w:rsid w:val="007D2FC0"/>
    <w:rsid w:val="007D2FC8"/>
    <w:rsid w:val="007D3055"/>
    <w:rsid w:val="007D39CD"/>
    <w:rsid w:val="007D3EF1"/>
    <w:rsid w:val="007D407F"/>
    <w:rsid w:val="007D4803"/>
    <w:rsid w:val="007D4986"/>
    <w:rsid w:val="007D4AAF"/>
    <w:rsid w:val="007D4B39"/>
    <w:rsid w:val="007D571A"/>
    <w:rsid w:val="007D5894"/>
    <w:rsid w:val="007D5C67"/>
    <w:rsid w:val="007D66AD"/>
    <w:rsid w:val="007D66C5"/>
    <w:rsid w:val="007D6900"/>
    <w:rsid w:val="007D71B1"/>
    <w:rsid w:val="007D7D72"/>
    <w:rsid w:val="007E01B8"/>
    <w:rsid w:val="007E0326"/>
    <w:rsid w:val="007E0A3A"/>
    <w:rsid w:val="007E0B6B"/>
    <w:rsid w:val="007E16B0"/>
    <w:rsid w:val="007E2287"/>
    <w:rsid w:val="007E2703"/>
    <w:rsid w:val="007E286D"/>
    <w:rsid w:val="007E2909"/>
    <w:rsid w:val="007E291E"/>
    <w:rsid w:val="007E2C6E"/>
    <w:rsid w:val="007E2ED4"/>
    <w:rsid w:val="007E332E"/>
    <w:rsid w:val="007E340E"/>
    <w:rsid w:val="007E3A25"/>
    <w:rsid w:val="007E3F04"/>
    <w:rsid w:val="007E3F2B"/>
    <w:rsid w:val="007E4682"/>
    <w:rsid w:val="007E470B"/>
    <w:rsid w:val="007E5159"/>
    <w:rsid w:val="007E549A"/>
    <w:rsid w:val="007E5DF5"/>
    <w:rsid w:val="007E767F"/>
    <w:rsid w:val="007E7686"/>
    <w:rsid w:val="007E7B79"/>
    <w:rsid w:val="007E7BD0"/>
    <w:rsid w:val="007E7FED"/>
    <w:rsid w:val="007F0136"/>
    <w:rsid w:val="007F0B67"/>
    <w:rsid w:val="007F0BF9"/>
    <w:rsid w:val="007F188F"/>
    <w:rsid w:val="007F1F81"/>
    <w:rsid w:val="007F224E"/>
    <w:rsid w:val="007F2678"/>
    <w:rsid w:val="007F2B96"/>
    <w:rsid w:val="007F2F71"/>
    <w:rsid w:val="007F3026"/>
    <w:rsid w:val="007F30A8"/>
    <w:rsid w:val="007F34A4"/>
    <w:rsid w:val="007F35C9"/>
    <w:rsid w:val="007F39EC"/>
    <w:rsid w:val="007F3B30"/>
    <w:rsid w:val="007F44C9"/>
    <w:rsid w:val="007F45E3"/>
    <w:rsid w:val="007F48CA"/>
    <w:rsid w:val="007F4B76"/>
    <w:rsid w:val="007F5BCA"/>
    <w:rsid w:val="007F61E8"/>
    <w:rsid w:val="007F6374"/>
    <w:rsid w:val="007F65F2"/>
    <w:rsid w:val="007F6814"/>
    <w:rsid w:val="007F6ACD"/>
    <w:rsid w:val="007F6FF3"/>
    <w:rsid w:val="007F7A9A"/>
    <w:rsid w:val="00800A19"/>
    <w:rsid w:val="00800CF9"/>
    <w:rsid w:val="00800E21"/>
    <w:rsid w:val="00801091"/>
    <w:rsid w:val="00801147"/>
    <w:rsid w:val="0080121E"/>
    <w:rsid w:val="008015A3"/>
    <w:rsid w:val="00801831"/>
    <w:rsid w:val="00801A33"/>
    <w:rsid w:val="00801BBC"/>
    <w:rsid w:val="008027E3"/>
    <w:rsid w:val="008027F5"/>
    <w:rsid w:val="00802FA1"/>
    <w:rsid w:val="008034BD"/>
    <w:rsid w:val="008036D3"/>
    <w:rsid w:val="008037DB"/>
    <w:rsid w:val="008038B4"/>
    <w:rsid w:val="0080399B"/>
    <w:rsid w:val="008045B9"/>
    <w:rsid w:val="00804729"/>
    <w:rsid w:val="0080569A"/>
    <w:rsid w:val="008064E2"/>
    <w:rsid w:val="0080660C"/>
    <w:rsid w:val="00806850"/>
    <w:rsid w:val="00807971"/>
    <w:rsid w:val="00810145"/>
    <w:rsid w:val="008107A4"/>
    <w:rsid w:val="00810DED"/>
    <w:rsid w:val="00811307"/>
    <w:rsid w:val="00811F88"/>
    <w:rsid w:val="0081204C"/>
    <w:rsid w:val="00812782"/>
    <w:rsid w:val="0081295B"/>
    <w:rsid w:val="00813123"/>
    <w:rsid w:val="008133CC"/>
    <w:rsid w:val="008137FD"/>
    <w:rsid w:val="00814CD0"/>
    <w:rsid w:val="00815210"/>
    <w:rsid w:val="008156CA"/>
    <w:rsid w:val="00815D64"/>
    <w:rsid w:val="008162AF"/>
    <w:rsid w:val="00817AB0"/>
    <w:rsid w:val="00817D58"/>
    <w:rsid w:val="00817D99"/>
    <w:rsid w:val="008206A3"/>
    <w:rsid w:val="008214B1"/>
    <w:rsid w:val="00821C5C"/>
    <w:rsid w:val="008220BA"/>
    <w:rsid w:val="00822250"/>
    <w:rsid w:val="00822CB8"/>
    <w:rsid w:val="00822CC4"/>
    <w:rsid w:val="00822E07"/>
    <w:rsid w:val="00822FE5"/>
    <w:rsid w:val="008239D8"/>
    <w:rsid w:val="00823CA5"/>
    <w:rsid w:val="008241F8"/>
    <w:rsid w:val="0082440E"/>
    <w:rsid w:val="008253C1"/>
    <w:rsid w:val="00825D72"/>
    <w:rsid w:val="008267D6"/>
    <w:rsid w:val="00826BBF"/>
    <w:rsid w:val="00827373"/>
    <w:rsid w:val="00830F2A"/>
    <w:rsid w:val="0083267D"/>
    <w:rsid w:val="00832959"/>
    <w:rsid w:val="00832A03"/>
    <w:rsid w:val="00832C7B"/>
    <w:rsid w:val="00833595"/>
    <w:rsid w:val="008339B4"/>
    <w:rsid w:val="00833B76"/>
    <w:rsid w:val="00833D29"/>
    <w:rsid w:val="00834908"/>
    <w:rsid w:val="0083534C"/>
    <w:rsid w:val="008355E7"/>
    <w:rsid w:val="0084006D"/>
    <w:rsid w:val="00840245"/>
    <w:rsid w:val="008402A4"/>
    <w:rsid w:val="008429BF"/>
    <w:rsid w:val="00842F2E"/>
    <w:rsid w:val="0084323C"/>
    <w:rsid w:val="0084365D"/>
    <w:rsid w:val="00844257"/>
    <w:rsid w:val="00844732"/>
    <w:rsid w:val="00844910"/>
    <w:rsid w:val="00844B11"/>
    <w:rsid w:val="00845923"/>
    <w:rsid w:val="00845B63"/>
    <w:rsid w:val="00846730"/>
    <w:rsid w:val="008467BA"/>
    <w:rsid w:val="008468BA"/>
    <w:rsid w:val="00850218"/>
    <w:rsid w:val="008516F1"/>
    <w:rsid w:val="008524E9"/>
    <w:rsid w:val="008525A7"/>
    <w:rsid w:val="00854C0D"/>
    <w:rsid w:val="008552E9"/>
    <w:rsid w:val="0085588A"/>
    <w:rsid w:val="00855CA0"/>
    <w:rsid w:val="00855DEE"/>
    <w:rsid w:val="00856144"/>
    <w:rsid w:val="008561A7"/>
    <w:rsid w:val="0085625C"/>
    <w:rsid w:val="008562EB"/>
    <w:rsid w:val="008563C0"/>
    <w:rsid w:val="00856557"/>
    <w:rsid w:val="00856A97"/>
    <w:rsid w:val="00856C0B"/>
    <w:rsid w:val="0085709E"/>
    <w:rsid w:val="00857B02"/>
    <w:rsid w:val="008612CE"/>
    <w:rsid w:val="00861E7C"/>
    <w:rsid w:val="00862090"/>
    <w:rsid w:val="008621A3"/>
    <w:rsid w:val="00862471"/>
    <w:rsid w:val="0086267B"/>
    <w:rsid w:val="00862A33"/>
    <w:rsid w:val="00863545"/>
    <w:rsid w:val="00863EB9"/>
    <w:rsid w:val="00864241"/>
    <w:rsid w:val="00864C78"/>
    <w:rsid w:val="00866381"/>
    <w:rsid w:val="00866643"/>
    <w:rsid w:val="00866AE1"/>
    <w:rsid w:val="00866D68"/>
    <w:rsid w:val="00866DDC"/>
    <w:rsid w:val="00867113"/>
    <w:rsid w:val="008673C6"/>
    <w:rsid w:val="008674A2"/>
    <w:rsid w:val="00867B07"/>
    <w:rsid w:val="00867E34"/>
    <w:rsid w:val="008704E4"/>
    <w:rsid w:val="008705B7"/>
    <w:rsid w:val="008709C0"/>
    <w:rsid w:val="00870B96"/>
    <w:rsid w:val="00871133"/>
    <w:rsid w:val="008719B9"/>
    <w:rsid w:val="00872171"/>
    <w:rsid w:val="00872E1F"/>
    <w:rsid w:val="008732E4"/>
    <w:rsid w:val="00873B8C"/>
    <w:rsid w:val="00873CB6"/>
    <w:rsid w:val="00874FF0"/>
    <w:rsid w:val="0087520A"/>
    <w:rsid w:val="00875387"/>
    <w:rsid w:val="00875698"/>
    <w:rsid w:val="00875B81"/>
    <w:rsid w:val="00875E58"/>
    <w:rsid w:val="00876E59"/>
    <w:rsid w:val="008772DD"/>
    <w:rsid w:val="00877809"/>
    <w:rsid w:val="00877983"/>
    <w:rsid w:val="0088065E"/>
    <w:rsid w:val="008811E4"/>
    <w:rsid w:val="00881B07"/>
    <w:rsid w:val="00882A52"/>
    <w:rsid w:val="00883407"/>
    <w:rsid w:val="0088382D"/>
    <w:rsid w:val="00883D50"/>
    <w:rsid w:val="008844AA"/>
    <w:rsid w:val="00884D5F"/>
    <w:rsid w:val="00885218"/>
    <w:rsid w:val="0088541C"/>
    <w:rsid w:val="00885D4D"/>
    <w:rsid w:val="00886341"/>
    <w:rsid w:val="00886873"/>
    <w:rsid w:val="00886F1E"/>
    <w:rsid w:val="008871BC"/>
    <w:rsid w:val="00891A6C"/>
    <w:rsid w:val="00891B5A"/>
    <w:rsid w:val="00891BC1"/>
    <w:rsid w:val="00891D6C"/>
    <w:rsid w:val="00892414"/>
    <w:rsid w:val="008925C8"/>
    <w:rsid w:val="00892E4F"/>
    <w:rsid w:val="008930A0"/>
    <w:rsid w:val="00893633"/>
    <w:rsid w:val="0089374B"/>
    <w:rsid w:val="00893F10"/>
    <w:rsid w:val="008940B1"/>
    <w:rsid w:val="00895E05"/>
    <w:rsid w:val="008977B7"/>
    <w:rsid w:val="0089797E"/>
    <w:rsid w:val="00897E56"/>
    <w:rsid w:val="008A013C"/>
    <w:rsid w:val="008A0D45"/>
    <w:rsid w:val="008A1DAA"/>
    <w:rsid w:val="008A23F8"/>
    <w:rsid w:val="008A2F95"/>
    <w:rsid w:val="008A40F2"/>
    <w:rsid w:val="008A456A"/>
    <w:rsid w:val="008A4694"/>
    <w:rsid w:val="008A492F"/>
    <w:rsid w:val="008A4FEA"/>
    <w:rsid w:val="008A57E1"/>
    <w:rsid w:val="008A70C6"/>
    <w:rsid w:val="008A7505"/>
    <w:rsid w:val="008A7688"/>
    <w:rsid w:val="008A7E97"/>
    <w:rsid w:val="008B0391"/>
    <w:rsid w:val="008B05F8"/>
    <w:rsid w:val="008B060C"/>
    <w:rsid w:val="008B0EC1"/>
    <w:rsid w:val="008B0FB0"/>
    <w:rsid w:val="008B1016"/>
    <w:rsid w:val="008B2387"/>
    <w:rsid w:val="008B329A"/>
    <w:rsid w:val="008B3E08"/>
    <w:rsid w:val="008B3F78"/>
    <w:rsid w:val="008B574F"/>
    <w:rsid w:val="008B5F70"/>
    <w:rsid w:val="008B6223"/>
    <w:rsid w:val="008B696B"/>
    <w:rsid w:val="008B7472"/>
    <w:rsid w:val="008B785A"/>
    <w:rsid w:val="008C1234"/>
    <w:rsid w:val="008C1EAE"/>
    <w:rsid w:val="008C1F20"/>
    <w:rsid w:val="008C2033"/>
    <w:rsid w:val="008C252A"/>
    <w:rsid w:val="008C26A6"/>
    <w:rsid w:val="008C2840"/>
    <w:rsid w:val="008C2A39"/>
    <w:rsid w:val="008C324E"/>
    <w:rsid w:val="008C32B0"/>
    <w:rsid w:val="008C3B4E"/>
    <w:rsid w:val="008C4369"/>
    <w:rsid w:val="008C469F"/>
    <w:rsid w:val="008C50BC"/>
    <w:rsid w:val="008C577C"/>
    <w:rsid w:val="008C5DBE"/>
    <w:rsid w:val="008C666F"/>
    <w:rsid w:val="008C71DA"/>
    <w:rsid w:val="008C7984"/>
    <w:rsid w:val="008D02DF"/>
    <w:rsid w:val="008D08BD"/>
    <w:rsid w:val="008D14FE"/>
    <w:rsid w:val="008D160F"/>
    <w:rsid w:val="008D1991"/>
    <w:rsid w:val="008D1DB7"/>
    <w:rsid w:val="008D2EC8"/>
    <w:rsid w:val="008D306A"/>
    <w:rsid w:val="008D354A"/>
    <w:rsid w:val="008D3E58"/>
    <w:rsid w:val="008D3F48"/>
    <w:rsid w:val="008D4353"/>
    <w:rsid w:val="008D5D13"/>
    <w:rsid w:val="008D603F"/>
    <w:rsid w:val="008D60E3"/>
    <w:rsid w:val="008D6ED9"/>
    <w:rsid w:val="008D740C"/>
    <w:rsid w:val="008D7765"/>
    <w:rsid w:val="008E05AE"/>
    <w:rsid w:val="008E1513"/>
    <w:rsid w:val="008E1914"/>
    <w:rsid w:val="008E1E90"/>
    <w:rsid w:val="008E238B"/>
    <w:rsid w:val="008E2AF5"/>
    <w:rsid w:val="008E2DA8"/>
    <w:rsid w:val="008E331C"/>
    <w:rsid w:val="008E3660"/>
    <w:rsid w:val="008E378D"/>
    <w:rsid w:val="008E415E"/>
    <w:rsid w:val="008E4368"/>
    <w:rsid w:val="008E46B9"/>
    <w:rsid w:val="008E4855"/>
    <w:rsid w:val="008E5427"/>
    <w:rsid w:val="008E5593"/>
    <w:rsid w:val="008E577A"/>
    <w:rsid w:val="008E6372"/>
    <w:rsid w:val="008E680B"/>
    <w:rsid w:val="008E6A9B"/>
    <w:rsid w:val="008E6C0D"/>
    <w:rsid w:val="008E6E14"/>
    <w:rsid w:val="008E705C"/>
    <w:rsid w:val="008E7775"/>
    <w:rsid w:val="008E7E33"/>
    <w:rsid w:val="008F168F"/>
    <w:rsid w:val="008F1A7B"/>
    <w:rsid w:val="008F1EBB"/>
    <w:rsid w:val="008F326D"/>
    <w:rsid w:val="008F39F8"/>
    <w:rsid w:val="008F42CB"/>
    <w:rsid w:val="008F4D48"/>
    <w:rsid w:val="008F4DD6"/>
    <w:rsid w:val="008F5FD3"/>
    <w:rsid w:val="008F7A8D"/>
    <w:rsid w:val="008F7AD3"/>
    <w:rsid w:val="008F7B8A"/>
    <w:rsid w:val="0090031E"/>
    <w:rsid w:val="00900E48"/>
    <w:rsid w:val="00900F31"/>
    <w:rsid w:val="00901099"/>
    <w:rsid w:val="009018EB"/>
    <w:rsid w:val="00902E08"/>
    <w:rsid w:val="00903938"/>
    <w:rsid w:val="00904306"/>
    <w:rsid w:val="0090434A"/>
    <w:rsid w:val="00905274"/>
    <w:rsid w:val="00905CB5"/>
    <w:rsid w:val="009060EB"/>
    <w:rsid w:val="009068D6"/>
    <w:rsid w:val="00911C97"/>
    <w:rsid w:val="00911E0D"/>
    <w:rsid w:val="00912F38"/>
    <w:rsid w:val="00913154"/>
    <w:rsid w:val="00913385"/>
    <w:rsid w:val="009136BC"/>
    <w:rsid w:val="0091401B"/>
    <w:rsid w:val="009141C5"/>
    <w:rsid w:val="00914467"/>
    <w:rsid w:val="0091463E"/>
    <w:rsid w:val="00915087"/>
    <w:rsid w:val="009152A4"/>
    <w:rsid w:val="00915B98"/>
    <w:rsid w:val="0091655E"/>
    <w:rsid w:val="009166E7"/>
    <w:rsid w:val="00916971"/>
    <w:rsid w:val="00916D3F"/>
    <w:rsid w:val="0092104A"/>
    <w:rsid w:val="009211FD"/>
    <w:rsid w:val="009213C7"/>
    <w:rsid w:val="0092172A"/>
    <w:rsid w:val="00921923"/>
    <w:rsid w:val="00921E98"/>
    <w:rsid w:val="009221A6"/>
    <w:rsid w:val="00922774"/>
    <w:rsid w:val="0092299C"/>
    <w:rsid w:val="00922A5D"/>
    <w:rsid w:val="0092349A"/>
    <w:rsid w:val="009243AA"/>
    <w:rsid w:val="009244B7"/>
    <w:rsid w:val="009244C6"/>
    <w:rsid w:val="00925702"/>
    <w:rsid w:val="009260EB"/>
    <w:rsid w:val="009269BE"/>
    <w:rsid w:val="00926CA2"/>
    <w:rsid w:val="00926CF9"/>
    <w:rsid w:val="00927B00"/>
    <w:rsid w:val="00927D86"/>
    <w:rsid w:val="00930114"/>
    <w:rsid w:val="009302A1"/>
    <w:rsid w:val="00930349"/>
    <w:rsid w:val="00930F8F"/>
    <w:rsid w:val="00931665"/>
    <w:rsid w:val="00931747"/>
    <w:rsid w:val="00932496"/>
    <w:rsid w:val="00933158"/>
    <w:rsid w:val="009332AA"/>
    <w:rsid w:val="009332B9"/>
    <w:rsid w:val="009336B0"/>
    <w:rsid w:val="00933F5E"/>
    <w:rsid w:val="009347A8"/>
    <w:rsid w:val="00936246"/>
    <w:rsid w:val="0093663A"/>
    <w:rsid w:val="0093663B"/>
    <w:rsid w:val="00936E8D"/>
    <w:rsid w:val="00936F59"/>
    <w:rsid w:val="00936FF1"/>
    <w:rsid w:val="00937058"/>
    <w:rsid w:val="009372A1"/>
    <w:rsid w:val="00937819"/>
    <w:rsid w:val="009378A9"/>
    <w:rsid w:val="00937B9B"/>
    <w:rsid w:val="00937DC5"/>
    <w:rsid w:val="00937F4A"/>
    <w:rsid w:val="00940249"/>
    <w:rsid w:val="0094050B"/>
    <w:rsid w:val="0094061C"/>
    <w:rsid w:val="009409AD"/>
    <w:rsid w:val="00941246"/>
    <w:rsid w:val="009419CF"/>
    <w:rsid w:val="00941BC6"/>
    <w:rsid w:val="00942057"/>
    <w:rsid w:val="009423B6"/>
    <w:rsid w:val="00942F49"/>
    <w:rsid w:val="009436B7"/>
    <w:rsid w:val="00944557"/>
    <w:rsid w:val="00944BB9"/>
    <w:rsid w:val="00945BB9"/>
    <w:rsid w:val="00945CBD"/>
    <w:rsid w:val="00945D74"/>
    <w:rsid w:val="009460F2"/>
    <w:rsid w:val="00946215"/>
    <w:rsid w:val="0094631C"/>
    <w:rsid w:val="00947306"/>
    <w:rsid w:val="009475EC"/>
    <w:rsid w:val="00947B77"/>
    <w:rsid w:val="00947EB9"/>
    <w:rsid w:val="009506F8"/>
    <w:rsid w:val="009508B3"/>
    <w:rsid w:val="00950BF2"/>
    <w:rsid w:val="0095156B"/>
    <w:rsid w:val="0095189F"/>
    <w:rsid w:val="00951D11"/>
    <w:rsid w:val="0095241C"/>
    <w:rsid w:val="00952441"/>
    <w:rsid w:val="00952578"/>
    <w:rsid w:val="00952AB3"/>
    <w:rsid w:val="00952B8F"/>
    <w:rsid w:val="00953D54"/>
    <w:rsid w:val="009548F7"/>
    <w:rsid w:val="00954945"/>
    <w:rsid w:val="00954E94"/>
    <w:rsid w:val="00955239"/>
    <w:rsid w:val="00955863"/>
    <w:rsid w:val="00955B8C"/>
    <w:rsid w:val="0095609B"/>
    <w:rsid w:val="00956502"/>
    <w:rsid w:val="00956ABC"/>
    <w:rsid w:val="00957091"/>
    <w:rsid w:val="009570B5"/>
    <w:rsid w:val="00960E7A"/>
    <w:rsid w:val="00962132"/>
    <w:rsid w:val="00962699"/>
    <w:rsid w:val="00962B7B"/>
    <w:rsid w:val="00963032"/>
    <w:rsid w:val="0096319D"/>
    <w:rsid w:val="00963218"/>
    <w:rsid w:val="00963BF6"/>
    <w:rsid w:val="00964B11"/>
    <w:rsid w:val="00964B12"/>
    <w:rsid w:val="00964DD4"/>
    <w:rsid w:val="00965938"/>
    <w:rsid w:val="00965DE0"/>
    <w:rsid w:val="00965EB8"/>
    <w:rsid w:val="00966446"/>
    <w:rsid w:val="00966EDE"/>
    <w:rsid w:val="00967327"/>
    <w:rsid w:val="00967DA4"/>
    <w:rsid w:val="0097024C"/>
    <w:rsid w:val="009703CA"/>
    <w:rsid w:val="00970499"/>
    <w:rsid w:val="00972319"/>
    <w:rsid w:val="00972381"/>
    <w:rsid w:val="00972BAD"/>
    <w:rsid w:val="00972DF8"/>
    <w:rsid w:val="00972E71"/>
    <w:rsid w:val="0097346B"/>
    <w:rsid w:val="009737F7"/>
    <w:rsid w:val="00973DEC"/>
    <w:rsid w:val="009740CE"/>
    <w:rsid w:val="009742F5"/>
    <w:rsid w:val="0097446D"/>
    <w:rsid w:val="00975BE8"/>
    <w:rsid w:val="00975D55"/>
    <w:rsid w:val="009764F3"/>
    <w:rsid w:val="00976E19"/>
    <w:rsid w:val="00976F21"/>
    <w:rsid w:val="00977618"/>
    <w:rsid w:val="00977B26"/>
    <w:rsid w:val="00977F82"/>
    <w:rsid w:val="00980072"/>
    <w:rsid w:val="009808EF"/>
    <w:rsid w:val="00980AC1"/>
    <w:rsid w:val="00980BF6"/>
    <w:rsid w:val="0098168E"/>
    <w:rsid w:val="009820A5"/>
    <w:rsid w:val="00983607"/>
    <w:rsid w:val="00984FCC"/>
    <w:rsid w:val="0098510D"/>
    <w:rsid w:val="00985170"/>
    <w:rsid w:val="0098550B"/>
    <w:rsid w:val="009866A0"/>
    <w:rsid w:val="009867F1"/>
    <w:rsid w:val="009872C0"/>
    <w:rsid w:val="00987510"/>
    <w:rsid w:val="0098764F"/>
    <w:rsid w:val="00991BC8"/>
    <w:rsid w:val="00991EC1"/>
    <w:rsid w:val="00991FFA"/>
    <w:rsid w:val="00992153"/>
    <w:rsid w:val="009929C3"/>
    <w:rsid w:val="009930D2"/>
    <w:rsid w:val="009932F0"/>
    <w:rsid w:val="00993619"/>
    <w:rsid w:val="009948AD"/>
    <w:rsid w:val="0099589B"/>
    <w:rsid w:val="00995E03"/>
    <w:rsid w:val="00995F91"/>
    <w:rsid w:val="009968B4"/>
    <w:rsid w:val="009975EA"/>
    <w:rsid w:val="009A032A"/>
    <w:rsid w:val="009A05FD"/>
    <w:rsid w:val="009A1304"/>
    <w:rsid w:val="009A18FB"/>
    <w:rsid w:val="009A1D43"/>
    <w:rsid w:val="009A44F2"/>
    <w:rsid w:val="009A48A1"/>
    <w:rsid w:val="009A4A46"/>
    <w:rsid w:val="009A4A63"/>
    <w:rsid w:val="009A4AB7"/>
    <w:rsid w:val="009A4BB1"/>
    <w:rsid w:val="009A50FA"/>
    <w:rsid w:val="009A54A3"/>
    <w:rsid w:val="009A59F3"/>
    <w:rsid w:val="009A5B07"/>
    <w:rsid w:val="009A6677"/>
    <w:rsid w:val="009A7A06"/>
    <w:rsid w:val="009B0037"/>
    <w:rsid w:val="009B0907"/>
    <w:rsid w:val="009B0E0D"/>
    <w:rsid w:val="009B1299"/>
    <w:rsid w:val="009B1AB2"/>
    <w:rsid w:val="009B30FA"/>
    <w:rsid w:val="009B3190"/>
    <w:rsid w:val="009B35F7"/>
    <w:rsid w:val="009B4676"/>
    <w:rsid w:val="009B5781"/>
    <w:rsid w:val="009B64C4"/>
    <w:rsid w:val="009B65F9"/>
    <w:rsid w:val="009B6BC7"/>
    <w:rsid w:val="009B6CA0"/>
    <w:rsid w:val="009B76C6"/>
    <w:rsid w:val="009C0A10"/>
    <w:rsid w:val="009C0F0A"/>
    <w:rsid w:val="009C110A"/>
    <w:rsid w:val="009C1398"/>
    <w:rsid w:val="009C1500"/>
    <w:rsid w:val="009C1693"/>
    <w:rsid w:val="009C193D"/>
    <w:rsid w:val="009C1EB7"/>
    <w:rsid w:val="009C2A91"/>
    <w:rsid w:val="009C2B50"/>
    <w:rsid w:val="009C2D69"/>
    <w:rsid w:val="009C367E"/>
    <w:rsid w:val="009C385C"/>
    <w:rsid w:val="009C38C1"/>
    <w:rsid w:val="009C3925"/>
    <w:rsid w:val="009C3B16"/>
    <w:rsid w:val="009C4B9C"/>
    <w:rsid w:val="009C52CD"/>
    <w:rsid w:val="009C6758"/>
    <w:rsid w:val="009C6CEC"/>
    <w:rsid w:val="009C6D52"/>
    <w:rsid w:val="009C7822"/>
    <w:rsid w:val="009C7899"/>
    <w:rsid w:val="009C7AE2"/>
    <w:rsid w:val="009C7B53"/>
    <w:rsid w:val="009D0347"/>
    <w:rsid w:val="009D096E"/>
    <w:rsid w:val="009D264A"/>
    <w:rsid w:val="009D273D"/>
    <w:rsid w:val="009D273E"/>
    <w:rsid w:val="009D2991"/>
    <w:rsid w:val="009D2AB1"/>
    <w:rsid w:val="009D3D3F"/>
    <w:rsid w:val="009D5344"/>
    <w:rsid w:val="009D57E0"/>
    <w:rsid w:val="009D58BA"/>
    <w:rsid w:val="009D5FFA"/>
    <w:rsid w:val="009D65F1"/>
    <w:rsid w:val="009D665C"/>
    <w:rsid w:val="009D6B46"/>
    <w:rsid w:val="009D749A"/>
    <w:rsid w:val="009E01D6"/>
    <w:rsid w:val="009E0EA9"/>
    <w:rsid w:val="009E135A"/>
    <w:rsid w:val="009E1DBB"/>
    <w:rsid w:val="009E214E"/>
    <w:rsid w:val="009E236B"/>
    <w:rsid w:val="009E2570"/>
    <w:rsid w:val="009E27C8"/>
    <w:rsid w:val="009E2CD2"/>
    <w:rsid w:val="009E307D"/>
    <w:rsid w:val="009E3526"/>
    <w:rsid w:val="009E3ABE"/>
    <w:rsid w:val="009E3B59"/>
    <w:rsid w:val="009E45BC"/>
    <w:rsid w:val="009E4BA7"/>
    <w:rsid w:val="009E4DB0"/>
    <w:rsid w:val="009E67A5"/>
    <w:rsid w:val="009E6C55"/>
    <w:rsid w:val="009E73B1"/>
    <w:rsid w:val="009E799F"/>
    <w:rsid w:val="009E7EFF"/>
    <w:rsid w:val="009F0190"/>
    <w:rsid w:val="009F024D"/>
    <w:rsid w:val="009F06A3"/>
    <w:rsid w:val="009F0DB3"/>
    <w:rsid w:val="009F1734"/>
    <w:rsid w:val="009F18E0"/>
    <w:rsid w:val="009F1D18"/>
    <w:rsid w:val="009F2E6A"/>
    <w:rsid w:val="009F30A5"/>
    <w:rsid w:val="009F31C2"/>
    <w:rsid w:val="009F328F"/>
    <w:rsid w:val="009F3BAD"/>
    <w:rsid w:val="009F3F8E"/>
    <w:rsid w:val="009F4C24"/>
    <w:rsid w:val="009F5AE1"/>
    <w:rsid w:val="009F5F0F"/>
    <w:rsid w:val="009F60DB"/>
    <w:rsid w:val="009F6579"/>
    <w:rsid w:val="009F667D"/>
    <w:rsid w:val="009F7038"/>
    <w:rsid w:val="009F71CB"/>
    <w:rsid w:val="009F767A"/>
    <w:rsid w:val="00A00547"/>
    <w:rsid w:val="00A01708"/>
    <w:rsid w:val="00A01801"/>
    <w:rsid w:val="00A02D6A"/>
    <w:rsid w:val="00A03A36"/>
    <w:rsid w:val="00A03D83"/>
    <w:rsid w:val="00A0408F"/>
    <w:rsid w:val="00A047CE"/>
    <w:rsid w:val="00A0575E"/>
    <w:rsid w:val="00A05CFB"/>
    <w:rsid w:val="00A061D5"/>
    <w:rsid w:val="00A06332"/>
    <w:rsid w:val="00A06387"/>
    <w:rsid w:val="00A065DD"/>
    <w:rsid w:val="00A06F3D"/>
    <w:rsid w:val="00A071CF"/>
    <w:rsid w:val="00A076F6"/>
    <w:rsid w:val="00A07812"/>
    <w:rsid w:val="00A078EF"/>
    <w:rsid w:val="00A07CD8"/>
    <w:rsid w:val="00A11209"/>
    <w:rsid w:val="00A11752"/>
    <w:rsid w:val="00A11D0C"/>
    <w:rsid w:val="00A13D7D"/>
    <w:rsid w:val="00A141CC"/>
    <w:rsid w:val="00A142E8"/>
    <w:rsid w:val="00A15667"/>
    <w:rsid w:val="00A15A67"/>
    <w:rsid w:val="00A15E3C"/>
    <w:rsid w:val="00A164F8"/>
    <w:rsid w:val="00A16A4E"/>
    <w:rsid w:val="00A1730B"/>
    <w:rsid w:val="00A17CE2"/>
    <w:rsid w:val="00A21573"/>
    <w:rsid w:val="00A218FF"/>
    <w:rsid w:val="00A21D01"/>
    <w:rsid w:val="00A223C0"/>
    <w:rsid w:val="00A22604"/>
    <w:rsid w:val="00A2274D"/>
    <w:rsid w:val="00A228E9"/>
    <w:rsid w:val="00A237B3"/>
    <w:rsid w:val="00A23E3D"/>
    <w:rsid w:val="00A255D3"/>
    <w:rsid w:val="00A258FB"/>
    <w:rsid w:val="00A25C74"/>
    <w:rsid w:val="00A26154"/>
    <w:rsid w:val="00A26495"/>
    <w:rsid w:val="00A267F2"/>
    <w:rsid w:val="00A27223"/>
    <w:rsid w:val="00A277D8"/>
    <w:rsid w:val="00A27CFC"/>
    <w:rsid w:val="00A302F1"/>
    <w:rsid w:val="00A305D9"/>
    <w:rsid w:val="00A31B8C"/>
    <w:rsid w:val="00A323BF"/>
    <w:rsid w:val="00A32E5D"/>
    <w:rsid w:val="00A3337F"/>
    <w:rsid w:val="00A33CBC"/>
    <w:rsid w:val="00A34AB0"/>
    <w:rsid w:val="00A34BF3"/>
    <w:rsid w:val="00A34DBD"/>
    <w:rsid w:val="00A35572"/>
    <w:rsid w:val="00A35761"/>
    <w:rsid w:val="00A3642A"/>
    <w:rsid w:val="00A3675D"/>
    <w:rsid w:val="00A40E19"/>
    <w:rsid w:val="00A40E62"/>
    <w:rsid w:val="00A41886"/>
    <w:rsid w:val="00A421AC"/>
    <w:rsid w:val="00A42898"/>
    <w:rsid w:val="00A42C4C"/>
    <w:rsid w:val="00A43D0D"/>
    <w:rsid w:val="00A43DC2"/>
    <w:rsid w:val="00A4406F"/>
    <w:rsid w:val="00A449A2"/>
    <w:rsid w:val="00A44BCF"/>
    <w:rsid w:val="00A45C8F"/>
    <w:rsid w:val="00A46441"/>
    <w:rsid w:val="00A46AD8"/>
    <w:rsid w:val="00A4707C"/>
    <w:rsid w:val="00A4708A"/>
    <w:rsid w:val="00A47597"/>
    <w:rsid w:val="00A479B8"/>
    <w:rsid w:val="00A505FD"/>
    <w:rsid w:val="00A50903"/>
    <w:rsid w:val="00A50930"/>
    <w:rsid w:val="00A50D3A"/>
    <w:rsid w:val="00A512EC"/>
    <w:rsid w:val="00A51426"/>
    <w:rsid w:val="00A51CDD"/>
    <w:rsid w:val="00A52420"/>
    <w:rsid w:val="00A525F7"/>
    <w:rsid w:val="00A526B0"/>
    <w:rsid w:val="00A52C5C"/>
    <w:rsid w:val="00A52D1F"/>
    <w:rsid w:val="00A53C57"/>
    <w:rsid w:val="00A54216"/>
    <w:rsid w:val="00A561E2"/>
    <w:rsid w:val="00A579F7"/>
    <w:rsid w:val="00A57FF2"/>
    <w:rsid w:val="00A603DC"/>
    <w:rsid w:val="00A6074D"/>
    <w:rsid w:val="00A6099C"/>
    <w:rsid w:val="00A612F1"/>
    <w:rsid w:val="00A613D0"/>
    <w:rsid w:val="00A6150F"/>
    <w:rsid w:val="00A6187A"/>
    <w:rsid w:val="00A63746"/>
    <w:rsid w:val="00A64733"/>
    <w:rsid w:val="00A65AB0"/>
    <w:rsid w:val="00A661B4"/>
    <w:rsid w:val="00A661CA"/>
    <w:rsid w:val="00A666A8"/>
    <w:rsid w:val="00A66B11"/>
    <w:rsid w:val="00A66D35"/>
    <w:rsid w:val="00A66E36"/>
    <w:rsid w:val="00A67DC2"/>
    <w:rsid w:val="00A67E96"/>
    <w:rsid w:val="00A67EEE"/>
    <w:rsid w:val="00A700BE"/>
    <w:rsid w:val="00A70186"/>
    <w:rsid w:val="00A705C4"/>
    <w:rsid w:val="00A70B30"/>
    <w:rsid w:val="00A7201C"/>
    <w:rsid w:val="00A726EB"/>
    <w:rsid w:val="00A7272A"/>
    <w:rsid w:val="00A72941"/>
    <w:rsid w:val="00A72B3A"/>
    <w:rsid w:val="00A72B5D"/>
    <w:rsid w:val="00A73B0A"/>
    <w:rsid w:val="00A74BA8"/>
    <w:rsid w:val="00A74C48"/>
    <w:rsid w:val="00A7506D"/>
    <w:rsid w:val="00A753FA"/>
    <w:rsid w:val="00A76C74"/>
    <w:rsid w:val="00A76F8F"/>
    <w:rsid w:val="00A778BD"/>
    <w:rsid w:val="00A810C5"/>
    <w:rsid w:val="00A81567"/>
    <w:rsid w:val="00A817BE"/>
    <w:rsid w:val="00A81D91"/>
    <w:rsid w:val="00A82031"/>
    <w:rsid w:val="00A821C7"/>
    <w:rsid w:val="00A82FE8"/>
    <w:rsid w:val="00A83BB5"/>
    <w:rsid w:val="00A83D2B"/>
    <w:rsid w:val="00A84149"/>
    <w:rsid w:val="00A84E79"/>
    <w:rsid w:val="00A85472"/>
    <w:rsid w:val="00A857B8"/>
    <w:rsid w:val="00A86029"/>
    <w:rsid w:val="00A866DF"/>
    <w:rsid w:val="00A875BD"/>
    <w:rsid w:val="00A87BC5"/>
    <w:rsid w:val="00A87D8D"/>
    <w:rsid w:val="00A87FFC"/>
    <w:rsid w:val="00A90B1D"/>
    <w:rsid w:val="00A911E7"/>
    <w:rsid w:val="00A91504"/>
    <w:rsid w:val="00A92CD0"/>
    <w:rsid w:val="00A92DA0"/>
    <w:rsid w:val="00A9312B"/>
    <w:rsid w:val="00A9399A"/>
    <w:rsid w:val="00A94F6C"/>
    <w:rsid w:val="00A95768"/>
    <w:rsid w:val="00A96606"/>
    <w:rsid w:val="00A96CCA"/>
    <w:rsid w:val="00A979CD"/>
    <w:rsid w:val="00AA0546"/>
    <w:rsid w:val="00AA0CC6"/>
    <w:rsid w:val="00AA0CE3"/>
    <w:rsid w:val="00AA142C"/>
    <w:rsid w:val="00AA220E"/>
    <w:rsid w:val="00AA3453"/>
    <w:rsid w:val="00AA3AEF"/>
    <w:rsid w:val="00AA424A"/>
    <w:rsid w:val="00AA4A78"/>
    <w:rsid w:val="00AA4B49"/>
    <w:rsid w:val="00AA4E18"/>
    <w:rsid w:val="00AA5007"/>
    <w:rsid w:val="00AA548D"/>
    <w:rsid w:val="00AA5997"/>
    <w:rsid w:val="00AA714C"/>
    <w:rsid w:val="00AA71C0"/>
    <w:rsid w:val="00AA767D"/>
    <w:rsid w:val="00AB0086"/>
    <w:rsid w:val="00AB14F9"/>
    <w:rsid w:val="00AB1C99"/>
    <w:rsid w:val="00AB1EE7"/>
    <w:rsid w:val="00AB21CF"/>
    <w:rsid w:val="00AB2906"/>
    <w:rsid w:val="00AB29C5"/>
    <w:rsid w:val="00AB31BE"/>
    <w:rsid w:val="00AB34FE"/>
    <w:rsid w:val="00AB3F18"/>
    <w:rsid w:val="00AB3F7C"/>
    <w:rsid w:val="00AB462F"/>
    <w:rsid w:val="00AB48B0"/>
    <w:rsid w:val="00AB4C06"/>
    <w:rsid w:val="00AB4D4E"/>
    <w:rsid w:val="00AB55A4"/>
    <w:rsid w:val="00AB5952"/>
    <w:rsid w:val="00AB5A41"/>
    <w:rsid w:val="00AB5EC6"/>
    <w:rsid w:val="00AB6966"/>
    <w:rsid w:val="00AB6B1D"/>
    <w:rsid w:val="00AB6BC4"/>
    <w:rsid w:val="00AB7A74"/>
    <w:rsid w:val="00AC06F4"/>
    <w:rsid w:val="00AC0DE5"/>
    <w:rsid w:val="00AC1090"/>
    <w:rsid w:val="00AC150D"/>
    <w:rsid w:val="00AC1EEA"/>
    <w:rsid w:val="00AC1F22"/>
    <w:rsid w:val="00AC20C2"/>
    <w:rsid w:val="00AC242C"/>
    <w:rsid w:val="00AC263A"/>
    <w:rsid w:val="00AC2B27"/>
    <w:rsid w:val="00AC2BA7"/>
    <w:rsid w:val="00AC3AFA"/>
    <w:rsid w:val="00AC3CCA"/>
    <w:rsid w:val="00AC3CF3"/>
    <w:rsid w:val="00AC4A56"/>
    <w:rsid w:val="00AC4B48"/>
    <w:rsid w:val="00AC528C"/>
    <w:rsid w:val="00AC529F"/>
    <w:rsid w:val="00AC53EB"/>
    <w:rsid w:val="00AC56A5"/>
    <w:rsid w:val="00AC570B"/>
    <w:rsid w:val="00AC5A34"/>
    <w:rsid w:val="00AC7BA7"/>
    <w:rsid w:val="00AC7D8F"/>
    <w:rsid w:val="00AD0EE0"/>
    <w:rsid w:val="00AD1513"/>
    <w:rsid w:val="00AD1A54"/>
    <w:rsid w:val="00AD1C59"/>
    <w:rsid w:val="00AD223A"/>
    <w:rsid w:val="00AD2290"/>
    <w:rsid w:val="00AD2A3D"/>
    <w:rsid w:val="00AD2B58"/>
    <w:rsid w:val="00AD2D19"/>
    <w:rsid w:val="00AD302F"/>
    <w:rsid w:val="00AD3AC1"/>
    <w:rsid w:val="00AD4155"/>
    <w:rsid w:val="00AD45B8"/>
    <w:rsid w:val="00AD4604"/>
    <w:rsid w:val="00AD4BC1"/>
    <w:rsid w:val="00AD5107"/>
    <w:rsid w:val="00AD5E23"/>
    <w:rsid w:val="00AD5FA8"/>
    <w:rsid w:val="00AD6457"/>
    <w:rsid w:val="00AD665E"/>
    <w:rsid w:val="00AD7B91"/>
    <w:rsid w:val="00AE003D"/>
    <w:rsid w:val="00AE013A"/>
    <w:rsid w:val="00AE01B8"/>
    <w:rsid w:val="00AE0668"/>
    <w:rsid w:val="00AE0889"/>
    <w:rsid w:val="00AE0905"/>
    <w:rsid w:val="00AE10DF"/>
    <w:rsid w:val="00AE1959"/>
    <w:rsid w:val="00AE20F7"/>
    <w:rsid w:val="00AE3666"/>
    <w:rsid w:val="00AE3832"/>
    <w:rsid w:val="00AE3A54"/>
    <w:rsid w:val="00AE4A02"/>
    <w:rsid w:val="00AE4AA9"/>
    <w:rsid w:val="00AE4F09"/>
    <w:rsid w:val="00AE51D6"/>
    <w:rsid w:val="00AE590E"/>
    <w:rsid w:val="00AE5BD5"/>
    <w:rsid w:val="00AE61B5"/>
    <w:rsid w:val="00AE64B9"/>
    <w:rsid w:val="00AE69AF"/>
    <w:rsid w:val="00AE7FDB"/>
    <w:rsid w:val="00AF007E"/>
    <w:rsid w:val="00AF0484"/>
    <w:rsid w:val="00AF06BF"/>
    <w:rsid w:val="00AF07B8"/>
    <w:rsid w:val="00AF172C"/>
    <w:rsid w:val="00AF269A"/>
    <w:rsid w:val="00AF28F6"/>
    <w:rsid w:val="00AF30A4"/>
    <w:rsid w:val="00AF37E0"/>
    <w:rsid w:val="00AF47EF"/>
    <w:rsid w:val="00AF5859"/>
    <w:rsid w:val="00AF5A2A"/>
    <w:rsid w:val="00AF6214"/>
    <w:rsid w:val="00AF6E9E"/>
    <w:rsid w:val="00AF6F11"/>
    <w:rsid w:val="00AF7021"/>
    <w:rsid w:val="00AF71D7"/>
    <w:rsid w:val="00AF7856"/>
    <w:rsid w:val="00B001AD"/>
    <w:rsid w:val="00B003E6"/>
    <w:rsid w:val="00B005D8"/>
    <w:rsid w:val="00B00CCB"/>
    <w:rsid w:val="00B00D53"/>
    <w:rsid w:val="00B00EDE"/>
    <w:rsid w:val="00B01186"/>
    <w:rsid w:val="00B01266"/>
    <w:rsid w:val="00B012D9"/>
    <w:rsid w:val="00B02049"/>
    <w:rsid w:val="00B0251F"/>
    <w:rsid w:val="00B03550"/>
    <w:rsid w:val="00B03E19"/>
    <w:rsid w:val="00B053A0"/>
    <w:rsid w:val="00B05527"/>
    <w:rsid w:val="00B073B8"/>
    <w:rsid w:val="00B07717"/>
    <w:rsid w:val="00B10067"/>
    <w:rsid w:val="00B112FC"/>
    <w:rsid w:val="00B1248F"/>
    <w:rsid w:val="00B13169"/>
    <w:rsid w:val="00B135FF"/>
    <w:rsid w:val="00B13B61"/>
    <w:rsid w:val="00B13E2F"/>
    <w:rsid w:val="00B14405"/>
    <w:rsid w:val="00B15967"/>
    <w:rsid w:val="00B15C4C"/>
    <w:rsid w:val="00B1635E"/>
    <w:rsid w:val="00B16DBF"/>
    <w:rsid w:val="00B1763E"/>
    <w:rsid w:val="00B1775B"/>
    <w:rsid w:val="00B17D69"/>
    <w:rsid w:val="00B20681"/>
    <w:rsid w:val="00B21498"/>
    <w:rsid w:val="00B214E8"/>
    <w:rsid w:val="00B2182E"/>
    <w:rsid w:val="00B21A98"/>
    <w:rsid w:val="00B22D8D"/>
    <w:rsid w:val="00B2309A"/>
    <w:rsid w:val="00B234EE"/>
    <w:rsid w:val="00B23D44"/>
    <w:rsid w:val="00B23E89"/>
    <w:rsid w:val="00B23F04"/>
    <w:rsid w:val="00B244CF"/>
    <w:rsid w:val="00B24766"/>
    <w:rsid w:val="00B24B16"/>
    <w:rsid w:val="00B257EB"/>
    <w:rsid w:val="00B25E43"/>
    <w:rsid w:val="00B25F2D"/>
    <w:rsid w:val="00B26385"/>
    <w:rsid w:val="00B30068"/>
    <w:rsid w:val="00B30075"/>
    <w:rsid w:val="00B30538"/>
    <w:rsid w:val="00B3059F"/>
    <w:rsid w:val="00B30F94"/>
    <w:rsid w:val="00B317B4"/>
    <w:rsid w:val="00B31C15"/>
    <w:rsid w:val="00B31DE9"/>
    <w:rsid w:val="00B31FDF"/>
    <w:rsid w:val="00B323B9"/>
    <w:rsid w:val="00B32D80"/>
    <w:rsid w:val="00B33151"/>
    <w:rsid w:val="00B3352D"/>
    <w:rsid w:val="00B34058"/>
    <w:rsid w:val="00B3434A"/>
    <w:rsid w:val="00B36103"/>
    <w:rsid w:val="00B367C8"/>
    <w:rsid w:val="00B37D61"/>
    <w:rsid w:val="00B4037A"/>
    <w:rsid w:val="00B40482"/>
    <w:rsid w:val="00B40AEC"/>
    <w:rsid w:val="00B40BA2"/>
    <w:rsid w:val="00B40C96"/>
    <w:rsid w:val="00B41F92"/>
    <w:rsid w:val="00B425BD"/>
    <w:rsid w:val="00B43488"/>
    <w:rsid w:val="00B4465E"/>
    <w:rsid w:val="00B45162"/>
    <w:rsid w:val="00B451B3"/>
    <w:rsid w:val="00B455C3"/>
    <w:rsid w:val="00B4611F"/>
    <w:rsid w:val="00B4710E"/>
    <w:rsid w:val="00B47619"/>
    <w:rsid w:val="00B478DB"/>
    <w:rsid w:val="00B50944"/>
    <w:rsid w:val="00B51D60"/>
    <w:rsid w:val="00B5219E"/>
    <w:rsid w:val="00B522C1"/>
    <w:rsid w:val="00B523BD"/>
    <w:rsid w:val="00B53887"/>
    <w:rsid w:val="00B53A2F"/>
    <w:rsid w:val="00B54014"/>
    <w:rsid w:val="00B549E1"/>
    <w:rsid w:val="00B54A0C"/>
    <w:rsid w:val="00B550C3"/>
    <w:rsid w:val="00B5521C"/>
    <w:rsid w:val="00B558D6"/>
    <w:rsid w:val="00B55C35"/>
    <w:rsid w:val="00B55CD9"/>
    <w:rsid w:val="00B55D9A"/>
    <w:rsid w:val="00B573CD"/>
    <w:rsid w:val="00B57639"/>
    <w:rsid w:val="00B57948"/>
    <w:rsid w:val="00B60198"/>
    <w:rsid w:val="00B60216"/>
    <w:rsid w:val="00B603AF"/>
    <w:rsid w:val="00B61671"/>
    <w:rsid w:val="00B6175F"/>
    <w:rsid w:val="00B61A47"/>
    <w:rsid w:val="00B61E22"/>
    <w:rsid w:val="00B6281F"/>
    <w:rsid w:val="00B62A55"/>
    <w:rsid w:val="00B62FC7"/>
    <w:rsid w:val="00B63BE7"/>
    <w:rsid w:val="00B640B3"/>
    <w:rsid w:val="00B64BDC"/>
    <w:rsid w:val="00B65E42"/>
    <w:rsid w:val="00B65E81"/>
    <w:rsid w:val="00B662B1"/>
    <w:rsid w:val="00B662B2"/>
    <w:rsid w:val="00B66C76"/>
    <w:rsid w:val="00B66CA1"/>
    <w:rsid w:val="00B66EBE"/>
    <w:rsid w:val="00B67A91"/>
    <w:rsid w:val="00B704C4"/>
    <w:rsid w:val="00B70745"/>
    <w:rsid w:val="00B71211"/>
    <w:rsid w:val="00B712DD"/>
    <w:rsid w:val="00B71D48"/>
    <w:rsid w:val="00B7278F"/>
    <w:rsid w:val="00B731BD"/>
    <w:rsid w:val="00B73AB7"/>
    <w:rsid w:val="00B73CFB"/>
    <w:rsid w:val="00B740DF"/>
    <w:rsid w:val="00B7463E"/>
    <w:rsid w:val="00B7535D"/>
    <w:rsid w:val="00B7577A"/>
    <w:rsid w:val="00B764A8"/>
    <w:rsid w:val="00B76CED"/>
    <w:rsid w:val="00B772E4"/>
    <w:rsid w:val="00B77391"/>
    <w:rsid w:val="00B7749F"/>
    <w:rsid w:val="00B77627"/>
    <w:rsid w:val="00B77C6E"/>
    <w:rsid w:val="00B80190"/>
    <w:rsid w:val="00B812EA"/>
    <w:rsid w:val="00B81357"/>
    <w:rsid w:val="00B814A7"/>
    <w:rsid w:val="00B81568"/>
    <w:rsid w:val="00B8295F"/>
    <w:rsid w:val="00B83475"/>
    <w:rsid w:val="00B835EB"/>
    <w:rsid w:val="00B836C9"/>
    <w:rsid w:val="00B83BC3"/>
    <w:rsid w:val="00B83F87"/>
    <w:rsid w:val="00B8417C"/>
    <w:rsid w:val="00B8538F"/>
    <w:rsid w:val="00B855C4"/>
    <w:rsid w:val="00B85954"/>
    <w:rsid w:val="00B85F6C"/>
    <w:rsid w:val="00B87804"/>
    <w:rsid w:val="00B87D18"/>
    <w:rsid w:val="00B912E3"/>
    <w:rsid w:val="00B91469"/>
    <w:rsid w:val="00B92262"/>
    <w:rsid w:val="00B93666"/>
    <w:rsid w:val="00B93897"/>
    <w:rsid w:val="00B93F01"/>
    <w:rsid w:val="00B9405F"/>
    <w:rsid w:val="00B941EB"/>
    <w:rsid w:val="00B94475"/>
    <w:rsid w:val="00B9450E"/>
    <w:rsid w:val="00B949FB"/>
    <w:rsid w:val="00B94CC9"/>
    <w:rsid w:val="00B95394"/>
    <w:rsid w:val="00B956F1"/>
    <w:rsid w:val="00B95772"/>
    <w:rsid w:val="00B96050"/>
    <w:rsid w:val="00B969A1"/>
    <w:rsid w:val="00B96BAC"/>
    <w:rsid w:val="00B96D5D"/>
    <w:rsid w:val="00B9723A"/>
    <w:rsid w:val="00B977A6"/>
    <w:rsid w:val="00B97B93"/>
    <w:rsid w:val="00B97BFE"/>
    <w:rsid w:val="00BA07E4"/>
    <w:rsid w:val="00BA082E"/>
    <w:rsid w:val="00BA12BB"/>
    <w:rsid w:val="00BA1930"/>
    <w:rsid w:val="00BA1C5F"/>
    <w:rsid w:val="00BA1D3D"/>
    <w:rsid w:val="00BA282B"/>
    <w:rsid w:val="00BA2DCE"/>
    <w:rsid w:val="00BA3531"/>
    <w:rsid w:val="00BA454D"/>
    <w:rsid w:val="00BA4A30"/>
    <w:rsid w:val="00BA4A3B"/>
    <w:rsid w:val="00BA4FE3"/>
    <w:rsid w:val="00BA5A5A"/>
    <w:rsid w:val="00BA6580"/>
    <w:rsid w:val="00BA6D88"/>
    <w:rsid w:val="00BA7144"/>
    <w:rsid w:val="00BA716B"/>
    <w:rsid w:val="00BA7AC7"/>
    <w:rsid w:val="00BB01FA"/>
    <w:rsid w:val="00BB14A5"/>
    <w:rsid w:val="00BB1FAA"/>
    <w:rsid w:val="00BB24DE"/>
    <w:rsid w:val="00BB2509"/>
    <w:rsid w:val="00BB2A4B"/>
    <w:rsid w:val="00BB2ED6"/>
    <w:rsid w:val="00BB31DD"/>
    <w:rsid w:val="00BB3441"/>
    <w:rsid w:val="00BB36AB"/>
    <w:rsid w:val="00BB3731"/>
    <w:rsid w:val="00BB5252"/>
    <w:rsid w:val="00BB52F4"/>
    <w:rsid w:val="00BB536A"/>
    <w:rsid w:val="00BB5E24"/>
    <w:rsid w:val="00BB620C"/>
    <w:rsid w:val="00BB65ED"/>
    <w:rsid w:val="00BB681C"/>
    <w:rsid w:val="00BB6A41"/>
    <w:rsid w:val="00BB7225"/>
    <w:rsid w:val="00BB726C"/>
    <w:rsid w:val="00BC0E6C"/>
    <w:rsid w:val="00BC1575"/>
    <w:rsid w:val="00BC1C32"/>
    <w:rsid w:val="00BC2062"/>
    <w:rsid w:val="00BC23EE"/>
    <w:rsid w:val="00BC34E5"/>
    <w:rsid w:val="00BC428C"/>
    <w:rsid w:val="00BC596E"/>
    <w:rsid w:val="00BC64F2"/>
    <w:rsid w:val="00BD02D5"/>
    <w:rsid w:val="00BD0436"/>
    <w:rsid w:val="00BD0A21"/>
    <w:rsid w:val="00BD1184"/>
    <w:rsid w:val="00BD1404"/>
    <w:rsid w:val="00BD333A"/>
    <w:rsid w:val="00BD46E4"/>
    <w:rsid w:val="00BD4726"/>
    <w:rsid w:val="00BD560F"/>
    <w:rsid w:val="00BD57F5"/>
    <w:rsid w:val="00BD59FB"/>
    <w:rsid w:val="00BD5B69"/>
    <w:rsid w:val="00BD5CEC"/>
    <w:rsid w:val="00BD632A"/>
    <w:rsid w:val="00BD63FC"/>
    <w:rsid w:val="00BD672E"/>
    <w:rsid w:val="00BD7606"/>
    <w:rsid w:val="00BE002B"/>
    <w:rsid w:val="00BE0211"/>
    <w:rsid w:val="00BE0E65"/>
    <w:rsid w:val="00BE11BC"/>
    <w:rsid w:val="00BE1DF9"/>
    <w:rsid w:val="00BE1EFA"/>
    <w:rsid w:val="00BE251F"/>
    <w:rsid w:val="00BE2EAD"/>
    <w:rsid w:val="00BE580B"/>
    <w:rsid w:val="00BE5892"/>
    <w:rsid w:val="00BE5E2D"/>
    <w:rsid w:val="00BE6351"/>
    <w:rsid w:val="00BE71B1"/>
    <w:rsid w:val="00BE7E68"/>
    <w:rsid w:val="00BF03A6"/>
    <w:rsid w:val="00BF069A"/>
    <w:rsid w:val="00BF07C4"/>
    <w:rsid w:val="00BF0F46"/>
    <w:rsid w:val="00BF21D9"/>
    <w:rsid w:val="00BF2D63"/>
    <w:rsid w:val="00BF30D8"/>
    <w:rsid w:val="00BF3DAE"/>
    <w:rsid w:val="00BF41F0"/>
    <w:rsid w:val="00BF4B6E"/>
    <w:rsid w:val="00BF50F9"/>
    <w:rsid w:val="00BF51AA"/>
    <w:rsid w:val="00BF5634"/>
    <w:rsid w:val="00BF56EA"/>
    <w:rsid w:val="00BF5BF3"/>
    <w:rsid w:val="00BF66D4"/>
    <w:rsid w:val="00C001BB"/>
    <w:rsid w:val="00C007E1"/>
    <w:rsid w:val="00C01CD1"/>
    <w:rsid w:val="00C021B6"/>
    <w:rsid w:val="00C023D0"/>
    <w:rsid w:val="00C024A9"/>
    <w:rsid w:val="00C028CE"/>
    <w:rsid w:val="00C02ADF"/>
    <w:rsid w:val="00C03545"/>
    <w:rsid w:val="00C03843"/>
    <w:rsid w:val="00C04966"/>
    <w:rsid w:val="00C0499F"/>
    <w:rsid w:val="00C050CA"/>
    <w:rsid w:val="00C0560F"/>
    <w:rsid w:val="00C06234"/>
    <w:rsid w:val="00C065D0"/>
    <w:rsid w:val="00C0680A"/>
    <w:rsid w:val="00C06CCA"/>
    <w:rsid w:val="00C06FB3"/>
    <w:rsid w:val="00C11B6A"/>
    <w:rsid w:val="00C11D81"/>
    <w:rsid w:val="00C1243B"/>
    <w:rsid w:val="00C13693"/>
    <w:rsid w:val="00C1382F"/>
    <w:rsid w:val="00C13C9B"/>
    <w:rsid w:val="00C14908"/>
    <w:rsid w:val="00C15001"/>
    <w:rsid w:val="00C16594"/>
    <w:rsid w:val="00C166BD"/>
    <w:rsid w:val="00C16D49"/>
    <w:rsid w:val="00C170E0"/>
    <w:rsid w:val="00C20C16"/>
    <w:rsid w:val="00C21901"/>
    <w:rsid w:val="00C21A26"/>
    <w:rsid w:val="00C22BC3"/>
    <w:rsid w:val="00C2400D"/>
    <w:rsid w:val="00C24315"/>
    <w:rsid w:val="00C244A2"/>
    <w:rsid w:val="00C2482B"/>
    <w:rsid w:val="00C25250"/>
    <w:rsid w:val="00C26637"/>
    <w:rsid w:val="00C27092"/>
    <w:rsid w:val="00C279EC"/>
    <w:rsid w:val="00C3009D"/>
    <w:rsid w:val="00C301DD"/>
    <w:rsid w:val="00C32734"/>
    <w:rsid w:val="00C327D2"/>
    <w:rsid w:val="00C327F2"/>
    <w:rsid w:val="00C32A50"/>
    <w:rsid w:val="00C33343"/>
    <w:rsid w:val="00C337CE"/>
    <w:rsid w:val="00C343BF"/>
    <w:rsid w:val="00C34441"/>
    <w:rsid w:val="00C34878"/>
    <w:rsid w:val="00C34B67"/>
    <w:rsid w:val="00C358F2"/>
    <w:rsid w:val="00C35DEE"/>
    <w:rsid w:val="00C36294"/>
    <w:rsid w:val="00C3721E"/>
    <w:rsid w:val="00C409C9"/>
    <w:rsid w:val="00C41615"/>
    <w:rsid w:val="00C418B9"/>
    <w:rsid w:val="00C42D5C"/>
    <w:rsid w:val="00C42E0C"/>
    <w:rsid w:val="00C42E7C"/>
    <w:rsid w:val="00C430A9"/>
    <w:rsid w:val="00C431B1"/>
    <w:rsid w:val="00C432D8"/>
    <w:rsid w:val="00C435A5"/>
    <w:rsid w:val="00C43B5A"/>
    <w:rsid w:val="00C43B9B"/>
    <w:rsid w:val="00C43CC8"/>
    <w:rsid w:val="00C4446C"/>
    <w:rsid w:val="00C445C8"/>
    <w:rsid w:val="00C458D7"/>
    <w:rsid w:val="00C45952"/>
    <w:rsid w:val="00C4613C"/>
    <w:rsid w:val="00C4650C"/>
    <w:rsid w:val="00C468E3"/>
    <w:rsid w:val="00C46D8C"/>
    <w:rsid w:val="00C46F49"/>
    <w:rsid w:val="00C47396"/>
    <w:rsid w:val="00C476FC"/>
    <w:rsid w:val="00C477CA"/>
    <w:rsid w:val="00C4787B"/>
    <w:rsid w:val="00C47FCD"/>
    <w:rsid w:val="00C50DD2"/>
    <w:rsid w:val="00C50E34"/>
    <w:rsid w:val="00C50FBF"/>
    <w:rsid w:val="00C51F33"/>
    <w:rsid w:val="00C5256C"/>
    <w:rsid w:val="00C527B7"/>
    <w:rsid w:val="00C52B5D"/>
    <w:rsid w:val="00C52E06"/>
    <w:rsid w:val="00C53138"/>
    <w:rsid w:val="00C53296"/>
    <w:rsid w:val="00C53704"/>
    <w:rsid w:val="00C5431E"/>
    <w:rsid w:val="00C54749"/>
    <w:rsid w:val="00C54A54"/>
    <w:rsid w:val="00C54F15"/>
    <w:rsid w:val="00C56B0C"/>
    <w:rsid w:val="00C573AE"/>
    <w:rsid w:val="00C573BC"/>
    <w:rsid w:val="00C604EC"/>
    <w:rsid w:val="00C60DC9"/>
    <w:rsid w:val="00C618D2"/>
    <w:rsid w:val="00C621D9"/>
    <w:rsid w:val="00C624DB"/>
    <w:rsid w:val="00C629FC"/>
    <w:rsid w:val="00C62BD0"/>
    <w:rsid w:val="00C636FC"/>
    <w:rsid w:val="00C6371F"/>
    <w:rsid w:val="00C6399F"/>
    <w:rsid w:val="00C6437B"/>
    <w:rsid w:val="00C643B1"/>
    <w:rsid w:val="00C65705"/>
    <w:rsid w:val="00C6597F"/>
    <w:rsid w:val="00C661F4"/>
    <w:rsid w:val="00C662D2"/>
    <w:rsid w:val="00C662DE"/>
    <w:rsid w:val="00C6675E"/>
    <w:rsid w:val="00C667C5"/>
    <w:rsid w:val="00C669EF"/>
    <w:rsid w:val="00C66CA9"/>
    <w:rsid w:val="00C66EC2"/>
    <w:rsid w:val="00C67053"/>
    <w:rsid w:val="00C67BC9"/>
    <w:rsid w:val="00C67E99"/>
    <w:rsid w:val="00C70CA6"/>
    <w:rsid w:val="00C713C2"/>
    <w:rsid w:val="00C71ECF"/>
    <w:rsid w:val="00C7239E"/>
    <w:rsid w:val="00C727F0"/>
    <w:rsid w:val="00C72DA7"/>
    <w:rsid w:val="00C741FC"/>
    <w:rsid w:val="00C742B1"/>
    <w:rsid w:val="00C74F37"/>
    <w:rsid w:val="00C757E3"/>
    <w:rsid w:val="00C75A8F"/>
    <w:rsid w:val="00C75BEE"/>
    <w:rsid w:val="00C76C36"/>
    <w:rsid w:val="00C77A8C"/>
    <w:rsid w:val="00C77C12"/>
    <w:rsid w:val="00C80296"/>
    <w:rsid w:val="00C80638"/>
    <w:rsid w:val="00C808CC"/>
    <w:rsid w:val="00C80BE8"/>
    <w:rsid w:val="00C80D4B"/>
    <w:rsid w:val="00C81213"/>
    <w:rsid w:val="00C81406"/>
    <w:rsid w:val="00C818CC"/>
    <w:rsid w:val="00C81C99"/>
    <w:rsid w:val="00C81C9F"/>
    <w:rsid w:val="00C81E69"/>
    <w:rsid w:val="00C82640"/>
    <w:rsid w:val="00C828AD"/>
    <w:rsid w:val="00C82D5F"/>
    <w:rsid w:val="00C835AA"/>
    <w:rsid w:val="00C83605"/>
    <w:rsid w:val="00C8437D"/>
    <w:rsid w:val="00C8451A"/>
    <w:rsid w:val="00C84637"/>
    <w:rsid w:val="00C85452"/>
    <w:rsid w:val="00C870BA"/>
    <w:rsid w:val="00C8740D"/>
    <w:rsid w:val="00C87BCE"/>
    <w:rsid w:val="00C901C8"/>
    <w:rsid w:val="00C90C9B"/>
    <w:rsid w:val="00C90CC2"/>
    <w:rsid w:val="00C91292"/>
    <w:rsid w:val="00C91801"/>
    <w:rsid w:val="00C9222F"/>
    <w:rsid w:val="00C922A3"/>
    <w:rsid w:val="00C92A22"/>
    <w:rsid w:val="00C92BF7"/>
    <w:rsid w:val="00C93264"/>
    <w:rsid w:val="00C93376"/>
    <w:rsid w:val="00C9366C"/>
    <w:rsid w:val="00C93FA2"/>
    <w:rsid w:val="00C94A11"/>
    <w:rsid w:val="00C95C08"/>
    <w:rsid w:val="00C971AD"/>
    <w:rsid w:val="00C97465"/>
    <w:rsid w:val="00C97780"/>
    <w:rsid w:val="00C978D6"/>
    <w:rsid w:val="00C97971"/>
    <w:rsid w:val="00C97A79"/>
    <w:rsid w:val="00CA21DD"/>
    <w:rsid w:val="00CA2D4F"/>
    <w:rsid w:val="00CA37DB"/>
    <w:rsid w:val="00CA3C13"/>
    <w:rsid w:val="00CA3CC7"/>
    <w:rsid w:val="00CA3F70"/>
    <w:rsid w:val="00CA4345"/>
    <w:rsid w:val="00CA4CDA"/>
    <w:rsid w:val="00CA4EDA"/>
    <w:rsid w:val="00CA5828"/>
    <w:rsid w:val="00CA7A16"/>
    <w:rsid w:val="00CA7BC1"/>
    <w:rsid w:val="00CA7E72"/>
    <w:rsid w:val="00CA7ED9"/>
    <w:rsid w:val="00CB0C2E"/>
    <w:rsid w:val="00CB17BD"/>
    <w:rsid w:val="00CB1CD7"/>
    <w:rsid w:val="00CB24A6"/>
    <w:rsid w:val="00CB24CC"/>
    <w:rsid w:val="00CB2F83"/>
    <w:rsid w:val="00CB329D"/>
    <w:rsid w:val="00CB462D"/>
    <w:rsid w:val="00CB4A95"/>
    <w:rsid w:val="00CB4B05"/>
    <w:rsid w:val="00CB5254"/>
    <w:rsid w:val="00CB5B05"/>
    <w:rsid w:val="00CB6492"/>
    <w:rsid w:val="00CB6C89"/>
    <w:rsid w:val="00CC0073"/>
    <w:rsid w:val="00CC07E4"/>
    <w:rsid w:val="00CC0827"/>
    <w:rsid w:val="00CC0976"/>
    <w:rsid w:val="00CC1A3F"/>
    <w:rsid w:val="00CC2614"/>
    <w:rsid w:val="00CC2B07"/>
    <w:rsid w:val="00CC2B43"/>
    <w:rsid w:val="00CC2CBB"/>
    <w:rsid w:val="00CC3CD5"/>
    <w:rsid w:val="00CC435B"/>
    <w:rsid w:val="00CC45B7"/>
    <w:rsid w:val="00CC4751"/>
    <w:rsid w:val="00CC4808"/>
    <w:rsid w:val="00CC49E3"/>
    <w:rsid w:val="00CC579C"/>
    <w:rsid w:val="00CC5ABA"/>
    <w:rsid w:val="00CC6D33"/>
    <w:rsid w:val="00CC6D56"/>
    <w:rsid w:val="00CC6DB7"/>
    <w:rsid w:val="00CC75F6"/>
    <w:rsid w:val="00CC7755"/>
    <w:rsid w:val="00CD1F56"/>
    <w:rsid w:val="00CD241C"/>
    <w:rsid w:val="00CD3219"/>
    <w:rsid w:val="00CD3457"/>
    <w:rsid w:val="00CD3977"/>
    <w:rsid w:val="00CD3C60"/>
    <w:rsid w:val="00CD4697"/>
    <w:rsid w:val="00CD64DE"/>
    <w:rsid w:val="00CD7410"/>
    <w:rsid w:val="00CD759E"/>
    <w:rsid w:val="00CD77CC"/>
    <w:rsid w:val="00CD7CBD"/>
    <w:rsid w:val="00CE0528"/>
    <w:rsid w:val="00CE0B7E"/>
    <w:rsid w:val="00CE0DDE"/>
    <w:rsid w:val="00CE0FC1"/>
    <w:rsid w:val="00CE1127"/>
    <w:rsid w:val="00CE283E"/>
    <w:rsid w:val="00CE2DFF"/>
    <w:rsid w:val="00CE3DAD"/>
    <w:rsid w:val="00CE43CE"/>
    <w:rsid w:val="00CE4E7C"/>
    <w:rsid w:val="00CE5789"/>
    <w:rsid w:val="00CE5848"/>
    <w:rsid w:val="00CE62A6"/>
    <w:rsid w:val="00CE635F"/>
    <w:rsid w:val="00CE7256"/>
    <w:rsid w:val="00CE779F"/>
    <w:rsid w:val="00CE77E0"/>
    <w:rsid w:val="00CE7A10"/>
    <w:rsid w:val="00CE7B31"/>
    <w:rsid w:val="00CE7BF7"/>
    <w:rsid w:val="00CF0081"/>
    <w:rsid w:val="00CF18FA"/>
    <w:rsid w:val="00CF1BF6"/>
    <w:rsid w:val="00CF2A50"/>
    <w:rsid w:val="00CF2BBB"/>
    <w:rsid w:val="00CF3165"/>
    <w:rsid w:val="00CF34BD"/>
    <w:rsid w:val="00CF367E"/>
    <w:rsid w:val="00CF3D54"/>
    <w:rsid w:val="00CF4C7B"/>
    <w:rsid w:val="00CF60E2"/>
    <w:rsid w:val="00CF69A5"/>
    <w:rsid w:val="00CF717D"/>
    <w:rsid w:val="00CF7300"/>
    <w:rsid w:val="00D00BF4"/>
    <w:rsid w:val="00D00DA1"/>
    <w:rsid w:val="00D00E6F"/>
    <w:rsid w:val="00D012A1"/>
    <w:rsid w:val="00D01580"/>
    <w:rsid w:val="00D02B5F"/>
    <w:rsid w:val="00D02C0C"/>
    <w:rsid w:val="00D036E7"/>
    <w:rsid w:val="00D03959"/>
    <w:rsid w:val="00D03FAE"/>
    <w:rsid w:val="00D04192"/>
    <w:rsid w:val="00D043D7"/>
    <w:rsid w:val="00D0464A"/>
    <w:rsid w:val="00D046E2"/>
    <w:rsid w:val="00D0543B"/>
    <w:rsid w:val="00D06BDD"/>
    <w:rsid w:val="00D07038"/>
    <w:rsid w:val="00D0723A"/>
    <w:rsid w:val="00D07789"/>
    <w:rsid w:val="00D0778B"/>
    <w:rsid w:val="00D07BAC"/>
    <w:rsid w:val="00D10F96"/>
    <w:rsid w:val="00D11018"/>
    <w:rsid w:val="00D12456"/>
    <w:rsid w:val="00D1254B"/>
    <w:rsid w:val="00D12EF6"/>
    <w:rsid w:val="00D133BF"/>
    <w:rsid w:val="00D133E7"/>
    <w:rsid w:val="00D135A2"/>
    <w:rsid w:val="00D13985"/>
    <w:rsid w:val="00D141FE"/>
    <w:rsid w:val="00D14EA9"/>
    <w:rsid w:val="00D1547C"/>
    <w:rsid w:val="00D15DC1"/>
    <w:rsid w:val="00D161E6"/>
    <w:rsid w:val="00D165DD"/>
    <w:rsid w:val="00D17416"/>
    <w:rsid w:val="00D205C1"/>
    <w:rsid w:val="00D2152B"/>
    <w:rsid w:val="00D215C8"/>
    <w:rsid w:val="00D218A6"/>
    <w:rsid w:val="00D220D8"/>
    <w:rsid w:val="00D230BB"/>
    <w:rsid w:val="00D232F6"/>
    <w:rsid w:val="00D23603"/>
    <w:rsid w:val="00D23D45"/>
    <w:rsid w:val="00D23F95"/>
    <w:rsid w:val="00D24577"/>
    <w:rsid w:val="00D24BCF"/>
    <w:rsid w:val="00D26316"/>
    <w:rsid w:val="00D26659"/>
    <w:rsid w:val="00D26E19"/>
    <w:rsid w:val="00D270EA"/>
    <w:rsid w:val="00D275C1"/>
    <w:rsid w:val="00D27B8E"/>
    <w:rsid w:val="00D27BDA"/>
    <w:rsid w:val="00D27DDD"/>
    <w:rsid w:val="00D304C7"/>
    <w:rsid w:val="00D3069F"/>
    <w:rsid w:val="00D307F2"/>
    <w:rsid w:val="00D31591"/>
    <w:rsid w:val="00D31A5F"/>
    <w:rsid w:val="00D320F1"/>
    <w:rsid w:val="00D350DA"/>
    <w:rsid w:val="00D354EA"/>
    <w:rsid w:val="00D35627"/>
    <w:rsid w:val="00D36612"/>
    <w:rsid w:val="00D36676"/>
    <w:rsid w:val="00D36D8F"/>
    <w:rsid w:val="00D37ABF"/>
    <w:rsid w:val="00D37B9C"/>
    <w:rsid w:val="00D403A1"/>
    <w:rsid w:val="00D41262"/>
    <w:rsid w:val="00D41867"/>
    <w:rsid w:val="00D41AB3"/>
    <w:rsid w:val="00D42518"/>
    <w:rsid w:val="00D425C8"/>
    <w:rsid w:val="00D42C76"/>
    <w:rsid w:val="00D4332B"/>
    <w:rsid w:val="00D43FBE"/>
    <w:rsid w:val="00D440E9"/>
    <w:rsid w:val="00D450B3"/>
    <w:rsid w:val="00D45853"/>
    <w:rsid w:val="00D459A2"/>
    <w:rsid w:val="00D45D85"/>
    <w:rsid w:val="00D466FC"/>
    <w:rsid w:val="00D468CF"/>
    <w:rsid w:val="00D46CFB"/>
    <w:rsid w:val="00D46F9D"/>
    <w:rsid w:val="00D47E1F"/>
    <w:rsid w:val="00D5111E"/>
    <w:rsid w:val="00D51216"/>
    <w:rsid w:val="00D512D2"/>
    <w:rsid w:val="00D5152B"/>
    <w:rsid w:val="00D517E2"/>
    <w:rsid w:val="00D51803"/>
    <w:rsid w:val="00D5209E"/>
    <w:rsid w:val="00D521A8"/>
    <w:rsid w:val="00D52EA7"/>
    <w:rsid w:val="00D53352"/>
    <w:rsid w:val="00D53B11"/>
    <w:rsid w:val="00D542E6"/>
    <w:rsid w:val="00D544DC"/>
    <w:rsid w:val="00D54A24"/>
    <w:rsid w:val="00D54F21"/>
    <w:rsid w:val="00D5515E"/>
    <w:rsid w:val="00D553D6"/>
    <w:rsid w:val="00D55979"/>
    <w:rsid w:val="00D562EC"/>
    <w:rsid w:val="00D56E1B"/>
    <w:rsid w:val="00D56E76"/>
    <w:rsid w:val="00D576E3"/>
    <w:rsid w:val="00D57728"/>
    <w:rsid w:val="00D57C9A"/>
    <w:rsid w:val="00D606C0"/>
    <w:rsid w:val="00D6076D"/>
    <w:rsid w:val="00D60C39"/>
    <w:rsid w:val="00D61719"/>
    <w:rsid w:val="00D617E3"/>
    <w:rsid w:val="00D61899"/>
    <w:rsid w:val="00D61B55"/>
    <w:rsid w:val="00D61BAE"/>
    <w:rsid w:val="00D61EC2"/>
    <w:rsid w:val="00D6201A"/>
    <w:rsid w:val="00D62074"/>
    <w:rsid w:val="00D6239B"/>
    <w:rsid w:val="00D62586"/>
    <w:rsid w:val="00D63FDC"/>
    <w:rsid w:val="00D64576"/>
    <w:rsid w:val="00D65C93"/>
    <w:rsid w:val="00D665EA"/>
    <w:rsid w:val="00D66956"/>
    <w:rsid w:val="00D66E9C"/>
    <w:rsid w:val="00D66EA9"/>
    <w:rsid w:val="00D66FA5"/>
    <w:rsid w:val="00D670A1"/>
    <w:rsid w:val="00D67F08"/>
    <w:rsid w:val="00D67F1C"/>
    <w:rsid w:val="00D70069"/>
    <w:rsid w:val="00D7015C"/>
    <w:rsid w:val="00D70A0E"/>
    <w:rsid w:val="00D717AC"/>
    <w:rsid w:val="00D71AE1"/>
    <w:rsid w:val="00D71E6F"/>
    <w:rsid w:val="00D71F5A"/>
    <w:rsid w:val="00D723A5"/>
    <w:rsid w:val="00D7246D"/>
    <w:rsid w:val="00D7377E"/>
    <w:rsid w:val="00D742AD"/>
    <w:rsid w:val="00D7488A"/>
    <w:rsid w:val="00D74BD5"/>
    <w:rsid w:val="00D74D45"/>
    <w:rsid w:val="00D75372"/>
    <w:rsid w:val="00D757D4"/>
    <w:rsid w:val="00D75867"/>
    <w:rsid w:val="00D76086"/>
    <w:rsid w:val="00D768B3"/>
    <w:rsid w:val="00D76C20"/>
    <w:rsid w:val="00D76E67"/>
    <w:rsid w:val="00D7721C"/>
    <w:rsid w:val="00D77307"/>
    <w:rsid w:val="00D773A5"/>
    <w:rsid w:val="00D77DC6"/>
    <w:rsid w:val="00D8023C"/>
    <w:rsid w:val="00D80624"/>
    <w:rsid w:val="00D80D08"/>
    <w:rsid w:val="00D80D15"/>
    <w:rsid w:val="00D80DC1"/>
    <w:rsid w:val="00D81740"/>
    <w:rsid w:val="00D81947"/>
    <w:rsid w:val="00D81EA3"/>
    <w:rsid w:val="00D82923"/>
    <w:rsid w:val="00D82AA3"/>
    <w:rsid w:val="00D82E8E"/>
    <w:rsid w:val="00D832A2"/>
    <w:rsid w:val="00D833A7"/>
    <w:rsid w:val="00D833F5"/>
    <w:rsid w:val="00D835C0"/>
    <w:rsid w:val="00D83AAB"/>
    <w:rsid w:val="00D83D71"/>
    <w:rsid w:val="00D83DCD"/>
    <w:rsid w:val="00D8496F"/>
    <w:rsid w:val="00D84CBC"/>
    <w:rsid w:val="00D84EE0"/>
    <w:rsid w:val="00D85286"/>
    <w:rsid w:val="00D85B9F"/>
    <w:rsid w:val="00D86022"/>
    <w:rsid w:val="00D879E3"/>
    <w:rsid w:val="00D87EC5"/>
    <w:rsid w:val="00D901E8"/>
    <w:rsid w:val="00D90EEF"/>
    <w:rsid w:val="00D91596"/>
    <w:rsid w:val="00D91EE0"/>
    <w:rsid w:val="00D92051"/>
    <w:rsid w:val="00D92404"/>
    <w:rsid w:val="00D9348B"/>
    <w:rsid w:val="00D9356A"/>
    <w:rsid w:val="00D93669"/>
    <w:rsid w:val="00D938FF"/>
    <w:rsid w:val="00D93940"/>
    <w:rsid w:val="00D93AE9"/>
    <w:rsid w:val="00D94E09"/>
    <w:rsid w:val="00D95694"/>
    <w:rsid w:val="00D97623"/>
    <w:rsid w:val="00DA18A2"/>
    <w:rsid w:val="00DA18C7"/>
    <w:rsid w:val="00DA2001"/>
    <w:rsid w:val="00DA232B"/>
    <w:rsid w:val="00DA2539"/>
    <w:rsid w:val="00DA3E88"/>
    <w:rsid w:val="00DA506C"/>
    <w:rsid w:val="00DA56E3"/>
    <w:rsid w:val="00DA6498"/>
    <w:rsid w:val="00DA696C"/>
    <w:rsid w:val="00DA6C0B"/>
    <w:rsid w:val="00DA7A37"/>
    <w:rsid w:val="00DB054D"/>
    <w:rsid w:val="00DB1093"/>
    <w:rsid w:val="00DB120E"/>
    <w:rsid w:val="00DB1531"/>
    <w:rsid w:val="00DB19E4"/>
    <w:rsid w:val="00DB1AE3"/>
    <w:rsid w:val="00DB1B73"/>
    <w:rsid w:val="00DB1E41"/>
    <w:rsid w:val="00DB209A"/>
    <w:rsid w:val="00DB4CED"/>
    <w:rsid w:val="00DB50AF"/>
    <w:rsid w:val="00DB521B"/>
    <w:rsid w:val="00DB527F"/>
    <w:rsid w:val="00DB6856"/>
    <w:rsid w:val="00DB6D84"/>
    <w:rsid w:val="00DB730B"/>
    <w:rsid w:val="00DB77E2"/>
    <w:rsid w:val="00DC040C"/>
    <w:rsid w:val="00DC1115"/>
    <w:rsid w:val="00DC1A76"/>
    <w:rsid w:val="00DC27E7"/>
    <w:rsid w:val="00DC2BFF"/>
    <w:rsid w:val="00DC2D93"/>
    <w:rsid w:val="00DC3577"/>
    <w:rsid w:val="00DC4E63"/>
    <w:rsid w:val="00DC4E80"/>
    <w:rsid w:val="00DC5255"/>
    <w:rsid w:val="00DC534C"/>
    <w:rsid w:val="00DC56A7"/>
    <w:rsid w:val="00DC5BE7"/>
    <w:rsid w:val="00DC5D30"/>
    <w:rsid w:val="00DC6626"/>
    <w:rsid w:val="00DC6D78"/>
    <w:rsid w:val="00DC7A24"/>
    <w:rsid w:val="00DC7A2F"/>
    <w:rsid w:val="00DC7D23"/>
    <w:rsid w:val="00DD0FE6"/>
    <w:rsid w:val="00DD180C"/>
    <w:rsid w:val="00DD20C7"/>
    <w:rsid w:val="00DD2E19"/>
    <w:rsid w:val="00DD34B1"/>
    <w:rsid w:val="00DD3672"/>
    <w:rsid w:val="00DD36FE"/>
    <w:rsid w:val="00DD38C4"/>
    <w:rsid w:val="00DD3AB8"/>
    <w:rsid w:val="00DD3AFE"/>
    <w:rsid w:val="00DD48D0"/>
    <w:rsid w:val="00DD5360"/>
    <w:rsid w:val="00DD56B7"/>
    <w:rsid w:val="00DD5DCC"/>
    <w:rsid w:val="00DD69F8"/>
    <w:rsid w:val="00DD6B62"/>
    <w:rsid w:val="00DD6B6E"/>
    <w:rsid w:val="00DD6BDF"/>
    <w:rsid w:val="00DD6CB7"/>
    <w:rsid w:val="00DD725A"/>
    <w:rsid w:val="00DD72D6"/>
    <w:rsid w:val="00DD7AEB"/>
    <w:rsid w:val="00DE0247"/>
    <w:rsid w:val="00DE0B80"/>
    <w:rsid w:val="00DE119E"/>
    <w:rsid w:val="00DE1F9A"/>
    <w:rsid w:val="00DE4176"/>
    <w:rsid w:val="00DE4191"/>
    <w:rsid w:val="00DE4DD6"/>
    <w:rsid w:val="00DE58C2"/>
    <w:rsid w:val="00DE5907"/>
    <w:rsid w:val="00DE590B"/>
    <w:rsid w:val="00DE67B6"/>
    <w:rsid w:val="00DE6ED1"/>
    <w:rsid w:val="00DE6F3E"/>
    <w:rsid w:val="00DF17CB"/>
    <w:rsid w:val="00DF1BF5"/>
    <w:rsid w:val="00DF2087"/>
    <w:rsid w:val="00DF242E"/>
    <w:rsid w:val="00DF27DA"/>
    <w:rsid w:val="00DF29B2"/>
    <w:rsid w:val="00DF2D5E"/>
    <w:rsid w:val="00DF3B2E"/>
    <w:rsid w:val="00DF4024"/>
    <w:rsid w:val="00DF4553"/>
    <w:rsid w:val="00DF4751"/>
    <w:rsid w:val="00DF4965"/>
    <w:rsid w:val="00DF4B99"/>
    <w:rsid w:val="00DF5412"/>
    <w:rsid w:val="00DF562B"/>
    <w:rsid w:val="00DF5E63"/>
    <w:rsid w:val="00DF5F99"/>
    <w:rsid w:val="00DF652C"/>
    <w:rsid w:val="00DF7C08"/>
    <w:rsid w:val="00DF7CE7"/>
    <w:rsid w:val="00E000F8"/>
    <w:rsid w:val="00E00BF0"/>
    <w:rsid w:val="00E00BF3"/>
    <w:rsid w:val="00E00F2E"/>
    <w:rsid w:val="00E0133C"/>
    <w:rsid w:val="00E01E01"/>
    <w:rsid w:val="00E03095"/>
    <w:rsid w:val="00E030FA"/>
    <w:rsid w:val="00E03399"/>
    <w:rsid w:val="00E03719"/>
    <w:rsid w:val="00E0391A"/>
    <w:rsid w:val="00E039BE"/>
    <w:rsid w:val="00E04585"/>
    <w:rsid w:val="00E046A2"/>
    <w:rsid w:val="00E046F4"/>
    <w:rsid w:val="00E05418"/>
    <w:rsid w:val="00E0553B"/>
    <w:rsid w:val="00E05738"/>
    <w:rsid w:val="00E05B6D"/>
    <w:rsid w:val="00E05CF5"/>
    <w:rsid w:val="00E05FE0"/>
    <w:rsid w:val="00E06421"/>
    <w:rsid w:val="00E06605"/>
    <w:rsid w:val="00E0736A"/>
    <w:rsid w:val="00E07715"/>
    <w:rsid w:val="00E078E4"/>
    <w:rsid w:val="00E07C70"/>
    <w:rsid w:val="00E100FA"/>
    <w:rsid w:val="00E101E5"/>
    <w:rsid w:val="00E1032B"/>
    <w:rsid w:val="00E1043A"/>
    <w:rsid w:val="00E10BF4"/>
    <w:rsid w:val="00E10E21"/>
    <w:rsid w:val="00E1104E"/>
    <w:rsid w:val="00E110A6"/>
    <w:rsid w:val="00E1178F"/>
    <w:rsid w:val="00E12282"/>
    <w:rsid w:val="00E12308"/>
    <w:rsid w:val="00E1268E"/>
    <w:rsid w:val="00E126F2"/>
    <w:rsid w:val="00E12B5A"/>
    <w:rsid w:val="00E138B4"/>
    <w:rsid w:val="00E13E04"/>
    <w:rsid w:val="00E1462C"/>
    <w:rsid w:val="00E14671"/>
    <w:rsid w:val="00E150FE"/>
    <w:rsid w:val="00E159FF"/>
    <w:rsid w:val="00E15DF8"/>
    <w:rsid w:val="00E16559"/>
    <w:rsid w:val="00E171FB"/>
    <w:rsid w:val="00E1773A"/>
    <w:rsid w:val="00E17903"/>
    <w:rsid w:val="00E17C97"/>
    <w:rsid w:val="00E1DE13"/>
    <w:rsid w:val="00E2013E"/>
    <w:rsid w:val="00E2058C"/>
    <w:rsid w:val="00E207B9"/>
    <w:rsid w:val="00E21181"/>
    <w:rsid w:val="00E213DC"/>
    <w:rsid w:val="00E2140B"/>
    <w:rsid w:val="00E21906"/>
    <w:rsid w:val="00E21DBB"/>
    <w:rsid w:val="00E21DFF"/>
    <w:rsid w:val="00E226DE"/>
    <w:rsid w:val="00E22C8A"/>
    <w:rsid w:val="00E23562"/>
    <w:rsid w:val="00E2384A"/>
    <w:rsid w:val="00E24034"/>
    <w:rsid w:val="00E2544C"/>
    <w:rsid w:val="00E254E2"/>
    <w:rsid w:val="00E25F5E"/>
    <w:rsid w:val="00E2648D"/>
    <w:rsid w:val="00E268AB"/>
    <w:rsid w:val="00E26DF2"/>
    <w:rsid w:val="00E27985"/>
    <w:rsid w:val="00E279EC"/>
    <w:rsid w:val="00E27C5C"/>
    <w:rsid w:val="00E30628"/>
    <w:rsid w:val="00E30B5E"/>
    <w:rsid w:val="00E30B9D"/>
    <w:rsid w:val="00E3142A"/>
    <w:rsid w:val="00E3160B"/>
    <w:rsid w:val="00E31639"/>
    <w:rsid w:val="00E34A7F"/>
    <w:rsid w:val="00E34AC3"/>
    <w:rsid w:val="00E34FAC"/>
    <w:rsid w:val="00E355D0"/>
    <w:rsid w:val="00E356ED"/>
    <w:rsid w:val="00E3604C"/>
    <w:rsid w:val="00E36102"/>
    <w:rsid w:val="00E367FB"/>
    <w:rsid w:val="00E36845"/>
    <w:rsid w:val="00E36DD0"/>
    <w:rsid w:val="00E37063"/>
    <w:rsid w:val="00E37F8D"/>
    <w:rsid w:val="00E4033E"/>
    <w:rsid w:val="00E40D9E"/>
    <w:rsid w:val="00E41A59"/>
    <w:rsid w:val="00E4267F"/>
    <w:rsid w:val="00E42BA3"/>
    <w:rsid w:val="00E42DAD"/>
    <w:rsid w:val="00E42F3D"/>
    <w:rsid w:val="00E433D5"/>
    <w:rsid w:val="00E444D8"/>
    <w:rsid w:val="00E44A32"/>
    <w:rsid w:val="00E44B4A"/>
    <w:rsid w:val="00E45062"/>
    <w:rsid w:val="00E451A6"/>
    <w:rsid w:val="00E451AD"/>
    <w:rsid w:val="00E455D1"/>
    <w:rsid w:val="00E457FA"/>
    <w:rsid w:val="00E45F60"/>
    <w:rsid w:val="00E45F7F"/>
    <w:rsid w:val="00E46F47"/>
    <w:rsid w:val="00E4737F"/>
    <w:rsid w:val="00E473EC"/>
    <w:rsid w:val="00E4742F"/>
    <w:rsid w:val="00E4746C"/>
    <w:rsid w:val="00E478FD"/>
    <w:rsid w:val="00E47933"/>
    <w:rsid w:val="00E47E87"/>
    <w:rsid w:val="00E47F3D"/>
    <w:rsid w:val="00E50A1C"/>
    <w:rsid w:val="00E50B4F"/>
    <w:rsid w:val="00E50DC3"/>
    <w:rsid w:val="00E51348"/>
    <w:rsid w:val="00E515F1"/>
    <w:rsid w:val="00E51CBB"/>
    <w:rsid w:val="00E52EAA"/>
    <w:rsid w:val="00E5350F"/>
    <w:rsid w:val="00E53EB0"/>
    <w:rsid w:val="00E544E3"/>
    <w:rsid w:val="00E546C2"/>
    <w:rsid w:val="00E549F3"/>
    <w:rsid w:val="00E55058"/>
    <w:rsid w:val="00E563A8"/>
    <w:rsid w:val="00E56655"/>
    <w:rsid w:val="00E56BE6"/>
    <w:rsid w:val="00E56C21"/>
    <w:rsid w:val="00E57C3A"/>
    <w:rsid w:val="00E57E05"/>
    <w:rsid w:val="00E6081A"/>
    <w:rsid w:val="00E6081C"/>
    <w:rsid w:val="00E60B0D"/>
    <w:rsid w:val="00E60C35"/>
    <w:rsid w:val="00E6110B"/>
    <w:rsid w:val="00E615E0"/>
    <w:rsid w:val="00E615F0"/>
    <w:rsid w:val="00E61803"/>
    <w:rsid w:val="00E6304A"/>
    <w:rsid w:val="00E634AF"/>
    <w:rsid w:val="00E63F5E"/>
    <w:rsid w:val="00E6425D"/>
    <w:rsid w:val="00E64263"/>
    <w:rsid w:val="00E64B92"/>
    <w:rsid w:val="00E64EBD"/>
    <w:rsid w:val="00E652F0"/>
    <w:rsid w:val="00E65452"/>
    <w:rsid w:val="00E65653"/>
    <w:rsid w:val="00E65862"/>
    <w:rsid w:val="00E6596C"/>
    <w:rsid w:val="00E65A38"/>
    <w:rsid w:val="00E6625E"/>
    <w:rsid w:val="00E664B7"/>
    <w:rsid w:val="00E66ADF"/>
    <w:rsid w:val="00E67831"/>
    <w:rsid w:val="00E706CD"/>
    <w:rsid w:val="00E706FA"/>
    <w:rsid w:val="00E713C5"/>
    <w:rsid w:val="00E72B04"/>
    <w:rsid w:val="00E72B86"/>
    <w:rsid w:val="00E73447"/>
    <w:rsid w:val="00E73451"/>
    <w:rsid w:val="00E73C97"/>
    <w:rsid w:val="00E74126"/>
    <w:rsid w:val="00E742D3"/>
    <w:rsid w:val="00E747C0"/>
    <w:rsid w:val="00E74855"/>
    <w:rsid w:val="00E7486C"/>
    <w:rsid w:val="00E74A93"/>
    <w:rsid w:val="00E76051"/>
    <w:rsid w:val="00E76080"/>
    <w:rsid w:val="00E7667E"/>
    <w:rsid w:val="00E76801"/>
    <w:rsid w:val="00E76FC0"/>
    <w:rsid w:val="00E8054E"/>
    <w:rsid w:val="00E809C9"/>
    <w:rsid w:val="00E809CB"/>
    <w:rsid w:val="00E80F5F"/>
    <w:rsid w:val="00E827E9"/>
    <w:rsid w:val="00E828A3"/>
    <w:rsid w:val="00E83EB3"/>
    <w:rsid w:val="00E83FF9"/>
    <w:rsid w:val="00E84064"/>
    <w:rsid w:val="00E84235"/>
    <w:rsid w:val="00E842DC"/>
    <w:rsid w:val="00E8485A"/>
    <w:rsid w:val="00E84D5A"/>
    <w:rsid w:val="00E84F3B"/>
    <w:rsid w:val="00E85652"/>
    <w:rsid w:val="00E858A6"/>
    <w:rsid w:val="00E86342"/>
    <w:rsid w:val="00E871F1"/>
    <w:rsid w:val="00E87507"/>
    <w:rsid w:val="00E87B09"/>
    <w:rsid w:val="00E90670"/>
    <w:rsid w:val="00E906FE"/>
    <w:rsid w:val="00E9139D"/>
    <w:rsid w:val="00E9144E"/>
    <w:rsid w:val="00E919D7"/>
    <w:rsid w:val="00E91C08"/>
    <w:rsid w:val="00E92A41"/>
    <w:rsid w:val="00E93355"/>
    <w:rsid w:val="00E93CD2"/>
    <w:rsid w:val="00E93E93"/>
    <w:rsid w:val="00E93F24"/>
    <w:rsid w:val="00E947A5"/>
    <w:rsid w:val="00E95CF5"/>
    <w:rsid w:val="00E9601C"/>
    <w:rsid w:val="00E96CF6"/>
    <w:rsid w:val="00E9780E"/>
    <w:rsid w:val="00E97E32"/>
    <w:rsid w:val="00EA0765"/>
    <w:rsid w:val="00EA0CBF"/>
    <w:rsid w:val="00EA140B"/>
    <w:rsid w:val="00EA1777"/>
    <w:rsid w:val="00EA19BE"/>
    <w:rsid w:val="00EA1AF8"/>
    <w:rsid w:val="00EA2ADF"/>
    <w:rsid w:val="00EA2D0C"/>
    <w:rsid w:val="00EA36C1"/>
    <w:rsid w:val="00EA42DF"/>
    <w:rsid w:val="00EA465C"/>
    <w:rsid w:val="00EA475A"/>
    <w:rsid w:val="00EA65E1"/>
    <w:rsid w:val="00EA70A3"/>
    <w:rsid w:val="00EA7773"/>
    <w:rsid w:val="00EB03AF"/>
    <w:rsid w:val="00EB0DB0"/>
    <w:rsid w:val="00EB0E45"/>
    <w:rsid w:val="00EB22F0"/>
    <w:rsid w:val="00EB257D"/>
    <w:rsid w:val="00EB2EF9"/>
    <w:rsid w:val="00EB3022"/>
    <w:rsid w:val="00EB3722"/>
    <w:rsid w:val="00EB3917"/>
    <w:rsid w:val="00EB4010"/>
    <w:rsid w:val="00EB443F"/>
    <w:rsid w:val="00EB4969"/>
    <w:rsid w:val="00EB4A9B"/>
    <w:rsid w:val="00EB4F02"/>
    <w:rsid w:val="00EB4F08"/>
    <w:rsid w:val="00EB5C1A"/>
    <w:rsid w:val="00EB7723"/>
    <w:rsid w:val="00EC0863"/>
    <w:rsid w:val="00EC1253"/>
    <w:rsid w:val="00EC1331"/>
    <w:rsid w:val="00EC1663"/>
    <w:rsid w:val="00EC1C31"/>
    <w:rsid w:val="00EC32F1"/>
    <w:rsid w:val="00EC40D1"/>
    <w:rsid w:val="00EC4806"/>
    <w:rsid w:val="00EC4AC5"/>
    <w:rsid w:val="00EC5DDB"/>
    <w:rsid w:val="00EC61A7"/>
    <w:rsid w:val="00EC64D2"/>
    <w:rsid w:val="00EC6F71"/>
    <w:rsid w:val="00EC714C"/>
    <w:rsid w:val="00EC753A"/>
    <w:rsid w:val="00ED03CF"/>
    <w:rsid w:val="00ED07FF"/>
    <w:rsid w:val="00ED14C3"/>
    <w:rsid w:val="00ED2CE6"/>
    <w:rsid w:val="00ED331C"/>
    <w:rsid w:val="00ED388B"/>
    <w:rsid w:val="00ED3A37"/>
    <w:rsid w:val="00ED4B31"/>
    <w:rsid w:val="00ED505E"/>
    <w:rsid w:val="00ED650A"/>
    <w:rsid w:val="00ED6781"/>
    <w:rsid w:val="00ED6BB2"/>
    <w:rsid w:val="00ED70D6"/>
    <w:rsid w:val="00ED79ED"/>
    <w:rsid w:val="00EE00DA"/>
    <w:rsid w:val="00EE0711"/>
    <w:rsid w:val="00EE193E"/>
    <w:rsid w:val="00EE1EB6"/>
    <w:rsid w:val="00EE21DC"/>
    <w:rsid w:val="00EE280D"/>
    <w:rsid w:val="00EE2CA8"/>
    <w:rsid w:val="00EE37B4"/>
    <w:rsid w:val="00EE3968"/>
    <w:rsid w:val="00EE3D08"/>
    <w:rsid w:val="00EE3F37"/>
    <w:rsid w:val="00EE3FEE"/>
    <w:rsid w:val="00EE4C67"/>
    <w:rsid w:val="00EE51A0"/>
    <w:rsid w:val="00EE51F8"/>
    <w:rsid w:val="00EE55A8"/>
    <w:rsid w:val="00EE5609"/>
    <w:rsid w:val="00EE5AAD"/>
    <w:rsid w:val="00EE6211"/>
    <w:rsid w:val="00EE66E1"/>
    <w:rsid w:val="00EE7ADF"/>
    <w:rsid w:val="00EF027B"/>
    <w:rsid w:val="00EF06B7"/>
    <w:rsid w:val="00EF06D9"/>
    <w:rsid w:val="00EF2072"/>
    <w:rsid w:val="00EF34AB"/>
    <w:rsid w:val="00EF4A6F"/>
    <w:rsid w:val="00EF4BAF"/>
    <w:rsid w:val="00EF5467"/>
    <w:rsid w:val="00EF6009"/>
    <w:rsid w:val="00EF69BF"/>
    <w:rsid w:val="00F000B4"/>
    <w:rsid w:val="00F00385"/>
    <w:rsid w:val="00F00CBC"/>
    <w:rsid w:val="00F0184B"/>
    <w:rsid w:val="00F021C7"/>
    <w:rsid w:val="00F02907"/>
    <w:rsid w:val="00F02D01"/>
    <w:rsid w:val="00F02EC4"/>
    <w:rsid w:val="00F02FC4"/>
    <w:rsid w:val="00F0416F"/>
    <w:rsid w:val="00F051B1"/>
    <w:rsid w:val="00F05346"/>
    <w:rsid w:val="00F0687C"/>
    <w:rsid w:val="00F06FA0"/>
    <w:rsid w:val="00F0758D"/>
    <w:rsid w:val="00F07FD5"/>
    <w:rsid w:val="00F1022A"/>
    <w:rsid w:val="00F11B74"/>
    <w:rsid w:val="00F11D50"/>
    <w:rsid w:val="00F12270"/>
    <w:rsid w:val="00F124F2"/>
    <w:rsid w:val="00F128DC"/>
    <w:rsid w:val="00F13608"/>
    <w:rsid w:val="00F13617"/>
    <w:rsid w:val="00F1500D"/>
    <w:rsid w:val="00F1532C"/>
    <w:rsid w:val="00F15392"/>
    <w:rsid w:val="00F15F82"/>
    <w:rsid w:val="00F16890"/>
    <w:rsid w:val="00F17297"/>
    <w:rsid w:val="00F17681"/>
    <w:rsid w:val="00F17764"/>
    <w:rsid w:val="00F17BD7"/>
    <w:rsid w:val="00F17E2D"/>
    <w:rsid w:val="00F20AA1"/>
    <w:rsid w:val="00F21551"/>
    <w:rsid w:val="00F22453"/>
    <w:rsid w:val="00F2259C"/>
    <w:rsid w:val="00F227EB"/>
    <w:rsid w:val="00F22E5D"/>
    <w:rsid w:val="00F2355D"/>
    <w:rsid w:val="00F2357B"/>
    <w:rsid w:val="00F23C6E"/>
    <w:rsid w:val="00F24222"/>
    <w:rsid w:val="00F25046"/>
    <w:rsid w:val="00F250D0"/>
    <w:rsid w:val="00F25369"/>
    <w:rsid w:val="00F266EA"/>
    <w:rsid w:val="00F26C6A"/>
    <w:rsid w:val="00F27084"/>
    <w:rsid w:val="00F27952"/>
    <w:rsid w:val="00F27B7D"/>
    <w:rsid w:val="00F301E1"/>
    <w:rsid w:val="00F306BA"/>
    <w:rsid w:val="00F30CE8"/>
    <w:rsid w:val="00F3198A"/>
    <w:rsid w:val="00F32459"/>
    <w:rsid w:val="00F32B79"/>
    <w:rsid w:val="00F334E8"/>
    <w:rsid w:val="00F337A5"/>
    <w:rsid w:val="00F3523C"/>
    <w:rsid w:val="00F35492"/>
    <w:rsid w:val="00F3577F"/>
    <w:rsid w:val="00F36257"/>
    <w:rsid w:val="00F36845"/>
    <w:rsid w:val="00F36B6B"/>
    <w:rsid w:val="00F36E7A"/>
    <w:rsid w:val="00F37058"/>
    <w:rsid w:val="00F40C98"/>
    <w:rsid w:val="00F41412"/>
    <w:rsid w:val="00F4146B"/>
    <w:rsid w:val="00F4161E"/>
    <w:rsid w:val="00F41A4F"/>
    <w:rsid w:val="00F41C60"/>
    <w:rsid w:val="00F41EC2"/>
    <w:rsid w:val="00F41F46"/>
    <w:rsid w:val="00F4252E"/>
    <w:rsid w:val="00F42659"/>
    <w:rsid w:val="00F42C9E"/>
    <w:rsid w:val="00F4316E"/>
    <w:rsid w:val="00F433FD"/>
    <w:rsid w:val="00F438D5"/>
    <w:rsid w:val="00F43ADF"/>
    <w:rsid w:val="00F43BB1"/>
    <w:rsid w:val="00F43E02"/>
    <w:rsid w:val="00F43E1E"/>
    <w:rsid w:val="00F45015"/>
    <w:rsid w:val="00F45134"/>
    <w:rsid w:val="00F454C8"/>
    <w:rsid w:val="00F45693"/>
    <w:rsid w:val="00F45885"/>
    <w:rsid w:val="00F46B4F"/>
    <w:rsid w:val="00F46CC8"/>
    <w:rsid w:val="00F47B72"/>
    <w:rsid w:val="00F510B2"/>
    <w:rsid w:val="00F51569"/>
    <w:rsid w:val="00F5260F"/>
    <w:rsid w:val="00F52643"/>
    <w:rsid w:val="00F528AB"/>
    <w:rsid w:val="00F52C72"/>
    <w:rsid w:val="00F54657"/>
    <w:rsid w:val="00F547F0"/>
    <w:rsid w:val="00F54BE8"/>
    <w:rsid w:val="00F54D92"/>
    <w:rsid w:val="00F552FA"/>
    <w:rsid w:val="00F5591D"/>
    <w:rsid w:val="00F56298"/>
    <w:rsid w:val="00F56367"/>
    <w:rsid w:val="00F567F4"/>
    <w:rsid w:val="00F57769"/>
    <w:rsid w:val="00F57AA1"/>
    <w:rsid w:val="00F57AFC"/>
    <w:rsid w:val="00F60C8E"/>
    <w:rsid w:val="00F619EC"/>
    <w:rsid w:val="00F61C55"/>
    <w:rsid w:val="00F61CAD"/>
    <w:rsid w:val="00F6211A"/>
    <w:rsid w:val="00F621EB"/>
    <w:rsid w:val="00F63438"/>
    <w:rsid w:val="00F6430C"/>
    <w:rsid w:val="00F647E2"/>
    <w:rsid w:val="00F64B5A"/>
    <w:rsid w:val="00F65467"/>
    <w:rsid w:val="00F6551C"/>
    <w:rsid w:val="00F655DC"/>
    <w:rsid w:val="00F656C3"/>
    <w:rsid w:val="00F6642F"/>
    <w:rsid w:val="00F669BA"/>
    <w:rsid w:val="00F7196F"/>
    <w:rsid w:val="00F724BB"/>
    <w:rsid w:val="00F72D09"/>
    <w:rsid w:val="00F72D84"/>
    <w:rsid w:val="00F740A4"/>
    <w:rsid w:val="00F74842"/>
    <w:rsid w:val="00F7577B"/>
    <w:rsid w:val="00F75B66"/>
    <w:rsid w:val="00F75E4C"/>
    <w:rsid w:val="00F8038D"/>
    <w:rsid w:val="00F8055F"/>
    <w:rsid w:val="00F807A3"/>
    <w:rsid w:val="00F80B08"/>
    <w:rsid w:val="00F80BA3"/>
    <w:rsid w:val="00F80BB9"/>
    <w:rsid w:val="00F812E6"/>
    <w:rsid w:val="00F825A6"/>
    <w:rsid w:val="00F83D58"/>
    <w:rsid w:val="00F83E8E"/>
    <w:rsid w:val="00F847CA"/>
    <w:rsid w:val="00F84DBD"/>
    <w:rsid w:val="00F8511D"/>
    <w:rsid w:val="00F85648"/>
    <w:rsid w:val="00F85985"/>
    <w:rsid w:val="00F860A4"/>
    <w:rsid w:val="00F860ED"/>
    <w:rsid w:val="00F861E3"/>
    <w:rsid w:val="00F86955"/>
    <w:rsid w:val="00F86F84"/>
    <w:rsid w:val="00F871AB"/>
    <w:rsid w:val="00F878E1"/>
    <w:rsid w:val="00F912E7"/>
    <w:rsid w:val="00F914FA"/>
    <w:rsid w:val="00F9193F"/>
    <w:rsid w:val="00F924A9"/>
    <w:rsid w:val="00F92659"/>
    <w:rsid w:val="00F92B02"/>
    <w:rsid w:val="00F941E1"/>
    <w:rsid w:val="00F94744"/>
    <w:rsid w:val="00F94F21"/>
    <w:rsid w:val="00F95536"/>
    <w:rsid w:val="00F95906"/>
    <w:rsid w:val="00F95C07"/>
    <w:rsid w:val="00F95C70"/>
    <w:rsid w:val="00F95D4B"/>
    <w:rsid w:val="00F9676E"/>
    <w:rsid w:val="00F9788C"/>
    <w:rsid w:val="00F97992"/>
    <w:rsid w:val="00FA0213"/>
    <w:rsid w:val="00FA07AC"/>
    <w:rsid w:val="00FA0B8B"/>
    <w:rsid w:val="00FA0E4F"/>
    <w:rsid w:val="00FA1436"/>
    <w:rsid w:val="00FA1923"/>
    <w:rsid w:val="00FA2BD1"/>
    <w:rsid w:val="00FA2DA8"/>
    <w:rsid w:val="00FA3402"/>
    <w:rsid w:val="00FA38AF"/>
    <w:rsid w:val="00FA3A95"/>
    <w:rsid w:val="00FA43DF"/>
    <w:rsid w:val="00FA47EB"/>
    <w:rsid w:val="00FA5AE6"/>
    <w:rsid w:val="00FA6662"/>
    <w:rsid w:val="00FA6CC1"/>
    <w:rsid w:val="00FB049B"/>
    <w:rsid w:val="00FB19B2"/>
    <w:rsid w:val="00FB1FF7"/>
    <w:rsid w:val="00FB2314"/>
    <w:rsid w:val="00FB2D03"/>
    <w:rsid w:val="00FB2FC9"/>
    <w:rsid w:val="00FB4960"/>
    <w:rsid w:val="00FB511B"/>
    <w:rsid w:val="00FB63A4"/>
    <w:rsid w:val="00FB7F42"/>
    <w:rsid w:val="00FC06F1"/>
    <w:rsid w:val="00FC0DAF"/>
    <w:rsid w:val="00FC114C"/>
    <w:rsid w:val="00FC14B4"/>
    <w:rsid w:val="00FC1F38"/>
    <w:rsid w:val="00FC245F"/>
    <w:rsid w:val="00FC2A4C"/>
    <w:rsid w:val="00FC2E32"/>
    <w:rsid w:val="00FC3039"/>
    <w:rsid w:val="00FC41A2"/>
    <w:rsid w:val="00FC4916"/>
    <w:rsid w:val="00FC5906"/>
    <w:rsid w:val="00FC5DFE"/>
    <w:rsid w:val="00FC67D5"/>
    <w:rsid w:val="00FC71CD"/>
    <w:rsid w:val="00FC7A61"/>
    <w:rsid w:val="00FC7A93"/>
    <w:rsid w:val="00FC7CBA"/>
    <w:rsid w:val="00FD0796"/>
    <w:rsid w:val="00FD2798"/>
    <w:rsid w:val="00FD28C4"/>
    <w:rsid w:val="00FD349B"/>
    <w:rsid w:val="00FD3651"/>
    <w:rsid w:val="00FD3A56"/>
    <w:rsid w:val="00FD3DC1"/>
    <w:rsid w:val="00FD41A7"/>
    <w:rsid w:val="00FD41CF"/>
    <w:rsid w:val="00FD517D"/>
    <w:rsid w:val="00FD57B3"/>
    <w:rsid w:val="00FD689C"/>
    <w:rsid w:val="00FD6BAE"/>
    <w:rsid w:val="00FD6EA7"/>
    <w:rsid w:val="00FD7054"/>
    <w:rsid w:val="00FD7754"/>
    <w:rsid w:val="00FD77A9"/>
    <w:rsid w:val="00FD78B0"/>
    <w:rsid w:val="00FD78F5"/>
    <w:rsid w:val="00FD7A46"/>
    <w:rsid w:val="00FD7B2C"/>
    <w:rsid w:val="00FE01C9"/>
    <w:rsid w:val="00FE07A7"/>
    <w:rsid w:val="00FE089A"/>
    <w:rsid w:val="00FE0C18"/>
    <w:rsid w:val="00FE0C99"/>
    <w:rsid w:val="00FE0CAC"/>
    <w:rsid w:val="00FE1822"/>
    <w:rsid w:val="00FE19D9"/>
    <w:rsid w:val="00FE26DA"/>
    <w:rsid w:val="00FE29FC"/>
    <w:rsid w:val="00FE3696"/>
    <w:rsid w:val="00FE3A90"/>
    <w:rsid w:val="00FE3E7F"/>
    <w:rsid w:val="00FE467E"/>
    <w:rsid w:val="00FE48A8"/>
    <w:rsid w:val="00FE559F"/>
    <w:rsid w:val="00FE5DE5"/>
    <w:rsid w:val="00FE6B2A"/>
    <w:rsid w:val="00FE6BAA"/>
    <w:rsid w:val="00FE6D95"/>
    <w:rsid w:val="00FE777E"/>
    <w:rsid w:val="00FE7AB9"/>
    <w:rsid w:val="00FE7ACB"/>
    <w:rsid w:val="00FE7E41"/>
    <w:rsid w:val="00FF056D"/>
    <w:rsid w:val="00FF06A2"/>
    <w:rsid w:val="00FF1B62"/>
    <w:rsid w:val="00FF21FC"/>
    <w:rsid w:val="00FF286E"/>
    <w:rsid w:val="00FF2A7E"/>
    <w:rsid w:val="00FF32A1"/>
    <w:rsid w:val="00FF38F6"/>
    <w:rsid w:val="00FF3FD7"/>
    <w:rsid w:val="00FF4049"/>
    <w:rsid w:val="00FF4E74"/>
    <w:rsid w:val="00FF52AF"/>
    <w:rsid w:val="00FF54CE"/>
    <w:rsid w:val="00FF6ABE"/>
    <w:rsid w:val="00FF6F8E"/>
    <w:rsid w:val="00FF747B"/>
    <w:rsid w:val="00FF7B5A"/>
    <w:rsid w:val="015426E5"/>
    <w:rsid w:val="018E0AE1"/>
    <w:rsid w:val="01B23C2C"/>
    <w:rsid w:val="01BA3403"/>
    <w:rsid w:val="01C33180"/>
    <w:rsid w:val="021778DC"/>
    <w:rsid w:val="025FD384"/>
    <w:rsid w:val="0274C963"/>
    <w:rsid w:val="029A5998"/>
    <w:rsid w:val="02F2760A"/>
    <w:rsid w:val="03588020"/>
    <w:rsid w:val="036DD59F"/>
    <w:rsid w:val="03C2A91D"/>
    <w:rsid w:val="04BF88CC"/>
    <w:rsid w:val="04CACAD3"/>
    <w:rsid w:val="05008881"/>
    <w:rsid w:val="050664C9"/>
    <w:rsid w:val="050AFC70"/>
    <w:rsid w:val="05847728"/>
    <w:rsid w:val="05D3D6F0"/>
    <w:rsid w:val="05E7528D"/>
    <w:rsid w:val="0622AB39"/>
    <w:rsid w:val="062A3D41"/>
    <w:rsid w:val="06465784"/>
    <w:rsid w:val="065BD45C"/>
    <w:rsid w:val="065CE4A9"/>
    <w:rsid w:val="06899A97"/>
    <w:rsid w:val="06B6F7B9"/>
    <w:rsid w:val="06CBEB8A"/>
    <w:rsid w:val="06EA406C"/>
    <w:rsid w:val="071DB487"/>
    <w:rsid w:val="079DE391"/>
    <w:rsid w:val="07CE75E4"/>
    <w:rsid w:val="07D233CA"/>
    <w:rsid w:val="08396FAE"/>
    <w:rsid w:val="083E6F7F"/>
    <w:rsid w:val="0869EACB"/>
    <w:rsid w:val="08986FEB"/>
    <w:rsid w:val="08E28777"/>
    <w:rsid w:val="090A4757"/>
    <w:rsid w:val="092D6569"/>
    <w:rsid w:val="094E76C7"/>
    <w:rsid w:val="09558080"/>
    <w:rsid w:val="09E598AB"/>
    <w:rsid w:val="09F41C5A"/>
    <w:rsid w:val="0A024379"/>
    <w:rsid w:val="0A251867"/>
    <w:rsid w:val="0A61E2BF"/>
    <w:rsid w:val="0ABF9B25"/>
    <w:rsid w:val="0B3397B4"/>
    <w:rsid w:val="0B737CB4"/>
    <w:rsid w:val="0BD84537"/>
    <w:rsid w:val="0C03AD0F"/>
    <w:rsid w:val="0C4578B5"/>
    <w:rsid w:val="0C5D4FA0"/>
    <w:rsid w:val="0C7BFB27"/>
    <w:rsid w:val="0CB1B0ED"/>
    <w:rsid w:val="0CE18748"/>
    <w:rsid w:val="0D1AFB22"/>
    <w:rsid w:val="0D7D6C0B"/>
    <w:rsid w:val="0D8300F1"/>
    <w:rsid w:val="0E81804C"/>
    <w:rsid w:val="0EE0DA2F"/>
    <w:rsid w:val="0F1D766C"/>
    <w:rsid w:val="0F3DF180"/>
    <w:rsid w:val="0F55BA85"/>
    <w:rsid w:val="0FDDC395"/>
    <w:rsid w:val="0FFF28B2"/>
    <w:rsid w:val="102EBF1B"/>
    <w:rsid w:val="1124ACA7"/>
    <w:rsid w:val="112FA938"/>
    <w:rsid w:val="11AFD1A5"/>
    <w:rsid w:val="11F243A6"/>
    <w:rsid w:val="1214ACC9"/>
    <w:rsid w:val="121EB2BE"/>
    <w:rsid w:val="124030F7"/>
    <w:rsid w:val="12594E6A"/>
    <w:rsid w:val="126A8ACA"/>
    <w:rsid w:val="127884C2"/>
    <w:rsid w:val="12DA8813"/>
    <w:rsid w:val="130CC292"/>
    <w:rsid w:val="131677A9"/>
    <w:rsid w:val="1321CFFC"/>
    <w:rsid w:val="13850069"/>
    <w:rsid w:val="13D30452"/>
    <w:rsid w:val="13F41264"/>
    <w:rsid w:val="1435C1BC"/>
    <w:rsid w:val="145C497F"/>
    <w:rsid w:val="14909FC1"/>
    <w:rsid w:val="159F4ECB"/>
    <w:rsid w:val="15E13515"/>
    <w:rsid w:val="1601C7E7"/>
    <w:rsid w:val="16424AE9"/>
    <w:rsid w:val="16554EB9"/>
    <w:rsid w:val="16996E4D"/>
    <w:rsid w:val="16DC08F5"/>
    <w:rsid w:val="172433BD"/>
    <w:rsid w:val="174504CC"/>
    <w:rsid w:val="1776D970"/>
    <w:rsid w:val="17DD927F"/>
    <w:rsid w:val="18484E5E"/>
    <w:rsid w:val="187CCF22"/>
    <w:rsid w:val="189C7FCA"/>
    <w:rsid w:val="18FD316E"/>
    <w:rsid w:val="1915A0A7"/>
    <w:rsid w:val="191671E3"/>
    <w:rsid w:val="197348F4"/>
    <w:rsid w:val="19AAE6C0"/>
    <w:rsid w:val="19C76EFE"/>
    <w:rsid w:val="1AF99CC0"/>
    <w:rsid w:val="1B47F47C"/>
    <w:rsid w:val="1B491684"/>
    <w:rsid w:val="1B5C0846"/>
    <w:rsid w:val="1B678EAA"/>
    <w:rsid w:val="1BF76262"/>
    <w:rsid w:val="1BF822D4"/>
    <w:rsid w:val="1C0658A9"/>
    <w:rsid w:val="1C08DF5D"/>
    <w:rsid w:val="1CCB84B2"/>
    <w:rsid w:val="1CCBF1CF"/>
    <w:rsid w:val="1CE09B55"/>
    <w:rsid w:val="1D36D3F7"/>
    <w:rsid w:val="1D3CF58D"/>
    <w:rsid w:val="1D912A27"/>
    <w:rsid w:val="1D92B01E"/>
    <w:rsid w:val="1DF60B50"/>
    <w:rsid w:val="1E72D373"/>
    <w:rsid w:val="1F23028C"/>
    <w:rsid w:val="1F3ED351"/>
    <w:rsid w:val="1F8B0326"/>
    <w:rsid w:val="1FB81BAD"/>
    <w:rsid w:val="1FC3774F"/>
    <w:rsid w:val="1FFEC889"/>
    <w:rsid w:val="20184E37"/>
    <w:rsid w:val="201F4BC4"/>
    <w:rsid w:val="20802B51"/>
    <w:rsid w:val="20B3198D"/>
    <w:rsid w:val="20F0D23A"/>
    <w:rsid w:val="2109DDE3"/>
    <w:rsid w:val="21A7855A"/>
    <w:rsid w:val="21EAA548"/>
    <w:rsid w:val="21F231B7"/>
    <w:rsid w:val="21FE087E"/>
    <w:rsid w:val="2219AA05"/>
    <w:rsid w:val="221DB225"/>
    <w:rsid w:val="225906EE"/>
    <w:rsid w:val="22D48F75"/>
    <w:rsid w:val="2304ACEC"/>
    <w:rsid w:val="2350336C"/>
    <w:rsid w:val="236399F1"/>
    <w:rsid w:val="238234AF"/>
    <w:rsid w:val="23B88FE4"/>
    <w:rsid w:val="23CA9E84"/>
    <w:rsid w:val="23FB884A"/>
    <w:rsid w:val="23FBC62E"/>
    <w:rsid w:val="2415ED22"/>
    <w:rsid w:val="2418C4BC"/>
    <w:rsid w:val="245C368B"/>
    <w:rsid w:val="24660894"/>
    <w:rsid w:val="249A60BA"/>
    <w:rsid w:val="24C35E18"/>
    <w:rsid w:val="24C64992"/>
    <w:rsid w:val="24E0D946"/>
    <w:rsid w:val="25126204"/>
    <w:rsid w:val="254B7C6E"/>
    <w:rsid w:val="256132FD"/>
    <w:rsid w:val="25B6F09E"/>
    <w:rsid w:val="25C5907C"/>
    <w:rsid w:val="25C7CB7A"/>
    <w:rsid w:val="25CFB603"/>
    <w:rsid w:val="26B1B131"/>
    <w:rsid w:val="2741A397"/>
    <w:rsid w:val="274D4C22"/>
    <w:rsid w:val="280FD8D9"/>
    <w:rsid w:val="282C6CE1"/>
    <w:rsid w:val="285A5B97"/>
    <w:rsid w:val="28AF2157"/>
    <w:rsid w:val="28E865A3"/>
    <w:rsid w:val="28EB29B8"/>
    <w:rsid w:val="294E0B68"/>
    <w:rsid w:val="29E6A3E4"/>
    <w:rsid w:val="2A00F4EE"/>
    <w:rsid w:val="2A7C6C19"/>
    <w:rsid w:val="2AABAEB2"/>
    <w:rsid w:val="2B0D8192"/>
    <w:rsid w:val="2B26341D"/>
    <w:rsid w:val="2B5FC5EB"/>
    <w:rsid w:val="2C089465"/>
    <w:rsid w:val="2C3D4851"/>
    <w:rsid w:val="2CA5D608"/>
    <w:rsid w:val="2CE68132"/>
    <w:rsid w:val="2D04A38B"/>
    <w:rsid w:val="2D19F6C6"/>
    <w:rsid w:val="2D1DBDEC"/>
    <w:rsid w:val="2D77CD8E"/>
    <w:rsid w:val="2DAEEEAE"/>
    <w:rsid w:val="2DDEEF57"/>
    <w:rsid w:val="2DE256C6"/>
    <w:rsid w:val="2DEEB329"/>
    <w:rsid w:val="2DFE4570"/>
    <w:rsid w:val="2E86DEE2"/>
    <w:rsid w:val="2E98E18F"/>
    <w:rsid w:val="2EDE3E42"/>
    <w:rsid w:val="2EF6847F"/>
    <w:rsid w:val="2F14B1CA"/>
    <w:rsid w:val="2F9ACE49"/>
    <w:rsid w:val="2FEF8050"/>
    <w:rsid w:val="2FF2BE94"/>
    <w:rsid w:val="3067D214"/>
    <w:rsid w:val="31A5411E"/>
    <w:rsid w:val="31FF9AA4"/>
    <w:rsid w:val="32739109"/>
    <w:rsid w:val="327935D1"/>
    <w:rsid w:val="327F16D7"/>
    <w:rsid w:val="32B26730"/>
    <w:rsid w:val="32BFD90A"/>
    <w:rsid w:val="33338F35"/>
    <w:rsid w:val="33AB7B4C"/>
    <w:rsid w:val="340D4E1D"/>
    <w:rsid w:val="34511B97"/>
    <w:rsid w:val="34977CF3"/>
    <w:rsid w:val="34AC8345"/>
    <w:rsid w:val="35969841"/>
    <w:rsid w:val="35BE8460"/>
    <w:rsid w:val="35D1561B"/>
    <w:rsid w:val="35DD96B8"/>
    <w:rsid w:val="3654C477"/>
    <w:rsid w:val="36609A1B"/>
    <w:rsid w:val="3677C05C"/>
    <w:rsid w:val="36A72624"/>
    <w:rsid w:val="36C62F25"/>
    <w:rsid w:val="3702C63F"/>
    <w:rsid w:val="3764931F"/>
    <w:rsid w:val="379D97A9"/>
    <w:rsid w:val="37C2E3BF"/>
    <w:rsid w:val="37F094D4"/>
    <w:rsid w:val="38027D2E"/>
    <w:rsid w:val="382756B1"/>
    <w:rsid w:val="3827FAAF"/>
    <w:rsid w:val="3832D246"/>
    <w:rsid w:val="38611134"/>
    <w:rsid w:val="3883BDCB"/>
    <w:rsid w:val="38AE5C9B"/>
    <w:rsid w:val="38B4242B"/>
    <w:rsid w:val="38F46195"/>
    <w:rsid w:val="39987D56"/>
    <w:rsid w:val="39CD0BF3"/>
    <w:rsid w:val="39CF3802"/>
    <w:rsid w:val="3A63196F"/>
    <w:rsid w:val="3A81D9D1"/>
    <w:rsid w:val="3AAD3B5B"/>
    <w:rsid w:val="3B7CC71B"/>
    <w:rsid w:val="3BB732E4"/>
    <w:rsid w:val="3C8951F2"/>
    <w:rsid w:val="3C9912FD"/>
    <w:rsid w:val="3CD9DE96"/>
    <w:rsid w:val="3D04AE92"/>
    <w:rsid w:val="3D291892"/>
    <w:rsid w:val="3D356B0E"/>
    <w:rsid w:val="3D60193A"/>
    <w:rsid w:val="3DEEFBE9"/>
    <w:rsid w:val="3DFC437E"/>
    <w:rsid w:val="3E2E1E1D"/>
    <w:rsid w:val="3E3C0BEF"/>
    <w:rsid w:val="3E3E31DD"/>
    <w:rsid w:val="3ECCDF1A"/>
    <w:rsid w:val="3EE65E7D"/>
    <w:rsid w:val="3F0BCAEA"/>
    <w:rsid w:val="3F4D0D22"/>
    <w:rsid w:val="3FA1BF73"/>
    <w:rsid w:val="3FAEE210"/>
    <w:rsid w:val="3FB38490"/>
    <w:rsid w:val="3FBE8602"/>
    <w:rsid w:val="3FE1A56E"/>
    <w:rsid w:val="4003B8E9"/>
    <w:rsid w:val="4061C63A"/>
    <w:rsid w:val="40625DEA"/>
    <w:rsid w:val="40F9CE89"/>
    <w:rsid w:val="412EF45E"/>
    <w:rsid w:val="41380372"/>
    <w:rsid w:val="41A87930"/>
    <w:rsid w:val="42C3CFAD"/>
    <w:rsid w:val="43056EA4"/>
    <w:rsid w:val="434E7E86"/>
    <w:rsid w:val="439413E3"/>
    <w:rsid w:val="43AB4002"/>
    <w:rsid w:val="440BF10D"/>
    <w:rsid w:val="441A9755"/>
    <w:rsid w:val="442ABFFA"/>
    <w:rsid w:val="44F26A9A"/>
    <w:rsid w:val="4509DA82"/>
    <w:rsid w:val="452EB90A"/>
    <w:rsid w:val="456EC061"/>
    <w:rsid w:val="45760599"/>
    <w:rsid w:val="462D1036"/>
    <w:rsid w:val="4662BB5A"/>
    <w:rsid w:val="467D7C30"/>
    <w:rsid w:val="46A705AD"/>
    <w:rsid w:val="46D12D04"/>
    <w:rsid w:val="47067B18"/>
    <w:rsid w:val="4787052E"/>
    <w:rsid w:val="47E3F2DF"/>
    <w:rsid w:val="480E13D6"/>
    <w:rsid w:val="48402612"/>
    <w:rsid w:val="48452043"/>
    <w:rsid w:val="48661886"/>
    <w:rsid w:val="486E3A6F"/>
    <w:rsid w:val="48D5CD9A"/>
    <w:rsid w:val="490D99CB"/>
    <w:rsid w:val="49459470"/>
    <w:rsid w:val="4A833286"/>
    <w:rsid w:val="4AB5E2E9"/>
    <w:rsid w:val="4B38F085"/>
    <w:rsid w:val="4B8929F2"/>
    <w:rsid w:val="4C1D8210"/>
    <w:rsid w:val="4C672701"/>
    <w:rsid w:val="4C9951B6"/>
    <w:rsid w:val="4CB523F7"/>
    <w:rsid w:val="4D05FD48"/>
    <w:rsid w:val="4D8A8056"/>
    <w:rsid w:val="4D8E0E9D"/>
    <w:rsid w:val="4D8E5FF8"/>
    <w:rsid w:val="4D8F7AFE"/>
    <w:rsid w:val="4DFE996B"/>
    <w:rsid w:val="4E04230E"/>
    <w:rsid w:val="4E445938"/>
    <w:rsid w:val="4EBD5EDA"/>
    <w:rsid w:val="4ECE5EA2"/>
    <w:rsid w:val="4EDF2639"/>
    <w:rsid w:val="4F7E5F62"/>
    <w:rsid w:val="4FC6FFCE"/>
    <w:rsid w:val="502CE422"/>
    <w:rsid w:val="50E371CC"/>
    <w:rsid w:val="50F09DC9"/>
    <w:rsid w:val="512AA6C9"/>
    <w:rsid w:val="516A9E80"/>
    <w:rsid w:val="51C9D1B8"/>
    <w:rsid w:val="51F5DF96"/>
    <w:rsid w:val="520AFE0D"/>
    <w:rsid w:val="521A4048"/>
    <w:rsid w:val="5222F04D"/>
    <w:rsid w:val="526C5F03"/>
    <w:rsid w:val="52B61941"/>
    <w:rsid w:val="5318D4C0"/>
    <w:rsid w:val="53390AFE"/>
    <w:rsid w:val="53603C08"/>
    <w:rsid w:val="536BC4E9"/>
    <w:rsid w:val="53841ECA"/>
    <w:rsid w:val="53AB1F0E"/>
    <w:rsid w:val="53D3C66D"/>
    <w:rsid w:val="53DF41D2"/>
    <w:rsid w:val="541B44FF"/>
    <w:rsid w:val="54423A10"/>
    <w:rsid w:val="544EE97C"/>
    <w:rsid w:val="54B9623B"/>
    <w:rsid w:val="54CD2527"/>
    <w:rsid w:val="54FB76AC"/>
    <w:rsid w:val="54FCF30F"/>
    <w:rsid w:val="5513CDA6"/>
    <w:rsid w:val="5575A90C"/>
    <w:rsid w:val="55A709BD"/>
    <w:rsid w:val="56022D54"/>
    <w:rsid w:val="56753992"/>
    <w:rsid w:val="56BC6927"/>
    <w:rsid w:val="56CCBAC3"/>
    <w:rsid w:val="570A4A02"/>
    <w:rsid w:val="5720CCB6"/>
    <w:rsid w:val="5759429A"/>
    <w:rsid w:val="577C0622"/>
    <w:rsid w:val="579AF710"/>
    <w:rsid w:val="57DA819C"/>
    <w:rsid w:val="57E3DFEB"/>
    <w:rsid w:val="57EBF6FC"/>
    <w:rsid w:val="5822F06F"/>
    <w:rsid w:val="585A9052"/>
    <w:rsid w:val="5896006F"/>
    <w:rsid w:val="58D9F856"/>
    <w:rsid w:val="595C252B"/>
    <w:rsid w:val="5989FBBF"/>
    <w:rsid w:val="5996E89A"/>
    <w:rsid w:val="59C771A3"/>
    <w:rsid w:val="59D9B4C5"/>
    <w:rsid w:val="5A06AE24"/>
    <w:rsid w:val="5A12ECD7"/>
    <w:rsid w:val="5A7CE10D"/>
    <w:rsid w:val="5AA5FF74"/>
    <w:rsid w:val="5AB24306"/>
    <w:rsid w:val="5AEB57C8"/>
    <w:rsid w:val="5B3F1F94"/>
    <w:rsid w:val="5B753259"/>
    <w:rsid w:val="5BEB1E8E"/>
    <w:rsid w:val="5BEB8E7E"/>
    <w:rsid w:val="5BF65EA8"/>
    <w:rsid w:val="5C30C81A"/>
    <w:rsid w:val="5C36E420"/>
    <w:rsid w:val="5C6993ED"/>
    <w:rsid w:val="5C7C5B4B"/>
    <w:rsid w:val="5CC82B4B"/>
    <w:rsid w:val="5CEAEBB5"/>
    <w:rsid w:val="5CEFE5E4"/>
    <w:rsid w:val="5D041C6E"/>
    <w:rsid w:val="5D2452BC"/>
    <w:rsid w:val="5D515BB1"/>
    <w:rsid w:val="5E7B16DF"/>
    <w:rsid w:val="5E88ADC5"/>
    <w:rsid w:val="5EF51B6A"/>
    <w:rsid w:val="5EFBE4F5"/>
    <w:rsid w:val="5F2117DC"/>
    <w:rsid w:val="5F46F02F"/>
    <w:rsid w:val="5F9C0496"/>
    <w:rsid w:val="5FB95D89"/>
    <w:rsid w:val="61099E66"/>
    <w:rsid w:val="61226FE8"/>
    <w:rsid w:val="617F82EE"/>
    <w:rsid w:val="6187CB51"/>
    <w:rsid w:val="618B2CC3"/>
    <w:rsid w:val="618DB254"/>
    <w:rsid w:val="61D8D6BD"/>
    <w:rsid w:val="61EC96FC"/>
    <w:rsid w:val="6237C68E"/>
    <w:rsid w:val="62C366E9"/>
    <w:rsid w:val="62E4238A"/>
    <w:rsid w:val="63874137"/>
    <w:rsid w:val="63905375"/>
    <w:rsid w:val="63E177D2"/>
    <w:rsid w:val="641B2537"/>
    <w:rsid w:val="64787742"/>
    <w:rsid w:val="64B3E76C"/>
    <w:rsid w:val="650A999A"/>
    <w:rsid w:val="65347E51"/>
    <w:rsid w:val="65BDE928"/>
    <w:rsid w:val="65DF4FD2"/>
    <w:rsid w:val="65E7D00B"/>
    <w:rsid w:val="65FCAA06"/>
    <w:rsid w:val="6669D514"/>
    <w:rsid w:val="66824FDF"/>
    <w:rsid w:val="66A48598"/>
    <w:rsid w:val="66D000CE"/>
    <w:rsid w:val="66D35194"/>
    <w:rsid w:val="6724A0D0"/>
    <w:rsid w:val="67327F26"/>
    <w:rsid w:val="6786DA4B"/>
    <w:rsid w:val="68692955"/>
    <w:rsid w:val="6914EBF0"/>
    <w:rsid w:val="69362B83"/>
    <w:rsid w:val="6947A20D"/>
    <w:rsid w:val="69595141"/>
    <w:rsid w:val="6977ED5E"/>
    <w:rsid w:val="69BCEB3F"/>
    <w:rsid w:val="69EE297D"/>
    <w:rsid w:val="69F571DF"/>
    <w:rsid w:val="6A62DA9A"/>
    <w:rsid w:val="6ACA7D68"/>
    <w:rsid w:val="6ACC73F6"/>
    <w:rsid w:val="6B2F65F7"/>
    <w:rsid w:val="6B486661"/>
    <w:rsid w:val="6B68EA58"/>
    <w:rsid w:val="6B8487C6"/>
    <w:rsid w:val="6BDB6994"/>
    <w:rsid w:val="6C1442BE"/>
    <w:rsid w:val="6C42D734"/>
    <w:rsid w:val="6C585CAE"/>
    <w:rsid w:val="6C6D2AD2"/>
    <w:rsid w:val="6C93F7D8"/>
    <w:rsid w:val="6CB1D0D5"/>
    <w:rsid w:val="6D029551"/>
    <w:rsid w:val="6E71F26F"/>
    <w:rsid w:val="6E832454"/>
    <w:rsid w:val="6EFDAE19"/>
    <w:rsid w:val="6F05BDF1"/>
    <w:rsid w:val="6F0CE395"/>
    <w:rsid w:val="6F2C450F"/>
    <w:rsid w:val="6F469EB6"/>
    <w:rsid w:val="6F4ADD62"/>
    <w:rsid w:val="6FB1CB50"/>
    <w:rsid w:val="6FB6A8EB"/>
    <w:rsid w:val="6FB905B3"/>
    <w:rsid w:val="6FC5007E"/>
    <w:rsid w:val="6FC80FE6"/>
    <w:rsid w:val="6FDD6642"/>
    <w:rsid w:val="70040BD1"/>
    <w:rsid w:val="7056E18D"/>
    <w:rsid w:val="707474BA"/>
    <w:rsid w:val="70C4BBCF"/>
    <w:rsid w:val="70F30ABD"/>
    <w:rsid w:val="710750A4"/>
    <w:rsid w:val="71EF592E"/>
    <w:rsid w:val="721B8D12"/>
    <w:rsid w:val="721DA89B"/>
    <w:rsid w:val="7229EAEC"/>
    <w:rsid w:val="729654BE"/>
    <w:rsid w:val="729F5A87"/>
    <w:rsid w:val="72A82C64"/>
    <w:rsid w:val="72C8ACC3"/>
    <w:rsid w:val="730F2293"/>
    <w:rsid w:val="7338CBC5"/>
    <w:rsid w:val="7385F2F4"/>
    <w:rsid w:val="73AB196F"/>
    <w:rsid w:val="74183DB1"/>
    <w:rsid w:val="742FB121"/>
    <w:rsid w:val="7443A399"/>
    <w:rsid w:val="74C5C283"/>
    <w:rsid w:val="74D2B094"/>
    <w:rsid w:val="74EC06EC"/>
    <w:rsid w:val="74F50FA9"/>
    <w:rsid w:val="75ECD1D3"/>
    <w:rsid w:val="75FBB28A"/>
    <w:rsid w:val="767AE0CA"/>
    <w:rsid w:val="7701C438"/>
    <w:rsid w:val="7701E8B5"/>
    <w:rsid w:val="771281FF"/>
    <w:rsid w:val="775DDEBA"/>
    <w:rsid w:val="779B69E1"/>
    <w:rsid w:val="77D48F22"/>
    <w:rsid w:val="7815EA0A"/>
    <w:rsid w:val="782D3C53"/>
    <w:rsid w:val="78F5DCBC"/>
    <w:rsid w:val="7927D9CF"/>
    <w:rsid w:val="795ED5CC"/>
    <w:rsid w:val="79BEDF3A"/>
    <w:rsid w:val="79E981E1"/>
    <w:rsid w:val="7A302A44"/>
    <w:rsid w:val="7A695EC1"/>
    <w:rsid w:val="7A7A7A1D"/>
    <w:rsid w:val="7AB88DE1"/>
    <w:rsid w:val="7AB95D0A"/>
    <w:rsid w:val="7ADD174C"/>
    <w:rsid w:val="7B6D4527"/>
    <w:rsid w:val="7BE2BC1C"/>
    <w:rsid w:val="7C0C1842"/>
    <w:rsid w:val="7C0CA15F"/>
    <w:rsid w:val="7C4048D5"/>
    <w:rsid w:val="7C5132B6"/>
    <w:rsid w:val="7C824FF9"/>
    <w:rsid w:val="7CB2EE05"/>
    <w:rsid w:val="7D70D9ED"/>
    <w:rsid w:val="7E1EB58A"/>
    <w:rsid w:val="7E33E24B"/>
    <w:rsid w:val="7E3AE8CC"/>
    <w:rsid w:val="7E9AEBB2"/>
    <w:rsid w:val="7EC07660"/>
    <w:rsid w:val="7F0481AA"/>
    <w:rsid w:val="7F6EBE8E"/>
    <w:rsid w:val="7F784BB4"/>
    <w:rsid w:val="7FFA3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4BFA"/>
  <w15:chartTrackingRefBased/>
  <w15:docId w15:val="{DD03AE2E-23F5-4EB3-BBD1-07DF81F8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376"/>
    <w:pPr>
      <w:spacing w:before="120" w:after="120" w:line="240" w:lineRule="auto"/>
    </w:pPr>
    <w:rPr>
      <w:rFonts w:ascii="Calibri" w:hAnsi="Calibri" w:cs="Calibri"/>
      <w:kern w:val="0"/>
      <w:sz w:val="20"/>
      <w:szCs w:val="20"/>
      <w14:ligatures w14:val="none"/>
    </w:rPr>
  </w:style>
  <w:style w:type="paragraph" w:styleId="Heading1">
    <w:name w:val="heading 1"/>
    <w:basedOn w:val="Heading3"/>
    <w:next w:val="Normal"/>
    <w:link w:val="Heading1Char"/>
    <w:uiPriority w:val="9"/>
    <w:qFormat/>
    <w:rsid w:val="00FF1B62"/>
    <w:pPr>
      <w:spacing w:before="360" w:after="60" w:line="259" w:lineRule="auto"/>
      <w:outlineLvl w:val="0"/>
    </w:pPr>
    <w:rPr>
      <w:rFonts w:ascii="Arial" w:hAnsi="Arial" w:cs="Arial"/>
      <w:b/>
      <w:color w:val="auto"/>
      <w:sz w:val="32"/>
      <w:szCs w:val="24"/>
    </w:rPr>
  </w:style>
  <w:style w:type="paragraph" w:styleId="Heading2">
    <w:name w:val="heading 2"/>
    <w:basedOn w:val="Normal"/>
    <w:next w:val="Normal"/>
    <w:link w:val="Heading2Char"/>
    <w:uiPriority w:val="9"/>
    <w:unhideWhenUsed/>
    <w:qFormat/>
    <w:rsid w:val="00AC7BA7"/>
    <w:pPr>
      <w:spacing w:before="0" w:after="0" w:line="300" w:lineRule="auto"/>
      <w:outlineLvl w:val="1"/>
    </w:pPr>
    <w:rPr>
      <w:rFonts w:ascii="Arial" w:hAnsi="Arial" w:cs="Arial"/>
      <w:sz w:val="24"/>
      <w:szCs w:val="24"/>
      <w:u w:val="single"/>
    </w:rPr>
  </w:style>
  <w:style w:type="paragraph" w:styleId="Heading3">
    <w:name w:val="heading 3"/>
    <w:basedOn w:val="Normal"/>
    <w:next w:val="Normal"/>
    <w:link w:val="Heading3Char"/>
    <w:uiPriority w:val="9"/>
    <w:unhideWhenUsed/>
    <w:qFormat/>
    <w:rsid w:val="00D93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B62"/>
    <w:rPr>
      <w:rFonts w:ascii="Arial" w:eastAsiaTheme="majorEastAsia" w:hAnsi="Arial" w:cs="Arial"/>
      <w:b/>
      <w:kern w:val="0"/>
      <w:sz w:val="32"/>
      <w14:ligatures w14:val="none"/>
    </w:rPr>
  </w:style>
  <w:style w:type="character" w:customStyle="1" w:styleId="Heading2Char">
    <w:name w:val="Heading 2 Char"/>
    <w:basedOn w:val="DefaultParagraphFont"/>
    <w:link w:val="Heading2"/>
    <w:uiPriority w:val="9"/>
    <w:rsid w:val="00AC7BA7"/>
    <w:rPr>
      <w:rFonts w:ascii="Arial" w:hAnsi="Arial" w:cs="Arial"/>
      <w:kern w:val="0"/>
      <w:u w:val="single"/>
      <w14:ligatures w14:val="none"/>
    </w:rPr>
  </w:style>
  <w:style w:type="character" w:customStyle="1" w:styleId="Heading3Char">
    <w:name w:val="Heading 3 Char"/>
    <w:basedOn w:val="DefaultParagraphFont"/>
    <w:link w:val="Heading3"/>
    <w:uiPriority w:val="9"/>
    <w:rsid w:val="00D93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48B"/>
    <w:rPr>
      <w:rFonts w:eastAsiaTheme="majorEastAsia" w:cstheme="majorBidi"/>
      <w:color w:val="272727" w:themeColor="text1" w:themeTint="D8"/>
    </w:rPr>
  </w:style>
  <w:style w:type="paragraph" w:styleId="Title">
    <w:name w:val="Title"/>
    <w:basedOn w:val="Normal"/>
    <w:next w:val="Normal"/>
    <w:link w:val="TitleChar"/>
    <w:uiPriority w:val="10"/>
    <w:qFormat/>
    <w:rsid w:val="00D934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48B"/>
    <w:pPr>
      <w:spacing w:before="160"/>
      <w:jc w:val="center"/>
    </w:pPr>
    <w:rPr>
      <w:i/>
      <w:iCs/>
      <w:color w:val="404040" w:themeColor="text1" w:themeTint="BF"/>
    </w:rPr>
  </w:style>
  <w:style w:type="character" w:customStyle="1" w:styleId="QuoteChar">
    <w:name w:val="Quote Char"/>
    <w:basedOn w:val="DefaultParagraphFont"/>
    <w:link w:val="Quote"/>
    <w:uiPriority w:val="29"/>
    <w:rsid w:val="00D9348B"/>
    <w:rPr>
      <w:i/>
      <w:iCs/>
      <w:color w:val="404040" w:themeColor="text1" w:themeTint="BF"/>
    </w:rPr>
  </w:style>
  <w:style w:type="paragraph" w:styleId="ListParagraph">
    <w:name w:val="List Paragraph"/>
    <w:aliases w:val="Bullet point,List Paragraph1,List Paragraph11,Recommendation,List Bullet 1,L,Content descriptions,Bulletr List Paragraph,FooterText,List Paragraph Number,List Paragraph2,List Paragraph21,Listeafsnit1,NFP GP Bulleted List,numbered,列,b,Bull"/>
    <w:basedOn w:val="Normal"/>
    <w:link w:val="ListParagraphChar"/>
    <w:uiPriority w:val="34"/>
    <w:qFormat/>
    <w:rsid w:val="00D9348B"/>
    <w:pPr>
      <w:ind w:left="720"/>
      <w:contextualSpacing/>
    </w:pPr>
  </w:style>
  <w:style w:type="character" w:styleId="IntenseEmphasis">
    <w:name w:val="Intense Emphasis"/>
    <w:basedOn w:val="DefaultParagraphFont"/>
    <w:uiPriority w:val="21"/>
    <w:qFormat/>
    <w:rsid w:val="00D9348B"/>
    <w:rPr>
      <w:i/>
      <w:iCs/>
      <w:color w:val="0F4761" w:themeColor="accent1" w:themeShade="BF"/>
    </w:rPr>
  </w:style>
  <w:style w:type="paragraph" w:styleId="IntenseQuote">
    <w:name w:val="Intense Quote"/>
    <w:basedOn w:val="Normal"/>
    <w:next w:val="Normal"/>
    <w:link w:val="IntenseQuoteChar"/>
    <w:uiPriority w:val="30"/>
    <w:qFormat/>
    <w:rsid w:val="00D93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48B"/>
    <w:rPr>
      <w:i/>
      <w:iCs/>
      <w:color w:val="0F4761" w:themeColor="accent1" w:themeShade="BF"/>
    </w:rPr>
  </w:style>
  <w:style w:type="character" w:styleId="IntenseReference">
    <w:name w:val="Intense Reference"/>
    <w:basedOn w:val="DefaultParagraphFont"/>
    <w:uiPriority w:val="32"/>
    <w:qFormat/>
    <w:rsid w:val="00D9348B"/>
    <w:rPr>
      <w:b/>
      <w:bCs/>
      <w:smallCaps/>
      <w:color w:val="0F4761" w:themeColor="accent1" w:themeShade="BF"/>
      <w:spacing w:val="5"/>
    </w:rPr>
  </w:style>
  <w:style w:type="character" w:styleId="Hyperlink">
    <w:name w:val="Hyperlink"/>
    <w:basedOn w:val="DefaultParagraphFont"/>
    <w:uiPriority w:val="99"/>
    <w:unhideWhenUsed/>
    <w:rsid w:val="00BD1184"/>
    <w:rPr>
      <w:color w:val="467886" w:themeColor="hyperlink"/>
      <w:u w:val="single"/>
    </w:rPr>
  </w:style>
  <w:style w:type="character" w:styleId="UnresolvedMention">
    <w:name w:val="Unresolved Mention"/>
    <w:basedOn w:val="DefaultParagraphFont"/>
    <w:uiPriority w:val="99"/>
    <w:semiHidden/>
    <w:unhideWhenUsed/>
    <w:rsid w:val="00BD1184"/>
    <w:rPr>
      <w:color w:val="605E5C"/>
      <w:shd w:val="clear" w:color="auto" w:fill="E1DFDD"/>
    </w:rPr>
  </w:style>
  <w:style w:type="character" w:styleId="CommentReference">
    <w:name w:val="annotation reference"/>
    <w:basedOn w:val="DefaultParagraphFont"/>
    <w:uiPriority w:val="99"/>
    <w:semiHidden/>
    <w:unhideWhenUsed/>
    <w:rsid w:val="00C06234"/>
    <w:rPr>
      <w:sz w:val="16"/>
      <w:szCs w:val="16"/>
    </w:rPr>
  </w:style>
  <w:style w:type="paragraph" w:styleId="CommentText">
    <w:name w:val="annotation text"/>
    <w:basedOn w:val="Normal"/>
    <w:link w:val="CommentTextChar"/>
    <w:uiPriority w:val="99"/>
    <w:unhideWhenUsed/>
    <w:rsid w:val="00C06234"/>
  </w:style>
  <w:style w:type="character" w:customStyle="1" w:styleId="CommentTextChar">
    <w:name w:val="Comment Text Char"/>
    <w:basedOn w:val="DefaultParagraphFont"/>
    <w:link w:val="CommentText"/>
    <w:uiPriority w:val="99"/>
    <w:rsid w:val="00C06234"/>
    <w:rPr>
      <w:sz w:val="20"/>
      <w:szCs w:val="20"/>
    </w:rPr>
  </w:style>
  <w:style w:type="paragraph" w:styleId="CommentSubject">
    <w:name w:val="annotation subject"/>
    <w:basedOn w:val="CommentText"/>
    <w:next w:val="CommentText"/>
    <w:link w:val="CommentSubjectChar"/>
    <w:uiPriority w:val="99"/>
    <w:semiHidden/>
    <w:unhideWhenUsed/>
    <w:rsid w:val="00C06234"/>
    <w:rPr>
      <w:b/>
      <w:bCs/>
    </w:rPr>
  </w:style>
  <w:style w:type="character" w:customStyle="1" w:styleId="CommentSubjectChar">
    <w:name w:val="Comment Subject Char"/>
    <w:basedOn w:val="CommentTextChar"/>
    <w:link w:val="CommentSubject"/>
    <w:uiPriority w:val="99"/>
    <w:semiHidden/>
    <w:rsid w:val="00C06234"/>
    <w:rPr>
      <w:b/>
      <w:bCs/>
      <w:sz w:val="20"/>
      <w:szCs w:val="20"/>
    </w:rPr>
  </w:style>
  <w:style w:type="paragraph" w:styleId="List">
    <w:name w:val="List"/>
    <w:basedOn w:val="ListBullet"/>
    <w:uiPriority w:val="99"/>
    <w:unhideWhenUsed/>
    <w:qFormat/>
    <w:rsid w:val="009E3ABE"/>
    <w:pPr>
      <w:numPr>
        <w:numId w:val="1"/>
      </w:numPr>
      <w:ind w:left="0" w:firstLine="0"/>
      <w:contextualSpacing w:val="0"/>
    </w:pPr>
    <w:rPr>
      <w:sz w:val="22"/>
      <w:szCs w:val="22"/>
    </w:rPr>
  </w:style>
  <w:style w:type="paragraph" w:styleId="ListBullet">
    <w:name w:val="List Bullet"/>
    <w:basedOn w:val="Normal"/>
    <w:uiPriority w:val="99"/>
    <w:semiHidden/>
    <w:unhideWhenUsed/>
    <w:rsid w:val="009E3ABE"/>
    <w:pPr>
      <w:contextualSpacing/>
    </w:pPr>
  </w:style>
  <w:style w:type="character" w:customStyle="1" w:styleId="ListParagraphChar">
    <w:name w:val="List Paragraph Char"/>
    <w:aliases w:val="Bullet point Char,List Paragraph1 Char,List Paragraph11 Char,Recommendation Char,List Bullet 1 Char,L Char,Content descriptions Char,Bulletr List Paragraph Char,FooterText Char,List Paragraph Number Char,List Paragraph2 Char,列 Char"/>
    <w:link w:val="ListParagraph"/>
    <w:uiPriority w:val="34"/>
    <w:qFormat/>
    <w:locked/>
    <w:rsid w:val="00691730"/>
  </w:style>
  <w:style w:type="paragraph" w:styleId="Revision">
    <w:name w:val="Revision"/>
    <w:hidden/>
    <w:uiPriority w:val="99"/>
    <w:semiHidden/>
    <w:rsid w:val="00236664"/>
    <w:pPr>
      <w:spacing w:after="0" w:line="240" w:lineRule="auto"/>
    </w:pPr>
  </w:style>
  <w:style w:type="paragraph" w:styleId="Header">
    <w:name w:val="header"/>
    <w:basedOn w:val="Normal"/>
    <w:link w:val="HeaderChar"/>
    <w:uiPriority w:val="99"/>
    <w:unhideWhenUsed/>
    <w:rsid w:val="00124EBB"/>
    <w:pPr>
      <w:tabs>
        <w:tab w:val="center" w:pos="4513"/>
        <w:tab w:val="right" w:pos="9026"/>
      </w:tabs>
      <w:spacing w:after="0"/>
    </w:pPr>
  </w:style>
  <w:style w:type="character" w:customStyle="1" w:styleId="HeaderChar">
    <w:name w:val="Header Char"/>
    <w:basedOn w:val="DefaultParagraphFont"/>
    <w:link w:val="Header"/>
    <w:uiPriority w:val="99"/>
    <w:rsid w:val="00124EBB"/>
  </w:style>
  <w:style w:type="paragraph" w:styleId="Footer">
    <w:name w:val="footer"/>
    <w:basedOn w:val="Normal"/>
    <w:link w:val="FooterChar"/>
    <w:uiPriority w:val="99"/>
    <w:unhideWhenUsed/>
    <w:rsid w:val="00124EBB"/>
    <w:pPr>
      <w:tabs>
        <w:tab w:val="center" w:pos="4513"/>
        <w:tab w:val="right" w:pos="9026"/>
      </w:tabs>
      <w:spacing w:after="0"/>
    </w:pPr>
  </w:style>
  <w:style w:type="character" w:customStyle="1" w:styleId="FooterChar">
    <w:name w:val="Footer Char"/>
    <w:basedOn w:val="DefaultParagraphFont"/>
    <w:link w:val="Footer"/>
    <w:uiPriority w:val="99"/>
    <w:rsid w:val="00124EBB"/>
  </w:style>
  <w:style w:type="character" w:customStyle="1" w:styleId="legcomeasuredashChar">
    <w:name w:val="legcomeasuredash Char"/>
    <w:link w:val="legcomeasuredash"/>
    <w:locked/>
    <w:rsid w:val="007A059A"/>
    <w:rPr>
      <w:rFonts w:ascii="Arial" w:eastAsia="Times New Roman" w:hAnsi="Arial" w:cs="Arial"/>
      <w:color w:val="000000"/>
      <w:kern w:val="0"/>
      <w:sz w:val="22"/>
      <w:szCs w:val="20"/>
      <w14:ligatures w14:val="none"/>
    </w:rPr>
  </w:style>
  <w:style w:type="paragraph" w:customStyle="1" w:styleId="legcomeasuredash">
    <w:name w:val="legcomeasuredash"/>
    <w:basedOn w:val="Normal"/>
    <w:link w:val="legcomeasuredashChar"/>
    <w:qFormat/>
    <w:rsid w:val="007A059A"/>
    <w:pPr>
      <w:numPr>
        <w:numId w:val="2"/>
      </w:numPr>
      <w:tabs>
        <w:tab w:val="left" w:pos="794"/>
      </w:tabs>
      <w:spacing w:line="240" w:lineRule="atLeast"/>
    </w:pPr>
    <w:rPr>
      <w:rFonts w:ascii="Arial" w:eastAsia="Times New Roman" w:hAnsi="Arial" w:cs="Arial"/>
      <w:color w:val="000000"/>
      <w:sz w:val="22"/>
    </w:rPr>
  </w:style>
  <w:style w:type="table" w:styleId="TableGrid">
    <w:name w:val="Table Grid"/>
    <w:basedOn w:val="TableNormal"/>
    <w:uiPriority w:val="39"/>
    <w:rsid w:val="004B6B6F"/>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0D25AA"/>
    <w:rPr>
      <w:color w:val="2B579A"/>
      <w:shd w:val="clear" w:color="auto" w:fill="E1DFDD"/>
    </w:rPr>
  </w:style>
  <w:style w:type="paragraph" w:styleId="NormalWeb">
    <w:name w:val="Normal (Web)"/>
    <w:basedOn w:val="Normal"/>
    <w:uiPriority w:val="99"/>
    <w:semiHidden/>
    <w:unhideWhenUsed/>
    <w:rsid w:val="00BB536A"/>
    <w:rPr>
      <w:rFonts w:ascii="Times New Roman" w:hAnsi="Times New Roman" w:cs="Times New Roman"/>
      <w:sz w:val="24"/>
      <w:szCs w:val="24"/>
    </w:rPr>
  </w:style>
  <w:style w:type="character" w:styleId="Emphasis">
    <w:name w:val="Emphasis"/>
    <w:basedOn w:val="DefaultParagraphFont"/>
    <w:uiPriority w:val="20"/>
    <w:qFormat/>
    <w:rsid w:val="005260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13B69203063C4B933FCE2C3BD1AC08" ma:contentTypeVersion="14" ma:contentTypeDescription="Create a new document." ma:contentTypeScope="" ma:versionID="0d4ee987f76d880acfadb6423aaa0f4d">
  <xsd:schema xmlns:xsd="http://www.w3.org/2001/XMLSchema" xmlns:xs="http://www.w3.org/2001/XMLSchema" xmlns:p="http://schemas.microsoft.com/office/2006/metadata/properties" xmlns:ns2="ae94906c-67c7-48e5-a44a-1e5eb8c64f07" xmlns:ns3="06106737-798d-45ad-b814-9998b993eda3" targetNamespace="http://schemas.microsoft.com/office/2006/metadata/properties" ma:root="true" ma:fieldsID="86e2cb12dcc70b79e2ae247b2848352a" ns2:_="" ns3:_="">
    <xsd:import namespace="ae94906c-67c7-48e5-a44a-1e5eb8c64f07"/>
    <xsd:import namespace="06106737-798d-45ad-b814-9998b993e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takeholdertype" minOccurs="0"/>
                <xsd:element ref="ns2:reviewedonceforbrief" minOccurs="0"/>
                <xsd:element ref="ns2:Keysub"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4906c-67c7-48e5-a44a-1e5eb8c64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takeholdertype" ma:index="11" nillable="true" ma:displayName="stakeholder type" ma:format="Dropdown" ma:internalName="stakeholdertype">
      <xsd:complexType>
        <xsd:complexContent>
          <xsd:extension base="dms:MultiChoice">
            <xsd:sequence>
              <xsd:element name="Value" maxOccurs="unbounded" minOccurs="0" nillable="true">
                <xsd:simpleType>
                  <xsd:restriction base="dms:Choice">
                    <xsd:enumeration value="academic/other staff"/>
                    <xsd:enumeration value="student"/>
                    <xsd:enumeration value="gov/regulator"/>
                    <xsd:enumeration value="university"/>
                    <xsd:enumeration value="professional body/union"/>
                    <xsd:enumeration value="institute"/>
                    <xsd:enumeration value="other/unknown"/>
                  </xsd:restriction>
                </xsd:simpleType>
              </xsd:element>
            </xsd:sequence>
          </xsd:extension>
        </xsd:complexContent>
      </xsd:complexType>
    </xsd:element>
    <xsd:element name="reviewedonceforbrief" ma:index="12" nillable="true" ma:displayName="reviewed once for brief" ma:format="Dropdown" ma:internalName="reviewedonceforbrief">
      <xsd:simpleType>
        <xsd:restriction base="dms:Choice">
          <xsd:enumeration value="Yes"/>
          <xsd:enumeration value="No"/>
          <xsd:enumeration value="Choice 3"/>
        </xsd:restriction>
      </xsd:simpleType>
    </xsd:element>
    <xsd:element name="Keysub" ma:index="13" nillable="true" ma:displayName="Key sub" ma:format="Dropdown" ma:internalName="Keysub">
      <xsd:simpleType>
        <xsd:restriction base="dms:Choice">
          <xsd:enumeration value="yes"/>
          <xsd:enumeration value="Choice 2"/>
          <xsd:enumeration value="Choice 3"/>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06737-798d-45ad-b814-9998b993ed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22dad5-abfc-41fb-b68b-54260b56e87c}" ma:internalName="TaxCatchAll" ma:showField="CatchAllData" ma:web="06106737-798d-45ad-b814-9998b993e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6106737-798d-45ad-b814-9998b993eda3" xsi:nil="true"/>
    <reviewedonceforbrief xmlns="ae94906c-67c7-48e5-a44a-1e5eb8c64f07" xsi:nil="true"/>
    <Keysub xmlns="ae94906c-67c7-48e5-a44a-1e5eb8c64f07" xsi:nil="true"/>
    <stakeholdertype xmlns="ae94906c-67c7-48e5-a44a-1e5eb8c64f07" xsi:nil="true"/>
    <lcf76f155ced4ddcb4097134ff3c332f xmlns="ae94906c-67c7-48e5-a44a-1e5eb8c64f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A80800-197C-416E-A68B-D943F0D98341}">
  <ds:schemaRefs>
    <ds:schemaRef ds:uri="http://schemas.microsoft.com/sharepoint/v3/contenttype/forms"/>
  </ds:schemaRefs>
</ds:datastoreItem>
</file>

<file path=customXml/itemProps2.xml><?xml version="1.0" encoding="utf-8"?>
<ds:datastoreItem xmlns:ds="http://schemas.openxmlformats.org/officeDocument/2006/customXml" ds:itemID="{0C84275E-4A1F-40E7-B061-58F54162B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4906c-67c7-48e5-a44a-1e5eb8c64f07"/>
    <ds:schemaRef ds:uri="06106737-798d-45ad-b814-9998b993e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742DA-488D-4606-ADF6-3DC2A26BDB09}">
  <ds:schemaRefs>
    <ds:schemaRef ds:uri="http://schemas.openxmlformats.org/officeDocument/2006/bibliography"/>
  </ds:schemaRefs>
</ds:datastoreItem>
</file>

<file path=customXml/itemProps4.xml><?xml version="1.0" encoding="utf-8"?>
<ds:datastoreItem xmlns:ds="http://schemas.openxmlformats.org/officeDocument/2006/customXml" ds:itemID="{1BC36D4C-C952-4BE0-92A7-0E1FCB3DD9E5}">
  <ds:schemaRefs>
    <ds:schemaRef ds:uri="http://schemas.microsoft.com/office/2006/metadata/properties"/>
    <ds:schemaRef ds:uri="http://schemas.microsoft.com/office/infopath/2007/PartnerControls"/>
    <ds:schemaRef ds:uri="06106737-798d-45ad-b814-9998b993eda3"/>
    <ds:schemaRef ds:uri="ae94906c-67c7-48e5-a44a-1e5eb8c64f0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5148</Words>
  <Characters>32986</Characters>
  <Application>Microsoft Office Word</Application>
  <DocSecurity>0</DocSecurity>
  <Lines>666</Lines>
  <Paragraphs>237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TSAKMAKLIS,Nikoleta</dc:creator>
  <cp:keywords/>
  <dc:description/>
  <cp:lastModifiedBy>RIDGWAY,Caitlin</cp:lastModifiedBy>
  <cp:revision>10</cp:revision>
  <cp:lastPrinted>2026-06-16T07:03:00Z</cp:lastPrinted>
  <dcterms:created xsi:type="dcterms:W3CDTF">2026-06-12T06:43:00Z</dcterms:created>
  <dcterms:modified xsi:type="dcterms:W3CDTF">2026-06-16T07:05:00Z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2026-01-09T04:23:59Z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6ff8870c-2d9d-4c6f-9935-22da8d963fc4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0x0101009113B69203063C4B933FCE2C3BD1AC08</vt:lpwstr>
  </property>
  <property fmtid="{D5CDD505-2E9C-101B-9397-08002B2CF9AE}" pid="11" name="MediaServiceImageTags">
    <vt:lpwstr/>
  </property>
  <property fmtid="{D5CDD505-2E9C-101B-9397-08002B2CF9AE}" pid="12" name="docLang">
    <vt:lpwstr>en</vt:lpwstr>
  </property>
</Properties>
</file>