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07DD5" w:rsidP="00CA4815" w:rsidRDefault="00221D8F" w14:paraId="36B40085" w14:textId="77777777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178C742" wp14:editId="232965CA">
            <wp:simplePos x="0" y="0"/>
            <wp:positionH relativeFrom="page">
              <wp:posOffset>20320</wp:posOffset>
            </wp:positionH>
            <wp:positionV relativeFrom="paragraph">
              <wp:posOffset>-935355</wp:posOffset>
            </wp:positionV>
            <wp:extent cx="7537450" cy="2273300"/>
            <wp:effectExtent l="0" t="0" r="635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FDFB8B7" wp14:editId="1B602653">
            <wp:extent cx="2997200" cy="692101"/>
            <wp:effectExtent l="0" t="0" r="0" b="0"/>
            <wp:docPr id="3" name="Graphic 3" descr="Australian Government. Higher Education Gender-based Violence Regul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Higher Education Gender-based Violence Regulato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13" cy="69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126923157" w:displacedByCustomXml="next" w:id="0"/>
    <w:bookmarkStart w:name="_Toc126923146" w:displacedByCustomXml="next" w:id="1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221D8F" w:rsidP="00893A34" w:rsidRDefault="00DF26D1" w14:paraId="3284C95B" w14:textId="18AB74D6">
          <w:pPr>
            <w:pStyle w:val="Heading1"/>
          </w:pPr>
          <w:r>
            <w:t>National Higher Education Code to Prevent and Respond to Gender-based Violence</w:t>
          </w:r>
        </w:p>
      </w:sdtContent>
    </w:sdt>
    <w:bookmarkEnd w:displacedByCustomXml="prev" w:id="0"/>
    <w:bookmarkEnd w:displacedByCustomXml="prev" w:id="1"/>
    <w:p w:rsidR="0017134D" w:rsidP="00EB4C2F" w:rsidRDefault="00AC48E0" w14:paraId="2B2D7623" w14:textId="2392334B">
      <w:pPr>
        <w:pStyle w:val="Subtitle"/>
      </w:pPr>
      <w:r>
        <w:t xml:space="preserve">Key reporting </w:t>
      </w:r>
      <w:r w:rsidR="00956D61">
        <w:t xml:space="preserve">requirements </w:t>
      </w:r>
      <w:r w:rsidR="00084A7D">
        <w:t xml:space="preserve">to the </w:t>
      </w:r>
      <w:r w:rsidR="00181248">
        <w:t xml:space="preserve">GBV </w:t>
      </w:r>
      <w:r w:rsidR="00084A7D">
        <w:t>Regulator</w:t>
      </w:r>
      <w:r w:rsidR="00956D61">
        <w:t xml:space="preserve"> </w:t>
      </w:r>
    </w:p>
    <w:p w:rsidR="00F731B1" w:rsidP="00F731B1" w:rsidRDefault="00DF26D1" w14:paraId="252FC5E7" w14:textId="1F545B47">
      <w:r>
        <w:t>The tables below provide</w:t>
      </w:r>
      <w:r w:rsidR="00F731B1">
        <w:t xml:space="preserve"> </w:t>
      </w:r>
      <w:r>
        <w:t>timeline</w:t>
      </w:r>
      <w:r w:rsidR="00F731B1">
        <w:t>s</w:t>
      </w:r>
      <w:r>
        <w:t xml:space="preserve"> </w:t>
      </w:r>
      <w:r w:rsidR="005E0623">
        <w:t>of the</w:t>
      </w:r>
      <w:r w:rsidR="009C02EA">
        <w:t xml:space="preserve"> cyclical</w:t>
      </w:r>
      <w:r>
        <w:t xml:space="preserve"> reporting</w:t>
      </w:r>
      <w:r w:rsidR="007F059D">
        <w:t xml:space="preserve"> and submission</w:t>
      </w:r>
      <w:r>
        <w:t xml:space="preserve"> requirements </w:t>
      </w:r>
      <w:r w:rsidR="00870F7A">
        <w:t xml:space="preserve">to the </w:t>
      </w:r>
      <w:r w:rsidR="0065601D">
        <w:t xml:space="preserve">Higher Education Gender-based Violence </w:t>
      </w:r>
      <w:r w:rsidR="00870F7A">
        <w:t xml:space="preserve">Regulator </w:t>
      </w:r>
      <w:r w:rsidR="0065601D">
        <w:t xml:space="preserve">(GBV Regulator) </w:t>
      </w:r>
      <w:r w:rsidR="00E51EB9">
        <w:t xml:space="preserve">under the </w:t>
      </w:r>
      <w:r w:rsidR="00E51EB9">
        <w:rPr>
          <w:i/>
          <w:iCs/>
        </w:rPr>
        <w:t xml:space="preserve">National Higher Education Code to Prevent and Respond to Gender-based Violence </w:t>
      </w:r>
      <w:r w:rsidR="00E51EB9">
        <w:t>(National Code)</w:t>
      </w:r>
      <w:r w:rsidR="00157C03">
        <w:t xml:space="preserve"> for Table A and B providers (</w:t>
      </w:r>
      <w:r w:rsidR="00F32435">
        <w:t xml:space="preserve">for the period </w:t>
      </w:r>
      <w:r w:rsidR="00157C03">
        <w:t>2026-2030)</w:t>
      </w:r>
      <w:r w:rsidR="00956D61">
        <w:t xml:space="preserve"> (Table 1)</w:t>
      </w:r>
      <w:r w:rsidR="00157C03">
        <w:t xml:space="preserve"> and </w:t>
      </w:r>
      <w:r w:rsidR="006262EF">
        <w:t xml:space="preserve">non-university </w:t>
      </w:r>
      <w:r w:rsidR="00355893">
        <w:t>higher education providers (NUHEPs) (</w:t>
      </w:r>
      <w:r w:rsidR="00F32435">
        <w:t xml:space="preserve">for the period </w:t>
      </w:r>
      <w:r w:rsidR="00355893">
        <w:t>2027-2031)</w:t>
      </w:r>
      <w:r w:rsidR="00956D61">
        <w:t xml:space="preserve"> (Table 2</w:t>
      </w:r>
      <w:r w:rsidRPr="00563E1A" w:rsidR="00956D61">
        <w:t>)</w:t>
      </w:r>
      <w:r w:rsidR="00B5604F">
        <w:t xml:space="preserve">. </w:t>
      </w:r>
    </w:p>
    <w:p w:rsidR="005A5504" w:rsidP="00F4352D" w:rsidRDefault="005A5504" w14:paraId="417DBA11" w14:textId="3342AF7B">
      <w:r>
        <w:t xml:space="preserve">The </w:t>
      </w:r>
      <w:r w:rsidR="0065601D">
        <w:t>GBV Regulator</w:t>
      </w:r>
      <w:r>
        <w:t xml:space="preserve"> may </w:t>
      </w:r>
      <w:r w:rsidR="0088427B">
        <w:t xml:space="preserve">also require </w:t>
      </w:r>
      <w:r w:rsidR="00777131">
        <w:t>p</w:t>
      </w:r>
      <w:r w:rsidR="005E0623">
        <w:t>rovider</w:t>
      </w:r>
      <w:r w:rsidR="00777131">
        <w:t>s</w:t>
      </w:r>
      <w:r w:rsidR="00D32902">
        <w:t>, on an ad hoc basis,</w:t>
      </w:r>
      <w:r w:rsidR="0088427B">
        <w:t xml:space="preserve"> to </w:t>
      </w:r>
      <w:r w:rsidR="00BB52A1">
        <w:t xml:space="preserve">report on </w:t>
      </w:r>
      <w:r w:rsidR="00D32902">
        <w:t>additional</w:t>
      </w:r>
      <w:r w:rsidR="00BB52A1">
        <w:t xml:space="preserve"> matters</w:t>
      </w:r>
      <w:r w:rsidR="00A64384">
        <w:t>,</w:t>
      </w:r>
      <w:r w:rsidR="00BB52A1">
        <w:t xml:space="preserve"> such as </w:t>
      </w:r>
      <w:r w:rsidR="005E0623">
        <w:t xml:space="preserve">how </w:t>
      </w:r>
      <w:r w:rsidR="00777131">
        <w:t>they have c</w:t>
      </w:r>
      <w:r w:rsidR="005E0623">
        <w:t xml:space="preserve">omplied </w:t>
      </w:r>
      <w:r w:rsidR="00E51EB9">
        <w:t xml:space="preserve">with </w:t>
      </w:r>
      <w:r w:rsidR="00777131">
        <w:t>their</w:t>
      </w:r>
      <w:r w:rsidR="00E51EB9">
        <w:t xml:space="preserve"> obligations under </w:t>
      </w:r>
      <w:r w:rsidR="00D32902">
        <w:t>the National Code</w:t>
      </w:r>
      <w:r w:rsidR="005D1D53">
        <w:t>, or</w:t>
      </w:r>
      <w:r w:rsidR="00D32902">
        <w:t xml:space="preserve"> to provide other specified information.</w:t>
      </w:r>
      <w:r w:rsidR="00A64384">
        <w:t xml:space="preserve"> </w:t>
      </w:r>
    </w:p>
    <w:p w:rsidR="00DF26D1" w:rsidP="562EB0F4" w:rsidRDefault="00DF26D1" w14:paraId="3E5B3894" w14:textId="6ADF1023">
      <w:r>
        <w:t>For further detail</w:t>
      </w:r>
      <w:r w:rsidR="00F4352D">
        <w:t xml:space="preserve"> on key requirements</w:t>
      </w:r>
      <w:r>
        <w:t>, see</w:t>
      </w:r>
      <w:r w:rsidR="00CE3F50">
        <w:t xml:space="preserve"> the </w:t>
      </w:r>
      <w:hyperlink r:id="rId13">
        <w:r w:rsidRPr="562EB0F4" w:rsidR="00794701">
          <w:rPr>
            <w:rStyle w:val="Hyperlink"/>
          </w:rPr>
          <w:t>National Higher Education Code to Prevent and Respond to Gender-based Violence</w:t>
        </w:r>
      </w:hyperlink>
      <w:r w:rsidR="00CFC958">
        <w:t xml:space="preserve"> and </w:t>
      </w:r>
      <w:hyperlink r:id="rId14">
        <w:r w:rsidRPr="562EB0F4" w:rsidR="00CFC958">
          <w:rPr>
            <w:rStyle w:val="Hyperlink"/>
          </w:rPr>
          <w:t>Resources | Department of Education</w:t>
        </w:r>
      </w:hyperlink>
      <w:r w:rsidR="00CE3F50">
        <w:t>.</w:t>
      </w:r>
    </w:p>
    <w:p w:rsidR="005D1D53" w:rsidP="00CE3F50" w:rsidRDefault="005D1D53" w14:paraId="406EEE07" w14:textId="7484E5A1">
      <w:r w:rsidRPr="005D1D53">
        <w:t>The definitions used in the tables are derived from the National Code.</w:t>
      </w:r>
    </w:p>
    <w:p w:rsidRPr="00AD631F" w:rsidR="005E312A" w:rsidP="00403EE2" w:rsidRDefault="00956D61" w14:paraId="2F8B3F16" w14:textId="2CB3F142">
      <w:pPr>
        <w:pStyle w:val="Heading3"/>
      </w:pPr>
      <w:r>
        <w:t xml:space="preserve">Table 1: </w:t>
      </w:r>
      <w:r w:rsidR="004B4F4C">
        <w:t xml:space="preserve">Timeline of </w:t>
      </w:r>
      <w:r w:rsidR="00823AC4">
        <w:t xml:space="preserve">cyclical </w:t>
      </w:r>
      <w:r w:rsidR="004B4F4C">
        <w:t>r</w:t>
      </w:r>
      <w:r w:rsidR="005E312A">
        <w:t>eporting requirements for Table A and B providers</w:t>
      </w:r>
      <w:r w:rsidR="00F32435">
        <w:t xml:space="preserve"> </w:t>
      </w:r>
      <w:r w:rsidR="00162CF8">
        <w:t>(2026-2030)</w:t>
      </w:r>
    </w:p>
    <w:tbl>
      <w:tblPr>
        <w:tblStyle w:val="EDU-Basic"/>
        <w:tblW w:w="9356" w:type="dxa"/>
        <w:tblLook w:val="0420" w:firstRow="1" w:lastRow="0" w:firstColumn="0" w:lastColumn="0" w:noHBand="0" w:noVBand="1"/>
      </w:tblPr>
      <w:tblGrid>
        <w:gridCol w:w="1985"/>
        <w:gridCol w:w="7371"/>
      </w:tblGrid>
      <w:tr w:rsidR="00DB4E86" w:rsidTr="002A74F4" w14:paraId="28DA54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1985" w:type="dxa"/>
          </w:tcPr>
          <w:p w:rsidR="00DB4E86" w:rsidP="006B7A48" w:rsidRDefault="00DB4E86" w14:paraId="04D18B50" w14:textId="1F5E4D46">
            <w:pPr>
              <w:spacing w:after="100"/>
            </w:pPr>
            <w:r>
              <w:t>Date</w:t>
            </w:r>
          </w:p>
        </w:tc>
        <w:tc>
          <w:tcPr>
            <w:tcW w:w="7371" w:type="dxa"/>
          </w:tcPr>
          <w:p w:rsidR="00DB4E86" w:rsidP="006B7A48" w:rsidRDefault="00DB4E86" w14:paraId="75DA35FB" w14:textId="5AAC418A">
            <w:pPr>
              <w:spacing w:after="0"/>
            </w:pPr>
            <w:r>
              <w:t>Reporting requirement</w:t>
            </w:r>
            <w:r w:rsidR="000C091C">
              <w:t xml:space="preserve"> </w:t>
            </w:r>
            <w:r>
              <w:t>and Standard</w:t>
            </w:r>
          </w:p>
        </w:tc>
      </w:tr>
      <w:tr w:rsidR="004B4F4C" w:rsidTr="002A74F4" w14:paraId="786C5A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5AF4EABB" w14:textId="73BAC503">
            <w:pPr>
              <w:spacing w:after="0"/>
            </w:pPr>
            <w:r w:rsidRPr="0014234C">
              <w:rPr>
                <w:b/>
                <w:bCs/>
              </w:rPr>
              <w:t>1 January 2026</w:t>
            </w:r>
            <w:r w:rsidRPr="0014234C" w:rsidR="00646FA0">
              <w:rPr>
                <w:rStyle w:val="FootnoteReference"/>
                <w:b/>
                <w:bCs/>
              </w:rPr>
              <w:footnoteReference w:id="1"/>
            </w:r>
            <w:r w:rsidRPr="0014234C">
              <w:t xml:space="preserve"> 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116073" w14:paraId="00DDFE1A" w14:textId="120DFC05">
            <w:pPr>
              <w:spacing w:after="0"/>
            </w:pPr>
            <w:r>
              <w:t>Provider must s</w:t>
            </w:r>
            <w:r w:rsidRPr="0014234C" w:rsidR="004B4F4C">
              <w:t>ubmit</w:t>
            </w:r>
            <w:r w:rsidRPr="0014234C" w:rsidR="00273255">
              <w:t xml:space="preserve"> </w:t>
            </w:r>
            <w:r w:rsidR="00A56A3C">
              <w:t xml:space="preserve">Whole-of-Organisation Prevention and Response Plan </w:t>
            </w:r>
            <w:r w:rsidR="000C091C">
              <w:t>(</w:t>
            </w:r>
            <w:r w:rsidRPr="0014234C" w:rsidR="00162CF8">
              <w:t>Plan</w:t>
            </w:r>
            <w:r w:rsidR="000C091C">
              <w:t>)</w:t>
            </w:r>
            <w:r w:rsidRPr="0014234C" w:rsidR="00162CF8">
              <w:t xml:space="preserve"> </w:t>
            </w:r>
            <w:r w:rsidRPr="0014234C" w:rsidR="004B4F4C">
              <w:t>and Outcomes Framework to GBV Regulator (Standard 1.8)</w:t>
            </w:r>
          </w:p>
        </w:tc>
      </w:tr>
      <w:tr w:rsidR="004B4F4C" w:rsidTr="002A74F4" w14:paraId="4055E7C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6FC5CC93" w14:textId="0BC8F40B">
            <w:pPr>
              <w:spacing w:after="0"/>
            </w:pPr>
            <w:r w:rsidRPr="0014234C">
              <w:rPr>
                <w:b/>
                <w:bCs/>
              </w:rPr>
              <w:t xml:space="preserve">30 June 2026 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5A4877" w14:paraId="1246191E" w14:textId="09A25CCC">
            <w:pPr>
              <w:spacing w:after="0"/>
            </w:pPr>
            <w:r w:rsidRPr="0014234C">
              <w:t>P</w:t>
            </w:r>
            <w:r w:rsidR="00116073">
              <w:t>rovider must p</w:t>
            </w:r>
            <w:r w:rsidRPr="0014234C">
              <w:t>rovide the GBV Regulator with</w:t>
            </w:r>
            <w:r w:rsidRPr="0014234C" w:rsidR="00694EFD">
              <w:t xml:space="preserve"> the</w:t>
            </w:r>
            <w:r w:rsidRPr="0014234C">
              <w:t xml:space="preserve"> names of student accommodation which the provider directly owns/operates/manages, controls or is affiliated with (Standard 7.13)</w:t>
            </w:r>
          </w:p>
        </w:tc>
      </w:tr>
      <w:tr w:rsidR="004B4F4C" w:rsidTr="002A74F4" w14:paraId="7B7DC2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1DA08B9B" w14:textId="09E89946">
            <w:pPr>
              <w:spacing w:after="0"/>
            </w:pPr>
            <w:r w:rsidRPr="0014234C">
              <w:rPr>
                <w:b/>
                <w:bCs/>
              </w:rPr>
              <w:t>30 June 2027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5A4877" w14:paraId="33187361" w14:textId="15BDB145">
            <w:pPr>
              <w:spacing w:after="0"/>
            </w:pPr>
            <w:r w:rsidRPr="0014234C">
              <w:t>P</w:t>
            </w:r>
            <w:r w:rsidR="00116073">
              <w:t>rovider must p</w:t>
            </w:r>
            <w:r w:rsidRPr="0014234C">
              <w:t>rovide the GBV Regulator with</w:t>
            </w:r>
            <w:r w:rsidRPr="0014234C" w:rsidR="00BC378D">
              <w:t xml:space="preserve"> the</w:t>
            </w:r>
            <w:r w:rsidRPr="0014234C">
              <w:t xml:space="preserve"> names of student accommodation which the provider directly owns/operates/manages, controls or is affiliated with (Standard 7.13)</w:t>
            </w:r>
          </w:p>
        </w:tc>
      </w:tr>
      <w:tr w:rsidR="004B4F4C" w:rsidTr="00E20E38" w14:paraId="67DA8A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01280579" w14:textId="0B094A31">
            <w:pPr>
              <w:spacing w:after="0"/>
            </w:pPr>
            <w:r w:rsidRPr="0014234C">
              <w:rPr>
                <w:b/>
                <w:bCs/>
              </w:rPr>
              <w:t>30 June 2027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4B4F4C" w14:paraId="77669233" w14:textId="361F91C7">
            <w:pPr>
              <w:spacing w:after="0"/>
            </w:pPr>
            <w:r w:rsidRPr="0014234C">
              <w:t>First annual data submission</w:t>
            </w:r>
            <w:r w:rsidR="001D1FCF">
              <w:t xml:space="preserve"> </w:t>
            </w:r>
            <w:r w:rsidRPr="0014234C" w:rsidR="00E85213">
              <w:t>including</w:t>
            </w:r>
            <w:r w:rsidRPr="0014234C" w:rsidR="00754A6C">
              <w:t xml:space="preserve"> any</w:t>
            </w:r>
            <w:r w:rsidRPr="0014234C" w:rsidR="00E85213">
              <w:t xml:space="preserve"> </w:t>
            </w:r>
            <w:r w:rsidRPr="0014234C" w:rsidR="00914E46">
              <w:t xml:space="preserve">data from </w:t>
            </w:r>
            <w:r w:rsidR="003C603C">
              <w:t>s</w:t>
            </w:r>
            <w:r w:rsidRPr="001D1FCF" w:rsidR="001F0078">
              <w:t xml:space="preserve">tudent </w:t>
            </w:r>
            <w:r w:rsidR="003C603C">
              <w:t>a</w:t>
            </w:r>
            <w:r w:rsidRPr="001D1FCF" w:rsidR="001F0078">
              <w:t xml:space="preserve">ccommodation </w:t>
            </w:r>
            <w:r w:rsidR="003C603C">
              <w:t>p</w:t>
            </w:r>
            <w:r w:rsidRPr="001D1FCF" w:rsidR="001F0078">
              <w:t>rovider</w:t>
            </w:r>
            <w:r w:rsidRPr="001D1FCF" w:rsidR="00914E46">
              <w:t>s</w:t>
            </w:r>
            <w:r w:rsidRPr="0014234C" w:rsidR="00914E46">
              <w:rPr>
                <w:b/>
                <w:bCs/>
              </w:rPr>
              <w:t xml:space="preserve"> </w:t>
            </w:r>
            <w:r w:rsidRPr="0014234C" w:rsidR="001D1FCF">
              <w:t>(Standards 6.12-6.14</w:t>
            </w:r>
            <w:r w:rsidR="001D1FCF">
              <w:t xml:space="preserve">, </w:t>
            </w:r>
            <w:r w:rsidRPr="0014234C" w:rsidR="001F0078">
              <w:t>7.</w:t>
            </w:r>
            <w:r w:rsidRPr="0014234C" w:rsidR="00614EE3">
              <w:t>8</w:t>
            </w:r>
            <w:r w:rsidRPr="0014234C" w:rsidR="001F0078">
              <w:t>-7.10)</w:t>
            </w:r>
          </w:p>
        </w:tc>
      </w:tr>
      <w:tr w:rsidR="004B4F4C" w:rsidTr="002A74F4" w14:paraId="0FA21B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2642906F" w14:textId="1FD1EA57">
            <w:pPr>
              <w:spacing w:after="0"/>
            </w:pPr>
            <w:r w:rsidRPr="0014234C">
              <w:rPr>
                <w:b/>
                <w:bCs/>
              </w:rPr>
              <w:t xml:space="preserve">1 January 2028 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5F66A2" w14:paraId="62ABA712" w14:textId="3FB3D3C8">
            <w:pPr>
              <w:spacing w:after="0"/>
            </w:pPr>
            <w:r>
              <w:t>Provider must s</w:t>
            </w:r>
            <w:r w:rsidRPr="0014234C" w:rsidR="004B4F4C">
              <w:t>ubmit a report to the GBV Regulator on the Plan and Outcomes Framework (</w:t>
            </w:r>
            <w:r w:rsidRPr="0014234C" w:rsidR="00C31CFC">
              <w:t xml:space="preserve">Standard </w:t>
            </w:r>
            <w:r w:rsidRPr="0014234C" w:rsidR="004B4F4C">
              <w:t>1.10)</w:t>
            </w:r>
          </w:p>
        </w:tc>
      </w:tr>
      <w:tr w:rsidR="004B4F4C" w:rsidTr="002A74F4" w14:paraId="3CB3F6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77C72C4B" w14:textId="054D4BBE">
            <w:pPr>
              <w:spacing w:after="0"/>
            </w:pPr>
            <w:r w:rsidRPr="0014234C">
              <w:rPr>
                <w:b/>
                <w:bCs/>
              </w:rPr>
              <w:t>30 June 2028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5A4877" w14:paraId="2EFB34A8" w14:textId="4587780B">
            <w:pPr>
              <w:spacing w:after="0"/>
            </w:pPr>
            <w:r w:rsidRPr="0014234C">
              <w:t>Provide</w:t>
            </w:r>
            <w:r w:rsidR="005F66A2">
              <w:t>r must provide</w:t>
            </w:r>
            <w:r w:rsidRPr="0014234C">
              <w:t xml:space="preserve"> the GBV Regulator with</w:t>
            </w:r>
            <w:r w:rsidRPr="0014234C" w:rsidR="00BE6948">
              <w:t xml:space="preserve"> the</w:t>
            </w:r>
            <w:r w:rsidRPr="0014234C">
              <w:t xml:space="preserve"> names of student accommodation which the provider directly owns/operates/manages, controls or is affiliated with (Standard 7.13)</w:t>
            </w:r>
          </w:p>
        </w:tc>
      </w:tr>
      <w:tr w:rsidR="004B4F4C" w:rsidTr="00E20E38" w14:paraId="09A9F1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B15675" w:rsidRDefault="004B4F4C" w14:paraId="6796EDE7" w14:textId="468EC972">
            <w:pPr>
              <w:spacing w:after="0"/>
              <w:jc w:val="both"/>
            </w:pPr>
            <w:r w:rsidRPr="0014234C">
              <w:rPr>
                <w:b/>
                <w:bCs/>
              </w:rPr>
              <w:t>30 June 2028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1D1FCF" w14:paraId="243194A8" w14:textId="3B6FA6B0">
            <w:pPr>
              <w:spacing w:after="0"/>
            </w:pPr>
            <w:r>
              <w:t>Second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3C603C">
              <w:t>s</w:t>
            </w:r>
            <w:r w:rsidRPr="001D1FCF">
              <w:t xml:space="preserve">tudent </w:t>
            </w:r>
            <w:r w:rsidR="003C603C">
              <w:t>a</w:t>
            </w:r>
            <w:r w:rsidRPr="001D1FCF">
              <w:t xml:space="preserve">ccommodation </w:t>
            </w:r>
            <w:r w:rsidR="003C603C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4B4F4C" w:rsidTr="002A74F4" w14:paraId="129FCE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07F4BD24" w14:textId="64A701A5">
            <w:pPr>
              <w:spacing w:after="0"/>
            </w:pPr>
            <w:r w:rsidRPr="0014234C">
              <w:rPr>
                <w:b/>
                <w:bCs/>
              </w:rPr>
              <w:t>30 June 2029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5A4877" w14:paraId="5308C5F9" w14:textId="68B874DF">
            <w:pPr>
              <w:spacing w:after="0"/>
            </w:pPr>
            <w:r w:rsidRPr="0014234C">
              <w:t>Provide</w:t>
            </w:r>
            <w:r w:rsidR="005F66A2">
              <w:t>r must provide</w:t>
            </w:r>
            <w:r w:rsidRPr="0014234C">
              <w:t xml:space="preserve"> the GBV Regulator with</w:t>
            </w:r>
            <w:r w:rsidRPr="0014234C" w:rsidR="00B255D0">
              <w:t xml:space="preserve"> the</w:t>
            </w:r>
            <w:r w:rsidRPr="0014234C">
              <w:t xml:space="preserve"> names of student accommodation which the provider directly owns/operates/manages, controls or is affiliated with (Standard 7.13)</w:t>
            </w:r>
          </w:p>
        </w:tc>
      </w:tr>
      <w:tr w:rsidR="004B4F4C" w:rsidTr="00E20E38" w14:paraId="797F98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402C1866" w14:textId="20151C96">
            <w:pPr>
              <w:spacing w:after="0"/>
            </w:pPr>
            <w:r w:rsidRPr="0014234C">
              <w:rPr>
                <w:b/>
                <w:bCs/>
              </w:rPr>
              <w:t>30 June 2029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1D1FCF" w14:paraId="76B0D8F1" w14:textId="10153D6B">
            <w:pPr>
              <w:spacing w:after="0"/>
            </w:pPr>
            <w:r>
              <w:t>Third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3C603C">
              <w:t>s</w:t>
            </w:r>
            <w:r w:rsidRPr="001D1FCF">
              <w:t xml:space="preserve">tudent </w:t>
            </w:r>
            <w:r w:rsidR="003C603C">
              <w:t>a</w:t>
            </w:r>
            <w:r w:rsidRPr="001D1FCF">
              <w:t xml:space="preserve">ccommodation </w:t>
            </w:r>
            <w:r w:rsidR="003C603C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4B4F4C" w:rsidTr="002A74F4" w14:paraId="54D28E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30C8F466" w14:textId="17950221">
            <w:pPr>
              <w:spacing w:after="0"/>
            </w:pPr>
            <w:r w:rsidRPr="0014234C">
              <w:rPr>
                <w:b/>
                <w:bCs/>
              </w:rPr>
              <w:t>1 January 2030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AE5122" w14:paraId="2854B5E3" w14:textId="4CCE01BB">
            <w:pPr>
              <w:spacing w:after="0"/>
            </w:pPr>
            <w:r>
              <w:t>Provider must s</w:t>
            </w:r>
            <w:r w:rsidRPr="0014234C" w:rsidR="004B4F4C">
              <w:t>ubmit a report to the GBV Regulator on the Plan and Outcomes Framework (</w:t>
            </w:r>
            <w:r w:rsidRPr="0014234C" w:rsidR="00C31CFC">
              <w:t xml:space="preserve">Standard </w:t>
            </w:r>
            <w:r w:rsidRPr="0014234C" w:rsidR="004B4F4C">
              <w:t>1.10)</w:t>
            </w:r>
          </w:p>
        </w:tc>
      </w:tr>
      <w:tr w:rsidR="004B4F4C" w:rsidTr="002A74F4" w14:paraId="2B4721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1011D9E5" w14:textId="14BA5BAE">
            <w:pPr>
              <w:spacing w:after="0"/>
            </w:pPr>
            <w:r w:rsidRPr="0014234C">
              <w:rPr>
                <w:b/>
                <w:bCs/>
              </w:rPr>
              <w:t xml:space="preserve">1 January 2030 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AE5122" w14:paraId="17E0EF40" w14:textId="42CF74FD">
            <w:pPr>
              <w:spacing w:after="0"/>
            </w:pPr>
            <w:r>
              <w:t>Provider must s</w:t>
            </w:r>
            <w:r w:rsidRPr="0014234C" w:rsidR="004B4F4C">
              <w:t>ubmit Plan and Outcomes Framework to GBV Regulator (Standard 1.8)</w:t>
            </w:r>
          </w:p>
        </w:tc>
      </w:tr>
      <w:tr w:rsidR="004B4F4C" w:rsidTr="002A74F4" w14:paraId="02D266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1E4C1A94" w14:textId="7B1E873A">
            <w:pPr>
              <w:spacing w:after="0"/>
            </w:pPr>
            <w:r w:rsidRPr="0014234C">
              <w:rPr>
                <w:b/>
                <w:bCs/>
              </w:rPr>
              <w:t xml:space="preserve">30 June 2030 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23466A" w14:paraId="68A4515E" w14:textId="7588D29B">
            <w:pPr>
              <w:spacing w:after="0"/>
            </w:pPr>
            <w:r w:rsidRPr="0014234C">
              <w:t>Provide</w:t>
            </w:r>
            <w:r w:rsidR="00AE5122">
              <w:t>r must provide</w:t>
            </w:r>
            <w:r w:rsidRPr="0014234C">
              <w:t xml:space="preserve"> the GBV Regulator with</w:t>
            </w:r>
            <w:r w:rsidRPr="0014234C" w:rsidR="00B255D0">
              <w:t xml:space="preserve"> the</w:t>
            </w:r>
            <w:r w:rsidRPr="0014234C">
              <w:t xml:space="preserve"> names of student accommodation which the provider directly owns/operates/manages, controls </w:t>
            </w:r>
            <w:r w:rsidRPr="0014234C" w:rsidR="005A4877">
              <w:t>or</w:t>
            </w:r>
            <w:r w:rsidRPr="0014234C">
              <w:t xml:space="preserve"> is affiliated </w:t>
            </w:r>
            <w:r w:rsidRPr="0014234C" w:rsidR="005A4877">
              <w:t xml:space="preserve">with </w:t>
            </w:r>
            <w:r w:rsidRPr="0014234C">
              <w:t>(Standard 7.13)</w:t>
            </w:r>
          </w:p>
        </w:tc>
      </w:tr>
      <w:tr w:rsidR="004B4F4C" w:rsidTr="00E20E38" w14:paraId="4824A1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4B4F4C" w:rsidP="004B4F4C" w:rsidRDefault="004B4F4C" w14:paraId="5D054517" w14:textId="153579F5">
            <w:pPr>
              <w:spacing w:after="0"/>
            </w:pPr>
            <w:r w:rsidRPr="0014234C">
              <w:rPr>
                <w:b/>
                <w:bCs/>
              </w:rPr>
              <w:t>30 June 2030</w:t>
            </w:r>
          </w:p>
        </w:tc>
        <w:tc>
          <w:tcPr>
            <w:tcW w:w="7371" w:type="dxa"/>
            <w:vAlign w:val="top"/>
          </w:tcPr>
          <w:p w:rsidRPr="0014234C" w:rsidR="004B4F4C" w:rsidP="004B4F4C" w:rsidRDefault="001D1FCF" w14:paraId="2E387D1E" w14:textId="269F4265">
            <w:pPr>
              <w:spacing w:after="0"/>
            </w:pPr>
            <w:r>
              <w:t>Fourth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B93A76">
              <w:t>s</w:t>
            </w:r>
            <w:r w:rsidRPr="001D1FCF">
              <w:t xml:space="preserve">tudent </w:t>
            </w:r>
            <w:r w:rsidR="00B93A76">
              <w:t>a</w:t>
            </w:r>
            <w:r w:rsidRPr="001D1FCF">
              <w:t xml:space="preserve">ccommodation </w:t>
            </w:r>
            <w:r w:rsidR="00B93A76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032F7A" w:rsidTr="00E20E38" w14:paraId="0C7B8EB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4234C" w:rsidR="00032F7A" w:rsidP="00EE58F8" w:rsidRDefault="00376461" w14:paraId="6535D267" w14:textId="7592E1A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Ongoing</w:t>
            </w:r>
          </w:p>
        </w:tc>
        <w:tc>
          <w:tcPr>
            <w:tcW w:w="7371" w:type="dxa"/>
            <w:vAlign w:val="top"/>
          </w:tcPr>
          <w:p w:rsidRPr="0014234C" w:rsidR="00032F7A" w:rsidP="00EE58F8" w:rsidRDefault="00093506" w14:paraId="5CD5ADDB" w14:textId="518F3815">
            <w:pPr>
              <w:spacing w:after="0"/>
            </w:pPr>
            <w:r>
              <w:t>Provider must r</w:t>
            </w:r>
            <w:r w:rsidRPr="0014234C" w:rsidR="00B85E4C">
              <w:t xml:space="preserve">eport to the GBV Regulator where an </w:t>
            </w:r>
            <w:r w:rsidRPr="00C24F88" w:rsidR="00B85E4C">
              <w:t xml:space="preserve">Affiliated Student Accommodation Provider </w:t>
            </w:r>
            <w:r w:rsidRPr="0014234C" w:rsidR="00B85E4C">
              <w:t>does not agree to implement an agreement that meets the requirements in Standards 7.9 and 7.10 (Standard 7.11)</w:t>
            </w:r>
          </w:p>
        </w:tc>
      </w:tr>
    </w:tbl>
    <w:p w:rsidRPr="00AD631F" w:rsidR="00621619" w:rsidP="00403EE2" w:rsidRDefault="00956D61" w14:paraId="2128C82B" w14:textId="17F01180">
      <w:pPr>
        <w:pStyle w:val="Heading3"/>
      </w:pPr>
      <w:r>
        <w:t xml:space="preserve">Table 2: </w:t>
      </w:r>
      <w:r w:rsidR="00621619">
        <w:t xml:space="preserve">Timeline of </w:t>
      </w:r>
      <w:r w:rsidR="00823AC4">
        <w:t xml:space="preserve">cyclical </w:t>
      </w:r>
      <w:r w:rsidR="00621619">
        <w:t xml:space="preserve">reporting requirements for </w:t>
      </w:r>
      <w:r w:rsidR="008F1A8B">
        <w:t>NUHEPs</w:t>
      </w:r>
      <w:r w:rsidR="00162CF8">
        <w:t xml:space="preserve"> (2026-2031)</w:t>
      </w:r>
    </w:p>
    <w:tbl>
      <w:tblPr>
        <w:tblStyle w:val="EDU-Basic"/>
        <w:tblW w:w="9356" w:type="dxa"/>
        <w:tblLook w:val="0420" w:firstRow="1" w:lastRow="0" w:firstColumn="0" w:lastColumn="0" w:noHBand="0" w:noVBand="1"/>
      </w:tblPr>
      <w:tblGrid>
        <w:gridCol w:w="1985"/>
        <w:gridCol w:w="7371"/>
      </w:tblGrid>
      <w:tr w:rsidR="00621619" w:rsidTr="00D7574B" w14:paraId="28EF37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1985" w:type="dxa"/>
          </w:tcPr>
          <w:p w:rsidR="00621619" w:rsidP="006B7A48" w:rsidRDefault="00621619" w14:paraId="3493DB42" w14:textId="77777777">
            <w:pPr>
              <w:spacing w:after="100"/>
            </w:pPr>
            <w:r>
              <w:t>Date</w:t>
            </w:r>
          </w:p>
        </w:tc>
        <w:tc>
          <w:tcPr>
            <w:tcW w:w="7371" w:type="dxa"/>
          </w:tcPr>
          <w:p w:rsidR="00621619" w:rsidP="006B7A48" w:rsidRDefault="00621619" w14:paraId="274F5150" w14:textId="7824862A">
            <w:pPr>
              <w:spacing w:after="0"/>
            </w:pPr>
            <w:r>
              <w:t>Reporting requirement and Standard</w:t>
            </w:r>
          </w:p>
        </w:tc>
      </w:tr>
      <w:tr w:rsidR="00621619" w:rsidTr="00D7574B" w14:paraId="484C96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621619" w:rsidP="006B7A48" w:rsidRDefault="00621619" w14:paraId="7C3DFB68" w14:textId="35F7379A">
            <w:pPr>
              <w:spacing w:after="0"/>
            </w:pPr>
            <w:r w:rsidRPr="00194602">
              <w:rPr>
                <w:b/>
                <w:bCs/>
              </w:rPr>
              <w:t>1 January 202</w:t>
            </w:r>
            <w:r w:rsidRPr="00194602" w:rsidR="000434FC">
              <w:rPr>
                <w:b/>
                <w:bCs/>
              </w:rPr>
              <w:t>7</w:t>
            </w:r>
            <w:r w:rsidRPr="00194602">
              <w:t xml:space="preserve"> </w:t>
            </w:r>
          </w:p>
        </w:tc>
        <w:tc>
          <w:tcPr>
            <w:tcW w:w="7371" w:type="dxa"/>
            <w:vAlign w:val="top"/>
          </w:tcPr>
          <w:p w:rsidRPr="00194602" w:rsidR="00621619" w:rsidP="006B7A48" w:rsidRDefault="00F50E90" w14:paraId="70E2CFD8" w14:textId="776AC767">
            <w:pPr>
              <w:spacing w:after="0"/>
            </w:pPr>
            <w:r>
              <w:t>Provider must s</w:t>
            </w:r>
            <w:r w:rsidRPr="00194602" w:rsidR="00621619">
              <w:t>ubmit Plan and Outcomes Framework to GBV Regulator (Standard 1.8)</w:t>
            </w:r>
          </w:p>
        </w:tc>
      </w:tr>
      <w:tr w:rsidR="00A34DC8" w:rsidTr="00D7574B" w14:paraId="7398EA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3D353CF4" w14:textId="71251C5E">
            <w:pPr>
              <w:spacing w:after="0"/>
            </w:pPr>
            <w:r w:rsidRPr="00194602">
              <w:rPr>
                <w:b/>
                <w:bCs/>
              </w:rPr>
              <w:t xml:space="preserve">30 June 2027 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865015" w14:paraId="3E7041CB" w14:textId="353D498F">
            <w:pPr>
              <w:spacing w:after="0"/>
            </w:pPr>
            <w:r>
              <w:t>Provider must p</w:t>
            </w:r>
            <w:r w:rsidRPr="00194602" w:rsidR="00A34DC8">
              <w:t>rovide the GBV Regulator with the names of student accommodation which the provider directly owns/operates/manages, controls or is affiliated with (Standard 7.13)</w:t>
            </w:r>
          </w:p>
        </w:tc>
      </w:tr>
      <w:tr w:rsidR="00A34DC8" w:rsidTr="00D7574B" w14:paraId="61B1E4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1985" w:type="dxa"/>
            <w:vAlign w:val="top"/>
          </w:tcPr>
          <w:p w:rsidRPr="00194602" w:rsidR="00A34DC8" w:rsidP="00A34DC8" w:rsidRDefault="00A34DC8" w14:paraId="15235B41" w14:textId="1CA56A4D">
            <w:pPr>
              <w:spacing w:after="0"/>
            </w:pPr>
            <w:r w:rsidRPr="00194602">
              <w:rPr>
                <w:b/>
                <w:bCs/>
              </w:rPr>
              <w:t>30 June 2028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865015" w14:paraId="08709286" w14:textId="40031379">
            <w:pPr>
              <w:spacing w:after="0"/>
            </w:pPr>
            <w:r>
              <w:t>Provider must p</w:t>
            </w:r>
            <w:r w:rsidRPr="00194602" w:rsidR="00A34DC8">
              <w:t>rovide the GBV Regulator with the names of student accommodation which the provider directly owns/operates/manages, controls or is affiliated with (Standard 7.13)</w:t>
            </w:r>
          </w:p>
        </w:tc>
      </w:tr>
      <w:tr w:rsidR="00A34DC8" w:rsidTr="007910AE" w14:paraId="5CA517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008CDB0A" w14:textId="5A659470">
            <w:pPr>
              <w:spacing w:after="0"/>
            </w:pPr>
            <w:r w:rsidRPr="00194602">
              <w:rPr>
                <w:b/>
                <w:bCs/>
              </w:rPr>
              <w:t>30 June 2028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E20E38" w14:paraId="36BBC5EE" w14:textId="45F1555E">
            <w:pPr>
              <w:spacing w:after="0"/>
            </w:pPr>
            <w:r w:rsidRPr="0014234C">
              <w:t>First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093341">
              <w:t>s</w:t>
            </w:r>
            <w:r w:rsidRPr="001D1FCF">
              <w:t xml:space="preserve">tudent </w:t>
            </w:r>
            <w:r w:rsidR="00093341">
              <w:t>a</w:t>
            </w:r>
            <w:r w:rsidRPr="001D1FCF">
              <w:t xml:space="preserve">ccommodation </w:t>
            </w:r>
            <w:r w:rsidR="00093341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A34DC8" w:rsidTr="00D7574B" w14:paraId="2C468E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0F8C175C" w14:textId="33AAADD2">
            <w:pPr>
              <w:spacing w:after="0"/>
            </w:pPr>
            <w:r w:rsidRPr="00194602">
              <w:rPr>
                <w:b/>
                <w:bCs/>
              </w:rPr>
              <w:t xml:space="preserve">1 January 2029 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CD18EA" w14:paraId="0C68D1D5" w14:textId="00C2916A">
            <w:pPr>
              <w:spacing w:after="0"/>
            </w:pPr>
            <w:r>
              <w:t>Provider must s</w:t>
            </w:r>
            <w:r w:rsidRPr="00194602" w:rsidR="00A34DC8">
              <w:t>ubmit a report to the GBV Regulator on the Plan and Outcomes Framework (Standard 1.10)</w:t>
            </w:r>
          </w:p>
        </w:tc>
      </w:tr>
      <w:tr w:rsidR="00A34DC8" w:rsidTr="00D7574B" w14:paraId="57A5F69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29DD5D51" w14:textId="3FDA27EA">
            <w:pPr>
              <w:spacing w:after="0"/>
            </w:pPr>
            <w:r w:rsidRPr="00194602">
              <w:rPr>
                <w:b/>
                <w:bCs/>
              </w:rPr>
              <w:t>30 June 2029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CD18EA" w14:paraId="2C51C2AB" w14:textId="11C0130D">
            <w:pPr>
              <w:spacing w:after="0"/>
            </w:pPr>
            <w:r>
              <w:t>Provider must p</w:t>
            </w:r>
            <w:r w:rsidRPr="00194602" w:rsidR="00A34DC8">
              <w:t>rovide the GBV Regulator with the names of student accommodation which the provider directly owns/operates/manages, controls or is affiliated with (Standard 7.13)</w:t>
            </w:r>
          </w:p>
        </w:tc>
      </w:tr>
      <w:tr w:rsidR="00A34DC8" w:rsidTr="007910AE" w14:paraId="423426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14F19184" w14:textId="41857D3B">
            <w:pPr>
              <w:spacing w:after="0"/>
            </w:pPr>
            <w:r w:rsidRPr="00194602">
              <w:rPr>
                <w:b/>
                <w:bCs/>
              </w:rPr>
              <w:t>30 June 2029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E20E38" w14:paraId="12683133" w14:textId="357736C4">
            <w:pPr>
              <w:spacing w:after="0"/>
            </w:pPr>
            <w:r>
              <w:t>Second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093341">
              <w:t>s</w:t>
            </w:r>
            <w:r w:rsidRPr="001D1FCF">
              <w:t xml:space="preserve">tudent </w:t>
            </w:r>
            <w:r w:rsidR="00093341">
              <w:t>a</w:t>
            </w:r>
            <w:r w:rsidRPr="001D1FCF">
              <w:t xml:space="preserve">ccommodation </w:t>
            </w:r>
            <w:r w:rsidR="00093341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A34DC8" w:rsidTr="00D7574B" w14:paraId="58F66FF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665C07F3" w14:textId="25BBE64C">
            <w:pPr>
              <w:spacing w:after="0"/>
            </w:pPr>
            <w:r w:rsidRPr="00194602">
              <w:rPr>
                <w:b/>
                <w:bCs/>
              </w:rPr>
              <w:t>30 June 2030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CD18EA" w14:paraId="73A9ED03" w14:textId="541FABE3">
            <w:pPr>
              <w:spacing w:after="0"/>
            </w:pPr>
            <w:r>
              <w:t>Provider must p</w:t>
            </w:r>
            <w:r w:rsidRPr="00194602" w:rsidR="00A34DC8">
              <w:t>rovide the GBV Regulator with the names of student accommodation which the provider directly owns/operates/manages, controls or is affiliated with (Standard 7.13)</w:t>
            </w:r>
          </w:p>
        </w:tc>
      </w:tr>
      <w:tr w:rsidR="00A34DC8" w:rsidTr="007910AE" w14:paraId="66018E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01325BE2" w14:textId="35279AA8">
            <w:pPr>
              <w:spacing w:after="0"/>
            </w:pPr>
            <w:r w:rsidRPr="00194602">
              <w:rPr>
                <w:b/>
                <w:bCs/>
              </w:rPr>
              <w:t>30 June 2030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E20E38" w14:paraId="03FB97F7" w14:textId="05CD9529">
            <w:pPr>
              <w:spacing w:after="0"/>
            </w:pPr>
            <w:r>
              <w:t>Third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093341">
              <w:t>s</w:t>
            </w:r>
            <w:r w:rsidRPr="001D1FCF">
              <w:t xml:space="preserve">tudent </w:t>
            </w:r>
            <w:r w:rsidR="00093341">
              <w:t>a</w:t>
            </w:r>
            <w:r w:rsidRPr="001D1FCF">
              <w:t xml:space="preserve">ccommodation </w:t>
            </w:r>
            <w:r w:rsidR="00093341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A34DC8" w:rsidTr="00D7574B" w14:paraId="63A3B1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46A9911F" w14:textId="0799F686">
            <w:pPr>
              <w:spacing w:after="0"/>
            </w:pPr>
            <w:r w:rsidRPr="00194602">
              <w:rPr>
                <w:b/>
                <w:bCs/>
              </w:rPr>
              <w:t>1 January 2031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E95A1A" w14:paraId="72312D4C" w14:textId="62DF5043">
            <w:pPr>
              <w:spacing w:after="0"/>
            </w:pPr>
            <w:r>
              <w:t>Provider must s</w:t>
            </w:r>
            <w:r w:rsidRPr="00194602" w:rsidR="00A34DC8">
              <w:t>ubmit a report to the GBV Regulator on the Plan and Outcomes Framework (Standard 1.10)</w:t>
            </w:r>
          </w:p>
        </w:tc>
      </w:tr>
      <w:tr w:rsidRPr="00701679" w:rsidR="00A34DC8" w:rsidTr="00D7574B" w14:paraId="6A120F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34DC8" w:rsidP="00A34DC8" w:rsidRDefault="00A34DC8" w14:paraId="19CBFDB1" w14:textId="75F3D657">
            <w:pPr>
              <w:spacing w:after="0"/>
            </w:pPr>
            <w:r w:rsidRPr="00194602">
              <w:rPr>
                <w:b/>
                <w:bCs/>
              </w:rPr>
              <w:t>1 January 2031</w:t>
            </w:r>
          </w:p>
        </w:tc>
        <w:tc>
          <w:tcPr>
            <w:tcW w:w="7371" w:type="dxa"/>
            <w:vAlign w:val="top"/>
          </w:tcPr>
          <w:p w:rsidRPr="00194602" w:rsidR="00A34DC8" w:rsidP="00A34DC8" w:rsidRDefault="00E95A1A" w14:paraId="41D02B18" w14:textId="585E3580">
            <w:pPr>
              <w:spacing w:after="0"/>
            </w:pPr>
            <w:r>
              <w:t>Provider must s</w:t>
            </w:r>
            <w:r w:rsidRPr="00194602" w:rsidR="00A34DC8">
              <w:t>ubmit Plan and Outcomes Framework to GBV Regulator (Standard 1.8)</w:t>
            </w:r>
          </w:p>
        </w:tc>
      </w:tr>
      <w:tr w:rsidR="00AA53CA" w:rsidTr="00D7574B" w14:paraId="5D5C26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A53CA" w:rsidP="00AA53CA" w:rsidRDefault="00AA53CA" w14:paraId="51EDAFFC" w14:textId="3FC57268">
            <w:pPr>
              <w:spacing w:after="0"/>
            </w:pPr>
            <w:r w:rsidRPr="00194602">
              <w:rPr>
                <w:b/>
                <w:bCs/>
              </w:rPr>
              <w:t>30 June 2031</w:t>
            </w:r>
          </w:p>
        </w:tc>
        <w:tc>
          <w:tcPr>
            <w:tcW w:w="7371" w:type="dxa"/>
            <w:vAlign w:val="top"/>
          </w:tcPr>
          <w:p w:rsidRPr="00194602" w:rsidR="00AA53CA" w:rsidP="00AA53CA" w:rsidRDefault="00AA53CA" w14:paraId="268527FF" w14:textId="5EAE837B">
            <w:pPr>
              <w:spacing w:after="0"/>
            </w:pPr>
            <w:r w:rsidRPr="00194602">
              <w:t>Provide</w:t>
            </w:r>
            <w:r w:rsidR="00E95A1A">
              <w:t>r must provide</w:t>
            </w:r>
            <w:r w:rsidRPr="00194602">
              <w:t xml:space="preserve"> the GBV Regulator with the names of student accommodation which the provider directly owns/operates/manages, controls or is affiliated with (Standard 7.13)</w:t>
            </w:r>
          </w:p>
        </w:tc>
      </w:tr>
      <w:tr w:rsidR="00AA53CA" w:rsidTr="007910AE" w14:paraId="490A6B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A53CA" w:rsidP="00AA53CA" w:rsidRDefault="00AA53CA" w14:paraId="332F4DDA" w14:textId="77BE41F2">
            <w:pPr>
              <w:spacing w:after="0"/>
            </w:pPr>
            <w:r w:rsidRPr="00194602">
              <w:rPr>
                <w:b/>
                <w:bCs/>
              </w:rPr>
              <w:t>30 June 2031</w:t>
            </w:r>
          </w:p>
        </w:tc>
        <w:tc>
          <w:tcPr>
            <w:tcW w:w="7371" w:type="dxa"/>
            <w:vAlign w:val="top"/>
          </w:tcPr>
          <w:p w:rsidRPr="00194602" w:rsidR="00AA53CA" w:rsidP="00AA53CA" w:rsidRDefault="00E20E38" w14:paraId="38CA6ED3" w14:textId="616BC45B">
            <w:pPr>
              <w:spacing w:after="0"/>
            </w:pPr>
            <w:r>
              <w:t>Fourth</w:t>
            </w:r>
            <w:r w:rsidRPr="0014234C">
              <w:t xml:space="preserve"> annual data submission</w:t>
            </w:r>
            <w:r>
              <w:t xml:space="preserve"> </w:t>
            </w:r>
            <w:r w:rsidRPr="0014234C">
              <w:t xml:space="preserve">including any data from </w:t>
            </w:r>
            <w:r w:rsidR="00093341">
              <w:t>s</w:t>
            </w:r>
            <w:r w:rsidRPr="001D1FCF">
              <w:t xml:space="preserve">tudent </w:t>
            </w:r>
            <w:r w:rsidR="00093341">
              <w:t>a</w:t>
            </w:r>
            <w:r w:rsidRPr="001D1FCF">
              <w:t xml:space="preserve">ccommodation </w:t>
            </w:r>
            <w:r w:rsidR="00093341">
              <w:t>p</w:t>
            </w:r>
            <w:r w:rsidRPr="001D1FCF">
              <w:t>roviders</w:t>
            </w:r>
            <w:r w:rsidRPr="0014234C">
              <w:rPr>
                <w:b/>
                <w:bCs/>
              </w:rPr>
              <w:t xml:space="preserve"> </w:t>
            </w:r>
            <w:r w:rsidRPr="0014234C">
              <w:t>(Standards 6.12-6.14</w:t>
            </w:r>
            <w:r>
              <w:t xml:space="preserve">, </w:t>
            </w:r>
            <w:r w:rsidRPr="0014234C">
              <w:t>7.8-7.10)</w:t>
            </w:r>
          </w:p>
        </w:tc>
      </w:tr>
      <w:tr w:rsidR="00AA53CA" w:rsidTr="007910AE" w14:paraId="3C50657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985" w:type="dxa"/>
            <w:vAlign w:val="top"/>
          </w:tcPr>
          <w:p w:rsidRPr="00194602" w:rsidR="00AA53CA" w:rsidP="00AA53CA" w:rsidRDefault="0045711C" w14:paraId="1477F464" w14:textId="7D59A79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Ongoing</w:t>
            </w:r>
          </w:p>
        </w:tc>
        <w:tc>
          <w:tcPr>
            <w:tcW w:w="7371" w:type="dxa"/>
            <w:vAlign w:val="top"/>
          </w:tcPr>
          <w:p w:rsidRPr="00194602" w:rsidR="00AA53CA" w:rsidP="00AA53CA" w:rsidRDefault="00F845B4" w14:paraId="58E74BB6" w14:textId="4F05D6B1">
            <w:pPr>
              <w:spacing w:after="0"/>
            </w:pPr>
            <w:r>
              <w:t>Provider must r</w:t>
            </w:r>
            <w:r w:rsidRPr="00194602" w:rsidR="00AA53CA">
              <w:t xml:space="preserve">eport to the GBV Regulator </w:t>
            </w:r>
            <w:r w:rsidRPr="007910AE" w:rsidR="00AA53CA">
              <w:t>where an Affiliated Student Accommodation Provider does not agree to implement</w:t>
            </w:r>
            <w:r w:rsidRPr="00194602" w:rsidR="00AA53CA">
              <w:t xml:space="preserve"> an agreement </w:t>
            </w:r>
            <w:r w:rsidRPr="00194602" w:rsidR="00B85E4C">
              <w:t xml:space="preserve">that meets the requirements in </w:t>
            </w:r>
            <w:r w:rsidRPr="00194602" w:rsidR="00AA53CA">
              <w:t>Standards 7.9 and 7.10 (Standard 7.11)</w:t>
            </w:r>
          </w:p>
        </w:tc>
      </w:tr>
    </w:tbl>
    <w:p w:rsidR="0017134D" w:rsidP="00A6409C" w:rsidRDefault="0017134D" w14:paraId="24119473" w14:textId="205FDECE"/>
    <w:sectPr w:rsidR="0017134D" w:rsidSect="00162409">
      <w:headerReference w:type="default" r:id="rId15"/>
      <w:footerReference w:type="default" r:id="rId16"/>
      <w:footerReference w:type="first" r:id="rId17"/>
      <w:pgSz w:w="11906" w:h="16838" w:orient="portrait"/>
      <w:pgMar w:top="1488" w:right="1440" w:bottom="1440" w:left="1440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FC7" w:rsidP="000A6228" w:rsidRDefault="002B0FC7" w14:paraId="0F93DC93" w14:textId="77777777">
      <w:pPr>
        <w:spacing w:after="0" w:line="240" w:lineRule="auto"/>
      </w:pPr>
      <w:r>
        <w:separator/>
      </w:r>
    </w:p>
  </w:endnote>
  <w:endnote w:type="continuationSeparator" w:id="0">
    <w:p w:rsidR="002B0FC7" w:rsidP="000A6228" w:rsidRDefault="002B0FC7" w14:paraId="293EF3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40" w:rsidP="00A74240" w:rsidRDefault="00A41057" w14:paraId="1126FBC1" w14:textId="75B2C6D1">
    <w:pPr>
      <w:pStyle w:val="Footer"/>
    </w:pPr>
    <w:r>
      <w:t>Key Reporting Requirements to the GBV Regulator</w:t>
    </w:r>
    <w:r w:rsidR="00A74240">
      <w:t xml:space="preserve"> | </w:t>
    </w:r>
    <w:r w:rsidRPr="00AF1F18" w:rsidR="00A74240">
      <w:fldChar w:fldCharType="begin"/>
    </w:r>
    <w:r w:rsidRPr="00AF1F18" w:rsidR="00A74240">
      <w:instrText xml:space="preserve"> PAGE   \* MERGEFORMAT </w:instrText>
    </w:r>
    <w:r w:rsidRPr="00AF1F18" w:rsidR="00A74240">
      <w:fldChar w:fldCharType="separate"/>
    </w:r>
    <w:r w:rsidR="00A74240">
      <w:t>1</w:t>
    </w:r>
    <w:r w:rsidRPr="00AF1F18" w:rsidR="00A74240">
      <w:fldChar w:fldCharType="end"/>
    </w:r>
  </w:p>
  <w:p w:rsidR="00A74240" w:rsidP="00A74240" w:rsidRDefault="00A74240" w14:paraId="1F94E3F2" w14:textId="77777777">
    <w:pPr>
      <w:pStyle w:val="Footer"/>
    </w:pPr>
  </w:p>
  <w:p w:rsidRPr="00A74240" w:rsidR="00A74240" w:rsidP="00A74240" w:rsidRDefault="00A74240" w14:paraId="2DF983AC" w14:textId="77777777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40" w:rsidP="00A74240" w:rsidRDefault="00A74240" w14:paraId="3BE58657" w14:textId="77777777">
    <w:pPr>
      <w:pStyle w:val="Footer"/>
    </w:pPr>
    <w:r>
      <w:fldChar w:fldCharType="begin"/>
    </w:r>
    <w:r>
      <w:instrText>DOCPROPERTY  Title  \* MERGEFORMAT</w:instrText>
    </w:r>
    <w:r>
      <w:fldChar w:fldCharType="separate"/>
    </w:r>
    <w:r>
      <w:t>Factsheet title</w:t>
    </w:r>
    <w:r>
      <w:fldChar w:fldCharType="end"/>
    </w:r>
    <w:r>
      <w:t xml:space="preserve"> | </w:t>
    </w:r>
    <w:r w:rsidRPr="00AF1F18">
      <w:fldChar w:fldCharType="begin"/>
    </w:r>
    <w:r w:rsidRPr="00AF1F18">
      <w:instrText xml:space="preserve"> PAGE   \* MERGEFORMAT </w:instrText>
    </w:r>
    <w:r w:rsidRPr="00AF1F18">
      <w:fldChar w:fldCharType="separate"/>
    </w:r>
    <w:r>
      <w:t>4</w:t>
    </w:r>
    <w:r w:rsidRPr="00AF1F18">
      <w:fldChar w:fldCharType="end"/>
    </w:r>
  </w:p>
  <w:p w:rsidR="00A74240" w:rsidRDefault="00A74240" w14:paraId="6F5F7D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FC7" w:rsidP="000A6228" w:rsidRDefault="002B0FC7" w14:paraId="65BC0509" w14:textId="77777777">
      <w:pPr>
        <w:spacing w:after="0" w:line="240" w:lineRule="auto"/>
      </w:pPr>
      <w:r>
        <w:separator/>
      </w:r>
    </w:p>
  </w:footnote>
  <w:footnote w:type="continuationSeparator" w:id="0">
    <w:p w:rsidR="002B0FC7" w:rsidP="000A6228" w:rsidRDefault="002B0FC7" w14:paraId="7894DB64" w14:textId="77777777">
      <w:pPr>
        <w:spacing w:after="0" w:line="240" w:lineRule="auto"/>
      </w:pPr>
      <w:r>
        <w:continuationSeparator/>
      </w:r>
    </w:p>
  </w:footnote>
  <w:footnote w:id="1">
    <w:p w:rsidR="00646FA0" w:rsidRDefault="00646FA0" w14:paraId="5F24FA1A" w14:textId="1F814EFF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5F249A">
        <w:t xml:space="preserve">reporting </w:t>
      </w:r>
      <w:r>
        <w:t>deadline was adjusted to 16 January 2026</w:t>
      </w:r>
      <w:r w:rsidR="00093D3B">
        <w:t xml:space="preserve"> given the 1 January 2026 commencement of the National Code for Table A and B providers.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59C6D4" w:rsidTr="4D59C6D4" w14:paraId="26A79CDA" w14:textId="77777777">
      <w:trPr>
        <w:trHeight w:val="300"/>
      </w:trPr>
      <w:tc>
        <w:tcPr>
          <w:tcW w:w="3005" w:type="dxa"/>
        </w:tcPr>
        <w:p w:rsidR="4D59C6D4" w:rsidP="4D59C6D4" w:rsidRDefault="4D59C6D4" w14:paraId="27BBE060" w14:textId="546E2A26">
          <w:pPr>
            <w:pStyle w:val="Header"/>
            <w:ind w:left="-115"/>
          </w:pPr>
        </w:p>
      </w:tc>
      <w:tc>
        <w:tcPr>
          <w:tcW w:w="3005" w:type="dxa"/>
        </w:tcPr>
        <w:p w:rsidR="4D59C6D4" w:rsidP="4D59C6D4" w:rsidRDefault="4D59C6D4" w14:paraId="20B00DAC" w14:textId="6F5FE704">
          <w:pPr>
            <w:pStyle w:val="Header"/>
            <w:jc w:val="center"/>
          </w:pPr>
        </w:p>
      </w:tc>
      <w:tc>
        <w:tcPr>
          <w:tcW w:w="3005" w:type="dxa"/>
        </w:tcPr>
        <w:p w:rsidR="4D59C6D4" w:rsidP="4D59C6D4" w:rsidRDefault="4D59C6D4" w14:paraId="513BA6BB" w14:textId="7ABE37EF">
          <w:pPr>
            <w:pStyle w:val="Header"/>
            <w:ind w:right="-115"/>
            <w:jc w:val="right"/>
          </w:pPr>
        </w:p>
      </w:tc>
    </w:tr>
  </w:tbl>
  <w:p w:rsidR="4D59C6D4" w:rsidP="4D59C6D4" w:rsidRDefault="4D59C6D4" w14:paraId="1EFEBD10" w14:textId="66B12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05E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134B4EB9"/>
    <w:multiLevelType w:val="hybridMultilevel"/>
    <w:tmpl w:val="AC78FE88"/>
    <w:lvl w:ilvl="0" w:tplc="2D38459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2902745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0706F5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1406EA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736EC99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26F61A1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E1ECBF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193685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D6203B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9B0FC1"/>
    <w:multiLevelType w:val="hybridMultilevel"/>
    <w:tmpl w:val="9B6020BA"/>
    <w:lvl w:ilvl="0" w:tplc="D30864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F04ABE"/>
    <w:multiLevelType w:val="hybridMultilevel"/>
    <w:tmpl w:val="516C2F44"/>
    <w:lvl w:ilvl="0" w:tplc="AF1EC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522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509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2A8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22F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167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4AA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A87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F47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4B26B08"/>
    <w:multiLevelType w:val="hybridMultilevel"/>
    <w:tmpl w:val="C4F812C8"/>
    <w:lvl w:ilvl="0" w:tplc="F8266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08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780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5A7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226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4AB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006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225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DAB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55E33"/>
    <w:multiLevelType w:val="hybridMultilevel"/>
    <w:tmpl w:val="3A401182"/>
    <w:lvl w:ilvl="0" w:tplc="1E16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CC7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B64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B45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885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FAF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A45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B4D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2B4A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722B78"/>
    <w:multiLevelType w:val="hybridMultilevel"/>
    <w:tmpl w:val="CA024912"/>
    <w:lvl w:ilvl="0" w:tplc="B1F6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FAE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1CC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EE1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52D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8EE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98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5A5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300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 w15:restartNumberingAfterBreak="0">
    <w:nsid w:val="762E1FD8"/>
    <w:multiLevelType w:val="hybridMultilevel"/>
    <w:tmpl w:val="BC36FE84"/>
    <w:lvl w:ilvl="0" w:tplc="A2F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F82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F01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CC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BC4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E81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C81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064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B0D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657426F"/>
    <w:multiLevelType w:val="hybridMultilevel"/>
    <w:tmpl w:val="BA8C1498"/>
    <w:lvl w:ilvl="0" w:tplc="DE5ADC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20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3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9"/>
  </w:num>
  <w:num w:numId="20" w16cid:durableId="33621468">
    <w:abstractNumId w:val="25"/>
  </w:num>
  <w:num w:numId="21" w16cid:durableId="1775055373">
    <w:abstractNumId w:val="16"/>
  </w:num>
  <w:num w:numId="22" w16cid:durableId="1057555881">
    <w:abstractNumId w:val="10"/>
  </w:num>
  <w:num w:numId="23" w16cid:durableId="182331961">
    <w:abstractNumId w:val="18"/>
  </w:num>
  <w:num w:numId="24" w16cid:durableId="1309239397">
    <w:abstractNumId w:val="17"/>
  </w:num>
  <w:num w:numId="25" w16cid:durableId="624777265">
    <w:abstractNumId w:val="21"/>
  </w:num>
  <w:num w:numId="26" w16cid:durableId="1450471306">
    <w:abstractNumId w:val="24"/>
  </w:num>
  <w:num w:numId="27" w16cid:durableId="1907643888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DD3"/>
    <w:rsid w:val="000062D9"/>
    <w:rsid w:val="00010A67"/>
    <w:rsid w:val="00012366"/>
    <w:rsid w:val="00012754"/>
    <w:rsid w:val="00021FBE"/>
    <w:rsid w:val="0002536D"/>
    <w:rsid w:val="00025D6A"/>
    <w:rsid w:val="00026E4D"/>
    <w:rsid w:val="00030020"/>
    <w:rsid w:val="00032F7A"/>
    <w:rsid w:val="000434FC"/>
    <w:rsid w:val="00044F9D"/>
    <w:rsid w:val="0004755B"/>
    <w:rsid w:val="00047CDF"/>
    <w:rsid w:val="000505A3"/>
    <w:rsid w:val="00051021"/>
    <w:rsid w:val="000521D7"/>
    <w:rsid w:val="000556AF"/>
    <w:rsid w:val="00057EE7"/>
    <w:rsid w:val="000605F2"/>
    <w:rsid w:val="00061BBC"/>
    <w:rsid w:val="000640ED"/>
    <w:rsid w:val="00066114"/>
    <w:rsid w:val="000832ED"/>
    <w:rsid w:val="00084A7D"/>
    <w:rsid w:val="00092A7E"/>
    <w:rsid w:val="00092D23"/>
    <w:rsid w:val="00093341"/>
    <w:rsid w:val="00093506"/>
    <w:rsid w:val="00093D3B"/>
    <w:rsid w:val="00097181"/>
    <w:rsid w:val="000A0B58"/>
    <w:rsid w:val="000A6228"/>
    <w:rsid w:val="000A67C1"/>
    <w:rsid w:val="000B148E"/>
    <w:rsid w:val="000B1BED"/>
    <w:rsid w:val="000B5860"/>
    <w:rsid w:val="000B5D40"/>
    <w:rsid w:val="000B6E8D"/>
    <w:rsid w:val="000B7EC6"/>
    <w:rsid w:val="000C0575"/>
    <w:rsid w:val="000C091C"/>
    <w:rsid w:val="000C13F9"/>
    <w:rsid w:val="000C1DCF"/>
    <w:rsid w:val="000C349E"/>
    <w:rsid w:val="000D0E4C"/>
    <w:rsid w:val="000D14FF"/>
    <w:rsid w:val="000D1E75"/>
    <w:rsid w:val="000D32F2"/>
    <w:rsid w:val="000D46F4"/>
    <w:rsid w:val="000D480A"/>
    <w:rsid w:val="000D7972"/>
    <w:rsid w:val="000E2FA0"/>
    <w:rsid w:val="000E5447"/>
    <w:rsid w:val="000E6010"/>
    <w:rsid w:val="000F22E0"/>
    <w:rsid w:val="000F23C3"/>
    <w:rsid w:val="000F2BDE"/>
    <w:rsid w:val="000F5BF4"/>
    <w:rsid w:val="00103C1B"/>
    <w:rsid w:val="00107D87"/>
    <w:rsid w:val="00107DD5"/>
    <w:rsid w:val="00114DAB"/>
    <w:rsid w:val="00114DE3"/>
    <w:rsid w:val="00115EB3"/>
    <w:rsid w:val="00116073"/>
    <w:rsid w:val="00116906"/>
    <w:rsid w:val="00117D7A"/>
    <w:rsid w:val="0012343A"/>
    <w:rsid w:val="001267FC"/>
    <w:rsid w:val="00133B8D"/>
    <w:rsid w:val="00135B4B"/>
    <w:rsid w:val="0013611E"/>
    <w:rsid w:val="00141A53"/>
    <w:rsid w:val="0014234C"/>
    <w:rsid w:val="00142C67"/>
    <w:rsid w:val="00142E92"/>
    <w:rsid w:val="00143761"/>
    <w:rsid w:val="001474FC"/>
    <w:rsid w:val="00147B35"/>
    <w:rsid w:val="001515BF"/>
    <w:rsid w:val="00156690"/>
    <w:rsid w:val="00157C03"/>
    <w:rsid w:val="0016233F"/>
    <w:rsid w:val="00162409"/>
    <w:rsid w:val="00162CF8"/>
    <w:rsid w:val="0016765A"/>
    <w:rsid w:val="00170B3B"/>
    <w:rsid w:val="0017134D"/>
    <w:rsid w:val="0017480F"/>
    <w:rsid w:val="0017595C"/>
    <w:rsid w:val="00176BCC"/>
    <w:rsid w:val="00181248"/>
    <w:rsid w:val="00184497"/>
    <w:rsid w:val="00190146"/>
    <w:rsid w:val="00193B80"/>
    <w:rsid w:val="00194602"/>
    <w:rsid w:val="001B5F8D"/>
    <w:rsid w:val="001C1523"/>
    <w:rsid w:val="001C46E0"/>
    <w:rsid w:val="001C6B6D"/>
    <w:rsid w:val="001D0C2F"/>
    <w:rsid w:val="001D1FCF"/>
    <w:rsid w:val="001D360B"/>
    <w:rsid w:val="001D4F08"/>
    <w:rsid w:val="001D5AB7"/>
    <w:rsid w:val="001E0F6D"/>
    <w:rsid w:val="001E1BBD"/>
    <w:rsid w:val="001E23E4"/>
    <w:rsid w:val="001E6E67"/>
    <w:rsid w:val="001F0078"/>
    <w:rsid w:val="001F3194"/>
    <w:rsid w:val="001F5191"/>
    <w:rsid w:val="002064A0"/>
    <w:rsid w:val="00210D18"/>
    <w:rsid w:val="00217399"/>
    <w:rsid w:val="00221D8F"/>
    <w:rsid w:val="002259A3"/>
    <w:rsid w:val="002259CA"/>
    <w:rsid w:val="002272DB"/>
    <w:rsid w:val="0023466A"/>
    <w:rsid w:val="002347FC"/>
    <w:rsid w:val="002445E4"/>
    <w:rsid w:val="00244D88"/>
    <w:rsid w:val="00245DD3"/>
    <w:rsid w:val="002463CE"/>
    <w:rsid w:val="0025053E"/>
    <w:rsid w:val="00257984"/>
    <w:rsid w:val="0026180D"/>
    <w:rsid w:val="00261A2F"/>
    <w:rsid w:val="00267DF7"/>
    <w:rsid w:val="00267F5B"/>
    <w:rsid w:val="00273255"/>
    <w:rsid w:val="0027410C"/>
    <w:rsid w:val="00276047"/>
    <w:rsid w:val="00277027"/>
    <w:rsid w:val="00277642"/>
    <w:rsid w:val="00277832"/>
    <w:rsid w:val="00286910"/>
    <w:rsid w:val="0029158E"/>
    <w:rsid w:val="00297DE5"/>
    <w:rsid w:val="002A4458"/>
    <w:rsid w:val="002A6DB5"/>
    <w:rsid w:val="002A74F4"/>
    <w:rsid w:val="002B0482"/>
    <w:rsid w:val="002B0FC7"/>
    <w:rsid w:val="002B2209"/>
    <w:rsid w:val="002B3D93"/>
    <w:rsid w:val="002B4555"/>
    <w:rsid w:val="002B7114"/>
    <w:rsid w:val="002B7C15"/>
    <w:rsid w:val="002C5885"/>
    <w:rsid w:val="002D226A"/>
    <w:rsid w:val="002D589A"/>
    <w:rsid w:val="002E2F6B"/>
    <w:rsid w:val="002E31AC"/>
    <w:rsid w:val="002E491A"/>
    <w:rsid w:val="002E4F5B"/>
    <w:rsid w:val="002F54AE"/>
    <w:rsid w:val="002F6829"/>
    <w:rsid w:val="0030049D"/>
    <w:rsid w:val="00310071"/>
    <w:rsid w:val="00310DAC"/>
    <w:rsid w:val="0031353E"/>
    <w:rsid w:val="00315F9F"/>
    <w:rsid w:val="003255F8"/>
    <w:rsid w:val="00330144"/>
    <w:rsid w:val="003302CF"/>
    <w:rsid w:val="00341778"/>
    <w:rsid w:val="00342906"/>
    <w:rsid w:val="00342B08"/>
    <w:rsid w:val="00343131"/>
    <w:rsid w:val="00351284"/>
    <w:rsid w:val="00355893"/>
    <w:rsid w:val="003572F0"/>
    <w:rsid w:val="0035759B"/>
    <w:rsid w:val="00360CDD"/>
    <w:rsid w:val="003645C9"/>
    <w:rsid w:val="0036623F"/>
    <w:rsid w:val="00370588"/>
    <w:rsid w:val="00376461"/>
    <w:rsid w:val="00381396"/>
    <w:rsid w:val="003832D9"/>
    <w:rsid w:val="00386A1C"/>
    <w:rsid w:val="00387974"/>
    <w:rsid w:val="003907A8"/>
    <w:rsid w:val="003918C4"/>
    <w:rsid w:val="003A0647"/>
    <w:rsid w:val="003A231A"/>
    <w:rsid w:val="003A2A50"/>
    <w:rsid w:val="003A3183"/>
    <w:rsid w:val="003B16EF"/>
    <w:rsid w:val="003B2A8C"/>
    <w:rsid w:val="003B2EF6"/>
    <w:rsid w:val="003B3430"/>
    <w:rsid w:val="003B58B5"/>
    <w:rsid w:val="003C5CEC"/>
    <w:rsid w:val="003C603C"/>
    <w:rsid w:val="003C6F9C"/>
    <w:rsid w:val="003D2D85"/>
    <w:rsid w:val="003D6176"/>
    <w:rsid w:val="003D7BF8"/>
    <w:rsid w:val="003E042E"/>
    <w:rsid w:val="003F1B20"/>
    <w:rsid w:val="003F229B"/>
    <w:rsid w:val="003F7253"/>
    <w:rsid w:val="004005FB"/>
    <w:rsid w:val="00400A06"/>
    <w:rsid w:val="004013C1"/>
    <w:rsid w:val="0040155D"/>
    <w:rsid w:val="00403EE2"/>
    <w:rsid w:val="00407957"/>
    <w:rsid w:val="0041173A"/>
    <w:rsid w:val="00413FF7"/>
    <w:rsid w:val="00414DE8"/>
    <w:rsid w:val="0041713E"/>
    <w:rsid w:val="00417588"/>
    <w:rsid w:val="00421D3F"/>
    <w:rsid w:val="00423785"/>
    <w:rsid w:val="00424533"/>
    <w:rsid w:val="00427852"/>
    <w:rsid w:val="00430D15"/>
    <w:rsid w:val="00430E22"/>
    <w:rsid w:val="00432A7D"/>
    <w:rsid w:val="004421FE"/>
    <w:rsid w:val="00444597"/>
    <w:rsid w:val="004459DC"/>
    <w:rsid w:val="00450CC5"/>
    <w:rsid w:val="00452D26"/>
    <w:rsid w:val="0045711C"/>
    <w:rsid w:val="00461B05"/>
    <w:rsid w:val="00472F32"/>
    <w:rsid w:val="00473495"/>
    <w:rsid w:val="00475575"/>
    <w:rsid w:val="004755A6"/>
    <w:rsid w:val="00481D61"/>
    <w:rsid w:val="00493B4D"/>
    <w:rsid w:val="00494525"/>
    <w:rsid w:val="004A06CD"/>
    <w:rsid w:val="004A4B6F"/>
    <w:rsid w:val="004A4CF9"/>
    <w:rsid w:val="004A63FA"/>
    <w:rsid w:val="004B201F"/>
    <w:rsid w:val="004B4F4C"/>
    <w:rsid w:val="004B7807"/>
    <w:rsid w:val="004D081D"/>
    <w:rsid w:val="004D135A"/>
    <w:rsid w:val="004D2965"/>
    <w:rsid w:val="004D2D9D"/>
    <w:rsid w:val="004D5C48"/>
    <w:rsid w:val="004E69CA"/>
    <w:rsid w:val="004E7709"/>
    <w:rsid w:val="004F55C2"/>
    <w:rsid w:val="004F728E"/>
    <w:rsid w:val="004F7B29"/>
    <w:rsid w:val="00502131"/>
    <w:rsid w:val="00504EA3"/>
    <w:rsid w:val="00505FA7"/>
    <w:rsid w:val="00507444"/>
    <w:rsid w:val="005102AE"/>
    <w:rsid w:val="00511471"/>
    <w:rsid w:val="00516675"/>
    <w:rsid w:val="0052247B"/>
    <w:rsid w:val="005307C1"/>
    <w:rsid w:val="00530D4A"/>
    <w:rsid w:val="00532B7C"/>
    <w:rsid w:val="00533C53"/>
    <w:rsid w:val="00542849"/>
    <w:rsid w:val="005505FD"/>
    <w:rsid w:val="00550638"/>
    <w:rsid w:val="00554821"/>
    <w:rsid w:val="00561B7F"/>
    <w:rsid w:val="00562A22"/>
    <w:rsid w:val="00563E1A"/>
    <w:rsid w:val="00565016"/>
    <w:rsid w:val="005706DF"/>
    <w:rsid w:val="00571EFC"/>
    <w:rsid w:val="005758A0"/>
    <w:rsid w:val="00575C33"/>
    <w:rsid w:val="00580A1F"/>
    <w:rsid w:val="00580BB5"/>
    <w:rsid w:val="005846A8"/>
    <w:rsid w:val="00587893"/>
    <w:rsid w:val="005976CF"/>
    <w:rsid w:val="00597CD3"/>
    <w:rsid w:val="005A4747"/>
    <w:rsid w:val="005A4877"/>
    <w:rsid w:val="005A4CA8"/>
    <w:rsid w:val="005A5043"/>
    <w:rsid w:val="005A5504"/>
    <w:rsid w:val="005A75C9"/>
    <w:rsid w:val="005B187D"/>
    <w:rsid w:val="005B1E6D"/>
    <w:rsid w:val="005C1048"/>
    <w:rsid w:val="005C122A"/>
    <w:rsid w:val="005C24CB"/>
    <w:rsid w:val="005C2740"/>
    <w:rsid w:val="005C523A"/>
    <w:rsid w:val="005C5955"/>
    <w:rsid w:val="005C6FE6"/>
    <w:rsid w:val="005C7089"/>
    <w:rsid w:val="005D085C"/>
    <w:rsid w:val="005D1972"/>
    <w:rsid w:val="005D1D53"/>
    <w:rsid w:val="005D2608"/>
    <w:rsid w:val="005D7425"/>
    <w:rsid w:val="005E0623"/>
    <w:rsid w:val="005E2983"/>
    <w:rsid w:val="005E312A"/>
    <w:rsid w:val="005F249A"/>
    <w:rsid w:val="005F66A2"/>
    <w:rsid w:val="006051F9"/>
    <w:rsid w:val="006074A8"/>
    <w:rsid w:val="00610B27"/>
    <w:rsid w:val="006126A5"/>
    <w:rsid w:val="00614EE3"/>
    <w:rsid w:val="00615053"/>
    <w:rsid w:val="00620201"/>
    <w:rsid w:val="00620EF9"/>
    <w:rsid w:val="00621619"/>
    <w:rsid w:val="00622E54"/>
    <w:rsid w:val="006232DC"/>
    <w:rsid w:val="006262EF"/>
    <w:rsid w:val="00627769"/>
    <w:rsid w:val="006279DA"/>
    <w:rsid w:val="0063094F"/>
    <w:rsid w:val="00631ADE"/>
    <w:rsid w:val="00632C12"/>
    <w:rsid w:val="00642D23"/>
    <w:rsid w:val="00644932"/>
    <w:rsid w:val="00645727"/>
    <w:rsid w:val="00646FA0"/>
    <w:rsid w:val="00647A85"/>
    <w:rsid w:val="00650AA2"/>
    <w:rsid w:val="0065601D"/>
    <w:rsid w:val="00662BBC"/>
    <w:rsid w:val="00667D27"/>
    <w:rsid w:val="00672843"/>
    <w:rsid w:val="0067316A"/>
    <w:rsid w:val="00674901"/>
    <w:rsid w:val="006832D4"/>
    <w:rsid w:val="00686F35"/>
    <w:rsid w:val="00693F7E"/>
    <w:rsid w:val="00694EFD"/>
    <w:rsid w:val="00696923"/>
    <w:rsid w:val="006976F6"/>
    <w:rsid w:val="006A154D"/>
    <w:rsid w:val="006A21CF"/>
    <w:rsid w:val="006A3E37"/>
    <w:rsid w:val="006A6308"/>
    <w:rsid w:val="006B02BC"/>
    <w:rsid w:val="006B53E5"/>
    <w:rsid w:val="006B562E"/>
    <w:rsid w:val="006B7A48"/>
    <w:rsid w:val="006C068E"/>
    <w:rsid w:val="006C0E84"/>
    <w:rsid w:val="006C1970"/>
    <w:rsid w:val="006D67F3"/>
    <w:rsid w:val="006F1789"/>
    <w:rsid w:val="006F1FFF"/>
    <w:rsid w:val="006F3A97"/>
    <w:rsid w:val="006F4E61"/>
    <w:rsid w:val="006F5B84"/>
    <w:rsid w:val="006F6D10"/>
    <w:rsid w:val="0070055F"/>
    <w:rsid w:val="00701679"/>
    <w:rsid w:val="00706975"/>
    <w:rsid w:val="00712B94"/>
    <w:rsid w:val="00716A5B"/>
    <w:rsid w:val="007237D8"/>
    <w:rsid w:val="007254FA"/>
    <w:rsid w:val="007318A8"/>
    <w:rsid w:val="00731BB0"/>
    <w:rsid w:val="007362D7"/>
    <w:rsid w:val="00736C3B"/>
    <w:rsid w:val="00746EFC"/>
    <w:rsid w:val="0074731E"/>
    <w:rsid w:val="007516F5"/>
    <w:rsid w:val="00754A6C"/>
    <w:rsid w:val="00757115"/>
    <w:rsid w:val="00767603"/>
    <w:rsid w:val="007709F7"/>
    <w:rsid w:val="00774252"/>
    <w:rsid w:val="00777131"/>
    <w:rsid w:val="007778D0"/>
    <w:rsid w:val="007812D4"/>
    <w:rsid w:val="00782C6F"/>
    <w:rsid w:val="007844EB"/>
    <w:rsid w:val="00784714"/>
    <w:rsid w:val="00785B1E"/>
    <w:rsid w:val="00790BC5"/>
    <w:rsid w:val="007910AE"/>
    <w:rsid w:val="00793529"/>
    <w:rsid w:val="007943E0"/>
    <w:rsid w:val="00794701"/>
    <w:rsid w:val="007A2F3E"/>
    <w:rsid w:val="007B0F00"/>
    <w:rsid w:val="007B260A"/>
    <w:rsid w:val="007B2CA1"/>
    <w:rsid w:val="007B4FF8"/>
    <w:rsid w:val="007C5FDF"/>
    <w:rsid w:val="007D0852"/>
    <w:rsid w:val="007D0ABC"/>
    <w:rsid w:val="007D195D"/>
    <w:rsid w:val="007D34EB"/>
    <w:rsid w:val="007D3624"/>
    <w:rsid w:val="007D422B"/>
    <w:rsid w:val="007D58B1"/>
    <w:rsid w:val="007D6705"/>
    <w:rsid w:val="007D6D82"/>
    <w:rsid w:val="007E0BC0"/>
    <w:rsid w:val="007E1CEE"/>
    <w:rsid w:val="007E643B"/>
    <w:rsid w:val="007E71A0"/>
    <w:rsid w:val="007F059D"/>
    <w:rsid w:val="007F473A"/>
    <w:rsid w:val="007F6351"/>
    <w:rsid w:val="008013C2"/>
    <w:rsid w:val="00802F62"/>
    <w:rsid w:val="00803643"/>
    <w:rsid w:val="008040E3"/>
    <w:rsid w:val="008042F5"/>
    <w:rsid w:val="00804DFA"/>
    <w:rsid w:val="00806561"/>
    <w:rsid w:val="0081286E"/>
    <w:rsid w:val="008145D2"/>
    <w:rsid w:val="00815B7D"/>
    <w:rsid w:val="00820CE2"/>
    <w:rsid w:val="00823460"/>
    <w:rsid w:val="00823AC4"/>
    <w:rsid w:val="00832548"/>
    <w:rsid w:val="0084063F"/>
    <w:rsid w:val="00841AD5"/>
    <w:rsid w:val="00845106"/>
    <w:rsid w:val="00855BBD"/>
    <w:rsid w:val="008566E1"/>
    <w:rsid w:val="00856CEE"/>
    <w:rsid w:val="0086130D"/>
    <w:rsid w:val="00864602"/>
    <w:rsid w:val="00865015"/>
    <w:rsid w:val="008651D2"/>
    <w:rsid w:val="00867A20"/>
    <w:rsid w:val="00870F7A"/>
    <w:rsid w:val="0088427B"/>
    <w:rsid w:val="008854F2"/>
    <w:rsid w:val="00886959"/>
    <w:rsid w:val="00893A34"/>
    <w:rsid w:val="0089593C"/>
    <w:rsid w:val="008A36E1"/>
    <w:rsid w:val="008A37A7"/>
    <w:rsid w:val="008A3918"/>
    <w:rsid w:val="008A3B07"/>
    <w:rsid w:val="008A3BD8"/>
    <w:rsid w:val="008A762C"/>
    <w:rsid w:val="008B0736"/>
    <w:rsid w:val="008B71FB"/>
    <w:rsid w:val="008B7B96"/>
    <w:rsid w:val="008C3B8B"/>
    <w:rsid w:val="008C41AF"/>
    <w:rsid w:val="008C705B"/>
    <w:rsid w:val="008D01DA"/>
    <w:rsid w:val="008D7157"/>
    <w:rsid w:val="008E2266"/>
    <w:rsid w:val="008E47D2"/>
    <w:rsid w:val="008E641C"/>
    <w:rsid w:val="008E70F5"/>
    <w:rsid w:val="008F1A8B"/>
    <w:rsid w:val="008F2547"/>
    <w:rsid w:val="008F5E3D"/>
    <w:rsid w:val="008F6928"/>
    <w:rsid w:val="00902502"/>
    <w:rsid w:val="00902B3B"/>
    <w:rsid w:val="00914E46"/>
    <w:rsid w:val="009218B8"/>
    <w:rsid w:val="00925E6B"/>
    <w:rsid w:val="0092640C"/>
    <w:rsid w:val="00927A27"/>
    <w:rsid w:val="00932525"/>
    <w:rsid w:val="00932EEA"/>
    <w:rsid w:val="009339FC"/>
    <w:rsid w:val="0094122F"/>
    <w:rsid w:val="00943527"/>
    <w:rsid w:val="00944883"/>
    <w:rsid w:val="00944FDA"/>
    <w:rsid w:val="00950B06"/>
    <w:rsid w:val="009543F6"/>
    <w:rsid w:val="00956190"/>
    <w:rsid w:val="00956D61"/>
    <w:rsid w:val="00966E28"/>
    <w:rsid w:val="009670DB"/>
    <w:rsid w:val="009676A4"/>
    <w:rsid w:val="00970069"/>
    <w:rsid w:val="0097103B"/>
    <w:rsid w:val="009721DF"/>
    <w:rsid w:val="009721EB"/>
    <w:rsid w:val="00981A45"/>
    <w:rsid w:val="00982FF5"/>
    <w:rsid w:val="00984B58"/>
    <w:rsid w:val="00986D85"/>
    <w:rsid w:val="0099094D"/>
    <w:rsid w:val="009920B3"/>
    <w:rsid w:val="009962DE"/>
    <w:rsid w:val="00997A35"/>
    <w:rsid w:val="009A4BE7"/>
    <w:rsid w:val="009A73E5"/>
    <w:rsid w:val="009B5965"/>
    <w:rsid w:val="009B5A72"/>
    <w:rsid w:val="009B706E"/>
    <w:rsid w:val="009C02EA"/>
    <w:rsid w:val="009C0623"/>
    <w:rsid w:val="009C15DB"/>
    <w:rsid w:val="009C1E69"/>
    <w:rsid w:val="009C2AAB"/>
    <w:rsid w:val="009C423A"/>
    <w:rsid w:val="009C55AD"/>
    <w:rsid w:val="009C699E"/>
    <w:rsid w:val="009C6F43"/>
    <w:rsid w:val="009D3169"/>
    <w:rsid w:val="009D3F7B"/>
    <w:rsid w:val="009E073E"/>
    <w:rsid w:val="009E3AE6"/>
    <w:rsid w:val="009E79ED"/>
    <w:rsid w:val="009F366C"/>
    <w:rsid w:val="009F6DC7"/>
    <w:rsid w:val="009F71D2"/>
    <w:rsid w:val="009F730E"/>
    <w:rsid w:val="00A059D7"/>
    <w:rsid w:val="00A0602B"/>
    <w:rsid w:val="00A07596"/>
    <w:rsid w:val="00A1695E"/>
    <w:rsid w:val="00A17A08"/>
    <w:rsid w:val="00A224F1"/>
    <w:rsid w:val="00A2326D"/>
    <w:rsid w:val="00A27191"/>
    <w:rsid w:val="00A32867"/>
    <w:rsid w:val="00A34DC8"/>
    <w:rsid w:val="00A36803"/>
    <w:rsid w:val="00A41057"/>
    <w:rsid w:val="00A44838"/>
    <w:rsid w:val="00A469A9"/>
    <w:rsid w:val="00A53D6B"/>
    <w:rsid w:val="00A56532"/>
    <w:rsid w:val="00A56A3C"/>
    <w:rsid w:val="00A60673"/>
    <w:rsid w:val="00A6083A"/>
    <w:rsid w:val="00A60F59"/>
    <w:rsid w:val="00A634FC"/>
    <w:rsid w:val="00A63DFC"/>
    <w:rsid w:val="00A6409C"/>
    <w:rsid w:val="00A64384"/>
    <w:rsid w:val="00A66704"/>
    <w:rsid w:val="00A706E1"/>
    <w:rsid w:val="00A74240"/>
    <w:rsid w:val="00A8568E"/>
    <w:rsid w:val="00AA1829"/>
    <w:rsid w:val="00AA464B"/>
    <w:rsid w:val="00AA53CA"/>
    <w:rsid w:val="00AA5448"/>
    <w:rsid w:val="00AA66AA"/>
    <w:rsid w:val="00AA75D9"/>
    <w:rsid w:val="00AB57B4"/>
    <w:rsid w:val="00AB78B2"/>
    <w:rsid w:val="00AC014B"/>
    <w:rsid w:val="00AC13AD"/>
    <w:rsid w:val="00AC1872"/>
    <w:rsid w:val="00AC48E0"/>
    <w:rsid w:val="00AC7CAA"/>
    <w:rsid w:val="00AD179A"/>
    <w:rsid w:val="00AD5A5E"/>
    <w:rsid w:val="00AD631F"/>
    <w:rsid w:val="00AE21FF"/>
    <w:rsid w:val="00AE506D"/>
    <w:rsid w:val="00AE5122"/>
    <w:rsid w:val="00AE585B"/>
    <w:rsid w:val="00AF1F18"/>
    <w:rsid w:val="00AF4706"/>
    <w:rsid w:val="00B0726E"/>
    <w:rsid w:val="00B15675"/>
    <w:rsid w:val="00B1718C"/>
    <w:rsid w:val="00B21086"/>
    <w:rsid w:val="00B219D1"/>
    <w:rsid w:val="00B21C38"/>
    <w:rsid w:val="00B22D54"/>
    <w:rsid w:val="00B22FF4"/>
    <w:rsid w:val="00B23F4C"/>
    <w:rsid w:val="00B249EE"/>
    <w:rsid w:val="00B255D0"/>
    <w:rsid w:val="00B42FDA"/>
    <w:rsid w:val="00B44DA5"/>
    <w:rsid w:val="00B500A7"/>
    <w:rsid w:val="00B5105E"/>
    <w:rsid w:val="00B53744"/>
    <w:rsid w:val="00B5604F"/>
    <w:rsid w:val="00B6062C"/>
    <w:rsid w:val="00B618CB"/>
    <w:rsid w:val="00B65773"/>
    <w:rsid w:val="00B75ABA"/>
    <w:rsid w:val="00B75C30"/>
    <w:rsid w:val="00B76A2B"/>
    <w:rsid w:val="00B81FA4"/>
    <w:rsid w:val="00B85E4C"/>
    <w:rsid w:val="00B8794C"/>
    <w:rsid w:val="00B90670"/>
    <w:rsid w:val="00B91DC1"/>
    <w:rsid w:val="00B93A76"/>
    <w:rsid w:val="00B94CC9"/>
    <w:rsid w:val="00B957CB"/>
    <w:rsid w:val="00B9593C"/>
    <w:rsid w:val="00B95EF4"/>
    <w:rsid w:val="00B97E69"/>
    <w:rsid w:val="00BA2B83"/>
    <w:rsid w:val="00BA3885"/>
    <w:rsid w:val="00BA43AD"/>
    <w:rsid w:val="00BA56A0"/>
    <w:rsid w:val="00BA63EE"/>
    <w:rsid w:val="00BB2CB0"/>
    <w:rsid w:val="00BB52A1"/>
    <w:rsid w:val="00BB55BE"/>
    <w:rsid w:val="00BB6509"/>
    <w:rsid w:val="00BC0ECD"/>
    <w:rsid w:val="00BC248C"/>
    <w:rsid w:val="00BC378D"/>
    <w:rsid w:val="00BC7511"/>
    <w:rsid w:val="00BD204E"/>
    <w:rsid w:val="00BD62C7"/>
    <w:rsid w:val="00BE475C"/>
    <w:rsid w:val="00BE6948"/>
    <w:rsid w:val="00BF5134"/>
    <w:rsid w:val="00BF79B4"/>
    <w:rsid w:val="00C01EC0"/>
    <w:rsid w:val="00C02D0C"/>
    <w:rsid w:val="00C03129"/>
    <w:rsid w:val="00C044F1"/>
    <w:rsid w:val="00C05370"/>
    <w:rsid w:val="00C21A05"/>
    <w:rsid w:val="00C228BC"/>
    <w:rsid w:val="00C22DAC"/>
    <w:rsid w:val="00C244EE"/>
    <w:rsid w:val="00C24F88"/>
    <w:rsid w:val="00C25C09"/>
    <w:rsid w:val="00C31CFC"/>
    <w:rsid w:val="00C40D42"/>
    <w:rsid w:val="00C45D71"/>
    <w:rsid w:val="00C479DC"/>
    <w:rsid w:val="00C52363"/>
    <w:rsid w:val="00C53B2D"/>
    <w:rsid w:val="00C543CF"/>
    <w:rsid w:val="00C63E2A"/>
    <w:rsid w:val="00C67EE2"/>
    <w:rsid w:val="00C72224"/>
    <w:rsid w:val="00C75706"/>
    <w:rsid w:val="00C77521"/>
    <w:rsid w:val="00C77711"/>
    <w:rsid w:val="00C81DCD"/>
    <w:rsid w:val="00C840AD"/>
    <w:rsid w:val="00C856C2"/>
    <w:rsid w:val="00C917B1"/>
    <w:rsid w:val="00C91988"/>
    <w:rsid w:val="00CA4815"/>
    <w:rsid w:val="00CA5386"/>
    <w:rsid w:val="00CA686A"/>
    <w:rsid w:val="00CB25C2"/>
    <w:rsid w:val="00CC0805"/>
    <w:rsid w:val="00CC7665"/>
    <w:rsid w:val="00CD18EA"/>
    <w:rsid w:val="00CD28FB"/>
    <w:rsid w:val="00CD3B04"/>
    <w:rsid w:val="00CD6CFC"/>
    <w:rsid w:val="00CE0F35"/>
    <w:rsid w:val="00CE22D1"/>
    <w:rsid w:val="00CE3F50"/>
    <w:rsid w:val="00CE4666"/>
    <w:rsid w:val="00CE519A"/>
    <w:rsid w:val="00CE5DA7"/>
    <w:rsid w:val="00CF0E2A"/>
    <w:rsid w:val="00CF18DD"/>
    <w:rsid w:val="00CF384C"/>
    <w:rsid w:val="00CF4EE5"/>
    <w:rsid w:val="00CF5F97"/>
    <w:rsid w:val="00CF6562"/>
    <w:rsid w:val="00CFC958"/>
    <w:rsid w:val="00D045B6"/>
    <w:rsid w:val="00D13B27"/>
    <w:rsid w:val="00D177F0"/>
    <w:rsid w:val="00D17F47"/>
    <w:rsid w:val="00D22896"/>
    <w:rsid w:val="00D23B43"/>
    <w:rsid w:val="00D2635E"/>
    <w:rsid w:val="00D32902"/>
    <w:rsid w:val="00D359C2"/>
    <w:rsid w:val="00D3785C"/>
    <w:rsid w:val="00D37F59"/>
    <w:rsid w:val="00D43E06"/>
    <w:rsid w:val="00D4653B"/>
    <w:rsid w:val="00D5688A"/>
    <w:rsid w:val="00D60B81"/>
    <w:rsid w:val="00D6145E"/>
    <w:rsid w:val="00D62D49"/>
    <w:rsid w:val="00D6778D"/>
    <w:rsid w:val="00D70A19"/>
    <w:rsid w:val="00D71EBE"/>
    <w:rsid w:val="00D7464E"/>
    <w:rsid w:val="00D7491A"/>
    <w:rsid w:val="00D7574B"/>
    <w:rsid w:val="00D84022"/>
    <w:rsid w:val="00D84295"/>
    <w:rsid w:val="00D84BEF"/>
    <w:rsid w:val="00D85667"/>
    <w:rsid w:val="00D86284"/>
    <w:rsid w:val="00D93953"/>
    <w:rsid w:val="00D9545D"/>
    <w:rsid w:val="00DA3BA3"/>
    <w:rsid w:val="00DA4AC1"/>
    <w:rsid w:val="00DA4FBA"/>
    <w:rsid w:val="00DB061F"/>
    <w:rsid w:val="00DB1E2D"/>
    <w:rsid w:val="00DB4E86"/>
    <w:rsid w:val="00DC09BD"/>
    <w:rsid w:val="00DC3DF5"/>
    <w:rsid w:val="00DC5980"/>
    <w:rsid w:val="00DC6C4D"/>
    <w:rsid w:val="00DD0888"/>
    <w:rsid w:val="00DD2B46"/>
    <w:rsid w:val="00DD51FE"/>
    <w:rsid w:val="00DE1256"/>
    <w:rsid w:val="00DE65E7"/>
    <w:rsid w:val="00DF074E"/>
    <w:rsid w:val="00DF1509"/>
    <w:rsid w:val="00DF26D1"/>
    <w:rsid w:val="00DF284B"/>
    <w:rsid w:val="00DF3441"/>
    <w:rsid w:val="00DF614B"/>
    <w:rsid w:val="00E03CD2"/>
    <w:rsid w:val="00E042E3"/>
    <w:rsid w:val="00E06ED6"/>
    <w:rsid w:val="00E11BFE"/>
    <w:rsid w:val="00E12450"/>
    <w:rsid w:val="00E20E38"/>
    <w:rsid w:val="00E21B0B"/>
    <w:rsid w:val="00E26B92"/>
    <w:rsid w:val="00E27821"/>
    <w:rsid w:val="00E36C5B"/>
    <w:rsid w:val="00E40DB6"/>
    <w:rsid w:val="00E4340B"/>
    <w:rsid w:val="00E46FB1"/>
    <w:rsid w:val="00E51B5C"/>
    <w:rsid w:val="00E51EB9"/>
    <w:rsid w:val="00E529E5"/>
    <w:rsid w:val="00E5583C"/>
    <w:rsid w:val="00E6101B"/>
    <w:rsid w:val="00E64EE8"/>
    <w:rsid w:val="00E71812"/>
    <w:rsid w:val="00E73511"/>
    <w:rsid w:val="00E7364D"/>
    <w:rsid w:val="00E75012"/>
    <w:rsid w:val="00E814BA"/>
    <w:rsid w:val="00E81611"/>
    <w:rsid w:val="00E8482B"/>
    <w:rsid w:val="00E85213"/>
    <w:rsid w:val="00E85E0C"/>
    <w:rsid w:val="00E918CD"/>
    <w:rsid w:val="00E92E94"/>
    <w:rsid w:val="00E94A1E"/>
    <w:rsid w:val="00E95A1A"/>
    <w:rsid w:val="00E97F95"/>
    <w:rsid w:val="00EA12D6"/>
    <w:rsid w:val="00EA3658"/>
    <w:rsid w:val="00EA377F"/>
    <w:rsid w:val="00EA3951"/>
    <w:rsid w:val="00EA573C"/>
    <w:rsid w:val="00EB4C2F"/>
    <w:rsid w:val="00EB53B4"/>
    <w:rsid w:val="00EC2BB0"/>
    <w:rsid w:val="00EC65EA"/>
    <w:rsid w:val="00ED0ADB"/>
    <w:rsid w:val="00ED0DDF"/>
    <w:rsid w:val="00ED3486"/>
    <w:rsid w:val="00ED6C52"/>
    <w:rsid w:val="00ED7128"/>
    <w:rsid w:val="00EE58F8"/>
    <w:rsid w:val="00EF0204"/>
    <w:rsid w:val="00EF296F"/>
    <w:rsid w:val="00EF5946"/>
    <w:rsid w:val="00F011B9"/>
    <w:rsid w:val="00F02DD8"/>
    <w:rsid w:val="00F1000D"/>
    <w:rsid w:val="00F12102"/>
    <w:rsid w:val="00F130F5"/>
    <w:rsid w:val="00F159C6"/>
    <w:rsid w:val="00F21E31"/>
    <w:rsid w:val="00F23859"/>
    <w:rsid w:val="00F24546"/>
    <w:rsid w:val="00F30609"/>
    <w:rsid w:val="00F311A4"/>
    <w:rsid w:val="00F31A5E"/>
    <w:rsid w:val="00F32435"/>
    <w:rsid w:val="00F37103"/>
    <w:rsid w:val="00F3750A"/>
    <w:rsid w:val="00F411C7"/>
    <w:rsid w:val="00F41F4E"/>
    <w:rsid w:val="00F4291C"/>
    <w:rsid w:val="00F43307"/>
    <w:rsid w:val="00F4352D"/>
    <w:rsid w:val="00F50951"/>
    <w:rsid w:val="00F50E90"/>
    <w:rsid w:val="00F62CAF"/>
    <w:rsid w:val="00F63F25"/>
    <w:rsid w:val="00F65DC7"/>
    <w:rsid w:val="00F731B1"/>
    <w:rsid w:val="00F815EB"/>
    <w:rsid w:val="00F82C2C"/>
    <w:rsid w:val="00F83B06"/>
    <w:rsid w:val="00F845B4"/>
    <w:rsid w:val="00F85913"/>
    <w:rsid w:val="00F934AB"/>
    <w:rsid w:val="00F96102"/>
    <w:rsid w:val="00FA2FC7"/>
    <w:rsid w:val="00FA6765"/>
    <w:rsid w:val="00FA7476"/>
    <w:rsid w:val="00FB2541"/>
    <w:rsid w:val="00FB4DC7"/>
    <w:rsid w:val="00FB5058"/>
    <w:rsid w:val="00FC15F2"/>
    <w:rsid w:val="00FC4799"/>
    <w:rsid w:val="00FC6E92"/>
    <w:rsid w:val="00FD4D6E"/>
    <w:rsid w:val="00FD58D0"/>
    <w:rsid w:val="00FD6383"/>
    <w:rsid w:val="00FE401D"/>
    <w:rsid w:val="00FE7080"/>
    <w:rsid w:val="00FF15DD"/>
    <w:rsid w:val="00FF21BC"/>
    <w:rsid w:val="00FF2F80"/>
    <w:rsid w:val="00FF2FF5"/>
    <w:rsid w:val="00FF33B3"/>
    <w:rsid w:val="00FF479B"/>
    <w:rsid w:val="00FF5BC8"/>
    <w:rsid w:val="00FF605F"/>
    <w:rsid w:val="0A2D0565"/>
    <w:rsid w:val="1F87C56E"/>
    <w:rsid w:val="20A06139"/>
    <w:rsid w:val="30DF23A5"/>
    <w:rsid w:val="31FE65FD"/>
    <w:rsid w:val="375ECFE9"/>
    <w:rsid w:val="4ACF1399"/>
    <w:rsid w:val="4D59C6D4"/>
    <w:rsid w:val="562EB0F4"/>
    <w:rsid w:val="70A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2D78A"/>
  <w15:chartTrackingRefBased/>
  <w15:docId w15:val="{67178A9F-0C53-4E7E-BDDE-0E65698071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231A"/>
    <w:pPr>
      <w:keepNext/>
      <w:keepLines/>
      <w:spacing w:before="1440" w:after="0" w:line="640" w:lineRule="exact"/>
      <w:outlineLvl w:val="0"/>
    </w:pPr>
    <w:rPr>
      <w:rFonts w:ascii="Calibri" w:hAnsi="Calibri" w:eastAsiaTheme="majorEastAsia" w:cstheme="majorBidi"/>
      <w:b/>
      <w:color w:val="49255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40"/>
    <w:pPr>
      <w:keepNext/>
      <w:keepLines/>
      <w:spacing w:before="720" w:after="160"/>
      <w:outlineLvl w:val="1"/>
    </w:pPr>
    <w:rPr>
      <w:rFonts w:asciiTheme="majorHAnsi" w:hAnsiTheme="majorHAnsi" w:eastAsiaTheme="majorEastAsia" w:cstheme="majorBidi"/>
      <w:b/>
      <w:color w:val="49255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240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F15D3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240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49255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424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49255F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3A231A"/>
    <w:rPr>
      <w:rFonts w:ascii="Calibri" w:hAnsi="Calibri" w:eastAsiaTheme="majorEastAsia" w:cstheme="majorBidi"/>
      <w:b/>
      <w:color w:val="49255F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74240"/>
    <w:rPr>
      <w:rFonts w:asciiTheme="majorHAnsi" w:hAnsiTheme="majorHAnsi" w:eastAsiaTheme="majorEastAsia" w:cstheme="majorBidi"/>
      <w:b/>
      <w:color w:val="49255F"/>
      <w:sz w:val="4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74240"/>
    <w:rPr>
      <w:rFonts w:asciiTheme="majorHAnsi" w:hAnsiTheme="majorHAnsi" w:eastAsiaTheme="majorEastAsia" w:cstheme="majorBidi"/>
      <w:b/>
      <w:color w:val="F15D31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A74240"/>
    <w:rPr>
      <w:rFonts w:asciiTheme="majorHAnsi" w:hAnsiTheme="majorHAnsi" w:eastAsiaTheme="majorEastAsia" w:cstheme="majorBidi"/>
      <w:b/>
      <w:iCs/>
      <w:color w:val="49255F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A74240"/>
    <w:rPr>
      <w:rFonts w:asciiTheme="majorHAnsi" w:hAnsiTheme="majorHAnsi" w:eastAsiaTheme="majorEastAsia" w:cstheme="majorBidi"/>
      <w:b/>
      <w:color w:val="49255F"/>
      <w:sz w:val="26"/>
    </w:rPr>
  </w:style>
  <w:style w:type="character" w:styleId="Heading6Char" w:customStyle="1">
    <w:name w:val="Heading 6 Char"/>
    <w:basedOn w:val="DefaultParagraphFont"/>
    <w:link w:val="Heading6"/>
    <w:uiPriority w:val="9"/>
    <w:rsid w:val="00AD631F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A74240"/>
    <w:pPr>
      <w:spacing w:after="120" w:line="240" w:lineRule="auto"/>
    </w:pPr>
    <w:rPr>
      <w:b/>
      <w:iCs/>
      <w:color w:val="49255F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1A"/>
    <w:pPr>
      <w:numPr>
        <w:ilvl w:val="1"/>
      </w:numPr>
      <w:spacing w:before="120" w:after="140"/>
    </w:pPr>
    <w:rPr>
      <w:rFonts w:eastAsiaTheme="minorEastAsia"/>
      <w:color w:val="F15D31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3A231A"/>
    <w:rPr>
      <w:rFonts w:eastAsiaTheme="minorEastAsia"/>
      <w:color w:val="F15D3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A74240"/>
    <w:pPr>
      <w:spacing w:before="100" w:beforeAutospacing="1" w:after="100" w:afterAutospacing="1" w:line="240" w:lineRule="auto"/>
    </w:pPr>
    <w:tblPr>
      <w:tblStyleRowBandSize w:val="1"/>
    </w:tblPr>
    <w:tcPr>
      <w:vAlign w:val="center"/>
    </w:tcPr>
    <w:tblStylePr w:type="firstRow">
      <w:pPr>
        <w:jc w:val="left"/>
      </w:pPr>
      <w:tblPr/>
      <w:tcPr>
        <w:shd w:val="clear" w:color="auto" w:fill="49255F"/>
      </w:tcPr>
    </w:tblStylePr>
    <w:tblStylePr w:type="firstCol">
      <w:rPr>
        <w:b w:val="0"/>
      </w:rPr>
    </w:tblStylePr>
    <w:tblStylePr w:type="band1Horz">
      <w:tblPr/>
      <w:tcPr>
        <w:tcBorders>
          <w:top w:val="nil"/>
          <w:left w:val="nil"/>
          <w:bottom w:val="single" w:color="F15D31" w:sz="4" w:space="0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color="F15D31" w:sz="4" w:space="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E6D"/>
    <w:rPr>
      <w:color w:val="CE372F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5B1E6D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B44DA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44DA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44DA5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44DA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44DA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1D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651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1D2"/>
    <w:rPr>
      <w:vertAlign w:val="superscript"/>
    </w:rPr>
  </w:style>
  <w:style w:type="paragraph" w:styleId="Revision">
    <w:name w:val="Revision"/>
    <w:hidden/>
    <w:uiPriority w:val="99"/>
    <w:semiHidden/>
    <w:rsid w:val="00804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education.gov.au/highereducationgbvregulator/resources/national-higher-education-code-prevent-and-respond-genderbased-violence-2025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ducation.gov.au/resources/highereducationgbvregulator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xmlns:wp14="http://schemas.microsoft.com/office/word/2010/wordml" w:rsidR="002B3ACA" w:rsidRDefault="00785B1E" w14:paraId="72EE8D63" wp14:textId="77777777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40B02"/>
    <w:rsid w:val="000505A3"/>
    <w:rsid w:val="000C7FF0"/>
    <w:rsid w:val="000E4984"/>
    <w:rsid w:val="000F499C"/>
    <w:rsid w:val="001B4AB7"/>
    <w:rsid w:val="002038CB"/>
    <w:rsid w:val="00217399"/>
    <w:rsid w:val="002B3ACA"/>
    <w:rsid w:val="00370588"/>
    <w:rsid w:val="00384187"/>
    <w:rsid w:val="003A3F85"/>
    <w:rsid w:val="003D3FD8"/>
    <w:rsid w:val="004546BD"/>
    <w:rsid w:val="00494525"/>
    <w:rsid w:val="004B201F"/>
    <w:rsid w:val="00506DD7"/>
    <w:rsid w:val="00530174"/>
    <w:rsid w:val="00561455"/>
    <w:rsid w:val="00571EFC"/>
    <w:rsid w:val="00620EF9"/>
    <w:rsid w:val="006B38D2"/>
    <w:rsid w:val="00785B1E"/>
    <w:rsid w:val="007F473A"/>
    <w:rsid w:val="00811B9A"/>
    <w:rsid w:val="00813176"/>
    <w:rsid w:val="00815B7D"/>
    <w:rsid w:val="008460B4"/>
    <w:rsid w:val="008C41AF"/>
    <w:rsid w:val="00902DBC"/>
    <w:rsid w:val="00A1695E"/>
    <w:rsid w:val="00A36803"/>
    <w:rsid w:val="00AB57B4"/>
    <w:rsid w:val="00AB5BD7"/>
    <w:rsid w:val="00B22D54"/>
    <w:rsid w:val="00B23F4C"/>
    <w:rsid w:val="00B36AF6"/>
    <w:rsid w:val="00C77711"/>
    <w:rsid w:val="00D020C1"/>
    <w:rsid w:val="00DB3E2B"/>
    <w:rsid w:val="00DD5196"/>
    <w:rsid w:val="00DD51FE"/>
    <w:rsid w:val="00E27821"/>
    <w:rsid w:val="00F43307"/>
    <w:rsid w:val="00FD58D0"/>
    <w:rsid w:val="00FE49FA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6e66040f5fd6fb03dbb406829e3cd0f9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3619ab7a3b33cbc823c875c393bfad1b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3D85-E223-462D-A067-BD09B9AA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39BE3-8D36-42DF-B45F-F95D7963662E}">
  <ds:schemaRefs>
    <ds:schemaRef ds:uri="http://schemas.microsoft.com/office/2006/metadata/properties"/>
    <ds:schemaRef ds:uri="http://schemas.microsoft.com/office/infopath/2007/PartnerControls"/>
    <ds:schemaRef ds:uri="c35adfce-f9b0-4566-a0fa-e4f70df87b41"/>
    <ds:schemaRef ds:uri="da72cac6-940c-4742-b333-53bc562b4053"/>
  </ds:schemaRefs>
</ds:datastoreItem>
</file>

<file path=customXml/itemProps3.xml><?xml version="1.0" encoding="utf-8"?>
<ds:datastoreItem xmlns:ds="http://schemas.openxmlformats.org/officeDocument/2006/customXml" ds:itemID="{EEF6E5D7-5794-43A8-AD53-0E38B2275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Higher Education Code to Prevent and Respond to Gender-based Violence</dc:title>
  <dc:subject/>
  <dc:creator>PACEY,Robert</dc:creator>
  <keywords/>
  <dc:description/>
  <lastModifiedBy>TOOHEY,Karen</lastModifiedBy>
  <revision>3</revision>
  <dcterms:created xsi:type="dcterms:W3CDTF">2026-06-15T02:37:00.0000000Z</dcterms:created>
  <dcterms:modified xsi:type="dcterms:W3CDTF">2026-06-15T03:16:38.8689957Z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0x01010093162BA753748F4BB53721499FC70481</vt:lpwstr>
  </property>
  <property fmtid="{D5CDD505-2E9C-101B-9397-08002B2CF9AE}" pid="10" name="MediaServiceImageTags">
    <vt:lpwstr/>
  </property>
</Properties>
</file>