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88068650"/>
        <w:docPartObj>
          <w:docPartGallery w:val="Table of Contents"/>
          <w:docPartUnique/>
        </w:docPartObj>
      </w:sdtPr>
      <w:sdtEndPr/>
      <w:sdtContent>
        <w:p w14:paraId="3EA6760B" w14:textId="77777777" w:rsidR="00881A50" w:rsidRPr="000E08DB" w:rsidRDefault="00881A50" w:rsidP="00881A50">
          <w:pPr>
            <w:spacing w:before="360"/>
            <w:ind w:right="95"/>
            <w:jc w:val="center"/>
            <w:rPr>
              <w:sz w:val="24"/>
              <w:szCs w:val="24"/>
            </w:rPr>
          </w:pPr>
          <w:r w:rsidRPr="000E08DB">
            <w:rPr>
              <w:noProof/>
            </w:rPr>
            <w:drawing>
              <wp:inline distT="0" distB="0" distL="0" distR="0" wp14:anchorId="3B5D2733" wp14:editId="7FB5B640">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5705" cy="1371600"/>
                        </a:xfrm>
                        <a:prstGeom prst="rect">
                          <a:avLst/>
                        </a:prstGeom>
                      </pic:spPr>
                    </pic:pic>
                  </a:graphicData>
                </a:graphic>
              </wp:inline>
            </w:drawing>
          </w:r>
        </w:p>
        <w:p w14:paraId="130B50A7" w14:textId="77777777" w:rsidR="00881A50" w:rsidRPr="000E08DB" w:rsidRDefault="00881A50" w:rsidP="00881A50">
          <w:pPr>
            <w:spacing w:before="360" w:after="0"/>
            <w:jc w:val="center"/>
            <w:rPr>
              <w:i/>
              <w:sz w:val="36"/>
              <w:szCs w:val="36"/>
            </w:rPr>
          </w:pPr>
          <w:r w:rsidRPr="000E08DB">
            <w:rPr>
              <w:sz w:val="36"/>
              <w:szCs w:val="36"/>
            </w:rPr>
            <w:t xml:space="preserve">Australian Government Response to the </w:t>
          </w:r>
          <w:r w:rsidRPr="000E08DB">
            <w:br/>
          </w:r>
          <w:r w:rsidRPr="000E08DB">
            <w:rPr>
              <w:i/>
              <w:sz w:val="36"/>
              <w:szCs w:val="36"/>
            </w:rPr>
            <w:t xml:space="preserve">Joint Standing Committee on Foreign Affairs, </w:t>
          </w:r>
        </w:p>
        <w:p w14:paraId="3421C32D" w14:textId="77777777" w:rsidR="00881A50" w:rsidRPr="000E08DB" w:rsidRDefault="00881A50" w:rsidP="00881A50">
          <w:pPr>
            <w:spacing w:after="0"/>
            <w:jc w:val="center"/>
            <w:rPr>
              <w:i/>
              <w:sz w:val="36"/>
              <w:szCs w:val="36"/>
            </w:rPr>
          </w:pPr>
          <w:r w:rsidRPr="000E08DB">
            <w:rPr>
              <w:i/>
              <w:sz w:val="36"/>
              <w:szCs w:val="36"/>
            </w:rPr>
            <w:t xml:space="preserve">Defence and Trade </w:t>
          </w:r>
        </w:p>
        <w:p w14:paraId="0E496B25" w14:textId="77777777" w:rsidR="00881A50" w:rsidRPr="000E08DB" w:rsidRDefault="00881A50" w:rsidP="00881A50">
          <w:pPr>
            <w:jc w:val="center"/>
            <w:rPr>
              <w:i/>
              <w:sz w:val="36"/>
              <w:szCs w:val="36"/>
            </w:rPr>
          </w:pPr>
          <w:r w:rsidRPr="000E08DB">
            <w:rPr>
              <w:sz w:val="36"/>
              <w:szCs w:val="36"/>
            </w:rPr>
            <w:t>report:</w:t>
          </w:r>
        </w:p>
        <w:p w14:paraId="31A01D18" w14:textId="77777777" w:rsidR="00881A50" w:rsidRPr="000E08DB" w:rsidRDefault="00881A50" w:rsidP="00881A50">
          <w:pPr>
            <w:spacing w:before="240"/>
            <w:jc w:val="center"/>
            <w:rPr>
              <w:i/>
              <w:sz w:val="36"/>
              <w:szCs w:val="36"/>
            </w:rPr>
          </w:pPr>
          <w:r w:rsidRPr="000E08DB">
            <w:rPr>
              <w:i/>
              <w:sz w:val="36"/>
              <w:szCs w:val="36"/>
            </w:rPr>
            <w:t>‘Quality and Integrity - the Quest for Sustainable Growth': Interim Report into International Education</w:t>
          </w:r>
        </w:p>
        <w:p w14:paraId="6688F377" w14:textId="77777777" w:rsidR="00881A50" w:rsidRPr="000E08DB" w:rsidRDefault="00881A50" w:rsidP="00881A50">
          <w:pPr>
            <w:spacing w:before="240"/>
            <w:jc w:val="right"/>
            <w:rPr>
              <w:sz w:val="24"/>
              <w:szCs w:val="24"/>
            </w:rPr>
          </w:pPr>
        </w:p>
        <w:p w14:paraId="2EF0FC97" w14:textId="77777777" w:rsidR="00881A50" w:rsidRPr="000E08DB" w:rsidRDefault="00881A50" w:rsidP="00881A50">
          <w:pPr>
            <w:spacing w:before="240"/>
            <w:jc w:val="right"/>
            <w:rPr>
              <w:sz w:val="24"/>
              <w:szCs w:val="24"/>
            </w:rPr>
          </w:pPr>
        </w:p>
        <w:p w14:paraId="6E16F6F5" w14:textId="77777777" w:rsidR="00881A50" w:rsidRPr="000E08DB" w:rsidRDefault="00881A50" w:rsidP="00881A50">
          <w:pPr>
            <w:spacing w:before="240"/>
            <w:jc w:val="right"/>
            <w:rPr>
              <w:sz w:val="24"/>
              <w:szCs w:val="24"/>
            </w:rPr>
          </w:pPr>
        </w:p>
        <w:p w14:paraId="020D0780" w14:textId="77777777" w:rsidR="00881A50" w:rsidRPr="000E08DB" w:rsidRDefault="00881A50" w:rsidP="00881A50">
          <w:pPr>
            <w:spacing w:before="240"/>
            <w:jc w:val="right"/>
            <w:rPr>
              <w:sz w:val="24"/>
              <w:szCs w:val="24"/>
            </w:rPr>
          </w:pPr>
        </w:p>
        <w:p w14:paraId="48E55B98" w14:textId="77777777" w:rsidR="00881A50" w:rsidRPr="000E08DB" w:rsidRDefault="00881A50" w:rsidP="00881A50">
          <w:pPr>
            <w:spacing w:before="240"/>
            <w:jc w:val="right"/>
            <w:rPr>
              <w:sz w:val="24"/>
              <w:szCs w:val="24"/>
            </w:rPr>
          </w:pPr>
        </w:p>
        <w:p w14:paraId="21F7A280" w14:textId="77777777" w:rsidR="00881A50" w:rsidRPr="000E08DB" w:rsidRDefault="00881A50" w:rsidP="00881A50">
          <w:pPr>
            <w:spacing w:before="240"/>
            <w:jc w:val="right"/>
            <w:rPr>
              <w:sz w:val="24"/>
              <w:szCs w:val="24"/>
            </w:rPr>
          </w:pPr>
        </w:p>
        <w:p w14:paraId="3421CF88" w14:textId="77777777" w:rsidR="00881A50" w:rsidRPr="000E08DB" w:rsidRDefault="00881A50" w:rsidP="00881A50">
          <w:pPr>
            <w:spacing w:before="240"/>
            <w:jc w:val="right"/>
            <w:rPr>
              <w:sz w:val="24"/>
              <w:szCs w:val="24"/>
            </w:rPr>
          </w:pPr>
        </w:p>
        <w:p w14:paraId="102375BE" w14:textId="77777777" w:rsidR="00881A50" w:rsidRPr="000E08DB" w:rsidRDefault="00881A50" w:rsidP="00881A50">
          <w:pPr>
            <w:spacing w:before="240"/>
            <w:jc w:val="right"/>
            <w:rPr>
              <w:sz w:val="24"/>
              <w:szCs w:val="24"/>
            </w:rPr>
          </w:pPr>
        </w:p>
        <w:p w14:paraId="3B68ABA0" w14:textId="77777777" w:rsidR="00881A50" w:rsidRPr="000E08DB" w:rsidRDefault="00881A50" w:rsidP="00881A50">
          <w:pPr>
            <w:spacing w:before="240"/>
            <w:jc w:val="right"/>
            <w:rPr>
              <w:sz w:val="24"/>
              <w:szCs w:val="24"/>
            </w:rPr>
          </w:pPr>
        </w:p>
        <w:p w14:paraId="398CFC68" w14:textId="77777777" w:rsidR="00881A50" w:rsidRPr="000E08DB" w:rsidRDefault="00881A50" w:rsidP="00881A50">
          <w:pPr>
            <w:spacing w:before="240"/>
            <w:jc w:val="right"/>
            <w:rPr>
              <w:sz w:val="24"/>
              <w:szCs w:val="24"/>
            </w:rPr>
          </w:pPr>
        </w:p>
        <w:p w14:paraId="70BBEF1B" w14:textId="77777777" w:rsidR="00881A50" w:rsidRPr="000E08DB" w:rsidRDefault="00881A50" w:rsidP="00881A50">
          <w:pPr>
            <w:spacing w:before="240"/>
            <w:rPr>
              <w:sz w:val="24"/>
              <w:szCs w:val="24"/>
            </w:rPr>
          </w:pPr>
        </w:p>
        <w:p w14:paraId="74D0CA07" w14:textId="0D323D36" w:rsidR="00881A50" w:rsidRPr="000E08DB" w:rsidRDefault="00AB4960" w:rsidP="00881A50">
          <w:pPr>
            <w:spacing w:before="240" w:after="0"/>
            <w:jc w:val="right"/>
            <w:rPr>
              <w:caps/>
              <w:sz w:val="28"/>
              <w:szCs w:val="28"/>
            </w:rPr>
          </w:pPr>
          <w:r>
            <w:rPr>
              <w:caps/>
              <w:sz w:val="28"/>
              <w:szCs w:val="28"/>
            </w:rPr>
            <w:t>March</w:t>
          </w:r>
          <w:r w:rsidR="00E71BB2" w:rsidRPr="000E08DB">
            <w:rPr>
              <w:caps/>
              <w:sz w:val="28"/>
              <w:szCs w:val="28"/>
            </w:rPr>
            <w:t xml:space="preserve"> </w:t>
          </w:r>
          <w:r w:rsidR="00881A50" w:rsidRPr="000E08DB">
            <w:rPr>
              <w:caps/>
              <w:sz w:val="28"/>
              <w:szCs w:val="28"/>
            </w:rPr>
            <w:t>202</w:t>
          </w:r>
          <w:r w:rsidR="009378B4" w:rsidRPr="000E08DB">
            <w:rPr>
              <w:caps/>
              <w:sz w:val="28"/>
              <w:szCs w:val="28"/>
            </w:rPr>
            <w:t>6</w:t>
          </w:r>
        </w:p>
        <w:p w14:paraId="08E36C0D" w14:textId="70CA85DC" w:rsidR="00881A50" w:rsidRPr="000E08DB" w:rsidRDefault="00881A50" w:rsidP="00881A50">
          <w:pPr>
            <w:rPr>
              <w:caps/>
              <w:sz w:val="24"/>
              <w:szCs w:val="24"/>
            </w:rPr>
          </w:pPr>
        </w:p>
        <w:sdt>
          <w:sdtPr>
            <w:rPr>
              <w:rFonts w:eastAsiaTheme="minorHAnsi"/>
              <w:color w:val="2B579A"/>
              <w:sz w:val="24"/>
              <w:szCs w:val="24"/>
              <w:shd w:val="clear" w:color="auto" w:fill="E6E6E6"/>
              <w:lang w:val="en-AU"/>
            </w:rPr>
            <w:id w:val="-750346223"/>
            <w:docPartObj>
              <w:docPartGallery w:val="Table of Contents"/>
              <w:docPartUnique/>
            </w:docPartObj>
          </w:sdtPr>
          <w:sdtEndPr>
            <w:rPr>
              <w:b/>
            </w:rPr>
          </w:sdtEndPr>
          <w:sdtContent>
            <w:p w14:paraId="17B4EBCB" w14:textId="77777777" w:rsidR="00881A50" w:rsidRPr="000E08DB" w:rsidRDefault="00881A50" w:rsidP="00881A50">
              <w:pPr>
                <w:pStyle w:val="NoSpacing"/>
                <w:spacing w:before="1540" w:after="240"/>
                <w:jc w:val="center"/>
                <w:rPr>
                  <w:sz w:val="24"/>
                  <w:szCs w:val="24"/>
                  <w:lang w:val="en-AU"/>
                </w:rPr>
              </w:pPr>
              <w:r w:rsidRPr="000E08DB">
                <w:rPr>
                  <w:sz w:val="24"/>
                  <w:szCs w:val="24"/>
                  <w:lang w:val="en-AU"/>
                </w:rPr>
                <w:t>Contents</w:t>
              </w:r>
              <w:r w:rsidRPr="000E08DB">
                <w:rPr>
                  <w:lang w:val="en-AU"/>
                </w:rPr>
                <w:tab/>
              </w:r>
            </w:p>
            <w:p w14:paraId="3EB79248" w14:textId="5C68B5CB" w:rsidR="000578EA" w:rsidRPr="000E08DB" w:rsidRDefault="00881A50">
              <w:pPr>
                <w:pStyle w:val="TOC1"/>
                <w:rPr>
                  <w:rFonts w:eastAsiaTheme="minorEastAsia"/>
                  <w:kern w:val="2"/>
                  <w:sz w:val="24"/>
                  <w:szCs w:val="24"/>
                  <w:lang w:eastAsia="en-AU"/>
                  <w14:ligatures w14:val="standardContextual"/>
                </w:rPr>
              </w:pPr>
              <w:r w:rsidRPr="000E08DB">
                <w:fldChar w:fldCharType="begin"/>
              </w:r>
              <w:r w:rsidRPr="000E08DB">
                <w:instrText>TOC \o "1-3" \h \z \u</w:instrText>
              </w:r>
              <w:r w:rsidRPr="000E08DB">
                <w:fldChar w:fldCharType="separate"/>
              </w:r>
              <w:hyperlink w:anchor="_Toc207627788" w:history="1">
                <w:r w:rsidR="000578EA" w:rsidRPr="000E08DB">
                  <w:rPr>
                    <w:rStyle w:val="Hyperlink"/>
                    <w:b/>
                  </w:rPr>
                  <w:t>Overview</w:t>
                </w:r>
                <w:r w:rsidR="000578EA" w:rsidRPr="000E08DB">
                  <w:rPr>
                    <w:webHidden/>
                  </w:rPr>
                  <w:tab/>
                </w:r>
                <w:r w:rsidR="000578EA" w:rsidRPr="000E08DB">
                  <w:rPr>
                    <w:webHidden/>
                  </w:rPr>
                  <w:fldChar w:fldCharType="begin"/>
                </w:r>
                <w:r w:rsidR="000578EA" w:rsidRPr="000E08DB">
                  <w:rPr>
                    <w:webHidden/>
                  </w:rPr>
                  <w:instrText xml:space="preserve"> PAGEREF _Toc207627788 \h </w:instrText>
                </w:r>
                <w:r w:rsidR="000578EA" w:rsidRPr="000E08DB">
                  <w:rPr>
                    <w:webHidden/>
                  </w:rPr>
                </w:r>
                <w:r w:rsidR="000578EA" w:rsidRPr="000E08DB">
                  <w:rPr>
                    <w:webHidden/>
                  </w:rPr>
                  <w:fldChar w:fldCharType="separate"/>
                </w:r>
                <w:r w:rsidR="00C854F3" w:rsidRPr="000E08DB">
                  <w:rPr>
                    <w:webHidden/>
                  </w:rPr>
                  <w:t>3</w:t>
                </w:r>
                <w:r w:rsidR="000578EA" w:rsidRPr="000E08DB">
                  <w:rPr>
                    <w:webHidden/>
                  </w:rPr>
                  <w:fldChar w:fldCharType="end"/>
                </w:r>
              </w:hyperlink>
            </w:p>
            <w:p w14:paraId="2373BA49" w14:textId="692F62A1" w:rsidR="000578EA" w:rsidRPr="000E08DB" w:rsidRDefault="000578EA">
              <w:pPr>
                <w:pStyle w:val="TOC1"/>
                <w:rPr>
                  <w:rFonts w:eastAsiaTheme="minorEastAsia"/>
                  <w:kern w:val="2"/>
                  <w:sz w:val="24"/>
                  <w:szCs w:val="24"/>
                  <w:lang w:eastAsia="en-AU"/>
                  <w14:ligatures w14:val="standardContextual"/>
                </w:rPr>
              </w:pPr>
              <w:hyperlink w:anchor="_Toc207627789" w:history="1">
                <w:r w:rsidRPr="000E08DB">
                  <w:rPr>
                    <w:rStyle w:val="Hyperlink"/>
                    <w:b/>
                    <w:i/>
                  </w:rPr>
                  <w:t>Government response</w:t>
                </w:r>
                <w:r w:rsidRPr="000E08DB">
                  <w:rPr>
                    <w:webHidden/>
                  </w:rPr>
                  <w:tab/>
                </w:r>
                <w:r w:rsidRPr="000E08DB">
                  <w:rPr>
                    <w:webHidden/>
                  </w:rPr>
                  <w:fldChar w:fldCharType="begin"/>
                </w:r>
                <w:r w:rsidRPr="000E08DB">
                  <w:rPr>
                    <w:webHidden/>
                  </w:rPr>
                  <w:instrText xml:space="preserve"> PAGEREF _Toc207627789 \h </w:instrText>
                </w:r>
                <w:r w:rsidRPr="000E08DB">
                  <w:rPr>
                    <w:webHidden/>
                  </w:rPr>
                </w:r>
                <w:r w:rsidRPr="000E08DB">
                  <w:rPr>
                    <w:webHidden/>
                  </w:rPr>
                  <w:fldChar w:fldCharType="separate"/>
                </w:r>
                <w:r w:rsidR="00C854F3" w:rsidRPr="000E08DB">
                  <w:rPr>
                    <w:webHidden/>
                  </w:rPr>
                  <w:t>4</w:t>
                </w:r>
                <w:r w:rsidRPr="000E08DB">
                  <w:rPr>
                    <w:webHidden/>
                  </w:rPr>
                  <w:fldChar w:fldCharType="end"/>
                </w:r>
              </w:hyperlink>
            </w:p>
            <w:p w14:paraId="29BE4C1A" w14:textId="281D5F0E" w:rsidR="000578EA" w:rsidRPr="000E08DB" w:rsidRDefault="000578EA">
              <w:pPr>
                <w:pStyle w:val="TOC2"/>
                <w:rPr>
                  <w:rFonts w:eastAsiaTheme="minorEastAsia"/>
                  <w:kern w:val="2"/>
                  <w:sz w:val="24"/>
                  <w:szCs w:val="24"/>
                  <w:lang w:eastAsia="en-AU"/>
                  <w14:ligatures w14:val="standardContextual"/>
                </w:rPr>
              </w:pPr>
              <w:hyperlink w:anchor="_Toc207627790" w:history="1">
                <w:r w:rsidRPr="000E08DB">
                  <w:rPr>
                    <w:rStyle w:val="Hyperlink"/>
                  </w:rPr>
                  <w:t>Recommendation 1</w:t>
                </w:r>
                <w:r w:rsidRPr="000E08DB">
                  <w:rPr>
                    <w:webHidden/>
                  </w:rPr>
                  <w:tab/>
                </w:r>
                <w:r w:rsidRPr="000E08DB">
                  <w:rPr>
                    <w:webHidden/>
                  </w:rPr>
                  <w:fldChar w:fldCharType="begin"/>
                </w:r>
                <w:r w:rsidRPr="000E08DB">
                  <w:rPr>
                    <w:webHidden/>
                  </w:rPr>
                  <w:instrText xml:space="preserve"> PAGEREF _Toc207627790 \h </w:instrText>
                </w:r>
                <w:r w:rsidRPr="000E08DB">
                  <w:rPr>
                    <w:webHidden/>
                  </w:rPr>
                </w:r>
                <w:r w:rsidRPr="000E08DB">
                  <w:rPr>
                    <w:webHidden/>
                  </w:rPr>
                  <w:fldChar w:fldCharType="separate"/>
                </w:r>
                <w:r w:rsidR="00C854F3" w:rsidRPr="000E08DB">
                  <w:rPr>
                    <w:webHidden/>
                  </w:rPr>
                  <w:t>6</w:t>
                </w:r>
                <w:r w:rsidRPr="000E08DB">
                  <w:rPr>
                    <w:webHidden/>
                  </w:rPr>
                  <w:fldChar w:fldCharType="end"/>
                </w:r>
              </w:hyperlink>
            </w:p>
            <w:p w14:paraId="047A4329" w14:textId="33DA1802" w:rsidR="000578EA" w:rsidRPr="000E08DB" w:rsidRDefault="000578EA">
              <w:pPr>
                <w:pStyle w:val="TOC2"/>
                <w:rPr>
                  <w:rFonts w:eastAsiaTheme="minorEastAsia"/>
                  <w:kern w:val="2"/>
                  <w:sz w:val="24"/>
                  <w:szCs w:val="24"/>
                  <w:lang w:eastAsia="en-AU"/>
                  <w14:ligatures w14:val="standardContextual"/>
                </w:rPr>
              </w:pPr>
              <w:hyperlink w:anchor="_Toc207627791" w:history="1">
                <w:r w:rsidRPr="000E08DB">
                  <w:rPr>
                    <w:rStyle w:val="Hyperlink"/>
                  </w:rPr>
                  <w:t>Recommendation 2</w:t>
                </w:r>
                <w:r w:rsidRPr="000E08DB">
                  <w:rPr>
                    <w:webHidden/>
                  </w:rPr>
                  <w:tab/>
                </w:r>
                <w:r w:rsidRPr="000E08DB">
                  <w:rPr>
                    <w:webHidden/>
                  </w:rPr>
                  <w:fldChar w:fldCharType="begin"/>
                </w:r>
                <w:r w:rsidRPr="000E08DB">
                  <w:rPr>
                    <w:webHidden/>
                  </w:rPr>
                  <w:instrText xml:space="preserve"> PAGEREF _Toc207627791 \h </w:instrText>
                </w:r>
                <w:r w:rsidRPr="000E08DB">
                  <w:rPr>
                    <w:webHidden/>
                  </w:rPr>
                </w:r>
                <w:r w:rsidRPr="000E08DB">
                  <w:rPr>
                    <w:webHidden/>
                  </w:rPr>
                  <w:fldChar w:fldCharType="separate"/>
                </w:r>
                <w:r w:rsidR="00C854F3" w:rsidRPr="000E08DB">
                  <w:rPr>
                    <w:webHidden/>
                  </w:rPr>
                  <w:t>8</w:t>
                </w:r>
                <w:r w:rsidRPr="000E08DB">
                  <w:rPr>
                    <w:webHidden/>
                  </w:rPr>
                  <w:fldChar w:fldCharType="end"/>
                </w:r>
              </w:hyperlink>
            </w:p>
            <w:p w14:paraId="616F3AD5" w14:textId="022F2D1F" w:rsidR="000578EA" w:rsidRPr="000E08DB" w:rsidRDefault="000578EA">
              <w:pPr>
                <w:pStyle w:val="TOC2"/>
                <w:rPr>
                  <w:rFonts w:eastAsiaTheme="minorEastAsia"/>
                  <w:kern w:val="2"/>
                  <w:sz w:val="24"/>
                  <w:szCs w:val="24"/>
                  <w:lang w:eastAsia="en-AU"/>
                  <w14:ligatures w14:val="standardContextual"/>
                </w:rPr>
              </w:pPr>
              <w:hyperlink w:anchor="_Toc207627792" w:history="1">
                <w:r w:rsidRPr="000E08DB">
                  <w:rPr>
                    <w:rStyle w:val="Hyperlink"/>
                  </w:rPr>
                  <w:t>Recommendation 3</w:t>
                </w:r>
                <w:r w:rsidRPr="000E08DB">
                  <w:rPr>
                    <w:webHidden/>
                  </w:rPr>
                  <w:tab/>
                </w:r>
                <w:r w:rsidRPr="000E08DB">
                  <w:rPr>
                    <w:webHidden/>
                  </w:rPr>
                  <w:fldChar w:fldCharType="begin"/>
                </w:r>
                <w:r w:rsidRPr="000E08DB">
                  <w:rPr>
                    <w:webHidden/>
                  </w:rPr>
                  <w:instrText xml:space="preserve"> PAGEREF _Toc207627792 \h </w:instrText>
                </w:r>
                <w:r w:rsidRPr="000E08DB">
                  <w:rPr>
                    <w:webHidden/>
                  </w:rPr>
                </w:r>
                <w:r w:rsidRPr="000E08DB">
                  <w:rPr>
                    <w:webHidden/>
                  </w:rPr>
                  <w:fldChar w:fldCharType="separate"/>
                </w:r>
                <w:r w:rsidR="00C854F3" w:rsidRPr="000E08DB">
                  <w:rPr>
                    <w:webHidden/>
                  </w:rPr>
                  <w:t>9</w:t>
                </w:r>
                <w:r w:rsidRPr="000E08DB">
                  <w:rPr>
                    <w:webHidden/>
                  </w:rPr>
                  <w:fldChar w:fldCharType="end"/>
                </w:r>
              </w:hyperlink>
            </w:p>
            <w:p w14:paraId="0330ED67" w14:textId="23140277" w:rsidR="000578EA" w:rsidRPr="000E08DB" w:rsidRDefault="000578EA">
              <w:pPr>
                <w:pStyle w:val="TOC2"/>
                <w:rPr>
                  <w:rFonts w:eastAsiaTheme="minorEastAsia"/>
                  <w:kern w:val="2"/>
                  <w:sz w:val="24"/>
                  <w:szCs w:val="24"/>
                  <w:lang w:eastAsia="en-AU"/>
                  <w14:ligatures w14:val="standardContextual"/>
                </w:rPr>
              </w:pPr>
              <w:hyperlink w:anchor="_Toc207627793" w:history="1">
                <w:r w:rsidRPr="000E08DB">
                  <w:rPr>
                    <w:rStyle w:val="Hyperlink"/>
                  </w:rPr>
                  <w:t>Recommendation 4</w:t>
                </w:r>
                <w:r w:rsidRPr="000E08DB">
                  <w:rPr>
                    <w:webHidden/>
                  </w:rPr>
                  <w:tab/>
                </w:r>
                <w:r w:rsidRPr="000E08DB">
                  <w:rPr>
                    <w:webHidden/>
                  </w:rPr>
                  <w:fldChar w:fldCharType="begin"/>
                </w:r>
                <w:r w:rsidRPr="000E08DB">
                  <w:rPr>
                    <w:webHidden/>
                  </w:rPr>
                  <w:instrText xml:space="preserve"> PAGEREF _Toc207627793 \h </w:instrText>
                </w:r>
                <w:r w:rsidRPr="000E08DB">
                  <w:rPr>
                    <w:webHidden/>
                  </w:rPr>
                </w:r>
                <w:r w:rsidRPr="000E08DB">
                  <w:rPr>
                    <w:webHidden/>
                  </w:rPr>
                  <w:fldChar w:fldCharType="separate"/>
                </w:r>
                <w:r w:rsidR="00C854F3" w:rsidRPr="000E08DB">
                  <w:rPr>
                    <w:webHidden/>
                  </w:rPr>
                  <w:t>10</w:t>
                </w:r>
                <w:r w:rsidRPr="000E08DB">
                  <w:rPr>
                    <w:webHidden/>
                  </w:rPr>
                  <w:fldChar w:fldCharType="end"/>
                </w:r>
              </w:hyperlink>
            </w:p>
            <w:p w14:paraId="07102ABD" w14:textId="4CF7DBE8" w:rsidR="000578EA" w:rsidRPr="000E08DB" w:rsidRDefault="000578EA">
              <w:pPr>
                <w:pStyle w:val="TOC2"/>
                <w:rPr>
                  <w:rFonts w:eastAsiaTheme="minorEastAsia"/>
                  <w:kern w:val="2"/>
                  <w:sz w:val="24"/>
                  <w:szCs w:val="24"/>
                  <w:lang w:eastAsia="en-AU"/>
                  <w14:ligatures w14:val="standardContextual"/>
                </w:rPr>
              </w:pPr>
              <w:hyperlink w:anchor="_Toc207627794" w:history="1">
                <w:r w:rsidRPr="000E08DB">
                  <w:rPr>
                    <w:rStyle w:val="Hyperlink"/>
                  </w:rPr>
                  <w:t>Recommendation 5</w:t>
                </w:r>
                <w:r w:rsidRPr="000E08DB">
                  <w:rPr>
                    <w:webHidden/>
                  </w:rPr>
                  <w:tab/>
                </w:r>
                <w:r w:rsidRPr="000E08DB">
                  <w:rPr>
                    <w:webHidden/>
                  </w:rPr>
                  <w:fldChar w:fldCharType="begin"/>
                </w:r>
                <w:r w:rsidRPr="000E08DB">
                  <w:rPr>
                    <w:webHidden/>
                  </w:rPr>
                  <w:instrText xml:space="preserve"> PAGEREF _Toc207627794 \h </w:instrText>
                </w:r>
                <w:r w:rsidRPr="000E08DB">
                  <w:rPr>
                    <w:webHidden/>
                  </w:rPr>
                </w:r>
                <w:r w:rsidRPr="000E08DB">
                  <w:rPr>
                    <w:webHidden/>
                  </w:rPr>
                  <w:fldChar w:fldCharType="separate"/>
                </w:r>
                <w:r w:rsidR="00C854F3" w:rsidRPr="000E08DB">
                  <w:rPr>
                    <w:webHidden/>
                  </w:rPr>
                  <w:t>11</w:t>
                </w:r>
                <w:r w:rsidRPr="000E08DB">
                  <w:rPr>
                    <w:webHidden/>
                  </w:rPr>
                  <w:fldChar w:fldCharType="end"/>
                </w:r>
              </w:hyperlink>
            </w:p>
            <w:p w14:paraId="12444F7C" w14:textId="5DAB8977" w:rsidR="000578EA" w:rsidRPr="000E08DB" w:rsidRDefault="000578EA">
              <w:pPr>
                <w:pStyle w:val="TOC2"/>
                <w:rPr>
                  <w:rFonts w:eastAsiaTheme="minorEastAsia"/>
                  <w:kern w:val="2"/>
                  <w:sz w:val="24"/>
                  <w:szCs w:val="24"/>
                  <w:lang w:eastAsia="en-AU"/>
                  <w14:ligatures w14:val="standardContextual"/>
                </w:rPr>
              </w:pPr>
              <w:hyperlink w:anchor="_Toc207627795" w:history="1">
                <w:r w:rsidRPr="000E08DB">
                  <w:rPr>
                    <w:rStyle w:val="Hyperlink"/>
                  </w:rPr>
                  <w:t>Recommendation 6</w:t>
                </w:r>
                <w:r w:rsidRPr="000E08DB">
                  <w:rPr>
                    <w:webHidden/>
                  </w:rPr>
                  <w:tab/>
                </w:r>
                <w:r w:rsidRPr="000E08DB">
                  <w:rPr>
                    <w:webHidden/>
                  </w:rPr>
                  <w:fldChar w:fldCharType="begin"/>
                </w:r>
                <w:r w:rsidRPr="000E08DB">
                  <w:rPr>
                    <w:webHidden/>
                  </w:rPr>
                  <w:instrText xml:space="preserve"> PAGEREF _Toc207627795 \h </w:instrText>
                </w:r>
                <w:r w:rsidRPr="000E08DB">
                  <w:rPr>
                    <w:webHidden/>
                  </w:rPr>
                </w:r>
                <w:r w:rsidRPr="000E08DB">
                  <w:rPr>
                    <w:webHidden/>
                  </w:rPr>
                  <w:fldChar w:fldCharType="separate"/>
                </w:r>
                <w:r w:rsidR="00C854F3" w:rsidRPr="000E08DB">
                  <w:rPr>
                    <w:webHidden/>
                  </w:rPr>
                  <w:t>12</w:t>
                </w:r>
                <w:r w:rsidRPr="000E08DB">
                  <w:rPr>
                    <w:webHidden/>
                  </w:rPr>
                  <w:fldChar w:fldCharType="end"/>
                </w:r>
              </w:hyperlink>
            </w:p>
            <w:p w14:paraId="61AA02B4" w14:textId="6D8EFF57" w:rsidR="000578EA" w:rsidRPr="000E08DB" w:rsidRDefault="000578EA">
              <w:pPr>
                <w:pStyle w:val="TOC2"/>
                <w:rPr>
                  <w:rFonts w:eastAsiaTheme="minorEastAsia"/>
                  <w:kern w:val="2"/>
                  <w:sz w:val="24"/>
                  <w:szCs w:val="24"/>
                  <w:lang w:eastAsia="en-AU"/>
                  <w14:ligatures w14:val="standardContextual"/>
                </w:rPr>
              </w:pPr>
              <w:hyperlink w:anchor="_Toc207627796" w:history="1">
                <w:r w:rsidRPr="000E08DB">
                  <w:rPr>
                    <w:rStyle w:val="Hyperlink"/>
                  </w:rPr>
                  <w:t>Recommendation 7</w:t>
                </w:r>
                <w:r w:rsidRPr="000E08DB">
                  <w:rPr>
                    <w:webHidden/>
                  </w:rPr>
                  <w:tab/>
                </w:r>
                <w:r w:rsidRPr="000E08DB">
                  <w:rPr>
                    <w:webHidden/>
                  </w:rPr>
                  <w:fldChar w:fldCharType="begin"/>
                </w:r>
                <w:r w:rsidRPr="000E08DB">
                  <w:rPr>
                    <w:webHidden/>
                  </w:rPr>
                  <w:instrText xml:space="preserve"> PAGEREF _Toc207627796 \h </w:instrText>
                </w:r>
                <w:r w:rsidRPr="000E08DB">
                  <w:rPr>
                    <w:webHidden/>
                  </w:rPr>
                </w:r>
                <w:r w:rsidRPr="000E08DB">
                  <w:rPr>
                    <w:webHidden/>
                  </w:rPr>
                  <w:fldChar w:fldCharType="separate"/>
                </w:r>
                <w:r w:rsidR="00C854F3" w:rsidRPr="000E08DB">
                  <w:rPr>
                    <w:webHidden/>
                  </w:rPr>
                  <w:t>13</w:t>
                </w:r>
                <w:r w:rsidRPr="000E08DB">
                  <w:rPr>
                    <w:webHidden/>
                  </w:rPr>
                  <w:fldChar w:fldCharType="end"/>
                </w:r>
              </w:hyperlink>
            </w:p>
            <w:p w14:paraId="5236ACF6" w14:textId="29BF901A" w:rsidR="000578EA" w:rsidRPr="000E08DB" w:rsidRDefault="000578EA">
              <w:pPr>
                <w:pStyle w:val="TOC2"/>
                <w:rPr>
                  <w:rFonts w:eastAsiaTheme="minorEastAsia"/>
                  <w:kern w:val="2"/>
                  <w:sz w:val="24"/>
                  <w:szCs w:val="24"/>
                  <w:lang w:eastAsia="en-AU"/>
                  <w14:ligatures w14:val="standardContextual"/>
                </w:rPr>
              </w:pPr>
              <w:hyperlink w:anchor="_Toc207627797" w:history="1">
                <w:r w:rsidRPr="000E08DB">
                  <w:rPr>
                    <w:rStyle w:val="Hyperlink"/>
                  </w:rPr>
                  <w:t>Recommendation 8</w:t>
                </w:r>
                <w:r w:rsidRPr="000E08DB">
                  <w:rPr>
                    <w:webHidden/>
                  </w:rPr>
                  <w:tab/>
                </w:r>
                <w:r w:rsidRPr="000E08DB">
                  <w:rPr>
                    <w:webHidden/>
                  </w:rPr>
                  <w:fldChar w:fldCharType="begin"/>
                </w:r>
                <w:r w:rsidRPr="000E08DB">
                  <w:rPr>
                    <w:webHidden/>
                  </w:rPr>
                  <w:instrText xml:space="preserve"> PAGEREF _Toc207627797 \h </w:instrText>
                </w:r>
                <w:r w:rsidRPr="000E08DB">
                  <w:rPr>
                    <w:webHidden/>
                  </w:rPr>
                </w:r>
                <w:r w:rsidRPr="000E08DB">
                  <w:rPr>
                    <w:webHidden/>
                  </w:rPr>
                  <w:fldChar w:fldCharType="separate"/>
                </w:r>
                <w:r w:rsidR="00C854F3" w:rsidRPr="000E08DB">
                  <w:rPr>
                    <w:webHidden/>
                  </w:rPr>
                  <w:t>13</w:t>
                </w:r>
                <w:r w:rsidRPr="000E08DB">
                  <w:rPr>
                    <w:webHidden/>
                  </w:rPr>
                  <w:fldChar w:fldCharType="end"/>
                </w:r>
              </w:hyperlink>
            </w:p>
            <w:p w14:paraId="16963B60" w14:textId="1022A1FF" w:rsidR="000578EA" w:rsidRPr="000E08DB" w:rsidRDefault="000578EA">
              <w:pPr>
                <w:pStyle w:val="TOC2"/>
                <w:rPr>
                  <w:rFonts w:eastAsiaTheme="minorEastAsia"/>
                  <w:kern w:val="2"/>
                  <w:sz w:val="24"/>
                  <w:szCs w:val="24"/>
                  <w:lang w:eastAsia="en-AU"/>
                  <w14:ligatures w14:val="standardContextual"/>
                </w:rPr>
              </w:pPr>
              <w:hyperlink w:anchor="_Toc207627798" w:history="1">
                <w:r w:rsidRPr="000E08DB">
                  <w:rPr>
                    <w:rStyle w:val="Hyperlink"/>
                  </w:rPr>
                  <w:t>Recommendation 9</w:t>
                </w:r>
                <w:r w:rsidRPr="000E08DB">
                  <w:rPr>
                    <w:webHidden/>
                  </w:rPr>
                  <w:tab/>
                </w:r>
                <w:r w:rsidRPr="000E08DB">
                  <w:rPr>
                    <w:webHidden/>
                  </w:rPr>
                  <w:fldChar w:fldCharType="begin"/>
                </w:r>
                <w:r w:rsidRPr="000E08DB">
                  <w:rPr>
                    <w:webHidden/>
                  </w:rPr>
                  <w:instrText xml:space="preserve"> PAGEREF _Toc207627798 \h </w:instrText>
                </w:r>
                <w:r w:rsidRPr="000E08DB">
                  <w:rPr>
                    <w:webHidden/>
                  </w:rPr>
                </w:r>
                <w:r w:rsidRPr="000E08DB">
                  <w:rPr>
                    <w:webHidden/>
                  </w:rPr>
                  <w:fldChar w:fldCharType="separate"/>
                </w:r>
                <w:r w:rsidR="00C854F3" w:rsidRPr="000E08DB">
                  <w:rPr>
                    <w:webHidden/>
                  </w:rPr>
                  <w:t>14</w:t>
                </w:r>
                <w:r w:rsidRPr="000E08DB">
                  <w:rPr>
                    <w:webHidden/>
                  </w:rPr>
                  <w:fldChar w:fldCharType="end"/>
                </w:r>
              </w:hyperlink>
            </w:p>
            <w:p w14:paraId="1C709BD5" w14:textId="69EE8BF3" w:rsidR="000578EA" w:rsidRPr="000E08DB" w:rsidRDefault="000578EA">
              <w:pPr>
                <w:pStyle w:val="TOC2"/>
                <w:rPr>
                  <w:rFonts w:eastAsiaTheme="minorEastAsia"/>
                  <w:kern w:val="2"/>
                  <w:sz w:val="24"/>
                  <w:szCs w:val="24"/>
                  <w:lang w:eastAsia="en-AU"/>
                  <w14:ligatures w14:val="standardContextual"/>
                </w:rPr>
              </w:pPr>
              <w:hyperlink w:anchor="_Toc207627799" w:history="1">
                <w:r w:rsidRPr="000E08DB">
                  <w:rPr>
                    <w:rStyle w:val="Hyperlink"/>
                  </w:rPr>
                  <w:t>Recommendation 10</w:t>
                </w:r>
                <w:r w:rsidRPr="000E08DB">
                  <w:rPr>
                    <w:webHidden/>
                  </w:rPr>
                  <w:tab/>
                </w:r>
                <w:r w:rsidRPr="000E08DB">
                  <w:rPr>
                    <w:webHidden/>
                  </w:rPr>
                  <w:fldChar w:fldCharType="begin"/>
                </w:r>
                <w:r w:rsidRPr="000E08DB">
                  <w:rPr>
                    <w:webHidden/>
                  </w:rPr>
                  <w:instrText xml:space="preserve"> PAGEREF _Toc207627799 \h </w:instrText>
                </w:r>
                <w:r w:rsidRPr="000E08DB">
                  <w:rPr>
                    <w:webHidden/>
                  </w:rPr>
                </w:r>
                <w:r w:rsidRPr="000E08DB">
                  <w:rPr>
                    <w:webHidden/>
                  </w:rPr>
                  <w:fldChar w:fldCharType="separate"/>
                </w:r>
                <w:r w:rsidR="00C854F3" w:rsidRPr="000E08DB">
                  <w:rPr>
                    <w:webHidden/>
                  </w:rPr>
                  <w:t>15</w:t>
                </w:r>
                <w:r w:rsidRPr="000E08DB">
                  <w:rPr>
                    <w:webHidden/>
                  </w:rPr>
                  <w:fldChar w:fldCharType="end"/>
                </w:r>
              </w:hyperlink>
            </w:p>
            <w:p w14:paraId="2716F892" w14:textId="4E1DD7D9" w:rsidR="000578EA" w:rsidRPr="000E08DB" w:rsidRDefault="000578EA">
              <w:pPr>
                <w:pStyle w:val="TOC2"/>
                <w:rPr>
                  <w:rFonts w:eastAsiaTheme="minorEastAsia"/>
                  <w:kern w:val="2"/>
                  <w:sz w:val="24"/>
                  <w:szCs w:val="24"/>
                  <w:lang w:eastAsia="en-AU"/>
                  <w14:ligatures w14:val="standardContextual"/>
                </w:rPr>
              </w:pPr>
              <w:hyperlink w:anchor="_Toc207627800" w:history="1">
                <w:r w:rsidRPr="000E08DB">
                  <w:rPr>
                    <w:rStyle w:val="Hyperlink"/>
                  </w:rPr>
                  <w:t>Recommendation 11</w:t>
                </w:r>
                <w:r w:rsidRPr="000E08DB">
                  <w:rPr>
                    <w:webHidden/>
                  </w:rPr>
                  <w:tab/>
                </w:r>
                <w:r w:rsidRPr="000E08DB">
                  <w:rPr>
                    <w:webHidden/>
                  </w:rPr>
                  <w:fldChar w:fldCharType="begin"/>
                </w:r>
                <w:r w:rsidRPr="000E08DB">
                  <w:rPr>
                    <w:webHidden/>
                  </w:rPr>
                  <w:instrText xml:space="preserve"> PAGEREF _Toc207627800 \h </w:instrText>
                </w:r>
                <w:r w:rsidRPr="000E08DB">
                  <w:rPr>
                    <w:webHidden/>
                  </w:rPr>
                </w:r>
                <w:r w:rsidRPr="000E08DB">
                  <w:rPr>
                    <w:webHidden/>
                  </w:rPr>
                  <w:fldChar w:fldCharType="separate"/>
                </w:r>
                <w:r w:rsidR="00C854F3" w:rsidRPr="000E08DB">
                  <w:rPr>
                    <w:webHidden/>
                  </w:rPr>
                  <w:t>15</w:t>
                </w:r>
                <w:r w:rsidRPr="000E08DB">
                  <w:rPr>
                    <w:webHidden/>
                  </w:rPr>
                  <w:fldChar w:fldCharType="end"/>
                </w:r>
              </w:hyperlink>
            </w:p>
            <w:p w14:paraId="374AC9BD" w14:textId="7EC3F5E0" w:rsidR="000578EA" w:rsidRPr="000E08DB" w:rsidRDefault="000578EA">
              <w:pPr>
                <w:pStyle w:val="TOC2"/>
                <w:rPr>
                  <w:rFonts w:eastAsiaTheme="minorEastAsia"/>
                  <w:kern w:val="2"/>
                  <w:sz w:val="24"/>
                  <w:szCs w:val="24"/>
                  <w:lang w:eastAsia="en-AU"/>
                  <w14:ligatures w14:val="standardContextual"/>
                </w:rPr>
              </w:pPr>
              <w:hyperlink w:anchor="_Toc207627801" w:history="1">
                <w:r w:rsidRPr="000E08DB">
                  <w:rPr>
                    <w:rStyle w:val="Hyperlink"/>
                  </w:rPr>
                  <w:t>Recommendation 12</w:t>
                </w:r>
                <w:r w:rsidRPr="000E08DB">
                  <w:rPr>
                    <w:webHidden/>
                  </w:rPr>
                  <w:tab/>
                </w:r>
                <w:r w:rsidRPr="000E08DB">
                  <w:rPr>
                    <w:webHidden/>
                  </w:rPr>
                  <w:fldChar w:fldCharType="begin"/>
                </w:r>
                <w:r w:rsidRPr="000E08DB">
                  <w:rPr>
                    <w:webHidden/>
                  </w:rPr>
                  <w:instrText xml:space="preserve"> PAGEREF _Toc207627801 \h </w:instrText>
                </w:r>
                <w:r w:rsidRPr="000E08DB">
                  <w:rPr>
                    <w:webHidden/>
                  </w:rPr>
                </w:r>
                <w:r w:rsidRPr="000E08DB">
                  <w:rPr>
                    <w:webHidden/>
                  </w:rPr>
                  <w:fldChar w:fldCharType="separate"/>
                </w:r>
                <w:r w:rsidR="00C854F3" w:rsidRPr="000E08DB">
                  <w:rPr>
                    <w:webHidden/>
                  </w:rPr>
                  <w:t>16</w:t>
                </w:r>
                <w:r w:rsidRPr="000E08DB">
                  <w:rPr>
                    <w:webHidden/>
                  </w:rPr>
                  <w:fldChar w:fldCharType="end"/>
                </w:r>
              </w:hyperlink>
            </w:p>
            <w:p w14:paraId="4B2A2330" w14:textId="61506088" w:rsidR="000578EA" w:rsidRPr="000E08DB" w:rsidRDefault="000578EA">
              <w:pPr>
                <w:pStyle w:val="TOC2"/>
                <w:rPr>
                  <w:rFonts w:eastAsiaTheme="minorEastAsia"/>
                  <w:kern w:val="2"/>
                  <w:sz w:val="24"/>
                  <w:szCs w:val="24"/>
                  <w:lang w:eastAsia="en-AU"/>
                  <w14:ligatures w14:val="standardContextual"/>
                </w:rPr>
              </w:pPr>
              <w:hyperlink w:anchor="_Toc207627802" w:history="1">
                <w:r w:rsidRPr="000E08DB">
                  <w:rPr>
                    <w:rStyle w:val="Hyperlink"/>
                  </w:rPr>
                  <w:t>Recommendation 13</w:t>
                </w:r>
                <w:r w:rsidRPr="000E08DB">
                  <w:rPr>
                    <w:webHidden/>
                  </w:rPr>
                  <w:tab/>
                </w:r>
                <w:r w:rsidRPr="000E08DB">
                  <w:rPr>
                    <w:webHidden/>
                  </w:rPr>
                  <w:fldChar w:fldCharType="begin"/>
                </w:r>
                <w:r w:rsidRPr="000E08DB">
                  <w:rPr>
                    <w:webHidden/>
                  </w:rPr>
                  <w:instrText xml:space="preserve"> PAGEREF _Toc207627802 \h </w:instrText>
                </w:r>
                <w:r w:rsidRPr="000E08DB">
                  <w:rPr>
                    <w:webHidden/>
                  </w:rPr>
                </w:r>
                <w:r w:rsidRPr="000E08DB">
                  <w:rPr>
                    <w:webHidden/>
                  </w:rPr>
                  <w:fldChar w:fldCharType="separate"/>
                </w:r>
                <w:r w:rsidR="00C854F3" w:rsidRPr="000E08DB">
                  <w:rPr>
                    <w:webHidden/>
                  </w:rPr>
                  <w:t>17</w:t>
                </w:r>
                <w:r w:rsidRPr="000E08DB">
                  <w:rPr>
                    <w:webHidden/>
                  </w:rPr>
                  <w:fldChar w:fldCharType="end"/>
                </w:r>
              </w:hyperlink>
            </w:p>
            <w:p w14:paraId="2A94C5E0" w14:textId="45925E4A" w:rsidR="000578EA" w:rsidRPr="000E08DB" w:rsidRDefault="000578EA">
              <w:pPr>
                <w:pStyle w:val="TOC2"/>
                <w:rPr>
                  <w:rFonts w:eastAsiaTheme="minorEastAsia"/>
                  <w:kern w:val="2"/>
                  <w:sz w:val="24"/>
                  <w:szCs w:val="24"/>
                  <w:lang w:eastAsia="en-AU"/>
                  <w14:ligatures w14:val="standardContextual"/>
                </w:rPr>
              </w:pPr>
              <w:hyperlink w:anchor="_Toc207627803" w:history="1">
                <w:r w:rsidRPr="000E08DB">
                  <w:rPr>
                    <w:rStyle w:val="Hyperlink"/>
                  </w:rPr>
                  <w:t>Recommendation 14</w:t>
                </w:r>
                <w:r w:rsidRPr="000E08DB">
                  <w:rPr>
                    <w:webHidden/>
                  </w:rPr>
                  <w:tab/>
                </w:r>
                <w:r w:rsidRPr="000E08DB">
                  <w:rPr>
                    <w:webHidden/>
                  </w:rPr>
                  <w:fldChar w:fldCharType="begin"/>
                </w:r>
                <w:r w:rsidRPr="000E08DB">
                  <w:rPr>
                    <w:webHidden/>
                  </w:rPr>
                  <w:instrText xml:space="preserve"> PAGEREF _Toc207627803 \h </w:instrText>
                </w:r>
                <w:r w:rsidRPr="000E08DB">
                  <w:rPr>
                    <w:webHidden/>
                  </w:rPr>
                </w:r>
                <w:r w:rsidRPr="000E08DB">
                  <w:rPr>
                    <w:webHidden/>
                  </w:rPr>
                  <w:fldChar w:fldCharType="separate"/>
                </w:r>
                <w:r w:rsidR="00C854F3" w:rsidRPr="000E08DB">
                  <w:rPr>
                    <w:webHidden/>
                  </w:rPr>
                  <w:t>18</w:t>
                </w:r>
                <w:r w:rsidRPr="000E08DB">
                  <w:rPr>
                    <w:webHidden/>
                  </w:rPr>
                  <w:fldChar w:fldCharType="end"/>
                </w:r>
              </w:hyperlink>
            </w:p>
            <w:p w14:paraId="2877E942" w14:textId="51B2AA0B" w:rsidR="000578EA" w:rsidRPr="000E08DB" w:rsidRDefault="000578EA">
              <w:pPr>
                <w:pStyle w:val="TOC2"/>
                <w:rPr>
                  <w:rFonts w:eastAsiaTheme="minorEastAsia"/>
                  <w:kern w:val="2"/>
                  <w:sz w:val="24"/>
                  <w:szCs w:val="24"/>
                  <w:lang w:eastAsia="en-AU"/>
                  <w14:ligatures w14:val="standardContextual"/>
                </w:rPr>
              </w:pPr>
              <w:hyperlink w:anchor="_Toc207627804" w:history="1">
                <w:r w:rsidRPr="000E08DB">
                  <w:rPr>
                    <w:rStyle w:val="Hyperlink"/>
                  </w:rPr>
                  <w:t>Recommendation 15</w:t>
                </w:r>
                <w:r w:rsidRPr="000E08DB">
                  <w:rPr>
                    <w:webHidden/>
                  </w:rPr>
                  <w:tab/>
                </w:r>
                <w:r w:rsidRPr="000E08DB">
                  <w:rPr>
                    <w:webHidden/>
                  </w:rPr>
                  <w:fldChar w:fldCharType="begin"/>
                </w:r>
                <w:r w:rsidRPr="000E08DB">
                  <w:rPr>
                    <w:webHidden/>
                  </w:rPr>
                  <w:instrText xml:space="preserve"> PAGEREF _Toc207627804 \h </w:instrText>
                </w:r>
                <w:r w:rsidRPr="000E08DB">
                  <w:rPr>
                    <w:webHidden/>
                  </w:rPr>
                </w:r>
                <w:r w:rsidRPr="000E08DB">
                  <w:rPr>
                    <w:webHidden/>
                  </w:rPr>
                  <w:fldChar w:fldCharType="separate"/>
                </w:r>
                <w:r w:rsidR="00C854F3" w:rsidRPr="000E08DB">
                  <w:rPr>
                    <w:webHidden/>
                  </w:rPr>
                  <w:t>20</w:t>
                </w:r>
                <w:r w:rsidRPr="000E08DB">
                  <w:rPr>
                    <w:webHidden/>
                  </w:rPr>
                  <w:fldChar w:fldCharType="end"/>
                </w:r>
              </w:hyperlink>
            </w:p>
            <w:p w14:paraId="1B3C5C60" w14:textId="78D26363" w:rsidR="000578EA" w:rsidRPr="000E08DB" w:rsidRDefault="000578EA">
              <w:pPr>
                <w:pStyle w:val="TOC2"/>
                <w:rPr>
                  <w:rFonts w:eastAsiaTheme="minorEastAsia"/>
                  <w:kern w:val="2"/>
                  <w:sz w:val="24"/>
                  <w:szCs w:val="24"/>
                  <w:lang w:eastAsia="en-AU"/>
                  <w14:ligatures w14:val="standardContextual"/>
                </w:rPr>
              </w:pPr>
              <w:hyperlink w:anchor="_Toc207627805" w:history="1">
                <w:r w:rsidRPr="000E08DB">
                  <w:rPr>
                    <w:rStyle w:val="Hyperlink"/>
                  </w:rPr>
                  <w:t>Recommendation 16</w:t>
                </w:r>
                <w:r w:rsidRPr="000E08DB">
                  <w:rPr>
                    <w:webHidden/>
                  </w:rPr>
                  <w:tab/>
                </w:r>
                <w:r w:rsidRPr="000E08DB">
                  <w:rPr>
                    <w:webHidden/>
                  </w:rPr>
                  <w:fldChar w:fldCharType="begin"/>
                </w:r>
                <w:r w:rsidRPr="000E08DB">
                  <w:rPr>
                    <w:webHidden/>
                  </w:rPr>
                  <w:instrText xml:space="preserve"> PAGEREF _Toc207627805 \h </w:instrText>
                </w:r>
                <w:r w:rsidRPr="000E08DB">
                  <w:rPr>
                    <w:webHidden/>
                  </w:rPr>
                </w:r>
                <w:r w:rsidRPr="000E08DB">
                  <w:rPr>
                    <w:webHidden/>
                  </w:rPr>
                  <w:fldChar w:fldCharType="separate"/>
                </w:r>
                <w:r w:rsidR="00C854F3" w:rsidRPr="000E08DB">
                  <w:rPr>
                    <w:webHidden/>
                  </w:rPr>
                  <w:t>21</w:t>
                </w:r>
                <w:r w:rsidRPr="000E08DB">
                  <w:rPr>
                    <w:webHidden/>
                  </w:rPr>
                  <w:fldChar w:fldCharType="end"/>
                </w:r>
              </w:hyperlink>
            </w:p>
            <w:p w14:paraId="75B088B7" w14:textId="201E8045" w:rsidR="000578EA" w:rsidRPr="000E08DB" w:rsidRDefault="000578EA">
              <w:pPr>
                <w:pStyle w:val="TOC2"/>
                <w:rPr>
                  <w:rFonts w:eastAsiaTheme="minorEastAsia"/>
                  <w:kern w:val="2"/>
                  <w:sz w:val="24"/>
                  <w:szCs w:val="24"/>
                  <w:lang w:eastAsia="en-AU"/>
                  <w14:ligatures w14:val="standardContextual"/>
                </w:rPr>
              </w:pPr>
              <w:hyperlink w:anchor="_Toc207627806" w:history="1">
                <w:r w:rsidRPr="000E08DB">
                  <w:rPr>
                    <w:rStyle w:val="Hyperlink"/>
                  </w:rPr>
                  <w:t>Recommendation 17</w:t>
                </w:r>
                <w:r w:rsidRPr="000E08DB">
                  <w:rPr>
                    <w:webHidden/>
                  </w:rPr>
                  <w:tab/>
                </w:r>
                <w:r w:rsidRPr="000E08DB">
                  <w:rPr>
                    <w:webHidden/>
                  </w:rPr>
                  <w:fldChar w:fldCharType="begin"/>
                </w:r>
                <w:r w:rsidRPr="000E08DB">
                  <w:rPr>
                    <w:webHidden/>
                  </w:rPr>
                  <w:instrText xml:space="preserve"> PAGEREF _Toc207627806 \h </w:instrText>
                </w:r>
                <w:r w:rsidRPr="000E08DB">
                  <w:rPr>
                    <w:webHidden/>
                  </w:rPr>
                </w:r>
                <w:r w:rsidRPr="000E08DB">
                  <w:rPr>
                    <w:webHidden/>
                  </w:rPr>
                  <w:fldChar w:fldCharType="separate"/>
                </w:r>
                <w:r w:rsidR="00C854F3" w:rsidRPr="000E08DB">
                  <w:rPr>
                    <w:webHidden/>
                  </w:rPr>
                  <w:t>22</w:t>
                </w:r>
                <w:r w:rsidRPr="000E08DB">
                  <w:rPr>
                    <w:webHidden/>
                  </w:rPr>
                  <w:fldChar w:fldCharType="end"/>
                </w:r>
              </w:hyperlink>
            </w:p>
            <w:p w14:paraId="1079DD61" w14:textId="1B0CE10F" w:rsidR="000578EA" w:rsidRPr="000E08DB" w:rsidRDefault="000578EA">
              <w:pPr>
                <w:pStyle w:val="TOC2"/>
                <w:rPr>
                  <w:rFonts w:eastAsiaTheme="minorEastAsia"/>
                  <w:kern w:val="2"/>
                  <w:sz w:val="24"/>
                  <w:szCs w:val="24"/>
                  <w:lang w:eastAsia="en-AU"/>
                  <w14:ligatures w14:val="standardContextual"/>
                </w:rPr>
              </w:pPr>
              <w:hyperlink w:anchor="_Toc207627807" w:history="1">
                <w:r w:rsidRPr="000E08DB">
                  <w:rPr>
                    <w:rStyle w:val="Hyperlink"/>
                  </w:rPr>
                  <w:t>Recommendation 18</w:t>
                </w:r>
                <w:r w:rsidRPr="000E08DB">
                  <w:rPr>
                    <w:webHidden/>
                  </w:rPr>
                  <w:tab/>
                </w:r>
                <w:r w:rsidRPr="000E08DB">
                  <w:rPr>
                    <w:webHidden/>
                  </w:rPr>
                  <w:fldChar w:fldCharType="begin"/>
                </w:r>
                <w:r w:rsidRPr="000E08DB">
                  <w:rPr>
                    <w:webHidden/>
                  </w:rPr>
                  <w:instrText xml:space="preserve"> PAGEREF _Toc207627807 \h </w:instrText>
                </w:r>
                <w:r w:rsidRPr="000E08DB">
                  <w:rPr>
                    <w:webHidden/>
                  </w:rPr>
                </w:r>
                <w:r w:rsidRPr="000E08DB">
                  <w:rPr>
                    <w:webHidden/>
                  </w:rPr>
                  <w:fldChar w:fldCharType="separate"/>
                </w:r>
                <w:r w:rsidR="00C854F3" w:rsidRPr="000E08DB">
                  <w:rPr>
                    <w:webHidden/>
                  </w:rPr>
                  <w:t>22</w:t>
                </w:r>
                <w:r w:rsidRPr="000E08DB">
                  <w:rPr>
                    <w:webHidden/>
                  </w:rPr>
                  <w:fldChar w:fldCharType="end"/>
                </w:r>
              </w:hyperlink>
            </w:p>
            <w:p w14:paraId="2E2E8052" w14:textId="4639C378" w:rsidR="000578EA" w:rsidRPr="000E08DB" w:rsidRDefault="000578EA">
              <w:pPr>
                <w:pStyle w:val="TOC2"/>
                <w:rPr>
                  <w:rFonts w:eastAsiaTheme="minorEastAsia"/>
                  <w:kern w:val="2"/>
                  <w:sz w:val="24"/>
                  <w:szCs w:val="24"/>
                  <w:lang w:eastAsia="en-AU"/>
                  <w14:ligatures w14:val="standardContextual"/>
                </w:rPr>
              </w:pPr>
              <w:hyperlink w:anchor="_Toc207627808" w:history="1">
                <w:r w:rsidRPr="000E08DB">
                  <w:rPr>
                    <w:rStyle w:val="Hyperlink"/>
                  </w:rPr>
                  <w:t>Recommendation 19</w:t>
                </w:r>
                <w:r w:rsidRPr="000E08DB">
                  <w:rPr>
                    <w:webHidden/>
                  </w:rPr>
                  <w:tab/>
                </w:r>
                <w:r w:rsidRPr="000E08DB">
                  <w:rPr>
                    <w:webHidden/>
                  </w:rPr>
                  <w:fldChar w:fldCharType="begin"/>
                </w:r>
                <w:r w:rsidRPr="000E08DB">
                  <w:rPr>
                    <w:webHidden/>
                  </w:rPr>
                  <w:instrText xml:space="preserve"> PAGEREF _Toc207627808 \h </w:instrText>
                </w:r>
                <w:r w:rsidRPr="000E08DB">
                  <w:rPr>
                    <w:webHidden/>
                  </w:rPr>
                </w:r>
                <w:r w:rsidRPr="000E08DB">
                  <w:rPr>
                    <w:webHidden/>
                  </w:rPr>
                  <w:fldChar w:fldCharType="separate"/>
                </w:r>
                <w:r w:rsidR="00C854F3" w:rsidRPr="000E08DB">
                  <w:rPr>
                    <w:webHidden/>
                  </w:rPr>
                  <w:t>23</w:t>
                </w:r>
                <w:r w:rsidRPr="000E08DB">
                  <w:rPr>
                    <w:webHidden/>
                  </w:rPr>
                  <w:fldChar w:fldCharType="end"/>
                </w:r>
              </w:hyperlink>
            </w:p>
            <w:p w14:paraId="48FD9877" w14:textId="4BDBAB8B" w:rsidR="000578EA" w:rsidRPr="000E08DB" w:rsidRDefault="000578EA">
              <w:pPr>
                <w:pStyle w:val="TOC2"/>
                <w:rPr>
                  <w:rFonts w:eastAsiaTheme="minorEastAsia"/>
                  <w:kern w:val="2"/>
                  <w:sz w:val="24"/>
                  <w:szCs w:val="24"/>
                  <w:lang w:eastAsia="en-AU"/>
                  <w14:ligatures w14:val="standardContextual"/>
                </w:rPr>
              </w:pPr>
              <w:hyperlink w:anchor="_Toc207627809" w:history="1">
                <w:r w:rsidRPr="000E08DB">
                  <w:rPr>
                    <w:rStyle w:val="Hyperlink"/>
                  </w:rPr>
                  <w:t>Recommendation 20</w:t>
                </w:r>
                <w:r w:rsidRPr="000E08DB">
                  <w:rPr>
                    <w:webHidden/>
                  </w:rPr>
                  <w:tab/>
                </w:r>
                <w:r w:rsidRPr="000E08DB">
                  <w:rPr>
                    <w:webHidden/>
                  </w:rPr>
                  <w:fldChar w:fldCharType="begin"/>
                </w:r>
                <w:r w:rsidRPr="000E08DB">
                  <w:rPr>
                    <w:webHidden/>
                  </w:rPr>
                  <w:instrText xml:space="preserve"> PAGEREF _Toc207627809 \h </w:instrText>
                </w:r>
                <w:r w:rsidRPr="000E08DB">
                  <w:rPr>
                    <w:webHidden/>
                  </w:rPr>
                </w:r>
                <w:r w:rsidRPr="000E08DB">
                  <w:rPr>
                    <w:webHidden/>
                  </w:rPr>
                  <w:fldChar w:fldCharType="separate"/>
                </w:r>
                <w:r w:rsidR="00C854F3" w:rsidRPr="000E08DB">
                  <w:rPr>
                    <w:webHidden/>
                  </w:rPr>
                  <w:t>24</w:t>
                </w:r>
                <w:r w:rsidRPr="000E08DB">
                  <w:rPr>
                    <w:webHidden/>
                  </w:rPr>
                  <w:fldChar w:fldCharType="end"/>
                </w:r>
              </w:hyperlink>
            </w:p>
            <w:p w14:paraId="43CEDC6E" w14:textId="47219694" w:rsidR="000578EA" w:rsidRPr="000E08DB" w:rsidRDefault="000578EA">
              <w:pPr>
                <w:pStyle w:val="TOC2"/>
                <w:rPr>
                  <w:rFonts w:eastAsiaTheme="minorEastAsia"/>
                  <w:kern w:val="2"/>
                  <w:sz w:val="24"/>
                  <w:szCs w:val="24"/>
                  <w:lang w:eastAsia="en-AU"/>
                  <w14:ligatures w14:val="standardContextual"/>
                </w:rPr>
              </w:pPr>
              <w:hyperlink w:anchor="_Toc207627810" w:history="1">
                <w:r w:rsidRPr="000E08DB">
                  <w:rPr>
                    <w:rStyle w:val="Hyperlink"/>
                  </w:rPr>
                  <w:t>Recommendation 21</w:t>
                </w:r>
                <w:r w:rsidRPr="000E08DB">
                  <w:rPr>
                    <w:webHidden/>
                  </w:rPr>
                  <w:tab/>
                </w:r>
                <w:r w:rsidRPr="000E08DB">
                  <w:rPr>
                    <w:webHidden/>
                  </w:rPr>
                  <w:fldChar w:fldCharType="begin"/>
                </w:r>
                <w:r w:rsidRPr="000E08DB">
                  <w:rPr>
                    <w:webHidden/>
                  </w:rPr>
                  <w:instrText xml:space="preserve"> PAGEREF _Toc207627810 \h </w:instrText>
                </w:r>
                <w:r w:rsidRPr="000E08DB">
                  <w:rPr>
                    <w:webHidden/>
                  </w:rPr>
                </w:r>
                <w:r w:rsidRPr="000E08DB">
                  <w:rPr>
                    <w:webHidden/>
                  </w:rPr>
                  <w:fldChar w:fldCharType="separate"/>
                </w:r>
                <w:r w:rsidR="00C854F3" w:rsidRPr="000E08DB">
                  <w:rPr>
                    <w:webHidden/>
                  </w:rPr>
                  <w:t>25</w:t>
                </w:r>
                <w:r w:rsidRPr="000E08DB">
                  <w:rPr>
                    <w:webHidden/>
                  </w:rPr>
                  <w:fldChar w:fldCharType="end"/>
                </w:r>
              </w:hyperlink>
            </w:p>
            <w:p w14:paraId="71EB4193" w14:textId="3A1570B2" w:rsidR="000578EA" w:rsidRPr="000E08DB" w:rsidRDefault="000578EA">
              <w:pPr>
                <w:pStyle w:val="TOC2"/>
                <w:rPr>
                  <w:rFonts w:eastAsiaTheme="minorEastAsia"/>
                  <w:kern w:val="2"/>
                  <w:sz w:val="24"/>
                  <w:szCs w:val="24"/>
                  <w:lang w:eastAsia="en-AU"/>
                  <w14:ligatures w14:val="standardContextual"/>
                </w:rPr>
              </w:pPr>
              <w:hyperlink w:anchor="_Toc207627811" w:history="1">
                <w:r w:rsidRPr="000E08DB">
                  <w:rPr>
                    <w:rStyle w:val="Hyperlink"/>
                  </w:rPr>
                  <w:t>Recommendation 22</w:t>
                </w:r>
                <w:r w:rsidRPr="000E08DB">
                  <w:rPr>
                    <w:webHidden/>
                  </w:rPr>
                  <w:tab/>
                </w:r>
                <w:r w:rsidRPr="000E08DB">
                  <w:rPr>
                    <w:webHidden/>
                  </w:rPr>
                  <w:fldChar w:fldCharType="begin"/>
                </w:r>
                <w:r w:rsidRPr="000E08DB">
                  <w:rPr>
                    <w:webHidden/>
                  </w:rPr>
                  <w:instrText xml:space="preserve"> PAGEREF _Toc207627811 \h </w:instrText>
                </w:r>
                <w:r w:rsidRPr="000E08DB">
                  <w:rPr>
                    <w:webHidden/>
                  </w:rPr>
                </w:r>
                <w:r w:rsidRPr="000E08DB">
                  <w:rPr>
                    <w:webHidden/>
                  </w:rPr>
                  <w:fldChar w:fldCharType="separate"/>
                </w:r>
                <w:r w:rsidR="00C854F3" w:rsidRPr="000E08DB">
                  <w:rPr>
                    <w:webHidden/>
                  </w:rPr>
                  <w:t>26</w:t>
                </w:r>
                <w:r w:rsidRPr="000E08DB">
                  <w:rPr>
                    <w:webHidden/>
                  </w:rPr>
                  <w:fldChar w:fldCharType="end"/>
                </w:r>
              </w:hyperlink>
            </w:p>
            <w:p w14:paraId="693F8788" w14:textId="53A892C3" w:rsidR="000578EA" w:rsidRPr="000E08DB" w:rsidRDefault="000578EA">
              <w:pPr>
                <w:pStyle w:val="TOC2"/>
                <w:rPr>
                  <w:rFonts w:eastAsiaTheme="minorEastAsia"/>
                  <w:kern w:val="2"/>
                  <w:sz w:val="24"/>
                  <w:szCs w:val="24"/>
                  <w:lang w:eastAsia="en-AU"/>
                  <w14:ligatures w14:val="standardContextual"/>
                </w:rPr>
              </w:pPr>
              <w:hyperlink w:anchor="_Toc207627812" w:history="1">
                <w:r w:rsidRPr="000E08DB">
                  <w:rPr>
                    <w:rStyle w:val="Hyperlink"/>
                  </w:rPr>
                  <w:t>Recommendation 23</w:t>
                </w:r>
                <w:r w:rsidRPr="000E08DB">
                  <w:rPr>
                    <w:webHidden/>
                  </w:rPr>
                  <w:tab/>
                </w:r>
                <w:r w:rsidRPr="000E08DB">
                  <w:rPr>
                    <w:webHidden/>
                  </w:rPr>
                  <w:fldChar w:fldCharType="begin"/>
                </w:r>
                <w:r w:rsidRPr="000E08DB">
                  <w:rPr>
                    <w:webHidden/>
                  </w:rPr>
                  <w:instrText xml:space="preserve"> PAGEREF _Toc207627812 \h </w:instrText>
                </w:r>
                <w:r w:rsidRPr="000E08DB">
                  <w:rPr>
                    <w:webHidden/>
                  </w:rPr>
                </w:r>
                <w:r w:rsidRPr="000E08DB">
                  <w:rPr>
                    <w:webHidden/>
                  </w:rPr>
                  <w:fldChar w:fldCharType="separate"/>
                </w:r>
                <w:r w:rsidR="00C854F3" w:rsidRPr="000E08DB">
                  <w:rPr>
                    <w:webHidden/>
                  </w:rPr>
                  <w:t>26</w:t>
                </w:r>
                <w:r w:rsidRPr="000E08DB">
                  <w:rPr>
                    <w:webHidden/>
                  </w:rPr>
                  <w:fldChar w:fldCharType="end"/>
                </w:r>
              </w:hyperlink>
            </w:p>
            <w:p w14:paraId="453F523C" w14:textId="48209DD1" w:rsidR="000578EA" w:rsidRPr="000E08DB" w:rsidRDefault="000578EA">
              <w:pPr>
                <w:pStyle w:val="TOC2"/>
                <w:rPr>
                  <w:rFonts w:eastAsiaTheme="minorEastAsia"/>
                  <w:kern w:val="2"/>
                  <w:sz w:val="24"/>
                  <w:szCs w:val="24"/>
                  <w:lang w:eastAsia="en-AU"/>
                  <w14:ligatures w14:val="standardContextual"/>
                </w:rPr>
              </w:pPr>
              <w:hyperlink w:anchor="_Toc207627813" w:history="1">
                <w:r w:rsidRPr="000E08DB">
                  <w:rPr>
                    <w:rStyle w:val="Hyperlink"/>
                  </w:rPr>
                  <w:t>Recommendation 24</w:t>
                </w:r>
                <w:r w:rsidRPr="000E08DB">
                  <w:rPr>
                    <w:webHidden/>
                  </w:rPr>
                  <w:tab/>
                </w:r>
                <w:r w:rsidRPr="000E08DB">
                  <w:rPr>
                    <w:webHidden/>
                  </w:rPr>
                  <w:fldChar w:fldCharType="begin"/>
                </w:r>
                <w:r w:rsidRPr="000E08DB">
                  <w:rPr>
                    <w:webHidden/>
                  </w:rPr>
                  <w:instrText xml:space="preserve"> PAGEREF _Toc207627813 \h </w:instrText>
                </w:r>
                <w:r w:rsidRPr="000E08DB">
                  <w:rPr>
                    <w:webHidden/>
                  </w:rPr>
                </w:r>
                <w:r w:rsidRPr="000E08DB">
                  <w:rPr>
                    <w:webHidden/>
                  </w:rPr>
                  <w:fldChar w:fldCharType="separate"/>
                </w:r>
                <w:r w:rsidR="00C854F3" w:rsidRPr="000E08DB">
                  <w:rPr>
                    <w:webHidden/>
                  </w:rPr>
                  <w:t>27</w:t>
                </w:r>
                <w:r w:rsidRPr="000E08DB">
                  <w:rPr>
                    <w:webHidden/>
                  </w:rPr>
                  <w:fldChar w:fldCharType="end"/>
                </w:r>
              </w:hyperlink>
            </w:p>
            <w:p w14:paraId="29429BDE" w14:textId="5F8F66B8" w:rsidR="000578EA" w:rsidRPr="000E08DB" w:rsidRDefault="000578EA">
              <w:pPr>
                <w:pStyle w:val="TOC2"/>
                <w:rPr>
                  <w:rFonts w:eastAsiaTheme="minorEastAsia"/>
                  <w:kern w:val="2"/>
                  <w:sz w:val="24"/>
                  <w:szCs w:val="24"/>
                  <w:lang w:eastAsia="en-AU"/>
                  <w14:ligatures w14:val="standardContextual"/>
                </w:rPr>
              </w:pPr>
              <w:hyperlink w:anchor="_Toc207627814" w:history="1">
                <w:r w:rsidRPr="000E08DB">
                  <w:rPr>
                    <w:rStyle w:val="Hyperlink"/>
                  </w:rPr>
                  <w:t>Recommendation 25</w:t>
                </w:r>
                <w:r w:rsidRPr="000E08DB">
                  <w:rPr>
                    <w:webHidden/>
                  </w:rPr>
                  <w:tab/>
                </w:r>
                <w:r w:rsidRPr="000E08DB">
                  <w:rPr>
                    <w:webHidden/>
                  </w:rPr>
                  <w:fldChar w:fldCharType="begin"/>
                </w:r>
                <w:r w:rsidRPr="000E08DB">
                  <w:rPr>
                    <w:webHidden/>
                  </w:rPr>
                  <w:instrText xml:space="preserve"> PAGEREF _Toc207627814 \h </w:instrText>
                </w:r>
                <w:r w:rsidRPr="000E08DB">
                  <w:rPr>
                    <w:webHidden/>
                  </w:rPr>
                </w:r>
                <w:r w:rsidRPr="000E08DB">
                  <w:rPr>
                    <w:webHidden/>
                  </w:rPr>
                  <w:fldChar w:fldCharType="separate"/>
                </w:r>
                <w:r w:rsidR="00C854F3" w:rsidRPr="000E08DB">
                  <w:rPr>
                    <w:webHidden/>
                  </w:rPr>
                  <w:t>27</w:t>
                </w:r>
                <w:r w:rsidRPr="000E08DB">
                  <w:rPr>
                    <w:webHidden/>
                  </w:rPr>
                  <w:fldChar w:fldCharType="end"/>
                </w:r>
              </w:hyperlink>
            </w:p>
            <w:p w14:paraId="7B6265D7" w14:textId="7D6F2771" w:rsidR="000578EA" w:rsidRPr="000E08DB" w:rsidRDefault="000578EA">
              <w:pPr>
                <w:pStyle w:val="TOC2"/>
                <w:rPr>
                  <w:rFonts w:eastAsiaTheme="minorEastAsia"/>
                  <w:kern w:val="2"/>
                  <w:sz w:val="24"/>
                  <w:szCs w:val="24"/>
                  <w:lang w:eastAsia="en-AU"/>
                  <w14:ligatures w14:val="standardContextual"/>
                </w:rPr>
              </w:pPr>
              <w:hyperlink w:anchor="_Toc207627815" w:history="1">
                <w:r w:rsidRPr="000E08DB">
                  <w:rPr>
                    <w:rStyle w:val="Hyperlink"/>
                  </w:rPr>
                  <w:t>Recommendation 26</w:t>
                </w:r>
                <w:r w:rsidRPr="000E08DB">
                  <w:rPr>
                    <w:webHidden/>
                  </w:rPr>
                  <w:tab/>
                </w:r>
                <w:r w:rsidRPr="000E08DB">
                  <w:rPr>
                    <w:webHidden/>
                  </w:rPr>
                  <w:fldChar w:fldCharType="begin"/>
                </w:r>
                <w:r w:rsidRPr="000E08DB">
                  <w:rPr>
                    <w:webHidden/>
                  </w:rPr>
                  <w:instrText xml:space="preserve"> PAGEREF _Toc207627815 \h </w:instrText>
                </w:r>
                <w:r w:rsidRPr="000E08DB">
                  <w:rPr>
                    <w:webHidden/>
                  </w:rPr>
                </w:r>
                <w:r w:rsidRPr="000E08DB">
                  <w:rPr>
                    <w:webHidden/>
                  </w:rPr>
                  <w:fldChar w:fldCharType="separate"/>
                </w:r>
                <w:r w:rsidR="00C854F3" w:rsidRPr="000E08DB">
                  <w:rPr>
                    <w:webHidden/>
                  </w:rPr>
                  <w:t>27</w:t>
                </w:r>
                <w:r w:rsidRPr="000E08DB">
                  <w:rPr>
                    <w:webHidden/>
                  </w:rPr>
                  <w:fldChar w:fldCharType="end"/>
                </w:r>
              </w:hyperlink>
            </w:p>
            <w:p w14:paraId="08E9F347" w14:textId="0D3BAD73" w:rsidR="000578EA" w:rsidRPr="000E08DB" w:rsidRDefault="000578EA">
              <w:pPr>
                <w:pStyle w:val="TOC2"/>
                <w:rPr>
                  <w:rFonts w:eastAsiaTheme="minorEastAsia"/>
                  <w:kern w:val="2"/>
                  <w:sz w:val="24"/>
                  <w:szCs w:val="24"/>
                  <w:lang w:eastAsia="en-AU"/>
                  <w14:ligatures w14:val="standardContextual"/>
                </w:rPr>
              </w:pPr>
              <w:hyperlink w:anchor="_Toc207627816" w:history="1">
                <w:r w:rsidRPr="000E08DB">
                  <w:rPr>
                    <w:rStyle w:val="Hyperlink"/>
                  </w:rPr>
                  <w:t>Recommendation 27</w:t>
                </w:r>
                <w:r w:rsidRPr="000E08DB">
                  <w:rPr>
                    <w:webHidden/>
                  </w:rPr>
                  <w:tab/>
                </w:r>
                <w:r w:rsidRPr="000E08DB">
                  <w:rPr>
                    <w:webHidden/>
                  </w:rPr>
                  <w:fldChar w:fldCharType="begin"/>
                </w:r>
                <w:r w:rsidRPr="000E08DB">
                  <w:rPr>
                    <w:webHidden/>
                  </w:rPr>
                  <w:instrText xml:space="preserve"> PAGEREF _Toc207627816 \h </w:instrText>
                </w:r>
                <w:r w:rsidRPr="000E08DB">
                  <w:rPr>
                    <w:webHidden/>
                  </w:rPr>
                </w:r>
                <w:r w:rsidRPr="000E08DB">
                  <w:rPr>
                    <w:webHidden/>
                  </w:rPr>
                  <w:fldChar w:fldCharType="separate"/>
                </w:r>
                <w:r w:rsidR="00C854F3" w:rsidRPr="000E08DB">
                  <w:rPr>
                    <w:webHidden/>
                  </w:rPr>
                  <w:t>28</w:t>
                </w:r>
                <w:r w:rsidRPr="000E08DB">
                  <w:rPr>
                    <w:webHidden/>
                  </w:rPr>
                  <w:fldChar w:fldCharType="end"/>
                </w:r>
              </w:hyperlink>
            </w:p>
            <w:p w14:paraId="12269C2D" w14:textId="69DF2FFC" w:rsidR="000578EA" w:rsidRPr="000E08DB" w:rsidRDefault="000578EA">
              <w:pPr>
                <w:pStyle w:val="TOC2"/>
                <w:rPr>
                  <w:rFonts w:eastAsiaTheme="minorEastAsia"/>
                  <w:kern w:val="2"/>
                  <w:sz w:val="24"/>
                  <w:szCs w:val="24"/>
                  <w:lang w:eastAsia="en-AU"/>
                  <w14:ligatures w14:val="standardContextual"/>
                </w:rPr>
              </w:pPr>
              <w:hyperlink w:anchor="_Toc207627817" w:history="1">
                <w:r w:rsidRPr="000E08DB">
                  <w:rPr>
                    <w:rStyle w:val="Hyperlink"/>
                  </w:rPr>
                  <w:t>Recommendation 28</w:t>
                </w:r>
                <w:r w:rsidRPr="000E08DB">
                  <w:rPr>
                    <w:webHidden/>
                  </w:rPr>
                  <w:tab/>
                </w:r>
                <w:r w:rsidRPr="000E08DB">
                  <w:rPr>
                    <w:webHidden/>
                  </w:rPr>
                  <w:fldChar w:fldCharType="begin"/>
                </w:r>
                <w:r w:rsidRPr="000E08DB">
                  <w:rPr>
                    <w:webHidden/>
                  </w:rPr>
                  <w:instrText xml:space="preserve"> PAGEREF _Toc207627817 \h </w:instrText>
                </w:r>
                <w:r w:rsidRPr="000E08DB">
                  <w:rPr>
                    <w:webHidden/>
                  </w:rPr>
                </w:r>
                <w:r w:rsidRPr="000E08DB">
                  <w:rPr>
                    <w:webHidden/>
                  </w:rPr>
                  <w:fldChar w:fldCharType="separate"/>
                </w:r>
                <w:r w:rsidR="00C854F3" w:rsidRPr="000E08DB">
                  <w:rPr>
                    <w:webHidden/>
                  </w:rPr>
                  <w:t>29</w:t>
                </w:r>
                <w:r w:rsidRPr="000E08DB">
                  <w:rPr>
                    <w:webHidden/>
                  </w:rPr>
                  <w:fldChar w:fldCharType="end"/>
                </w:r>
              </w:hyperlink>
            </w:p>
            <w:p w14:paraId="6E42125B" w14:textId="79A41623" w:rsidR="000578EA" w:rsidRPr="000E08DB" w:rsidRDefault="000578EA">
              <w:pPr>
                <w:pStyle w:val="TOC2"/>
                <w:rPr>
                  <w:rFonts w:eastAsiaTheme="minorEastAsia"/>
                  <w:kern w:val="2"/>
                  <w:sz w:val="24"/>
                  <w:szCs w:val="24"/>
                  <w:lang w:eastAsia="en-AU"/>
                  <w14:ligatures w14:val="standardContextual"/>
                </w:rPr>
              </w:pPr>
              <w:hyperlink w:anchor="_Toc207627818" w:history="1">
                <w:r w:rsidRPr="000E08DB">
                  <w:rPr>
                    <w:rStyle w:val="Hyperlink"/>
                  </w:rPr>
                  <w:t>Recommendation 29</w:t>
                </w:r>
                <w:r w:rsidRPr="000E08DB">
                  <w:rPr>
                    <w:webHidden/>
                  </w:rPr>
                  <w:tab/>
                </w:r>
                <w:r w:rsidRPr="000E08DB">
                  <w:rPr>
                    <w:webHidden/>
                  </w:rPr>
                  <w:fldChar w:fldCharType="begin"/>
                </w:r>
                <w:r w:rsidRPr="000E08DB">
                  <w:rPr>
                    <w:webHidden/>
                  </w:rPr>
                  <w:instrText xml:space="preserve"> PAGEREF _Toc207627818 \h </w:instrText>
                </w:r>
                <w:r w:rsidRPr="000E08DB">
                  <w:rPr>
                    <w:webHidden/>
                  </w:rPr>
                </w:r>
                <w:r w:rsidRPr="000E08DB">
                  <w:rPr>
                    <w:webHidden/>
                  </w:rPr>
                  <w:fldChar w:fldCharType="separate"/>
                </w:r>
                <w:r w:rsidR="00C854F3" w:rsidRPr="000E08DB">
                  <w:rPr>
                    <w:webHidden/>
                  </w:rPr>
                  <w:t>29</w:t>
                </w:r>
                <w:r w:rsidRPr="000E08DB">
                  <w:rPr>
                    <w:webHidden/>
                  </w:rPr>
                  <w:fldChar w:fldCharType="end"/>
                </w:r>
              </w:hyperlink>
            </w:p>
            <w:p w14:paraId="5695B98D" w14:textId="7CB37690" w:rsidR="00881A50" w:rsidRPr="000E08DB" w:rsidRDefault="00881A50" w:rsidP="00881A50">
              <w:pPr>
                <w:pStyle w:val="TOC2"/>
                <w:tabs>
                  <w:tab w:val="clear" w:pos="9016"/>
                  <w:tab w:val="right" w:leader="dot" w:pos="9015"/>
                </w:tabs>
                <w:rPr>
                  <w:rStyle w:val="Hyperlink"/>
                  <w:kern w:val="2"/>
                  <w:lang w:eastAsia="en-AU"/>
                  <w14:ligatures w14:val="standardContextual"/>
                </w:rPr>
              </w:pPr>
              <w:r w:rsidRPr="000E08DB">
                <w:fldChar w:fldCharType="end"/>
              </w:r>
            </w:p>
            <w:p w14:paraId="48FC4784" w14:textId="77777777" w:rsidR="00881A50" w:rsidRPr="000E08DB" w:rsidRDefault="00F075B7" w:rsidP="00881A50">
              <w:pPr>
                <w:rPr>
                  <w:sz w:val="24"/>
                  <w:szCs w:val="24"/>
                </w:rPr>
              </w:pPr>
            </w:p>
          </w:sdtContent>
        </w:sdt>
        <w:p w14:paraId="53599137" w14:textId="77777777" w:rsidR="00881A50" w:rsidRPr="000E08DB" w:rsidRDefault="00881A50" w:rsidP="00881A50">
          <w:pPr>
            <w:pStyle w:val="Heading1"/>
            <w:spacing w:after="240"/>
            <w:jc w:val="both"/>
            <w:rPr>
              <w:rFonts w:asciiTheme="minorHAnsi" w:hAnsiTheme="minorHAnsi" w:cstheme="minorBidi"/>
              <w:b/>
              <w:color w:val="auto"/>
              <w:sz w:val="24"/>
              <w:szCs w:val="24"/>
            </w:rPr>
          </w:pPr>
          <w:bookmarkStart w:id="0" w:name="_Toc207627788"/>
          <w:r w:rsidRPr="000E08DB">
            <w:rPr>
              <w:rFonts w:asciiTheme="minorHAnsi" w:hAnsiTheme="minorHAnsi" w:cstheme="minorBidi"/>
              <w:b/>
              <w:color w:val="auto"/>
              <w:sz w:val="24"/>
              <w:szCs w:val="24"/>
            </w:rPr>
            <w:lastRenderedPageBreak/>
            <w:t>Overview</w:t>
          </w:r>
          <w:bookmarkEnd w:id="0"/>
        </w:p>
        <w:p w14:paraId="2E24BB61" w14:textId="77777777" w:rsidR="00881A50" w:rsidRPr="000E08DB" w:rsidRDefault="00881A50" w:rsidP="00881A50">
          <w:pPr>
            <w:spacing w:after="120"/>
            <w:jc w:val="both"/>
            <w:rPr>
              <w:sz w:val="24"/>
              <w:szCs w:val="24"/>
            </w:rPr>
          </w:pPr>
          <w:r w:rsidRPr="000E08DB">
            <w:rPr>
              <w:sz w:val="24"/>
              <w:szCs w:val="24"/>
            </w:rPr>
            <w:t xml:space="preserve">On 20 October 2022 Senator the Hon Don Farrell, Minister for Trade and Tourism, asked the Joint Standing Committee on Foreign Affairs, Defence and Trade (JSCFADT), through its Trade Subcommittee (the Committee), to inquire into Australia’s tourism and international education sectors (the Inquiry). </w:t>
          </w:r>
        </w:p>
        <w:p w14:paraId="52354E41" w14:textId="77777777" w:rsidR="00881A50" w:rsidRPr="000E08DB" w:rsidRDefault="00881A50" w:rsidP="00881A50">
          <w:pPr>
            <w:spacing w:after="120"/>
            <w:jc w:val="both"/>
            <w:rPr>
              <w:sz w:val="24"/>
              <w:szCs w:val="24"/>
            </w:rPr>
          </w:pPr>
          <w:r w:rsidRPr="000E08DB">
            <w:rPr>
              <w:sz w:val="24"/>
              <w:szCs w:val="24"/>
            </w:rPr>
            <w:t xml:space="preserve">The Inquiry explored the challenges and opportunities presented to both sectors since the reopening of Australia’s borders in February 2022. </w:t>
          </w:r>
        </w:p>
        <w:p w14:paraId="62080188" w14:textId="120C5D4F" w:rsidR="00881A50" w:rsidRPr="00D75E09" w:rsidRDefault="00881A50" w:rsidP="00881A50">
          <w:pPr>
            <w:spacing w:after="120"/>
            <w:jc w:val="both"/>
            <w:rPr>
              <w:color w:val="000000" w:themeColor="text1"/>
              <w:sz w:val="24"/>
              <w:szCs w:val="24"/>
            </w:rPr>
          </w:pPr>
          <w:r w:rsidRPr="000E08DB">
            <w:rPr>
              <w:sz w:val="24"/>
              <w:szCs w:val="24"/>
            </w:rPr>
            <w:t>The Term</w:t>
          </w:r>
          <w:r w:rsidR="007259AB" w:rsidRPr="000E08DB">
            <w:rPr>
              <w:sz w:val="24"/>
              <w:szCs w:val="24"/>
            </w:rPr>
            <w:t>s</w:t>
          </w:r>
          <w:r w:rsidRPr="000E08DB">
            <w:rPr>
              <w:sz w:val="24"/>
              <w:szCs w:val="24"/>
            </w:rPr>
            <w:t xml:space="preserve"> of Reference (TOR) for the Inquiry were focussed on capturing the challenges in international education associated with recovery from the COVID-19 pandemic and future opportunities to support innovation, a positive student experience for international students, and strategic and foreign policy objectives. The TOR in full is available on </w:t>
          </w:r>
          <w:r w:rsidRPr="00D75E09">
            <w:rPr>
              <w:color w:val="000000" w:themeColor="text1"/>
              <w:sz w:val="24"/>
              <w:szCs w:val="24"/>
            </w:rPr>
            <w:t xml:space="preserve">the </w:t>
          </w:r>
          <w:hyperlink r:id="rId12" w:history="1">
            <w:r w:rsidRPr="00D75E09">
              <w:rPr>
                <w:rStyle w:val="Hyperlink"/>
                <w:color w:val="000000" w:themeColor="text1"/>
                <w:sz w:val="24"/>
                <w:szCs w:val="24"/>
              </w:rPr>
              <w:t>Inquiry’s home page</w:t>
            </w:r>
          </w:hyperlink>
          <w:r w:rsidR="00D75E09" w:rsidRPr="00D75E09">
            <w:rPr>
              <w:color w:val="000000" w:themeColor="text1"/>
              <w:sz w:val="24"/>
              <w:szCs w:val="24"/>
            </w:rPr>
            <w:t>).</w:t>
          </w:r>
        </w:p>
        <w:p w14:paraId="682FAA27" w14:textId="77777777" w:rsidR="00881A50" w:rsidRPr="000E08DB" w:rsidRDefault="00881A50" w:rsidP="00881A50">
          <w:pPr>
            <w:spacing w:after="120"/>
            <w:jc w:val="both"/>
            <w:rPr>
              <w:sz w:val="24"/>
              <w:szCs w:val="24"/>
            </w:rPr>
          </w:pPr>
          <w:r w:rsidRPr="000E08DB">
            <w:rPr>
              <w:sz w:val="24"/>
              <w:szCs w:val="24"/>
            </w:rPr>
            <w:t>The Committee tabled its interim report on 19 October 2023. The report includes 29 recommendations for the international education sector, addressing issues raised through the hearings. Key themes include education and migration agents, skilled-work pathways, new and expanding markets and market development, regulation and accreditation bodies, data and reporting, transparency, and communication with students. The majority of recommendations focus on the integrity of the sector.</w:t>
          </w:r>
        </w:p>
        <w:p w14:paraId="079F7BA7" w14:textId="77777777" w:rsidR="00881A50" w:rsidRPr="000E08DB" w:rsidRDefault="00881A50" w:rsidP="00881A50">
          <w:pPr>
            <w:pStyle w:val="Heading1"/>
            <w:spacing w:after="240"/>
            <w:jc w:val="both"/>
            <w:rPr>
              <w:rFonts w:asciiTheme="minorHAnsi" w:hAnsiTheme="minorHAnsi" w:cstheme="minorBidi"/>
              <w:b/>
              <w:i/>
              <w:sz w:val="24"/>
              <w:szCs w:val="24"/>
            </w:rPr>
          </w:pPr>
          <w:r w:rsidRPr="000E08DB">
            <w:rPr>
              <w:rFonts w:asciiTheme="minorHAnsi" w:hAnsiTheme="minorHAnsi" w:cstheme="minorBidi"/>
              <w:sz w:val="24"/>
              <w:szCs w:val="24"/>
            </w:rPr>
            <w:br w:type="page"/>
          </w:r>
          <w:bookmarkStart w:id="1" w:name="_Toc207627789"/>
          <w:r w:rsidRPr="000E08DB">
            <w:rPr>
              <w:rFonts w:asciiTheme="minorHAnsi" w:hAnsiTheme="minorHAnsi" w:cstheme="minorBidi"/>
              <w:b/>
              <w:i/>
              <w:color w:val="auto"/>
              <w:sz w:val="24"/>
              <w:szCs w:val="24"/>
            </w:rPr>
            <w:lastRenderedPageBreak/>
            <w:t>Government response</w:t>
          </w:r>
          <w:bookmarkEnd w:id="1"/>
        </w:p>
        <w:p w14:paraId="0C577536" w14:textId="5D5B9A8D" w:rsidR="00881A50" w:rsidRPr="000E08DB" w:rsidRDefault="00881A50" w:rsidP="00881A50">
          <w:pPr>
            <w:jc w:val="both"/>
            <w:rPr>
              <w:sz w:val="24"/>
              <w:szCs w:val="24"/>
            </w:rPr>
          </w:pPr>
          <w:r w:rsidRPr="000E08DB">
            <w:rPr>
              <w:sz w:val="24"/>
              <w:szCs w:val="24"/>
            </w:rPr>
            <w:t xml:space="preserve">The Australian Government welcomes the interim report titled ’Quality and Integrity - the Quest for Sustainable Growth': Interim Report into International Education’. The Government notes the recommendations broadly align with its priorities and recent reforms to strengthen the quality and integrity of the international education sector. </w:t>
          </w:r>
        </w:p>
        <w:p w14:paraId="00707BCC" w14:textId="5780A0AD" w:rsidR="004A43A6" w:rsidRPr="000E08DB" w:rsidRDefault="00881A50" w:rsidP="00881A50">
          <w:pPr>
            <w:jc w:val="both"/>
            <w:rPr>
              <w:sz w:val="24"/>
              <w:szCs w:val="24"/>
            </w:rPr>
          </w:pPr>
          <w:bookmarkStart w:id="2" w:name="_Hlk180668118"/>
          <w:r w:rsidRPr="000E08DB">
            <w:rPr>
              <w:sz w:val="24"/>
              <w:szCs w:val="24"/>
            </w:rPr>
            <w:t xml:space="preserve">International education is </w:t>
          </w:r>
          <w:r w:rsidR="005E713D" w:rsidRPr="000E08DB">
            <w:rPr>
              <w:sz w:val="24"/>
              <w:szCs w:val="24"/>
            </w:rPr>
            <w:t xml:space="preserve">a great </w:t>
          </w:r>
          <w:r w:rsidRPr="000E08DB">
            <w:rPr>
              <w:sz w:val="24"/>
              <w:szCs w:val="24"/>
            </w:rPr>
            <w:t>Australia</w:t>
          </w:r>
          <w:r w:rsidR="005E713D" w:rsidRPr="000E08DB">
            <w:rPr>
              <w:sz w:val="24"/>
              <w:szCs w:val="24"/>
            </w:rPr>
            <w:t xml:space="preserve">n success story. It is </w:t>
          </w:r>
          <w:r w:rsidR="003D50BC" w:rsidRPr="000E08DB">
            <w:rPr>
              <w:sz w:val="24"/>
              <w:szCs w:val="24"/>
            </w:rPr>
            <w:t>Australia’s</w:t>
          </w:r>
          <w:r w:rsidRPr="000E08DB">
            <w:rPr>
              <w:sz w:val="24"/>
              <w:szCs w:val="24"/>
            </w:rPr>
            <w:t xml:space="preserve"> fourth </w:t>
          </w:r>
          <w:r w:rsidR="003D50BC" w:rsidRPr="000E08DB">
            <w:rPr>
              <w:sz w:val="24"/>
              <w:szCs w:val="24"/>
            </w:rPr>
            <w:t>largest export sector</w:t>
          </w:r>
          <w:r w:rsidRPr="000E08DB">
            <w:rPr>
              <w:sz w:val="24"/>
              <w:szCs w:val="24"/>
            </w:rPr>
            <w:t>, behind coal, iron ore and natural gas</w:t>
          </w:r>
          <w:r w:rsidRPr="000E08DB">
            <w:rPr>
              <w:rStyle w:val="FootnoteReference"/>
              <w:sz w:val="24"/>
              <w:szCs w:val="24"/>
            </w:rPr>
            <w:footnoteReference w:id="2"/>
          </w:r>
          <w:r w:rsidRPr="000E08DB">
            <w:rPr>
              <w:sz w:val="24"/>
              <w:szCs w:val="24"/>
            </w:rPr>
            <w:t xml:space="preserve">. </w:t>
          </w:r>
          <w:r w:rsidR="008E5BB3" w:rsidRPr="000E08DB">
            <w:rPr>
              <w:sz w:val="24"/>
              <w:szCs w:val="24"/>
            </w:rPr>
            <w:t>International students</w:t>
          </w:r>
          <w:r w:rsidRPr="000E08DB">
            <w:rPr>
              <w:sz w:val="24"/>
              <w:szCs w:val="24"/>
            </w:rPr>
            <w:t xml:space="preserve"> bring significant </w:t>
          </w:r>
          <w:r w:rsidR="005D2C36" w:rsidRPr="000E08DB">
            <w:rPr>
              <w:sz w:val="24"/>
              <w:szCs w:val="24"/>
            </w:rPr>
            <w:t xml:space="preserve">value to </w:t>
          </w:r>
          <w:r w:rsidR="00515D06" w:rsidRPr="000E08DB">
            <w:rPr>
              <w:sz w:val="24"/>
              <w:szCs w:val="24"/>
            </w:rPr>
            <w:t>our communities, classrooms and campuses</w:t>
          </w:r>
          <w:bookmarkEnd w:id="2"/>
          <w:r w:rsidRPr="000E08DB">
            <w:rPr>
              <w:sz w:val="24"/>
              <w:szCs w:val="24"/>
            </w:rPr>
            <w:t xml:space="preserve">. Our international education system must have the right settings to provide the highest quality experience for all students and maintain Australia’s world-class reputation for delivering education. </w:t>
          </w:r>
        </w:p>
        <w:p w14:paraId="10A6F3F1" w14:textId="0B3E71AE" w:rsidR="00301BF9" w:rsidRPr="000E08DB" w:rsidDel="0060693A" w:rsidRDefault="00881A50" w:rsidP="00881A50">
          <w:pPr>
            <w:jc w:val="both"/>
            <w:rPr>
              <w:sz w:val="24"/>
              <w:szCs w:val="24"/>
            </w:rPr>
          </w:pPr>
          <w:r w:rsidRPr="000E08DB">
            <w:rPr>
              <w:sz w:val="24"/>
              <w:szCs w:val="24"/>
            </w:rPr>
            <w:t xml:space="preserve">The Australian Government released the Draft International Education and Skills Strategic Framework (draft Framework) on 11 May 2024. </w:t>
          </w:r>
          <w:r w:rsidR="004E449F" w:rsidRPr="000E08DB">
            <w:rPr>
              <w:sz w:val="24"/>
              <w:szCs w:val="24"/>
            </w:rPr>
            <w:t xml:space="preserve">Under the draft Framework, </w:t>
          </w:r>
          <w:r w:rsidR="00F22819" w:rsidRPr="000E08DB">
            <w:rPr>
              <w:sz w:val="24"/>
              <w:szCs w:val="24"/>
            </w:rPr>
            <w:t xml:space="preserve">the </w:t>
          </w:r>
          <w:r w:rsidR="004E449F" w:rsidRPr="000E08DB">
            <w:rPr>
              <w:sz w:val="24"/>
              <w:szCs w:val="24"/>
            </w:rPr>
            <w:t xml:space="preserve">Government committed to implementing a </w:t>
          </w:r>
          <w:r w:rsidR="00E05E6D" w:rsidRPr="000E08DB">
            <w:rPr>
              <w:sz w:val="24"/>
              <w:szCs w:val="24"/>
            </w:rPr>
            <w:t>managed system for</w:t>
          </w:r>
          <w:r w:rsidR="004E449F" w:rsidRPr="000E08DB">
            <w:rPr>
              <w:sz w:val="24"/>
              <w:szCs w:val="24"/>
            </w:rPr>
            <w:t xml:space="preserve"> international </w:t>
          </w:r>
          <w:r w:rsidR="00E05E6D" w:rsidRPr="000E08DB">
            <w:rPr>
              <w:sz w:val="24"/>
              <w:szCs w:val="24"/>
            </w:rPr>
            <w:t>education,</w:t>
          </w:r>
          <w:r w:rsidR="004E449F" w:rsidRPr="000E08DB">
            <w:rPr>
              <w:sz w:val="24"/>
              <w:szCs w:val="24"/>
            </w:rPr>
            <w:t xml:space="preserve"> </w:t>
          </w:r>
          <w:r w:rsidR="004A43A6" w:rsidRPr="000E08DB">
            <w:rPr>
              <w:sz w:val="24"/>
              <w:szCs w:val="24"/>
            </w:rPr>
            <w:t>to</w:t>
          </w:r>
          <w:r w:rsidR="009E063D" w:rsidRPr="000E08DB">
            <w:rPr>
              <w:sz w:val="24"/>
              <w:szCs w:val="24"/>
            </w:rPr>
            <w:t xml:space="preserve"> support sustainable growth and</w:t>
          </w:r>
          <w:r w:rsidR="004A43A6" w:rsidRPr="000E08DB">
            <w:rPr>
              <w:sz w:val="24"/>
              <w:szCs w:val="24"/>
            </w:rPr>
            <w:t xml:space="preserve"> ensure that Australia remains a prestige, high-quality, high-integrity provider of international education</w:t>
          </w:r>
          <w:r w:rsidR="00E13C08" w:rsidRPr="000E08DB">
            <w:rPr>
              <w:sz w:val="24"/>
              <w:szCs w:val="24"/>
            </w:rPr>
            <w:t>.</w:t>
          </w:r>
          <w:r w:rsidR="004A43A6" w:rsidRPr="000E08DB">
            <w:rPr>
              <w:sz w:val="24"/>
              <w:szCs w:val="24"/>
            </w:rPr>
            <w:t xml:space="preserve"> Government remains committed to finalising the Framework in cooperation with the international education sector.</w:t>
          </w:r>
        </w:p>
        <w:p w14:paraId="34ED8EF4" w14:textId="0FB3D625" w:rsidR="006D797C" w:rsidRPr="000E08DB" w:rsidRDefault="006D797C" w:rsidP="006D797C">
          <w:pPr>
            <w:jc w:val="both"/>
            <w:rPr>
              <w:sz w:val="24"/>
              <w:szCs w:val="24"/>
            </w:rPr>
          </w:pPr>
          <w:r w:rsidRPr="000E08DB">
            <w:rPr>
              <w:sz w:val="24"/>
              <w:szCs w:val="24"/>
            </w:rPr>
            <w:t>On 18 December 2024</w:t>
          </w:r>
          <w:r w:rsidR="000E08DB">
            <w:rPr>
              <w:sz w:val="24"/>
              <w:szCs w:val="24"/>
            </w:rPr>
            <w:t>,</w:t>
          </w:r>
          <w:r w:rsidRPr="000E08DB">
            <w:rPr>
              <w:sz w:val="24"/>
              <w:szCs w:val="24"/>
            </w:rPr>
            <w:t xml:space="preserve"> the Government introduced </w:t>
          </w:r>
          <w:r w:rsidRPr="000E08DB">
            <w:rPr>
              <w:i/>
              <w:iCs/>
              <w:sz w:val="24"/>
              <w:szCs w:val="24"/>
            </w:rPr>
            <w:t>Ministerial Direction 111 (MD111)– Order for considering and disposing of offshore Subclass 500 (Student) visa applications</w:t>
          </w:r>
          <w:r w:rsidRPr="000E08DB">
            <w:rPr>
              <w:sz w:val="24"/>
              <w:szCs w:val="24"/>
            </w:rPr>
            <w:t xml:space="preserve">. MD111 supported a more sustainable international education sector through changes to the prioritisation of resources for student visa processing under the 2025 National Planning level (NPL) of 270,000 New Overseas Student Commencements (NOSCs). </w:t>
          </w:r>
        </w:p>
        <w:p w14:paraId="1891EFD9" w14:textId="012AFA60" w:rsidR="006D797C" w:rsidRPr="000E08DB" w:rsidRDefault="006D797C" w:rsidP="006D797C">
          <w:pPr>
            <w:jc w:val="both"/>
            <w:rPr>
              <w:sz w:val="24"/>
              <w:szCs w:val="24"/>
            </w:rPr>
          </w:pPr>
          <w:r w:rsidRPr="000E08DB">
            <w:rPr>
              <w:sz w:val="24"/>
              <w:szCs w:val="24"/>
            </w:rPr>
            <w:t>On 14 November 2025</w:t>
          </w:r>
          <w:r w:rsidR="000E08DB">
            <w:rPr>
              <w:sz w:val="24"/>
              <w:szCs w:val="24"/>
            </w:rPr>
            <w:t>,</w:t>
          </w:r>
          <w:r w:rsidRPr="000E08DB">
            <w:rPr>
              <w:sz w:val="24"/>
              <w:szCs w:val="24"/>
            </w:rPr>
            <w:t xml:space="preserve"> MD111 was replaced with </w:t>
          </w:r>
          <w:r w:rsidRPr="000E08DB">
            <w:rPr>
              <w:i/>
              <w:iCs/>
              <w:sz w:val="24"/>
              <w:szCs w:val="24"/>
            </w:rPr>
            <w:t>Ministerial Direction 115 (MD115) – Order for considering and disposing of offshore Subclass 500 (Student) visa applications</w:t>
          </w:r>
          <w:r w:rsidRPr="000E08DB">
            <w:rPr>
              <w:sz w:val="24"/>
              <w:szCs w:val="24"/>
            </w:rPr>
            <w:t xml:space="preserve"> to guide student visa processing priorities for 2026, in line with indicative NOSC allocations. </w:t>
          </w:r>
        </w:p>
        <w:p w14:paraId="1F4B7F21" w14:textId="68D3D970" w:rsidR="00D16F1F" w:rsidRPr="000E08DB" w:rsidRDefault="0090004B" w:rsidP="00881A50">
          <w:pPr>
            <w:jc w:val="both"/>
            <w:rPr>
              <w:sz w:val="24"/>
              <w:szCs w:val="24"/>
            </w:rPr>
          </w:pPr>
          <w:r w:rsidRPr="000E08DB">
            <w:rPr>
              <w:sz w:val="24"/>
              <w:szCs w:val="24"/>
            </w:rPr>
            <w:t xml:space="preserve">The Hon Julian Hill MP was appointed as Assistant Minister for International Education in </w:t>
          </w:r>
          <w:r w:rsidR="000D33F0" w:rsidRPr="000E08DB">
            <w:rPr>
              <w:sz w:val="24"/>
              <w:szCs w:val="24"/>
            </w:rPr>
            <w:t>May </w:t>
          </w:r>
          <w:r w:rsidRPr="000E08DB">
            <w:rPr>
              <w:sz w:val="24"/>
              <w:szCs w:val="24"/>
            </w:rPr>
            <w:t xml:space="preserve">2025, </w:t>
          </w:r>
          <w:r w:rsidR="00CD285D" w:rsidRPr="000E08DB">
            <w:rPr>
              <w:sz w:val="24"/>
              <w:szCs w:val="24"/>
            </w:rPr>
            <w:t>in recognition of the importan</w:t>
          </w:r>
          <w:r w:rsidR="00431BF4" w:rsidRPr="000E08DB">
            <w:rPr>
              <w:sz w:val="24"/>
              <w:szCs w:val="24"/>
            </w:rPr>
            <w:t>t</w:t>
          </w:r>
          <w:r w:rsidR="00CD285D" w:rsidRPr="000E08DB">
            <w:rPr>
              <w:sz w:val="24"/>
              <w:szCs w:val="24"/>
            </w:rPr>
            <w:t xml:space="preserve"> role international education plays for Australia</w:t>
          </w:r>
          <w:r w:rsidRPr="000E08DB">
            <w:rPr>
              <w:sz w:val="24"/>
              <w:szCs w:val="24"/>
            </w:rPr>
            <w:t xml:space="preserve">. </w:t>
          </w:r>
          <w:r w:rsidR="000D33F0" w:rsidRPr="000E08DB">
            <w:rPr>
              <w:sz w:val="24"/>
              <w:szCs w:val="24"/>
            </w:rPr>
            <w:t>In </w:t>
          </w:r>
          <w:r w:rsidR="0081651F" w:rsidRPr="000E08DB">
            <w:rPr>
              <w:sz w:val="24"/>
              <w:szCs w:val="24"/>
            </w:rPr>
            <w:t>August 2025</w:t>
          </w:r>
          <w:r w:rsidR="000E08DB">
            <w:rPr>
              <w:sz w:val="24"/>
              <w:szCs w:val="24"/>
            </w:rPr>
            <w:t>,</w:t>
          </w:r>
          <w:r w:rsidR="0081651F" w:rsidRPr="000E08DB">
            <w:rPr>
              <w:sz w:val="24"/>
              <w:szCs w:val="24"/>
            </w:rPr>
            <w:t xml:space="preserve"> Government announced policy settings for </w:t>
          </w:r>
          <w:r w:rsidR="00A27676" w:rsidRPr="000E08DB">
            <w:rPr>
              <w:sz w:val="24"/>
              <w:szCs w:val="24"/>
            </w:rPr>
            <w:t xml:space="preserve">a </w:t>
          </w:r>
          <w:r w:rsidR="0081651F" w:rsidRPr="000E08DB">
            <w:rPr>
              <w:sz w:val="24"/>
              <w:szCs w:val="24"/>
            </w:rPr>
            <w:t>managed international educatio</w:t>
          </w:r>
          <w:r w:rsidR="00741E73" w:rsidRPr="000E08DB">
            <w:rPr>
              <w:sz w:val="24"/>
              <w:szCs w:val="24"/>
            </w:rPr>
            <w:t>n</w:t>
          </w:r>
          <w:r w:rsidR="00A27676" w:rsidRPr="000E08DB">
            <w:rPr>
              <w:sz w:val="24"/>
              <w:szCs w:val="24"/>
            </w:rPr>
            <w:t xml:space="preserve"> system</w:t>
          </w:r>
          <w:r w:rsidR="00741E73" w:rsidRPr="000E08DB">
            <w:rPr>
              <w:sz w:val="24"/>
              <w:szCs w:val="24"/>
            </w:rPr>
            <w:t xml:space="preserve">, </w:t>
          </w:r>
          <w:r w:rsidR="00A27676" w:rsidRPr="000E08DB">
            <w:rPr>
              <w:sz w:val="24"/>
              <w:szCs w:val="24"/>
            </w:rPr>
            <w:t xml:space="preserve">underpinned by </w:t>
          </w:r>
          <w:r w:rsidR="00741E73" w:rsidRPr="000E08DB">
            <w:rPr>
              <w:sz w:val="24"/>
              <w:szCs w:val="24"/>
            </w:rPr>
            <w:t xml:space="preserve">an NPL of 295,000 </w:t>
          </w:r>
          <w:r w:rsidR="0027021A" w:rsidRPr="000E08DB">
            <w:rPr>
              <w:sz w:val="24"/>
              <w:szCs w:val="24"/>
            </w:rPr>
            <w:t xml:space="preserve">NOSCs </w:t>
          </w:r>
          <w:r w:rsidR="00741E73" w:rsidRPr="000E08DB">
            <w:rPr>
              <w:sz w:val="24"/>
              <w:szCs w:val="24"/>
            </w:rPr>
            <w:t>for 2026</w:t>
          </w:r>
          <w:r w:rsidR="00DC24EE" w:rsidRPr="000E08DB">
            <w:rPr>
              <w:sz w:val="24"/>
              <w:szCs w:val="24"/>
            </w:rPr>
            <w:t xml:space="preserve"> and incentives for </w:t>
          </w:r>
          <w:r w:rsidR="0027021A" w:rsidRPr="000E08DB">
            <w:rPr>
              <w:sz w:val="24"/>
              <w:szCs w:val="24"/>
            </w:rPr>
            <w:t>providers who make</w:t>
          </w:r>
          <w:r w:rsidR="00AB0CAC" w:rsidRPr="000E08DB">
            <w:rPr>
              <w:sz w:val="24"/>
              <w:szCs w:val="24"/>
            </w:rPr>
            <w:t xml:space="preserve"> a</w:t>
          </w:r>
          <w:r w:rsidR="0027021A" w:rsidRPr="000E08DB">
            <w:rPr>
              <w:sz w:val="24"/>
              <w:szCs w:val="24"/>
            </w:rPr>
            <w:t xml:space="preserve"> genuine effort to</w:t>
          </w:r>
          <w:r w:rsidR="009E30FA" w:rsidRPr="000E08DB">
            <w:rPr>
              <w:sz w:val="24"/>
              <w:szCs w:val="24"/>
            </w:rPr>
            <w:t>ward greater</w:t>
          </w:r>
          <w:r w:rsidR="0027021A" w:rsidRPr="000E08DB">
            <w:rPr>
              <w:sz w:val="24"/>
              <w:szCs w:val="24"/>
            </w:rPr>
            <w:t xml:space="preserve"> </w:t>
          </w:r>
          <w:r w:rsidR="00DC24EE" w:rsidRPr="000E08DB">
            <w:rPr>
              <w:sz w:val="24"/>
              <w:szCs w:val="24"/>
            </w:rPr>
            <w:t xml:space="preserve">diversification </w:t>
          </w:r>
          <w:r w:rsidR="00701EC0" w:rsidRPr="000E08DB">
            <w:rPr>
              <w:sz w:val="24"/>
              <w:szCs w:val="24"/>
            </w:rPr>
            <w:t xml:space="preserve">and </w:t>
          </w:r>
          <w:r w:rsidR="0027021A" w:rsidRPr="000E08DB">
            <w:rPr>
              <w:sz w:val="24"/>
              <w:szCs w:val="24"/>
            </w:rPr>
            <w:t>improve</w:t>
          </w:r>
          <w:r w:rsidR="009E30FA" w:rsidRPr="000E08DB">
            <w:rPr>
              <w:sz w:val="24"/>
              <w:szCs w:val="24"/>
            </w:rPr>
            <w:t>d</w:t>
          </w:r>
          <w:r w:rsidR="0027021A" w:rsidRPr="000E08DB">
            <w:rPr>
              <w:sz w:val="24"/>
              <w:szCs w:val="24"/>
            </w:rPr>
            <w:t xml:space="preserve"> </w:t>
          </w:r>
          <w:r w:rsidR="00701EC0" w:rsidRPr="000E08DB">
            <w:rPr>
              <w:sz w:val="24"/>
              <w:szCs w:val="24"/>
            </w:rPr>
            <w:t xml:space="preserve">student wellbeing, including through the provision of adequate student accommodation. </w:t>
          </w:r>
        </w:p>
        <w:p w14:paraId="39F64D2D" w14:textId="1E52D7F4" w:rsidR="00CE36B5" w:rsidRPr="000E08DB" w:rsidRDefault="0001740D" w:rsidP="00881A50">
          <w:pPr>
            <w:jc w:val="both"/>
            <w:rPr>
              <w:sz w:val="24"/>
              <w:szCs w:val="24"/>
            </w:rPr>
          </w:pPr>
          <w:r w:rsidRPr="000E08DB">
            <w:rPr>
              <w:sz w:val="24"/>
              <w:szCs w:val="24"/>
            </w:rPr>
            <w:t xml:space="preserve">In </w:t>
          </w:r>
          <w:r w:rsidR="00BD11CD" w:rsidRPr="000E08DB">
            <w:rPr>
              <w:sz w:val="24"/>
              <w:szCs w:val="24"/>
            </w:rPr>
            <w:t>November</w:t>
          </w:r>
          <w:r w:rsidRPr="000E08DB">
            <w:rPr>
              <w:sz w:val="24"/>
              <w:szCs w:val="24"/>
            </w:rPr>
            <w:t xml:space="preserve"> 2025</w:t>
          </w:r>
          <w:r w:rsidR="000E08DB">
            <w:rPr>
              <w:sz w:val="24"/>
              <w:szCs w:val="24"/>
            </w:rPr>
            <w:t>,</w:t>
          </w:r>
          <w:r w:rsidRPr="000E08DB">
            <w:rPr>
              <w:sz w:val="24"/>
              <w:szCs w:val="24"/>
            </w:rPr>
            <w:t xml:space="preserve"> the Education Legislation Amendment (Integrity and Other Measures) </w:t>
          </w:r>
          <w:r w:rsidR="002F7B76" w:rsidRPr="000E08DB">
            <w:rPr>
              <w:sz w:val="24"/>
              <w:szCs w:val="24"/>
            </w:rPr>
            <w:t>Bill</w:t>
          </w:r>
          <w:r w:rsidRPr="000E08DB">
            <w:rPr>
              <w:sz w:val="24"/>
              <w:szCs w:val="24"/>
            </w:rPr>
            <w:t xml:space="preserve"> 2025 </w:t>
          </w:r>
          <w:r w:rsidR="000828BB" w:rsidRPr="000E08DB">
            <w:rPr>
              <w:sz w:val="24"/>
              <w:szCs w:val="24"/>
            </w:rPr>
            <w:t xml:space="preserve">(the </w:t>
          </w:r>
          <w:r w:rsidR="000A4AF5" w:rsidRPr="000E08DB">
            <w:rPr>
              <w:sz w:val="24"/>
              <w:szCs w:val="24"/>
            </w:rPr>
            <w:t>ELA</w:t>
          </w:r>
          <w:r w:rsidR="000828BB" w:rsidRPr="000E08DB">
            <w:rPr>
              <w:sz w:val="24"/>
              <w:szCs w:val="24"/>
            </w:rPr>
            <w:t xml:space="preserve"> </w:t>
          </w:r>
          <w:r w:rsidR="002F7B76" w:rsidRPr="000E08DB">
            <w:rPr>
              <w:sz w:val="24"/>
              <w:szCs w:val="24"/>
            </w:rPr>
            <w:t>Bill</w:t>
          </w:r>
          <w:r w:rsidR="000828BB" w:rsidRPr="000E08DB">
            <w:rPr>
              <w:sz w:val="24"/>
              <w:szCs w:val="24"/>
            </w:rPr>
            <w:t>)</w:t>
          </w:r>
          <w:r w:rsidRPr="000E08DB">
            <w:rPr>
              <w:sz w:val="24"/>
              <w:szCs w:val="24"/>
            </w:rPr>
            <w:t xml:space="preserve"> </w:t>
          </w:r>
          <w:r w:rsidR="00BD11CD" w:rsidRPr="000E08DB">
            <w:rPr>
              <w:sz w:val="24"/>
              <w:szCs w:val="24"/>
            </w:rPr>
            <w:t>was passed by</w:t>
          </w:r>
          <w:r w:rsidRPr="000E08DB">
            <w:rPr>
              <w:sz w:val="24"/>
              <w:szCs w:val="24"/>
            </w:rPr>
            <w:t xml:space="preserve"> Parliament, improving protection for genuine international students who have chosen to study in Australia and securing the sector’s reputation both domestically and overseas</w:t>
          </w:r>
          <w:r w:rsidR="005B28D1" w:rsidRPr="000E08DB">
            <w:rPr>
              <w:sz w:val="24"/>
              <w:szCs w:val="24"/>
            </w:rPr>
            <w:t>.</w:t>
          </w:r>
          <w:r w:rsidR="004C0F56" w:rsidRPr="000E08DB">
            <w:rPr>
              <w:sz w:val="24"/>
              <w:szCs w:val="24"/>
            </w:rPr>
            <w:t xml:space="preserve"> </w:t>
          </w:r>
          <w:r w:rsidR="00E50759" w:rsidRPr="000E08DB">
            <w:rPr>
              <w:sz w:val="24"/>
              <w:szCs w:val="24"/>
            </w:rPr>
            <w:t xml:space="preserve">The </w:t>
          </w:r>
          <w:r w:rsidR="002F7B76" w:rsidRPr="000E08DB">
            <w:rPr>
              <w:sz w:val="24"/>
              <w:szCs w:val="24"/>
            </w:rPr>
            <w:t>ELA Bill</w:t>
          </w:r>
          <w:r w:rsidR="00E50759" w:rsidRPr="000E08DB">
            <w:rPr>
              <w:sz w:val="24"/>
              <w:szCs w:val="24"/>
            </w:rPr>
            <w:t xml:space="preserve"> </w:t>
          </w:r>
          <w:r w:rsidR="004C0F56" w:rsidRPr="000E08DB">
            <w:rPr>
              <w:sz w:val="24"/>
              <w:szCs w:val="24"/>
            </w:rPr>
            <w:t>reintroduce</w:t>
          </w:r>
          <w:r w:rsidR="001673FC" w:rsidRPr="000E08DB">
            <w:rPr>
              <w:sz w:val="24"/>
              <w:szCs w:val="24"/>
            </w:rPr>
            <w:t>d</w:t>
          </w:r>
          <w:r w:rsidR="004C0F56" w:rsidRPr="000E08DB">
            <w:rPr>
              <w:sz w:val="24"/>
              <w:szCs w:val="24"/>
            </w:rPr>
            <w:t xml:space="preserve"> </w:t>
          </w:r>
          <w:r w:rsidR="00BD24E9" w:rsidRPr="000E08DB">
            <w:rPr>
              <w:sz w:val="24"/>
              <w:szCs w:val="24"/>
            </w:rPr>
            <w:t>integrity</w:t>
          </w:r>
          <w:r w:rsidR="004C0F56" w:rsidRPr="000E08DB">
            <w:rPr>
              <w:sz w:val="24"/>
              <w:szCs w:val="24"/>
            </w:rPr>
            <w:t xml:space="preserve"> </w:t>
          </w:r>
          <w:r w:rsidR="007470E4" w:rsidRPr="000E08DB">
            <w:rPr>
              <w:sz w:val="24"/>
              <w:szCs w:val="24"/>
            </w:rPr>
            <w:t xml:space="preserve">amendments </w:t>
          </w:r>
          <w:r w:rsidR="00DD7D80" w:rsidRPr="000E08DB">
            <w:rPr>
              <w:sz w:val="24"/>
              <w:szCs w:val="24"/>
            </w:rPr>
            <w:t>from</w:t>
          </w:r>
          <w:r w:rsidR="007470E4" w:rsidRPr="000E08DB">
            <w:rPr>
              <w:sz w:val="24"/>
              <w:szCs w:val="24"/>
            </w:rPr>
            <w:t xml:space="preserve"> the Government’s lapsed Education Services for Overseas Students Amendment (Quality and Integrity) Bill 2024</w:t>
          </w:r>
          <w:r w:rsidR="000C69EA" w:rsidRPr="000E08DB">
            <w:rPr>
              <w:sz w:val="24"/>
              <w:szCs w:val="24"/>
            </w:rPr>
            <w:t>. It also introduce</w:t>
          </w:r>
          <w:r w:rsidR="001673FC" w:rsidRPr="000E08DB">
            <w:rPr>
              <w:sz w:val="24"/>
              <w:szCs w:val="24"/>
            </w:rPr>
            <w:t>d</w:t>
          </w:r>
          <w:r w:rsidR="00B96DD8" w:rsidRPr="000E08DB">
            <w:rPr>
              <w:sz w:val="24"/>
              <w:szCs w:val="24"/>
            </w:rPr>
            <w:t xml:space="preserve"> </w:t>
          </w:r>
          <w:r w:rsidR="00287808" w:rsidRPr="000E08DB">
            <w:rPr>
              <w:sz w:val="24"/>
              <w:szCs w:val="24"/>
            </w:rPr>
            <w:t xml:space="preserve">new measures that </w:t>
          </w:r>
          <w:r w:rsidR="00DD7D80" w:rsidRPr="000E08DB">
            <w:rPr>
              <w:sz w:val="24"/>
              <w:szCs w:val="24"/>
            </w:rPr>
            <w:t>will</w:t>
          </w:r>
          <w:r w:rsidR="005A294E" w:rsidRPr="000E08DB">
            <w:rPr>
              <w:sz w:val="24"/>
              <w:szCs w:val="24"/>
            </w:rPr>
            <w:t xml:space="preserve"> </w:t>
          </w:r>
          <w:r w:rsidR="00C76465" w:rsidRPr="000E08DB">
            <w:rPr>
              <w:sz w:val="24"/>
              <w:szCs w:val="24"/>
            </w:rPr>
            <w:t>enhance</w:t>
          </w:r>
          <w:r w:rsidR="00FC0D80">
            <w:rPr>
              <w:sz w:val="24"/>
              <w:szCs w:val="24"/>
            </w:rPr>
            <w:t xml:space="preserve"> the </w:t>
          </w:r>
          <w:r w:rsidR="00FC0D80" w:rsidRPr="00FC0D80">
            <w:rPr>
              <w:sz w:val="24"/>
              <w:szCs w:val="24"/>
            </w:rPr>
            <w:t xml:space="preserve">Tertiary Education </w:t>
          </w:r>
          <w:r w:rsidR="00FC0D80" w:rsidRPr="00FC0D80">
            <w:rPr>
              <w:sz w:val="24"/>
              <w:szCs w:val="24"/>
            </w:rPr>
            <w:lastRenderedPageBreak/>
            <w:t>Quality and Standards Agency</w:t>
          </w:r>
          <w:r w:rsidR="00FC0D80">
            <w:rPr>
              <w:sz w:val="24"/>
              <w:szCs w:val="24"/>
            </w:rPr>
            <w:t>’s</w:t>
          </w:r>
          <w:r w:rsidR="005A294E" w:rsidRPr="000E08DB">
            <w:rPr>
              <w:sz w:val="24"/>
              <w:szCs w:val="24"/>
            </w:rPr>
            <w:t xml:space="preserve"> </w:t>
          </w:r>
          <w:r w:rsidR="00FC0D80">
            <w:rPr>
              <w:sz w:val="24"/>
              <w:szCs w:val="24"/>
            </w:rPr>
            <w:t>(</w:t>
          </w:r>
          <w:r w:rsidR="005A294E" w:rsidRPr="000E08DB">
            <w:rPr>
              <w:sz w:val="24"/>
              <w:szCs w:val="24"/>
            </w:rPr>
            <w:t>TEQSA</w:t>
          </w:r>
          <w:r w:rsidR="00FC0D80">
            <w:rPr>
              <w:sz w:val="24"/>
              <w:szCs w:val="24"/>
            </w:rPr>
            <w:t>)</w:t>
          </w:r>
          <w:r w:rsidR="005A294E" w:rsidRPr="000E08DB">
            <w:rPr>
              <w:sz w:val="24"/>
              <w:szCs w:val="24"/>
            </w:rPr>
            <w:t xml:space="preserve"> oversight of offshore </w:t>
          </w:r>
          <w:r w:rsidR="00C601EE" w:rsidRPr="000E08DB">
            <w:rPr>
              <w:sz w:val="24"/>
              <w:szCs w:val="24"/>
            </w:rPr>
            <w:t xml:space="preserve">course </w:t>
          </w:r>
          <w:r w:rsidR="005A294E" w:rsidRPr="000E08DB">
            <w:rPr>
              <w:sz w:val="24"/>
              <w:szCs w:val="24"/>
            </w:rPr>
            <w:t>delivery by registered</w:t>
          </w:r>
          <w:r w:rsidR="00C76465" w:rsidRPr="000E08DB">
            <w:rPr>
              <w:sz w:val="24"/>
              <w:szCs w:val="24"/>
            </w:rPr>
            <w:t xml:space="preserve"> </w:t>
          </w:r>
          <w:r w:rsidR="005A294E" w:rsidRPr="000E08DB">
            <w:rPr>
              <w:sz w:val="24"/>
              <w:szCs w:val="24"/>
            </w:rPr>
            <w:t xml:space="preserve">Australian </w:t>
          </w:r>
          <w:r w:rsidR="00C76465" w:rsidRPr="000E08DB">
            <w:rPr>
              <w:sz w:val="24"/>
              <w:szCs w:val="24"/>
            </w:rPr>
            <w:t xml:space="preserve">higher education </w:t>
          </w:r>
          <w:r w:rsidR="005A294E" w:rsidRPr="000E08DB">
            <w:rPr>
              <w:sz w:val="24"/>
              <w:szCs w:val="24"/>
            </w:rPr>
            <w:t>providers.</w:t>
          </w:r>
        </w:p>
        <w:p w14:paraId="6F61CBD5" w14:textId="674F082E" w:rsidR="000F5746" w:rsidRPr="000E08DB" w:rsidRDefault="00881A50" w:rsidP="00CF666B">
          <w:pPr>
            <w:jc w:val="both"/>
            <w:rPr>
              <w:sz w:val="24"/>
              <w:szCs w:val="24"/>
            </w:rPr>
          </w:pPr>
          <w:r w:rsidRPr="000E08DB">
            <w:rPr>
              <w:sz w:val="24"/>
              <w:szCs w:val="24"/>
            </w:rPr>
            <w:t>In the interim report the Committee recognised the need for determined and focused actions against unscrupulous providers to combat the systemic exploitation of Australia’s education and migration systems and better regulat</w:t>
          </w:r>
          <w:r w:rsidR="0005341E" w:rsidRPr="000E08DB">
            <w:rPr>
              <w:sz w:val="24"/>
              <w:szCs w:val="24"/>
            </w:rPr>
            <w:t>e</w:t>
          </w:r>
          <w:r w:rsidRPr="000E08DB">
            <w:rPr>
              <w:sz w:val="24"/>
              <w:szCs w:val="24"/>
            </w:rPr>
            <w:t xml:space="preserve"> education agents, ensuring Australia remains a place where the best and brightest students can come and get the best education in the world. Government will continue to act to prevent the exploitation of students and protect Australia’s reputation as a high-quality international education provider. </w:t>
          </w:r>
          <w:r w:rsidR="00A434CA" w:rsidRPr="000E08DB">
            <w:rPr>
              <w:sz w:val="24"/>
              <w:szCs w:val="24"/>
            </w:rPr>
            <w:t>This Australian Government Response outlines several key reforms which address issues raised in the interim report.</w:t>
          </w:r>
        </w:p>
      </w:sdtContent>
    </w:sdt>
    <w:sdt>
      <w:sdtPr>
        <w:id w:val="329608294"/>
        <w:docPartObj>
          <w:docPartGallery w:val="Table of Contents"/>
          <w:docPartUnique/>
        </w:docPartObj>
      </w:sdtPr>
      <w:sdtEndPr/>
      <w:sdtContent>
        <w:p w14:paraId="1FBDC19C" w14:textId="4620F6AD" w:rsidR="00B14F20" w:rsidRPr="000E08DB" w:rsidRDefault="00B14F20" w:rsidP="00F1181B">
          <w:pPr>
            <w:keepNext/>
            <w:spacing w:before="360"/>
            <w:ind w:right="96"/>
            <w:rPr>
              <w:sz w:val="24"/>
              <w:szCs w:val="24"/>
            </w:rPr>
          </w:pPr>
          <w:r w:rsidRPr="000E08DB">
            <w:rPr>
              <w:b/>
              <w:i/>
              <w:sz w:val="24"/>
              <w:szCs w:val="24"/>
            </w:rPr>
            <w:t>Recommendations and Responses</w:t>
          </w:r>
          <w:r w:rsidRPr="000E08DB">
            <w:tab/>
          </w: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606F8EDD" w14:textId="77777777">
            <w:tc>
              <w:tcPr>
                <w:tcW w:w="9016" w:type="dxa"/>
                <w:shd w:val="clear" w:color="auto" w:fill="E7E6E6" w:themeFill="background2"/>
              </w:tcPr>
              <w:p w14:paraId="4DB931AC" w14:textId="65C5127A" w:rsidR="00B14F20" w:rsidRPr="000E08DB" w:rsidRDefault="00B14F20" w:rsidP="00755613">
                <w:pPr>
                  <w:pStyle w:val="Heading2"/>
                  <w:jc w:val="both"/>
                  <w:rPr>
                    <w:rFonts w:asciiTheme="minorHAnsi" w:hAnsiTheme="minorHAnsi" w:cstheme="minorBidi"/>
                    <w:sz w:val="24"/>
                    <w:szCs w:val="24"/>
                  </w:rPr>
                </w:pPr>
                <w:bookmarkStart w:id="3" w:name="_Toc207627790"/>
                <w:r w:rsidRPr="000E08DB">
                  <w:rPr>
                    <w:rFonts w:asciiTheme="minorHAnsi" w:hAnsiTheme="minorHAnsi" w:cstheme="minorBidi"/>
                    <w:sz w:val="24"/>
                    <w:szCs w:val="24"/>
                  </w:rPr>
                  <w:t>Recommendation 1</w:t>
                </w:r>
                <w:bookmarkEnd w:id="3"/>
                <w:r w:rsidR="00E0356E" w:rsidRPr="000E08DB">
                  <w:rPr>
                    <w:rFonts w:asciiTheme="minorHAnsi" w:hAnsiTheme="minorHAnsi" w:cstheme="minorBidi"/>
                    <w:sz w:val="24"/>
                    <w:szCs w:val="24"/>
                  </w:rPr>
                  <w:t xml:space="preserve"> </w:t>
                </w:r>
              </w:p>
              <w:p w14:paraId="54B36F92" w14:textId="77777777" w:rsidR="00B14F20" w:rsidRPr="000E08DB" w:rsidRDefault="00B14F20" w:rsidP="00755613">
                <w:pPr>
                  <w:jc w:val="both"/>
                  <w:rPr>
                    <w:b/>
                    <w:sz w:val="24"/>
                    <w:szCs w:val="24"/>
                  </w:rPr>
                </w:pPr>
                <w:r w:rsidRPr="000E08DB">
                  <w:rPr>
                    <w:sz w:val="24"/>
                    <w:szCs w:val="24"/>
                  </w:rPr>
                  <w:t>The Committee recommends the Government lead a ‘Team Australia’ program to build a stronger national international education brand and platform and agree on a five-year prioritised Market Diversification Plan. An enhanced Team Australia approach will:</w:t>
                </w:r>
              </w:p>
              <w:p w14:paraId="02CC16F3" w14:textId="77777777" w:rsidR="00B14F20" w:rsidRPr="000E08DB" w:rsidRDefault="00B14F20" w:rsidP="00755613">
                <w:pPr>
                  <w:pStyle w:val="ListParagraph"/>
                  <w:numPr>
                    <w:ilvl w:val="0"/>
                    <w:numId w:val="1"/>
                  </w:numPr>
                  <w:jc w:val="both"/>
                  <w:rPr>
                    <w:b/>
                    <w:sz w:val="24"/>
                    <w:szCs w:val="24"/>
                  </w:rPr>
                </w:pPr>
                <w:r w:rsidRPr="000E08DB">
                  <w:rPr>
                    <w:sz w:val="24"/>
                    <w:szCs w:val="24"/>
                  </w:rPr>
                  <w:t>better coordinate through shared agreements, Australian Government agencies (Department of Education, Department of Home Affairs, Department of Employment and Workplace Relations and Austrade), state and territory governments and the sector</w:t>
                </w:r>
              </w:p>
              <w:p w14:paraId="6A9912C2" w14:textId="77777777" w:rsidR="00B14F20" w:rsidRPr="000E08DB" w:rsidRDefault="00B14F20" w:rsidP="00755613">
                <w:pPr>
                  <w:pStyle w:val="ListParagraph"/>
                  <w:numPr>
                    <w:ilvl w:val="0"/>
                    <w:numId w:val="1"/>
                  </w:numPr>
                  <w:jc w:val="both"/>
                  <w:rPr>
                    <w:b/>
                    <w:sz w:val="24"/>
                    <w:szCs w:val="24"/>
                  </w:rPr>
                </w:pPr>
                <w:r w:rsidRPr="000E08DB">
                  <w:rPr>
                    <w:sz w:val="24"/>
                    <w:szCs w:val="24"/>
                  </w:rPr>
                  <w:t>build and maintain a national platform and approach to promote Australia’s quality education within a fiercely competitive international arena</w:t>
                </w:r>
              </w:p>
              <w:p w14:paraId="0D719C4F" w14:textId="77777777" w:rsidR="00B14F20" w:rsidRPr="000E08DB" w:rsidRDefault="00B14F20" w:rsidP="00755613">
                <w:pPr>
                  <w:pStyle w:val="ListParagraph"/>
                  <w:numPr>
                    <w:ilvl w:val="0"/>
                    <w:numId w:val="1"/>
                  </w:numPr>
                  <w:jc w:val="both"/>
                  <w:rPr>
                    <w:b/>
                    <w:sz w:val="24"/>
                    <w:szCs w:val="24"/>
                  </w:rPr>
                </w:pPr>
                <w:r w:rsidRPr="000E08DB">
                  <w:rPr>
                    <w:sz w:val="24"/>
                    <w:szCs w:val="24"/>
                  </w:rPr>
                  <w:t>address issues of fragmentation, duplication, and divisive competition in the current marketing of Australian education to the world.</w:t>
                </w:r>
              </w:p>
              <w:p w14:paraId="5A864888" w14:textId="77777777" w:rsidR="00B14F20" w:rsidRPr="000E08DB" w:rsidRDefault="00B14F20" w:rsidP="00755613">
                <w:pPr>
                  <w:jc w:val="both"/>
                  <w:rPr>
                    <w:b/>
                    <w:sz w:val="24"/>
                    <w:szCs w:val="24"/>
                  </w:rPr>
                </w:pPr>
                <w:r w:rsidRPr="000E08DB">
                  <w:rPr>
                    <w:sz w:val="24"/>
                    <w:szCs w:val="24"/>
                  </w:rPr>
                  <w:t>Team Australia should prioritise the development of a five-year Market Diversification Plan into new and emerging geographic markets. The five-year plan should have shared governance and be resourced across the sector including federal, state and territory contributions. The plan should:</w:t>
                </w:r>
              </w:p>
              <w:p w14:paraId="6C996E55" w14:textId="67C78E5C" w:rsidR="00B14F20" w:rsidRPr="000E08DB" w:rsidRDefault="00B14F20" w:rsidP="00755613">
                <w:pPr>
                  <w:pStyle w:val="ListParagraph"/>
                  <w:numPr>
                    <w:ilvl w:val="0"/>
                    <w:numId w:val="2"/>
                  </w:numPr>
                  <w:jc w:val="both"/>
                  <w:rPr>
                    <w:b/>
                    <w:sz w:val="24"/>
                    <w:szCs w:val="24"/>
                  </w:rPr>
                </w:pPr>
                <w:r w:rsidRPr="000E08DB">
                  <w:rPr>
                    <w:sz w:val="24"/>
                    <w:szCs w:val="24"/>
                  </w:rPr>
                  <w:t>identify and agree on a limited number of priority countries for joint focus in sub</w:t>
                </w:r>
                <w:r w:rsidR="00B27134" w:rsidRPr="000E08DB">
                  <w:rPr>
                    <w:sz w:val="24"/>
                    <w:szCs w:val="24"/>
                  </w:rPr>
                  <w:noBreakHyphen/>
                </w:r>
                <w:r w:rsidRPr="000E08DB">
                  <w:rPr>
                    <w:sz w:val="24"/>
                    <w:szCs w:val="24"/>
                  </w:rPr>
                  <w:t>Saharan Africa, Southeast Asia and South and Central America (considering for example Nigeria, Kenya, Botswana, Zimbabwe, Indonesia, Vietnam, the Philippines, Brazil, Colombia and Chile)</w:t>
                </w:r>
              </w:p>
              <w:p w14:paraId="552AA66B" w14:textId="77777777" w:rsidR="00B14F20" w:rsidRPr="000E08DB" w:rsidRDefault="00B14F20" w:rsidP="00755613">
                <w:pPr>
                  <w:pStyle w:val="ListParagraph"/>
                  <w:numPr>
                    <w:ilvl w:val="0"/>
                    <w:numId w:val="2"/>
                  </w:numPr>
                  <w:jc w:val="both"/>
                  <w:rPr>
                    <w:b/>
                    <w:sz w:val="24"/>
                    <w:szCs w:val="24"/>
                  </w:rPr>
                </w:pPr>
                <w:r w:rsidRPr="000E08DB">
                  <w:rPr>
                    <w:sz w:val="24"/>
                    <w:szCs w:val="24"/>
                  </w:rPr>
                  <w:t>consider innovative ways to fund places for students of the Blue Pacific to study in Australia and seek to deepen international education ties within the Pacific Island Development (PID) Forum to advance democracy and support peace and prosperity within our region</w:t>
                </w:r>
              </w:p>
              <w:p w14:paraId="603F344E" w14:textId="77777777" w:rsidR="00B14F20" w:rsidRPr="000E08DB" w:rsidRDefault="00B14F20" w:rsidP="00755613">
                <w:pPr>
                  <w:pStyle w:val="ListParagraph"/>
                  <w:numPr>
                    <w:ilvl w:val="0"/>
                    <w:numId w:val="2"/>
                  </w:numPr>
                  <w:jc w:val="both"/>
                  <w:rPr>
                    <w:b/>
                    <w:sz w:val="24"/>
                    <w:szCs w:val="24"/>
                  </w:rPr>
                </w:pPr>
                <w:r w:rsidRPr="000E08DB">
                  <w:rPr>
                    <w:sz w:val="24"/>
                    <w:szCs w:val="24"/>
                  </w:rPr>
                  <w:t>form agreed migration and education settings to enable and encourage the best and brightest international students from identified priority countries to study in Australia, including Department of Home Affairs permitting lead providers to take approved and calculated risks in the early phases of market development without affecting their visa ratings</w:t>
                </w:r>
              </w:p>
              <w:p w14:paraId="73C68194" w14:textId="77777777" w:rsidR="00B14F20" w:rsidRPr="000E08DB" w:rsidRDefault="00B14F20" w:rsidP="00755613">
                <w:pPr>
                  <w:pStyle w:val="ListParagraph"/>
                  <w:numPr>
                    <w:ilvl w:val="0"/>
                    <w:numId w:val="2"/>
                  </w:numPr>
                  <w:jc w:val="both"/>
                  <w:rPr>
                    <w:b/>
                    <w:sz w:val="24"/>
                    <w:szCs w:val="24"/>
                  </w:rPr>
                </w:pPr>
                <w:r w:rsidRPr="000E08DB">
                  <w:rPr>
                    <w:sz w:val="24"/>
                    <w:szCs w:val="24"/>
                  </w:rPr>
                  <w:t>drive diversification of education offerings in traditional markets, with a focus on India</w:t>
                </w:r>
              </w:p>
              <w:p w14:paraId="21660487" w14:textId="77777777" w:rsidR="00B14F20" w:rsidRPr="000E08DB" w:rsidRDefault="00B14F20" w:rsidP="00755613">
                <w:pPr>
                  <w:pStyle w:val="ListParagraph"/>
                  <w:numPr>
                    <w:ilvl w:val="0"/>
                    <w:numId w:val="2"/>
                  </w:numPr>
                  <w:jc w:val="both"/>
                  <w:rPr>
                    <w:b/>
                    <w:sz w:val="24"/>
                    <w:szCs w:val="24"/>
                  </w:rPr>
                </w:pPr>
                <w:r w:rsidRPr="000E08DB">
                  <w:rPr>
                    <w:sz w:val="24"/>
                    <w:szCs w:val="24"/>
                  </w:rPr>
                  <w:t>be jointly resourced by both the Government (via Austrade) and the sector, potentially via a light touch time-limited marketing levy on Commonwealth Register of Institutions and Courses for Overseas Students (CRICOS) providers subject to shared governance so those who pay a levy have influence over how it is spent.</w:t>
                </w:r>
              </w:p>
              <w:p w14:paraId="61C868F6" w14:textId="77777777" w:rsidR="00B14F20" w:rsidRPr="000E08DB" w:rsidRDefault="00B14F20" w:rsidP="00755613">
                <w:pPr>
                  <w:jc w:val="both"/>
                  <w:rPr>
                    <w:b/>
                    <w:sz w:val="24"/>
                    <w:szCs w:val="24"/>
                  </w:rPr>
                </w:pPr>
              </w:p>
            </w:tc>
          </w:tr>
        </w:tbl>
        <w:p w14:paraId="32C8AAE6" w14:textId="77777777" w:rsidR="00B14F20" w:rsidRPr="000E08DB" w:rsidRDefault="00B14F20" w:rsidP="00755613">
          <w:pPr>
            <w:jc w:val="both"/>
            <w:rPr>
              <w:sz w:val="24"/>
              <w:szCs w:val="24"/>
            </w:rPr>
          </w:pPr>
        </w:p>
        <w:p w14:paraId="575101A2" w14:textId="0A9C7F98" w:rsidR="00B14F20" w:rsidRPr="000E08DB" w:rsidRDefault="006B4DD8"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C05CFA" w:rsidRPr="000E08DB">
            <w:rPr>
              <w:b/>
              <w:sz w:val="24"/>
              <w:szCs w:val="24"/>
            </w:rPr>
            <w:t>notes</w:t>
          </w:r>
          <w:r w:rsidR="00B14F20" w:rsidRPr="000E08DB">
            <w:rPr>
              <w:sz w:val="24"/>
              <w:szCs w:val="24"/>
            </w:rPr>
            <w:t xml:space="preserve"> this </w:t>
          </w:r>
          <w:r w:rsidR="00306862" w:rsidRPr="000E08DB">
            <w:rPr>
              <w:sz w:val="24"/>
              <w:szCs w:val="24"/>
            </w:rPr>
            <w:t>r</w:t>
          </w:r>
          <w:r w:rsidR="00B14F20" w:rsidRPr="000E08DB">
            <w:rPr>
              <w:sz w:val="24"/>
              <w:szCs w:val="24"/>
            </w:rPr>
            <w:t>ecommendation.</w:t>
          </w:r>
        </w:p>
        <w:p w14:paraId="08CB765B" w14:textId="77777777"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b/>
              <w:bCs/>
              <w:lang w:eastAsia="en-US"/>
            </w:rPr>
          </w:pPr>
          <w:r w:rsidRPr="000E08DB">
            <w:rPr>
              <w:rFonts w:asciiTheme="minorHAnsi" w:eastAsiaTheme="minorEastAsia" w:hAnsiTheme="minorHAnsi" w:cstheme="minorBidi"/>
              <w:b/>
              <w:bCs/>
              <w:lang w:eastAsia="en-US"/>
            </w:rPr>
            <w:t>Team Australia</w:t>
          </w:r>
        </w:p>
        <w:p w14:paraId="008840D4" w14:textId="77777777"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 xml:space="preserve">The Government is committed to a ‘Team Australia’ approach, encompassing Commonwealth departments and agencies, states and territories, peak bodies, and education providers. </w:t>
          </w:r>
        </w:p>
        <w:p w14:paraId="062BA83C" w14:textId="02C80DCD" w:rsidR="001B5C9F" w:rsidRPr="000E08DB" w:rsidRDefault="00BF0BDF"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The Australian</w:t>
          </w:r>
          <w:r w:rsidR="0088520D">
            <w:rPr>
              <w:rFonts w:asciiTheme="minorHAnsi" w:eastAsiaTheme="minorEastAsia" w:hAnsiTheme="minorHAnsi" w:cstheme="minorBidi"/>
              <w:lang w:eastAsia="en-US"/>
            </w:rPr>
            <w:t xml:space="preserve"> Trade</w:t>
          </w:r>
          <w:r w:rsidRPr="000E08DB">
            <w:rPr>
              <w:rFonts w:asciiTheme="minorHAnsi" w:eastAsiaTheme="minorEastAsia" w:hAnsiTheme="minorHAnsi" w:cstheme="minorBidi"/>
              <w:lang w:eastAsia="en-US"/>
            </w:rPr>
            <w:t xml:space="preserve"> </w:t>
          </w:r>
          <w:r w:rsidR="001455D2" w:rsidRPr="000E08DB">
            <w:rPr>
              <w:rFonts w:asciiTheme="minorHAnsi" w:eastAsiaTheme="minorEastAsia" w:hAnsiTheme="minorHAnsi" w:cstheme="minorBidi"/>
              <w:lang w:eastAsia="en-US"/>
            </w:rPr>
            <w:t>and Investment Commission (</w:t>
          </w:r>
          <w:r w:rsidR="001B5C9F" w:rsidRPr="000E08DB">
            <w:rPr>
              <w:rFonts w:asciiTheme="minorHAnsi" w:eastAsiaTheme="minorEastAsia" w:hAnsiTheme="minorHAnsi" w:cstheme="minorBidi"/>
              <w:lang w:eastAsia="en-US"/>
            </w:rPr>
            <w:t>Austrade</w:t>
          </w:r>
          <w:r w:rsidR="001455D2" w:rsidRPr="000E08DB">
            <w:rPr>
              <w:rFonts w:asciiTheme="minorHAnsi" w:eastAsiaTheme="minorEastAsia" w:hAnsiTheme="minorHAnsi" w:cstheme="minorBidi"/>
              <w:lang w:eastAsia="en-US"/>
            </w:rPr>
            <w:t>)</w:t>
          </w:r>
          <w:r w:rsidR="001B5C9F" w:rsidRPr="000E08DB">
            <w:rPr>
              <w:rFonts w:asciiTheme="minorHAnsi" w:eastAsiaTheme="minorEastAsia" w:hAnsiTheme="minorHAnsi" w:cstheme="minorBidi"/>
              <w:lang w:eastAsia="en-US"/>
            </w:rPr>
            <w:t xml:space="preserve"> is the Australian Government agency with responsibility for promoting Australian education globally. Austrade is the </w:t>
          </w:r>
          <w:r w:rsidR="001B5C9F" w:rsidRPr="000E08DB">
            <w:rPr>
              <w:rFonts w:asciiTheme="minorHAnsi" w:eastAsiaTheme="minorEastAsia" w:hAnsiTheme="minorHAnsi" w:cstheme="minorBidi"/>
              <w:lang w:eastAsia="en-US"/>
            </w:rPr>
            <w:lastRenderedPageBreak/>
            <w:t xml:space="preserve">custodian of Australia’s Nation Brand and </w:t>
          </w:r>
          <w:r w:rsidR="00FB2A5C" w:rsidRPr="000E08DB">
            <w:rPr>
              <w:rFonts w:asciiTheme="minorHAnsi" w:eastAsiaTheme="minorEastAsia" w:hAnsiTheme="minorHAnsi" w:cstheme="minorBidi"/>
              <w:lang w:eastAsia="en-US"/>
            </w:rPr>
            <w:t xml:space="preserve">uses </w:t>
          </w:r>
          <w:r w:rsidR="001B5C9F" w:rsidRPr="000E08DB">
            <w:rPr>
              <w:rFonts w:asciiTheme="minorHAnsi" w:eastAsiaTheme="minorEastAsia" w:hAnsiTheme="minorHAnsi" w:cstheme="minorBidi"/>
              <w:lang w:eastAsia="en-US"/>
            </w:rPr>
            <w:t xml:space="preserve">this branding when promoting Australia’s education sector internationally, as Study Australia, including through supported use of the Study Australia Marketing (and Brand) Toolkit. Austrade also aggregates and disseminates whole-of-government information to global audiences via the Study Australia website, digital, and social channels. </w:t>
          </w:r>
          <w:r w:rsidR="0088520D">
            <w:rPr>
              <w:rFonts w:asciiTheme="minorHAnsi" w:eastAsiaTheme="minorEastAsia" w:hAnsiTheme="minorHAnsi" w:cstheme="minorBidi"/>
              <w:lang w:eastAsia="en-US"/>
            </w:rPr>
            <w:t xml:space="preserve">Additionally, </w:t>
          </w:r>
          <w:r w:rsidR="001B5C9F" w:rsidRPr="000E08DB">
            <w:rPr>
              <w:rFonts w:asciiTheme="minorHAnsi" w:eastAsiaTheme="minorEastAsia" w:hAnsiTheme="minorHAnsi" w:cstheme="minorBidi"/>
              <w:lang w:eastAsia="en-US"/>
            </w:rPr>
            <w:t>Austrade is the policy, program</w:t>
          </w:r>
          <w:r w:rsidR="00121111" w:rsidRPr="000E08DB">
            <w:rPr>
              <w:rFonts w:asciiTheme="minorHAnsi" w:eastAsiaTheme="minorEastAsia" w:hAnsiTheme="minorHAnsi" w:cstheme="minorBidi"/>
              <w:lang w:eastAsia="en-US"/>
            </w:rPr>
            <w:t xml:space="preserve">, </w:t>
          </w:r>
          <w:r w:rsidR="001B5C9F" w:rsidRPr="000E08DB">
            <w:rPr>
              <w:rFonts w:asciiTheme="minorHAnsi" w:eastAsiaTheme="minorEastAsia" w:hAnsiTheme="minorHAnsi" w:cstheme="minorBidi"/>
              <w:lang w:eastAsia="en-US"/>
            </w:rPr>
            <w:t>and official statistics lead for tourism</w:t>
          </w:r>
          <w:r w:rsidR="00FB51BE" w:rsidRPr="000E08DB">
            <w:rPr>
              <w:rFonts w:asciiTheme="minorHAnsi" w:eastAsiaTheme="minorEastAsia" w:hAnsiTheme="minorHAnsi" w:cstheme="minorBidi"/>
              <w:lang w:eastAsia="en-US"/>
            </w:rPr>
            <w:t>,</w:t>
          </w:r>
          <w:r w:rsidR="001B5C9F" w:rsidRPr="000E08DB">
            <w:rPr>
              <w:rFonts w:asciiTheme="minorHAnsi" w:eastAsiaTheme="minorEastAsia" w:hAnsiTheme="minorHAnsi" w:cstheme="minorBidi"/>
              <w:lang w:eastAsia="en-US"/>
            </w:rPr>
            <w:t xml:space="preserve"> which incorporates international education as a significant source of travellers.</w:t>
          </w:r>
        </w:p>
        <w:p w14:paraId="53E1C782" w14:textId="77F8B01C"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Austrade’s work in international education is complemented by close engagement with the Australian Government</w:t>
          </w:r>
          <w:r w:rsidR="00121111" w:rsidRPr="000E08DB">
            <w:rPr>
              <w:rFonts w:asciiTheme="minorHAnsi" w:eastAsiaTheme="minorEastAsia" w:hAnsiTheme="minorHAnsi" w:cstheme="minorBidi"/>
              <w:lang w:eastAsia="en-US"/>
            </w:rPr>
            <w:t xml:space="preserve"> </w:t>
          </w:r>
          <w:r w:rsidRPr="000E08DB">
            <w:rPr>
              <w:rFonts w:asciiTheme="minorHAnsi" w:eastAsiaTheme="minorEastAsia" w:hAnsiTheme="minorHAnsi" w:cstheme="minorBidi"/>
              <w:lang w:eastAsia="en-US"/>
            </w:rPr>
            <w:t xml:space="preserve">Department of Education, including leveraging the </w:t>
          </w:r>
          <w:r w:rsidR="00121111" w:rsidRPr="000E08DB">
            <w:rPr>
              <w:rFonts w:asciiTheme="minorHAnsi" w:eastAsiaTheme="minorEastAsia" w:hAnsiTheme="minorHAnsi" w:cstheme="minorBidi"/>
              <w:lang w:eastAsia="en-US"/>
            </w:rPr>
            <w:t>dep</w:t>
          </w:r>
          <w:r w:rsidRPr="000E08DB">
            <w:rPr>
              <w:rFonts w:asciiTheme="minorHAnsi" w:eastAsiaTheme="minorEastAsia" w:hAnsiTheme="minorHAnsi" w:cstheme="minorBidi"/>
              <w:lang w:eastAsia="en-US"/>
            </w:rPr>
            <w:t>artment</w:t>
          </w:r>
          <w:r w:rsidR="00BE25AB" w:rsidRPr="000E08DB">
            <w:rPr>
              <w:rFonts w:asciiTheme="minorHAnsi" w:eastAsiaTheme="minorEastAsia" w:hAnsiTheme="minorHAnsi" w:cstheme="minorBidi"/>
              <w:lang w:eastAsia="en-US"/>
            </w:rPr>
            <w:t xml:space="preserve">’s </w:t>
          </w:r>
          <w:r w:rsidRPr="000E08DB">
            <w:rPr>
              <w:rFonts w:asciiTheme="minorHAnsi" w:eastAsiaTheme="minorEastAsia" w:hAnsiTheme="minorHAnsi" w:cstheme="minorBidi"/>
              <w:lang w:eastAsia="en-US"/>
            </w:rPr>
            <w:t xml:space="preserve">role in driving policy development with priority partner countries to support qualifications and course recognition, greater systems alignment, and addressing barriers to growth. </w:t>
          </w:r>
          <w:r w:rsidR="003C46C7" w:rsidRPr="000E08DB">
            <w:rPr>
              <w:rFonts w:asciiTheme="minorHAnsi" w:eastAsiaTheme="minorEastAsia" w:hAnsiTheme="minorHAnsi" w:cstheme="minorBidi"/>
              <w:lang w:eastAsia="en-US"/>
            </w:rPr>
            <w:t xml:space="preserve">Austrade works closely with </w:t>
          </w:r>
          <w:r w:rsidR="0088520D">
            <w:rPr>
              <w:rFonts w:asciiTheme="minorHAnsi" w:eastAsiaTheme="minorEastAsia" w:hAnsiTheme="minorHAnsi" w:cstheme="minorBidi"/>
              <w:lang w:eastAsia="en-US"/>
            </w:rPr>
            <w:t>the Department of Foreign Affairs and Trade (</w:t>
          </w:r>
          <w:r w:rsidR="003C46C7" w:rsidRPr="000E08DB">
            <w:rPr>
              <w:rFonts w:asciiTheme="minorHAnsi" w:eastAsiaTheme="minorEastAsia" w:hAnsiTheme="minorHAnsi" w:cstheme="minorBidi"/>
              <w:lang w:eastAsia="en-US"/>
            </w:rPr>
            <w:t>DFAT</w:t>
          </w:r>
          <w:r w:rsidR="0088520D">
            <w:rPr>
              <w:rFonts w:asciiTheme="minorHAnsi" w:eastAsiaTheme="minorEastAsia" w:hAnsiTheme="minorHAnsi" w:cstheme="minorBidi"/>
              <w:lang w:eastAsia="en-US"/>
            </w:rPr>
            <w:t>),</w:t>
          </w:r>
          <w:r w:rsidR="003C46C7" w:rsidRPr="000E08DB">
            <w:rPr>
              <w:rFonts w:asciiTheme="minorHAnsi" w:eastAsiaTheme="minorEastAsia" w:hAnsiTheme="minorHAnsi" w:cstheme="minorBidi"/>
              <w:lang w:eastAsia="en-US"/>
            </w:rPr>
            <w:t xml:space="preserve"> including on </w:t>
          </w:r>
          <w:r w:rsidR="0088520D">
            <w:rPr>
              <w:rFonts w:asciiTheme="minorHAnsi" w:eastAsiaTheme="minorEastAsia" w:hAnsiTheme="minorHAnsi" w:cstheme="minorBidi"/>
              <w:lang w:eastAsia="en-US"/>
            </w:rPr>
            <w:t xml:space="preserve">the </w:t>
          </w:r>
          <w:r w:rsidR="003C46C7" w:rsidRPr="000E08DB">
            <w:rPr>
              <w:rFonts w:asciiTheme="minorHAnsi" w:eastAsiaTheme="minorEastAsia" w:hAnsiTheme="minorHAnsi" w:cstheme="minorBidi"/>
              <w:lang w:eastAsia="en-US"/>
            </w:rPr>
            <w:t xml:space="preserve">implementation of education and skills sector recommendations in </w:t>
          </w:r>
          <w:r w:rsidR="003C46C7" w:rsidRPr="000E08DB">
            <w:rPr>
              <w:rFonts w:asciiTheme="minorHAnsi" w:eastAsiaTheme="minorEastAsia" w:hAnsiTheme="minorHAnsi" w:cstheme="minorBidi"/>
              <w:i/>
              <w:iCs/>
              <w:lang w:eastAsia="en-US"/>
            </w:rPr>
            <w:t xml:space="preserve">Invested: Australia’s Southeast Asia Economic Strategy to 2040; </w:t>
          </w:r>
          <w:r w:rsidR="003C46C7" w:rsidRPr="000E08DB">
            <w:rPr>
              <w:rFonts w:asciiTheme="minorHAnsi" w:eastAsiaTheme="minorEastAsia" w:hAnsiTheme="minorHAnsi" w:cstheme="minorBidi"/>
              <w:lang w:eastAsia="en-US"/>
            </w:rPr>
            <w:t xml:space="preserve">recent collaborative activities include </w:t>
          </w:r>
          <w:r w:rsidR="00FC0D80" w:rsidRPr="000E08DB">
            <w:rPr>
              <w:rFonts w:asciiTheme="minorHAnsi" w:eastAsiaTheme="minorEastAsia" w:hAnsiTheme="minorHAnsi" w:cstheme="minorBidi"/>
              <w:lang w:eastAsia="en-US"/>
            </w:rPr>
            <w:t>Southeast Asia Business Exchange</w:t>
          </w:r>
          <w:r w:rsidR="00FC0D80">
            <w:rPr>
              <w:rFonts w:asciiTheme="minorHAnsi" w:eastAsiaTheme="minorEastAsia" w:hAnsiTheme="minorHAnsi" w:cstheme="minorBidi"/>
              <w:lang w:eastAsia="en-US"/>
            </w:rPr>
            <w:t xml:space="preserve"> (</w:t>
          </w:r>
          <w:r w:rsidR="003C46C7" w:rsidRPr="000E08DB">
            <w:rPr>
              <w:rFonts w:asciiTheme="minorHAnsi" w:eastAsiaTheme="minorEastAsia" w:hAnsiTheme="minorHAnsi" w:cstheme="minorBidi"/>
              <w:lang w:eastAsia="en-US"/>
            </w:rPr>
            <w:t>SEABX</w:t>
          </w:r>
          <w:r w:rsidR="00FC0D80">
            <w:rPr>
              <w:rFonts w:asciiTheme="minorHAnsi" w:eastAsiaTheme="minorEastAsia" w:hAnsiTheme="minorHAnsi" w:cstheme="minorBidi"/>
              <w:lang w:eastAsia="en-US"/>
            </w:rPr>
            <w:t>)</w:t>
          </w:r>
          <w:r w:rsidR="003C46C7" w:rsidRPr="000E08DB">
            <w:rPr>
              <w:rFonts w:asciiTheme="minorHAnsi" w:eastAsiaTheme="minorEastAsia" w:hAnsiTheme="minorHAnsi" w:cstheme="minorBidi"/>
              <w:lang w:eastAsia="en-US"/>
            </w:rPr>
            <w:t xml:space="preserve"> business missions focused on education, skills, and transnational education.</w:t>
          </w:r>
        </w:p>
        <w:p w14:paraId="17AFB707" w14:textId="77777777"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Austrade also works with states and territories through the Study Australia Partnership – a formal collaboration between Austrade and all state and territory study destination agencies, to co-design and execute projects that support and promote Australia’s international education sector.</w:t>
          </w:r>
        </w:p>
        <w:p w14:paraId="4B0D583E" w14:textId="224250FE"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b/>
              <w:bCs/>
              <w:lang w:eastAsia="en-US"/>
            </w:rPr>
          </w:pPr>
          <w:r w:rsidRPr="000E08DB">
            <w:rPr>
              <w:rFonts w:asciiTheme="minorHAnsi" w:eastAsiaTheme="minorEastAsia" w:hAnsiTheme="minorHAnsi" w:cstheme="minorBidi"/>
              <w:b/>
              <w:bCs/>
              <w:lang w:eastAsia="en-US"/>
            </w:rPr>
            <w:t>Diversification</w:t>
          </w:r>
        </w:p>
        <w:p w14:paraId="59FF0E0D" w14:textId="4574AB3E"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The Government recognises the critical importance of market diversification to the sustainability of Australia’s international education sector.</w:t>
          </w:r>
          <w:r w:rsidR="009D52C4" w:rsidRPr="000E08DB">
            <w:rPr>
              <w:rFonts w:asciiTheme="minorHAnsi" w:eastAsiaTheme="minorEastAsia" w:hAnsiTheme="minorHAnsi" w:cstheme="minorBidi"/>
              <w:lang w:eastAsia="en-US"/>
            </w:rPr>
            <w:t xml:space="preserve"> Engagement with Southeast Asia is an Australian Government priority and policy settings in the managed growth approach incentivise international education providers to increasingly diversify to this region.</w:t>
          </w:r>
        </w:p>
        <w:p w14:paraId="0AEC79C8" w14:textId="19C9EC91" w:rsidR="001B5C9F" w:rsidRPr="000E08DB" w:rsidRDefault="001B5C9F"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 xml:space="preserve">Diversification of international education markets also supports the visiting friends and relatives' </w:t>
          </w:r>
          <w:r w:rsidR="009B01A8" w:rsidRPr="000E08DB">
            <w:rPr>
              <w:rFonts w:asciiTheme="minorHAnsi" w:eastAsiaTheme="minorEastAsia" w:hAnsiTheme="minorHAnsi" w:cstheme="minorBidi"/>
              <w:lang w:eastAsia="en-US"/>
            </w:rPr>
            <w:t xml:space="preserve">(VFR) </w:t>
          </w:r>
          <w:r w:rsidRPr="000E08DB">
            <w:rPr>
              <w:rFonts w:asciiTheme="minorHAnsi" w:eastAsiaTheme="minorEastAsia" w:hAnsiTheme="minorHAnsi" w:cstheme="minorBidi"/>
              <w:lang w:eastAsia="en-US"/>
            </w:rPr>
            <w:t xml:space="preserve">segment of Australia’s visitor economy. </w:t>
          </w:r>
          <w:r w:rsidR="00D53B09" w:rsidRPr="000E08DB">
            <w:rPr>
              <w:rFonts w:asciiTheme="minorHAnsi" w:eastAsiaTheme="minorEastAsia" w:hAnsiTheme="minorHAnsi" w:cstheme="minorBidi"/>
              <w:lang w:eastAsia="en-US"/>
            </w:rPr>
            <w:t xml:space="preserve">As noted in the International Diversification Strategy for the Visitor Economy Discussion Paper and related industry consultations, a proposed focus on growing VFR travel from the new and emerging markets of India and Southeast Asia would have strong synergies with international education diversification. </w:t>
          </w:r>
        </w:p>
        <w:p w14:paraId="63E0A9AD" w14:textId="0AE83AAF" w:rsidR="0025536E" w:rsidRPr="000E08DB" w:rsidRDefault="0025536E" w:rsidP="0025536E">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In line with the Government’s Southeast Asia 2040 strategy, Austrade is supporting engagement with Southeast Asia through SEABX, with regional trade missions involving 72 Australian education and skills providers to date.</w:t>
          </w:r>
        </w:p>
        <w:p w14:paraId="3CDA4576" w14:textId="77777777" w:rsidR="0025536E" w:rsidRPr="000E08DB" w:rsidRDefault="0025536E" w:rsidP="0025536E">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International education sector diversification extends beyond student source countries, encompassing learner types, courses and fields of study, modes and models of delivery, and locations of study within Australia and internationally (for example, transnational education or building on the collaborative foundations of the Study Australia Partnership).</w:t>
          </w:r>
        </w:p>
        <w:p w14:paraId="6E2F55C5" w14:textId="1CA7A420" w:rsidR="0068482F" w:rsidRPr="000E08DB" w:rsidRDefault="0025536E" w:rsidP="0025536E">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 xml:space="preserve">The Government will continue to work closely with the regulators, the Tertiary Education Quality and Standards Agency (TEQSA) and the Australian Skills Quality Authority (ASQA), to guide education and training providers expanding and diversifying their operations through offshore (in-country) delivery. The Government will also continue to support the sector to engage with international governments on accessing opportunities through qualifications </w:t>
          </w:r>
          <w:r w:rsidRPr="000E08DB">
            <w:rPr>
              <w:rFonts w:asciiTheme="minorHAnsi" w:eastAsiaTheme="minorEastAsia" w:hAnsiTheme="minorHAnsi" w:cstheme="minorBidi"/>
              <w:lang w:eastAsia="en-US"/>
            </w:rPr>
            <w:lastRenderedPageBreak/>
            <w:t>recognition and in-country delivery provisions enabled by bilateral trade agreements and cooperation.</w:t>
          </w:r>
        </w:p>
        <w:p w14:paraId="19F95017" w14:textId="0BCD0106" w:rsidR="00B14F20" w:rsidRPr="000E08DB" w:rsidRDefault="004A6698"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r w:rsidRPr="000E08DB">
            <w:rPr>
              <w:rFonts w:asciiTheme="minorHAnsi" w:eastAsiaTheme="minorEastAsia" w:hAnsiTheme="minorHAnsi" w:cstheme="minorBidi"/>
              <w:lang w:eastAsia="en-US"/>
            </w:rPr>
            <w:t>Diversification o</w:t>
          </w:r>
          <w:r w:rsidR="001B5C9F" w:rsidRPr="000E08DB">
            <w:rPr>
              <w:rFonts w:asciiTheme="minorHAnsi" w:eastAsiaTheme="minorEastAsia" w:hAnsiTheme="minorHAnsi" w:cstheme="minorBidi"/>
              <w:lang w:eastAsia="en-US"/>
            </w:rPr>
            <w:t>pportunities will also be considered in the context of the Australian Government’s International Education</w:t>
          </w:r>
          <w:r w:rsidR="00E62D9C" w:rsidRPr="000E08DB">
            <w:rPr>
              <w:rFonts w:asciiTheme="minorHAnsi" w:eastAsiaTheme="minorEastAsia" w:hAnsiTheme="minorHAnsi" w:cstheme="minorBidi"/>
              <w:lang w:eastAsia="en-US"/>
            </w:rPr>
            <w:t xml:space="preserve"> and Skills</w:t>
          </w:r>
          <w:r w:rsidR="001B5C9F" w:rsidRPr="000E08DB">
            <w:rPr>
              <w:rFonts w:asciiTheme="minorHAnsi" w:eastAsiaTheme="minorEastAsia" w:hAnsiTheme="minorHAnsi" w:cstheme="minorBidi"/>
              <w:lang w:eastAsia="en-US"/>
            </w:rPr>
            <w:t xml:space="preserve"> Strategic Framework</w:t>
          </w:r>
          <w:r w:rsidR="005451C0" w:rsidRPr="000E08DB">
            <w:rPr>
              <w:rFonts w:asciiTheme="minorHAnsi" w:eastAsiaTheme="minorEastAsia" w:hAnsiTheme="minorHAnsi" w:cstheme="minorBidi"/>
              <w:lang w:eastAsia="en-US"/>
            </w:rPr>
            <w:t>, once finalised.</w:t>
          </w:r>
        </w:p>
        <w:p w14:paraId="593173CF" w14:textId="77777777" w:rsidR="009376B8" w:rsidRPr="000E08DB" w:rsidRDefault="009376B8" w:rsidP="00755613">
          <w:pPr>
            <w:pStyle w:val="paragraph"/>
            <w:spacing w:before="0" w:beforeAutospacing="0" w:after="160" w:afterAutospacing="0"/>
            <w:jc w:val="both"/>
            <w:textAlignment w:val="baseline"/>
            <w:rPr>
              <w:rFonts w:asciiTheme="minorHAnsi" w:eastAsiaTheme="minorEastAsia" w:hAnsiTheme="minorHAnsi" w:cstheme="minorBidi"/>
              <w:lang w:eastAsia="en-US"/>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2FC31894" w14:textId="77777777">
            <w:tc>
              <w:tcPr>
                <w:tcW w:w="9016" w:type="dxa"/>
                <w:shd w:val="clear" w:color="auto" w:fill="E7E6E6" w:themeFill="background2"/>
              </w:tcPr>
              <w:p w14:paraId="0C824485" w14:textId="7E194B1F" w:rsidR="00B14F20" w:rsidRPr="000E08DB" w:rsidRDefault="00B14F20" w:rsidP="00755613">
                <w:pPr>
                  <w:pStyle w:val="Heading2"/>
                  <w:jc w:val="both"/>
                  <w:rPr>
                    <w:rFonts w:asciiTheme="minorHAnsi" w:hAnsiTheme="minorHAnsi" w:cstheme="minorBidi"/>
                    <w:sz w:val="24"/>
                    <w:szCs w:val="24"/>
                  </w:rPr>
                </w:pPr>
                <w:bookmarkStart w:id="4" w:name="_Toc207627791"/>
                <w:r w:rsidRPr="000E08DB">
                  <w:rPr>
                    <w:rFonts w:asciiTheme="minorHAnsi" w:hAnsiTheme="minorHAnsi" w:cstheme="minorBidi"/>
                    <w:sz w:val="24"/>
                    <w:szCs w:val="24"/>
                  </w:rPr>
                  <w:t>Recommendation 2</w:t>
                </w:r>
                <w:bookmarkEnd w:id="4"/>
                <w:r w:rsidR="00E0356E" w:rsidRPr="000E08DB">
                  <w:rPr>
                    <w:rFonts w:asciiTheme="minorHAnsi" w:hAnsiTheme="minorHAnsi" w:cstheme="minorBidi"/>
                    <w:sz w:val="24"/>
                    <w:szCs w:val="24"/>
                  </w:rPr>
                  <w:t xml:space="preserve"> </w:t>
                </w:r>
              </w:p>
              <w:p w14:paraId="7C8B64B3"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work with the sector to develop a more systemic approach to tracking and supporting alumni networks, including graduates of Australian education scholarships and programs, with the explicit aim of fostering enduring connections to Australia, with a focus on priority countries and strengthening Australia’s international research networks and partnerships.</w:t>
                </w:r>
              </w:p>
              <w:p w14:paraId="0AA324B0" w14:textId="77777777" w:rsidR="00B14F20" w:rsidRPr="000E08DB" w:rsidRDefault="00B14F20" w:rsidP="00755613">
                <w:pPr>
                  <w:jc w:val="both"/>
                  <w:rPr>
                    <w:rFonts w:cstheme="minorHAnsi"/>
                    <w:sz w:val="24"/>
                    <w:szCs w:val="24"/>
                  </w:rPr>
                </w:pPr>
              </w:p>
            </w:tc>
          </w:tr>
        </w:tbl>
        <w:p w14:paraId="6A92B8C9" w14:textId="77777777" w:rsidR="00B14F20" w:rsidRPr="000E08DB" w:rsidRDefault="00B14F20" w:rsidP="00755613">
          <w:pPr>
            <w:jc w:val="both"/>
            <w:rPr>
              <w:rFonts w:cstheme="minorHAnsi"/>
              <w:sz w:val="24"/>
              <w:szCs w:val="24"/>
            </w:rPr>
          </w:pPr>
        </w:p>
        <w:p w14:paraId="19C7DAC0" w14:textId="21FF491E" w:rsidR="00B14F20" w:rsidRPr="000E08DB" w:rsidRDefault="006B4DD8" w:rsidP="00755613">
          <w:pPr>
            <w:spacing w:line="257" w:lineRule="auto"/>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rFonts w:ascii="Calibri" w:eastAsia="Calibri" w:hAnsi="Calibri" w:cs="Calibri"/>
              <w:b/>
              <w:bCs/>
              <w:sz w:val="24"/>
              <w:szCs w:val="24"/>
            </w:rPr>
            <w:t>agrees</w:t>
          </w:r>
          <w:r w:rsidR="00AE1153" w:rsidRPr="000E08DB">
            <w:rPr>
              <w:rFonts w:ascii="Calibri" w:eastAsia="Calibri" w:hAnsi="Calibri" w:cs="Calibri"/>
              <w:b/>
              <w:bCs/>
              <w:sz w:val="24"/>
              <w:szCs w:val="24"/>
            </w:rPr>
            <w:t xml:space="preserve"> </w:t>
          </w:r>
          <w:r w:rsidR="00B14F20" w:rsidRPr="000E08DB">
            <w:rPr>
              <w:rFonts w:ascii="Calibri" w:eastAsia="Calibri" w:hAnsi="Calibri" w:cs="Calibri"/>
              <w:sz w:val="24"/>
              <w:szCs w:val="24"/>
            </w:rPr>
            <w:t>with this recommendation.</w:t>
          </w:r>
        </w:p>
        <w:p w14:paraId="231FC886" w14:textId="27D5BF6A" w:rsidR="00B14F20" w:rsidRPr="000E08DB" w:rsidRDefault="00B14F20" w:rsidP="00755613">
          <w:pPr>
            <w:jc w:val="both"/>
            <w:rPr>
              <w:sz w:val="24"/>
              <w:szCs w:val="24"/>
            </w:rPr>
          </w:pPr>
          <w:r w:rsidRPr="000E08DB">
            <w:rPr>
              <w:sz w:val="24"/>
              <w:szCs w:val="24"/>
            </w:rPr>
            <w:t>The Government is committed to working with the sector</w:t>
          </w:r>
          <w:r w:rsidR="008957D7" w:rsidRPr="000E08DB">
            <w:rPr>
              <w:sz w:val="24"/>
              <w:szCs w:val="24"/>
            </w:rPr>
            <w:t xml:space="preserve"> (with its buy-in being essential)</w:t>
          </w:r>
          <w:r w:rsidRPr="000E08DB">
            <w:rPr>
              <w:sz w:val="24"/>
              <w:szCs w:val="24"/>
            </w:rPr>
            <w:t xml:space="preserve"> on improving approaches to alumni networks, in line with recommendations outlined in </w:t>
          </w:r>
          <w:r w:rsidR="00B52C31" w:rsidRPr="000E08DB">
            <w:rPr>
              <w:sz w:val="24"/>
              <w:szCs w:val="24"/>
            </w:rPr>
            <w:t xml:space="preserve">Invested: </w:t>
          </w:r>
          <w:r w:rsidR="00DC4169" w:rsidRPr="000E08DB">
            <w:rPr>
              <w:sz w:val="24"/>
              <w:szCs w:val="24"/>
            </w:rPr>
            <w:t xml:space="preserve">Australia’s </w:t>
          </w:r>
          <w:r w:rsidRPr="000E08DB">
            <w:rPr>
              <w:sz w:val="24"/>
              <w:szCs w:val="24"/>
            </w:rPr>
            <w:t>Southeast Asia Economic Strategy to 2040</w:t>
          </w:r>
          <w:r w:rsidR="009B5C64" w:rsidRPr="000E08DB">
            <w:rPr>
              <w:sz w:val="24"/>
              <w:szCs w:val="24"/>
            </w:rPr>
            <w:t xml:space="preserve"> and the </w:t>
          </w:r>
          <w:r w:rsidR="00E62D9C" w:rsidRPr="000E08DB">
            <w:rPr>
              <w:sz w:val="24"/>
              <w:szCs w:val="24"/>
            </w:rPr>
            <w:t>Australian Universities Accord Final Report</w:t>
          </w:r>
          <w:r w:rsidR="00423807" w:rsidRPr="000E08DB">
            <w:rPr>
              <w:sz w:val="24"/>
              <w:szCs w:val="24"/>
            </w:rPr>
            <w:t>.</w:t>
          </w:r>
        </w:p>
        <w:p w14:paraId="155C8F2E" w14:textId="29CA836B" w:rsidR="00B14F20" w:rsidRPr="000E08DB" w:rsidRDefault="00D74582" w:rsidP="00755613">
          <w:pPr>
            <w:jc w:val="both"/>
            <w:rPr>
              <w:rFonts w:ascii="Calibri" w:eastAsia="Calibri" w:hAnsi="Calibri" w:cs="Calibri"/>
              <w:sz w:val="24"/>
              <w:szCs w:val="24"/>
            </w:rPr>
          </w:pPr>
          <w:r w:rsidRPr="000E08DB">
            <w:rPr>
              <w:rFonts w:ascii="Calibri" w:eastAsia="Calibri" w:hAnsi="Calibri" w:cs="Calibri"/>
              <w:sz w:val="24"/>
              <w:szCs w:val="24"/>
            </w:rPr>
            <w:t>T</w:t>
          </w:r>
          <w:r w:rsidR="00B14F20" w:rsidRPr="000E08DB">
            <w:rPr>
              <w:rFonts w:ascii="Calibri" w:eastAsia="Calibri" w:hAnsi="Calibri" w:cs="Calibri"/>
              <w:sz w:val="24"/>
              <w:szCs w:val="24"/>
            </w:rPr>
            <w:t xml:space="preserve">he Government recognises the value in enhancing personal and professional relationships forged </w:t>
          </w:r>
          <w:r w:rsidR="00D8083C" w:rsidRPr="000E08DB">
            <w:rPr>
              <w:rFonts w:ascii="Calibri" w:eastAsia="Calibri" w:hAnsi="Calibri" w:cs="Calibri"/>
              <w:sz w:val="24"/>
              <w:szCs w:val="24"/>
            </w:rPr>
            <w:t>between</w:t>
          </w:r>
          <w:r w:rsidR="00B14F20" w:rsidRPr="000E08DB">
            <w:rPr>
              <w:rFonts w:ascii="Calibri" w:eastAsia="Calibri" w:hAnsi="Calibri" w:cs="Calibri"/>
              <w:sz w:val="24"/>
              <w:szCs w:val="24"/>
            </w:rPr>
            <w:t xml:space="preserve"> international scholars and the Australian community. It will continue to build on the success of alumni networks such as the Australia Awards alumni, New Colombo Plan</w:t>
          </w:r>
          <w:r w:rsidR="008957D7" w:rsidRPr="000E08DB">
            <w:rPr>
              <w:rFonts w:ascii="Calibri" w:eastAsia="Calibri" w:hAnsi="Calibri" w:cs="Calibri"/>
              <w:sz w:val="24"/>
              <w:szCs w:val="24"/>
            </w:rPr>
            <w:t xml:space="preserve"> (NCP)</w:t>
          </w:r>
          <w:r w:rsidR="00F44424" w:rsidRPr="000E08DB">
            <w:rPr>
              <w:rFonts w:ascii="Calibri" w:eastAsia="Calibri" w:hAnsi="Calibri" w:cs="Calibri"/>
              <w:sz w:val="24"/>
              <w:szCs w:val="24"/>
            </w:rPr>
            <w:t>,</w:t>
          </w:r>
          <w:r w:rsidR="00B14F20" w:rsidRPr="000E08DB">
            <w:rPr>
              <w:rFonts w:ascii="Calibri" w:eastAsia="Calibri" w:hAnsi="Calibri" w:cs="Calibri"/>
              <w:sz w:val="24"/>
              <w:szCs w:val="24"/>
            </w:rPr>
            <w:t xml:space="preserve"> and other programs to </w:t>
          </w:r>
          <w:r w:rsidR="008957D7" w:rsidRPr="000E08DB">
            <w:rPr>
              <w:rFonts w:ascii="Calibri" w:eastAsia="Calibri" w:hAnsi="Calibri" w:cs="Calibri"/>
              <w:sz w:val="24"/>
              <w:szCs w:val="24"/>
            </w:rPr>
            <w:t xml:space="preserve">identify </w:t>
          </w:r>
          <w:r w:rsidR="00B14F20" w:rsidRPr="000E08DB">
            <w:rPr>
              <w:rFonts w:ascii="Calibri" w:eastAsia="Calibri" w:hAnsi="Calibri" w:cs="Calibri"/>
              <w:sz w:val="24"/>
              <w:szCs w:val="24"/>
            </w:rPr>
            <w:t xml:space="preserve">more systematic and engaging ways to work with </w:t>
          </w:r>
          <w:r w:rsidR="008957D7" w:rsidRPr="000E08DB">
            <w:rPr>
              <w:rFonts w:ascii="Calibri" w:eastAsia="Calibri" w:hAnsi="Calibri" w:cs="Calibri"/>
              <w:sz w:val="24"/>
              <w:szCs w:val="24"/>
            </w:rPr>
            <w:t xml:space="preserve">scholarship and self-funded </w:t>
          </w:r>
          <w:r w:rsidR="003E3F68" w:rsidRPr="000E08DB">
            <w:rPr>
              <w:rFonts w:ascii="Calibri" w:eastAsia="Calibri" w:hAnsi="Calibri" w:cs="Calibri"/>
              <w:sz w:val="24"/>
              <w:szCs w:val="24"/>
            </w:rPr>
            <w:t>a</w:t>
          </w:r>
          <w:r w:rsidR="00B14F20" w:rsidRPr="000E08DB">
            <w:rPr>
              <w:rFonts w:ascii="Calibri" w:eastAsia="Calibri" w:hAnsi="Calibri" w:cs="Calibri"/>
              <w:sz w:val="24"/>
              <w:szCs w:val="24"/>
            </w:rPr>
            <w:t>lumni to deepen engagement in the Pacific and Southeast Asia.</w:t>
          </w:r>
        </w:p>
        <w:p w14:paraId="33418BB5" w14:textId="730A9C45" w:rsidR="007C19BC" w:rsidRPr="000E08DB" w:rsidRDefault="007C19BC" w:rsidP="00755613">
          <w:pPr>
            <w:jc w:val="both"/>
            <w:rPr>
              <w:rFonts w:ascii="Calibri" w:eastAsia="Calibri" w:hAnsi="Calibri" w:cs="Calibri"/>
              <w:sz w:val="24"/>
              <w:szCs w:val="24"/>
            </w:rPr>
          </w:pPr>
          <w:r w:rsidRPr="000E08DB">
            <w:rPr>
              <w:rFonts w:ascii="Calibri" w:eastAsia="Calibri" w:hAnsi="Calibri" w:cs="Calibri"/>
              <w:sz w:val="24"/>
              <w:szCs w:val="24"/>
            </w:rPr>
            <w:t>The recent reforms to the NCP will deepen the program’s business engagement and provide more ways to foster scholar and alumni engagement through relationship building with the private sector and business stakeholders. NCP initiatives, including the Alumni Representative Program and Alumni Consultative Group, provide support to engaged NCP alumni to promote the program and foster networks across the Indo-Pacific.</w:t>
          </w:r>
        </w:p>
        <w:p w14:paraId="1AED8AAA" w14:textId="6F796904" w:rsidR="00B14F20" w:rsidRPr="000E08DB" w:rsidRDefault="00B14F20" w:rsidP="00755613">
          <w:pPr>
            <w:jc w:val="both"/>
            <w:rPr>
              <w:rFonts w:ascii="Calibri" w:eastAsia="Calibri" w:hAnsi="Calibri" w:cs="Calibri"/>
              <w:sz w:val="24"/>
              <w:szCs w:val="24"/>
            </w:rPr>
          </w:pPr>
          <w:r w:rsidRPr="000E08DB">
            <w:rPr>
              <w:rFonts w:ascii="Calibri" w:eastAsia="Calibri" w:hAnsi="Calibri" w:cs="Calibri"/>
              <w:sz w:val="24"/>
              <w:szCs w:val="24"/>
            </w:rPr>
            <w:t xml:space="preserve">Work </w:t>
          </w:r>
          <w:r w:rsidR="007C19BC" w:rsidRPr="000E08DB">
            <w:rPr>
              <w:rFonts w:ascii="Calibri" w:eastAsia="Calibri" w:hAnsi="Calibri" w:cs="Calibri"/>
              <w:sz w:val="24"/>
              <w:szCs w:val="24"/>
            </w:rPr>
            <w:t xml:space="preserve">is ongoing to consolidate </w:t>
          </w:r>
          <w:r w:rsidRPr="000E08DB">
            <w:rPr>
              <w:rFonts w:ascii="Calibri" w:eastAsia="Calibri" w:hAnsi="Calibri" w:cs="Calibri"/>
              <w:sz w:val="24"/>
              <w:szCs w:val="24"/>
            </w:rPr>
            <w:t xml:space="preserve">existing IT systems into a single solution </w:t>
          </w:r>
          <w:r w:rsidR="002D51F4" w:rsidRPr="000E08DB">
            <w:rPr>
              <w:rFonts w:ascii="Calibri" w:eastAsia="Calibri" w:hAnsi="Calibri" w:cs="Calibri"/>
              <w:sz w:val="24"/>
              <w:szCs w:val="24"/>
            </w:rPr>
            <w:t xml:space="preserve">or to strengthen </w:t>
          </w:r>
          <w:r w:rsidRPr="000E08DB">
            <w:rPr>
              <w:rFonts w:ascii="Calibri" w:eastAsia="Calibri" w:hAnsi="Calibri" w:cs="Calibri"/>
              <w:sz w:val="24"/>
              <w:szCs w:val="24"/>
            </w:rPr>
            <w:t xml:space="preserve">existing </w:t>
          </w:r>
          <w:r w:rsidR="002D51F4" w:rsidRPr="000E08DB">
            <w:rPr>
              <w:rFonts w:ascii="Calibri" w:eastAsia="Calibri" w:hAnsi="Calibri" w:cs="Calibri"/>
              <w:sz w:val="24"/>
              <w:szCs w:val="24"/>
            </w:rPr>
            <w:t>syst</w:t>
          </w:r>
          <w:r w:rsidR="009B5818" w:rsidRPr="000E08DB">
            <w:rPr>
              <w:rFonts w:ascii="Calibri" w:eastAsia="Calibri" w:hAnsi="Calibri" w:cs="Calibri"/>
              <w:sz w:val="24"/>
              <w:szCs w:val="24"/>
            </w:rPr>
            <w:t xml:space="preserve">ems to better support current needs. </w:t>
          </w:r>
        </w:p>
        <w:p w14:paraId="25ED6304" w14:textId="43FBEFFB" w:rsidR="00B14F20" w:rsidRPr="000E08DB" w:rsidRDefault="001D468F" w:rsidP="00755613">
          <w:pPr>
            <w:jc w:val="both"/>
            <w:rPr>
              <w:rFonts w:ascii="Calibri" w:eastAsia="Calibri" w:hAnsi="Calibri" w:cs="Calibri"/>
              <w:sz w:val="24"/>
              <w:szCs w:val="24"/>
            </w:rPr>
          </w:pPr>
          <w:r w:rsidRPr="000E08DB">
            <w:rPr>
              <w:rFonts w:ascii="Calibri" w:eastAsia="Calibri" w:hAnsi="Calibri" w:cs="Calibri"/>
              <w:sz w:val="24"/>
              <w:szCs w:val="24"/>
            </w:rPr>
            <w:t>DFAT has established an</w:t>
          </w:r>
          <w:r w:rsidR="00B14F20" w:rsidRPr="000E08DB">
            <w:rPr>
              <w:rFonts w:ascii="Calibri" w:eastAsia="Calibri" w:hAnsi="Calibri" w:cs="Calibri"/>
              <w:sz w:val="24"/>
              <w:szCs w:val="24"/>
            </w:rPr>
            <w:t xml:space="preserve"> ‘Australia Awards Global Support Mechanism’ to deliver a coherent suite of Australia Awards services, including dedicated long term advisory support to bolster alumni engagement across the network of overseas posts. </w:t>
          </w:r>
          <w:r w:rsidRPr="000E08DB">
            <w:rPr>
              <w:rFonts w:ascii="Calibri" w:eastAsia="Calibri" w:hAnsi="Calibri" w:cs="Calibri"/>
              <w:sz w:val="24"/>
              <w:szCs w:val="24"/>
            </w:rPr>
            <w:t>In addition to supporting</w:t>
          </w:r>
          <w:r w:rsidR="00B14F20" w:rsidRPr="000E08DB">
            <w:rPr>
              <w:rFonts w:ascii="Calibri" w:eastAsia="Calibri" w:hAnsi="Calibri" w:cs="Calibri"/>
              <w:sz w:val="24"/>
              <w:szCs w:val="24"/>
            </w:rPr>
            <w:t xml:space="preserve"> the </w:t>
          </w:r>
          <w:r w:rsidRPr="000E08DB">
            <w:rPr>
              <w:rFonts w:ascii="Calibri" w:eastAsia="Calibri" w:hAnsi="Calibri" w:cs="Calibri"/>
              <w:sz w:val="24"/>
              <w:szCs w:val="24"/>
            </w:rPr>
            <w:t xml:space="preserve">development of consistent and measurable alumni strategies at posts across Southeast Asia, the Government will </w:t>
          </w:r>
          <w:r w:rsidR="00B14F20" w:rsidRPr="000E08DB">
            <w:rPr>
              <w:rFonts w:ascii="Calibri" w:eastAsia="Calibri" w:hAnsi="Calibri" w:cs="Calibri"/>
              <w:sz w:val="24"/>
              <w:szCs w:val="24"/>
            </w:rPr>
            <w:t>further explore ‘opt-in’ approaches to tracking and convening alumni.</w:t>
          </w:r>
        </w:p>
        <w:p w14:paraId="39B7B7B8" w14:textId="77777777" w:rsidR="00DE56DC" w:rsidRPr="000E08DB" w:rsidRDefault="00DE56DC" w:rsidP="00755613">
          <w:pPr>
            <w:jc w:val="both"/>
            <w:rPr>
              <w:rFonts w:ascii="Calibri" w:eastAsia="Calibri" w:hAnsi="Calibri" w:cs="Calibri"/>
              <w:sz w:val="24"/>
              <w:szCs w:val="24"/>
            </w:rPr>
          </w:pPr>
        </w:p>
        <w:p w14:paraId="726F1651" w14:textId="77777777" w:rsidR="00DE56DC" w:rsidRPr="000E08DB" w:rsidRDefault="00DE56DC" w:rsidP="00755613">
          <w:pPr>
            <w:jc w:val="both"/>
            <w:rPr>
              <w:rFonts w:ascii="Calibri" w:eastAsia="Calibri" w:hAnsi="Calibri" w:cs="Calibri"/>
              <w:sz w:val="24"/>
              <w:szCs w:val="24"/>
            </w:rPr>
          </w:pPr>
        </w:p>
        <w:p w14:paraId="45618F1C" w14:textId="77777777" w:rsidR="00DE56DC" w:rsidRPr="000E08DB" w:rsidRDefault="00DE56DC" w:rsidP="00755613">
          <w:pPr>
            <w:jc w:val="both"/>
            <w:rPr>
              <w:rFonts w:ascii="Calibri" w:eastAsia="Calibri" w:hAnsi="Calibri" w:cs="Calibri"/>
              <w:sz w:val="24"/>
              <w:szCs w:val="24"/>
            </w:rPr>
          </w:pPr>
        </w:p>
        <w:p w14:paraId="5308421E" w14:textId="77777777" w:rsidR="00B14F20" w:rsidRPr="000E08DB" w:rsidRDefault="00B14F20" w:rsidP="00755613">
          <w:pPr>
            <w:jc w:val="both"/>
            <w:rPr>
              <w:rFonts w:cstheme="minorHAnsi"/>
              <w:i/>
              <w:iCs/>
              <w:color w:val="C00000"/>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17F58DC1" w14:textId="77777777">
            <w:tc>
              <w:tcPr>
                <w:tcW w:w="9016" w:type="dxa"/>
                <w:shd w:val="clear" w:color="auto" w:fill="E7E6E6" w:themeFill="background2"/>
              </w:tcPr>
              <w:p w14:paraId="7EDD5D4D" w14:textId="32D25AF6" w:rsidR="00B14F20" w:rsidRPr="000E08DB" w:rsidRDefault="00B14F20" w:rsidP="00755613">
                <w:pPr>
                  <w:pStyle w:val="Heading2"/>
                  <w:jc w:val="both"/>
                  <w:rPr>
                    <w:rFonts w:asciiTheme="minorHAnsi" w:hAnsiTheme="minorHAnsi" w:cstheme="minorBidi"/>
                    <w:sz w:val="24"/>
                    <w:szCs w:val="24"/>
                  </w:rPr>
                </w:pPr>
                <w:bookmarkStart w:id="5" w:name="_Toc207627792"/>
                <w:r w:rsidRPr="000E08DB">
                  <w:rPr>
                    <w:rFonts w:asciiTheme="minorHAnsi" w:hAnsiTheme="minorHAnsi" w:cstheme="minorBidi"/>
                    <w:sz w:val="24"/>
                    <w:szCs w:val="24"/>
                  </w:rPr>
                  <w:t>Recommendation 3</w:t>
                </w:r>
                <w:bookmarkEnd w:id="5"/>
              </w:p>
              <w:p w14:paraId="0D513C1A"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examine opportunities to expand programs that deliver development support to Australia’s near neighbours and contribute to Australian skills needs through practical on and offshore education and training ‘International traineeships’, with an initial focus on aged care and allied health in regional Australia. International Traineeships should be limited to Technical and Further Education providers (TAFEs) and approved Registered Training Organisations (RTOs) and companies to maintain integrity.</w:t>
                </w:r>
              </w:p>
              <w:p w14:paraId="007B5EEE" w14:textId="77777777" w:rsidR="00B14F20" w:rsidRPr="000E08DB" w:rsidRDefault="00B14F20" w:rsidP="00755613">
                <w:pPr>
                  <w:jc w:val="both"/>
                  <w:rPr>
                    <w:rFonts w:cstheme="minorHAnsi"/>
                    <w:sz w:val="24"/>
                    <w:szCs w:val="24"/>
                  </w:rPr>
                </w:pPr>
              </w:p>
            </w:tc>
          </w:tr>
        </w:tbl>
        <w:p w14:paraId="424BEEEB" w14:textId="77777777" w:rsidR="00B14F20" w:rsidRPr="000E08DB" w:rsidRDefault="00B14F20" w:rsidP="00755613">
          <w:pPr>
            <w:jc w:val="both"/>
            <w:rPr>
              <w:rFonts w:cstheme="minorHAnsi"/>
              <w:sz w:val="24"/>
              <w:szCs w:val="24"/>
            </w:rPr>
          </w:pPr>
        </w:p>
        <w:p w14:paraId="76198F7D" w14:textId="0CE83AC9" w:rsidR="00B14F20" w:rsidRPr="000E08DB" w:rsidRDefault="006B4DD8" w:rsidP="00755613">
          <w:pPr>
            <w:jc w:val="both"/>
            <w:rPr>
              <w:i/>
              <w:iCs/>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w:t>
          </w:r>
          <w:r w:rsidR="00927E30" w:rsidRPr="000E08DB">
            <w:rPr>
              <w:b/>
              <w:sz w:val="24"/>
              <w:szCs w:val="24"/>
            </w:rPr>
            <w:t xml:space="preserve"> </w:t>
          </w:r>
          <w:r w:rsidR="00B14F20" w:rsidRPr="000E08DB">
            <w:rPr>
              <w:sz w:val="24"/>
              <w:szCs w:val="24"/>
            </w:rPr>
            <w:t xml:space="preserve">with this </w:t>
          </w:r>
          <w:r w:rsidR="00DA5225" w:rsidRPr="000E08DB">
            <w:rPr>
              <w:sz w:val="24"/>
              <w:szCs w:val="24"/>
            </w:rPr>
            <w:t>r</w:t>
          </w:r>
          <w:r w:rsidR="00B14F20" w:rsidRPr="000E08DB">
            <w:rPr>
              <w:sz w:val="24"/>
              <w:szCs w:val="24"/>
            </w:rPr>
            <w:t>ecommendation.</w:t>
          </w:r>
        </w:p>
        <w:p w14:paraId="7D421082" w14:textId="5BEC1CC2" w:rsidR="000A7D02" w:rsidRPr="000E08DB" w:rsidRDefault="000A7D02" w:rsidP="00755613">
          <w:pPr>
            <w:jc w:val="both"/>
            <w:rPr>
              <w:rFonts w:cstheme="minorHAnsi"/>
              <w:sz w:val="24"/>
              <w:szCs w:val="24"/>
            </w:rPr>
          </w:pPr>
          <w:r w:rsidRPr="000E08DB">
            <w:rPr>
              <w:rFonts w:cstheme="minorHAnsi"/>
              <w:sz w:val="24"/>
              <w:szCs w:val="24"/>
            </w:rPr>
            <w:t xml:space="preserve">The Government </w:t>
          </w:r>
          <w:r w:rsidR="008F5E51" w:rsidRPr="000E08DB">
            <w:rPr>
              <w:rFonts w:cstheme="minorHAnsi"/>
              <w:sz w:val="24"/>
              <w:szCs w:val="24"/>
            </w:rPr>
            <w:t xml:space="preserve">will examine </w:t>
          </w:r>
          <w:r w:rsidRPr="000E08DB">
            <w:rPr>
              <w:rFonts w:cstheme="minorHAnsi"/>
              <w:sz w:val="24"/>
              <w:szCs w:val="24"/>
            </w:rPr>
            <w:t xml:space="preserve">opportunities to expand skills-related support through international traineeships where critical skills shortages exist in the region. </w:t>
          </w:r>
          <w:r w:rsidR="003E1CD4" w:rsidRPr="000E08DB">
            <w:rPr>
              <w:rFonts w:cstheme="minorHAnsi"/>
              <w:sz w:val="24"/>
              <w:szCs w:val="24"/>
            </w:rPr>
            <w:t>S</w:t>
          </w:r>
          <w:r w:rsidRPr="000E08DB">
            <w:rPr>
              <w:rFonts w:cstheme="minorHAnsi"/>
              <w:sz w:val="24"/>
              <w:szCs w:val="24"/>
            </w:rPr>
            <w:t xml:space="preserve">kills and </w:t>
          </w:r>
          <w:r w:rsidR="003A2523" w:rsidRPr="000E08DB">
            <w:rPr>
              <w:rFonts w:cstheme="minorHAnsi"/>
              <w:sz w:val="24"/>
              <w:szCs w:val="24"/>
            </w:rPr>
            <w:t xml:space="preserve">technical and vocational education and training </w:t>
          </w:r>
          <w:r w:rsidR="00153949" w:rsidRPr="000E08DB">
            <w:rPr>
              <w:rFonts w:cstheme="minorHAnsi"/>
              <w:sz w:val="24"/>
              <w:szCs w:val="24"/>
            </w:rPr>
            <w:t>(</w:t>
          </w:r>
          <w:r w:rsidRPr="000E08DB">
            <w:rPr>
              <w:rFonts w:cstheme="minorHAnsi"/>
              <w:sz w:val="24"/>
              <w:szCs w:val="24"/>
            </w:rPr>
            <w:t>TVET</w:t>
          </w:r>
          <w:r w:rsidR="00153949" w:rsidRPr="000E08DB">
            <w:rPr>
              <w:rFonts w:cstheme="minorHAnsi"/>
              <w:sz w:val="24"/>
              <w:szCs w:val="24"/>
            </w:rPr>
            <w:t>)</w:t>
          </w:r>
          <w:r w:rsidRPr="000E08DB">
            <w:rPr>
              <w:rFonts w:cstheme="minorHAnsi"/>
              <w:sz w:val="24"/>
              <w:szCs w:val="24"/>
            </w:rPr>
            <w:t xml:space="preserve"> </w:t>
          </w:r>
          <w:r w:rsidR="003A2523" w:rsidRPr="000E08DB">
            <w:rPr>
              <w:rFonts w:cstheme="minorHAnsi"/>
              <w:sz w:val="24"/>
              <w:szCs w:val="24"/>
            </w:rPr>
            <w:t>are</w:t>
          </w:r>
          <w:r w:rsidRPr="000E08DB">
            <w:rPr>
              <w:rFonts w:cstheme="minorHAnsi"/>
              <w:sz w:val="24"/>
              <w:szCs w:val="24"/>
            </w:rPr>
            <w:t xml:space="preserve"> integral to economic success and improved development outcomes. In March 2023, the inaugural Conference of Pacific Education Ministers agreed that developing skills pathways is a collective priority for the region.</w:t>
          </w:r>
        </w:p>
        <w:p w14:paraId="6A803FE3" w14:textId="3DAC101B" w:rsidR="000A7D02" w:rsidRPr="000E08DB" w:rsidRDefault="000A7D02" w:rsidP="00755613">
          <w:pPr>
            <w:jc w:val="both"/>
            <w:rPr>
              <w:rFonts w:cstheme="minorHAnsi"/>
              <w:sz w:val="24"/>
              <w:szCs w:val="24"/>
            </w:rPr>
          </w:pPr>
          <w:r w:rsidRPr="000E08DB">
            <w:rPr>
              <w:rFonts w:cstheme="minorHAnsi"/>
              <w:sz w:val="24"/>
              <w:szCs w:val="24"/>
            </w:rPr>
            <w:t xml:space="preserve">The Government supports this priority in the Pacific. </w:t>
          </w:r>
          <w:r w:rsidR="003A2523" w:rsidRPr="000E08DB">
            <w:rPr>
              <w:rFonts w:cstheme="minorHAnsi"/>
              <w:sz w:val="24"/>
              <w:szCs w:val="24"/>
            </w:rPr>
            <w:t xml:space="preserve">DFAT’s pilot of </w:t>
          </w:r>
          <w:r w:rsidRPr="000E08DB">
            <w:rPr>
              <w:rFonts w:cstheme="minorHAnsi"/>
              <w:sz w:val="24"/>
              <w:szCs w:val="24"/>
            </w:rPr>
            <w:t xml:space="preserve">on-the-job training of Pacific Australia Labour Mobility (PALM) scheme workers in the aged care sector in the Northern Territory and Queensland, informed the expansion of training through the PALM scheme. </w:t>
          </w:r>
          <w:r w:rsidR="00456E1E" w:rsidRPr="000E08DB">
            <w:rPr>
              <w:rFonts w:cstheme="minorHAnsi"/>
              <w:sz w:val="24"/>
              <w:szCs w:val="24"/>
            </w:rPr>
            <w:t xml:space="preserve">In April 2025, </w:t>
          </w:r>
          <w:r w:rsidRPr="000E08DB">
            <w:rPr>
              <w:rFonts w:cstheme="minorHAnsi"/>
              <w:sz w:val="24"/>
              <w:szCs w:val="24"/>
            </w:rPr>
            <w:t>DFAT’s Office of the Pacific</w:t>
          </w:r>
          <w:r w:rsidR="00456E1E" w:rsidRPr="000E08DB">
            <w:rPr>
              <w:rFonts w:cstheme="minorHAnsi"/>
              <w:sz w:val="24"/>
              <w:szCs w:val="24"/>
            </w:rPr>
            <w:t xml:space="preserve"> introduced</w:t>
          </w:r>
          <w:r w:rsidRPr="000E08DB">
            <w:rPr>
              <w:rFonts w:cstheme="minorHAnsi"/>
              <w:sz w:val="24"/>
              <w:szCs w:val="24"/>
            </w:rPr>
            <w:t xml:space="preserve"> a new</w:t>
          </w:r>
          <w:r w:rsidR="00456E1E" w:rsidRPr="000E08DB">
            <w:rPr>
              <w:rFonts w:cstheme="minorHAnsi"/>
              <w:sz w:val="24"/>
              <w:szCs w:val="24"/>
            </w:rPr>
            <w:t>, regional</w:t>
          </w:r>
          <w:r w:rsidRPr="000E08DB">
            <w:rPr>
              <w:rFonts w:cstheme="minorHAnsi"/>
              <w:sz w:val="24"/>
              <w:szCs w:val="24"/>
            </w:rPr>
            <w:t xml:space="preserve"> skills </w:t>
          </w:r>
          <w:r w:rsidR="00456E1E" w:rsidRPr="000E08DB">
            <w:rPr>
              <w:rFonts w:cstheme="minorHAnsi"/>
              <w:sz w:val="24"/>
              <w:szCs w:val="24"/>
            </w:rPr>
            <w:t>program</w:t>
          </w:r>
          <w:r w:rsidR="00FC1316" w:rsidRPr="000E08DB">
            <w:rPr>
              <w:rFonts w:cstheme="minorHAnsi"/>
              <w:sz w:val="24"/>
              <w:szCs w:val="24"/>
            </w:rPr>
            <w:t xml:space="preserve">, Pacific Australian Skills, continuing </w:t>
          </w:r>
          <w:r w:rsidRPr="000E08DB">
            <w:rPr>
              <w:rFonts w:cstheme="minorHAnsi"/>
              <w:sz w:val="24"/>
              <w:szCs w:val="24"/>
            </w:rPr>
            <w:t xml:space="preserve">Australia’s </w:t>
          </w:r>
          <w:r w:rsidR="00FC1316" w:rsidRPr="000E08DB">
            <w:rPr>
              <w:rFonts w:cstheme="minorHAnsi"/>
              <w:sz w:val="24"/>
              <w:szCs w:val="24"/>
            </w:rPr>
            <w:t xml:space="preserve">longstanding support for </w:t>
          </w:r>
          <w:r w:rsidRPr="000E08DB">
            <w:rPr>
              <w:rFonts w:cstheme="minorHAnsi"/>
              <w:sz w:val="24"/>
              <w:szCs w:val="24"/>
            </w:rPr>
            <w:t xml:space="preserve">skills </w:t>
          </w:r>
          <w:r w:rsidR="00FC1316" w:rsidRPr="000E08DB">
            <w:rPr>
              <w:rFonts w:cstheme="minorHAnsi"/>
              <w:sz w:val="24"/>
              <w:szCs w:val="24"/>
            </w:rPr>
            <w:t>and training in the region</w:t>
          </w:r>
          <w:r w:rsidR="00021D76" w:rsidRPr="000E08DB">
            <w:rPr>
              <w:rFonts w:cstheme="minorHAnsi"/>
              <w:sz w:val="24"/>
              <w:szCs w:val="24"/>
            </w:rPr>
            <w:t>, following the conclusion of the Australia Pacific Training Coalition (APTC, 2008 – 2025).</w:t>
          </w:r>
          <w:r w:rsidR="00F079C8" w:rsidRPr="000E08DB">
            <w:rPr>
              <w:rFonts w:cstheme="minorHAnsi"/>
              <w:sz w:val="24"/>
              <w:szCs w:val="24"/>
            </w:rPr>
            <w:t xml:space="preserve"> </w:t>
          </w:r>
          <w:r w:rsidR="00F079C8" w:rsidRPr="000E08DB">
            <w:rPr>
              <w:sz w:val="24"/>
              <w:szCs w:val="24"/>
            </w:rPr>
            <w:t xml:space="preserve">Pacific Australia Skills builds on the strong legacy of APTC, focusing on skills for employment and links with industry. </w:t>
          </w:r>
          <w:r w:rsidR="00021D76" w:rsidRPr="000E08DB">
            <w:rPr>
              <w:rFonts w:cstheme="minorHAnsi"/>
              <w:sz w:val="24"/>
              <w:szCs w:val="24"/>
            </w:rPr>
            <w:t xml:space="preserve"> </w:t>
          </w:r>
        </w:p>
        <w:p w14:paraId="514DB873" w14:textId="77777777" w:rsidR="00002DDF" w:rsidRPr="000E08DB" w:rsidRDefault="000A7D02" w:rsidP="00755613">
          <w:pPr>
            <w:jc w:val="both"/>
            <w:rPr>
              <w:sz w:val="24"/>
              <w:szCs w:val="24"/>
            </w:rPr>
          </w:pPr>
          <w:r w:rsidRPr="000E08DB">
            <w:rPr>
              <w:sz w:val="24"/>
              <w:szCs w:val="24"/>
            </w:rPr>
            <w:t xml:space="preserve">The Government’s development partnerships in Southeast Asia include a strong focus on education and skills in </w:t>
          </w:r>
          <w:r w:rsidR="007A73D7" w:rsidRPr="000E08DB">
            <w:rPr>
              <w:sz w:val="24"/>
              <w:szCs w:val="24"/>
            </w:rPr>
            <w:t>Official Development Assistance (</w:t>
          </w:r>
          <w:r w:rsidRPr="000E08DB">
            <w:rPr>
              <w:sz w:val="24"/>
              <w:szCs w:val="24"/>
            </w:rPr>
            <w:t>ODA</w:t>
          </w:r>
          <w:r w:rsidR="007A73D7" w:rsidRPr="000E08DB">
            <w:rPr>
              <w:sz w:val="24"/>
              <w:szCs w:val="24"/>
            </w:rPr>
            <w:t>)</w:t>
          </w:r>
          <w:r w:rsidR="00296787" w:rsidRPr="000E08DB">
            <w:rPr>
              <w:sz w:val="24"/>
              <w:szCs w:val="24"/>
            </w:rPr>
            <w:t xml:space="preserve"> </w:t>
          </w:r>
          <w:r w:rsidRPr="000E08DB">
            <w:rPr>
              <w:sz w:val="24"/>
              <w:szCs w:val="24"/>
            </w:rPr>
            <w:t xml:space="preserve">eligible countries such as Indonesia, Vietnam, the Philippines and throughout ASEAN. These partnerships build links with Australian institutions through the International Development Policy framework and programs such as Australia Awards scholarships, fellowships and short courses, and the New Colombo Plan. The Policy guides investment in partner-led initiatives that improve schooling, vocational training, and employment services. This will help build regional capacity, develop future leaders and leverage Australia’s education institutions to further connect the region to Australia. </w:t>
          </w:r>
        </w:p>
        <w:p w14:paraId="13CC9957" w14:textId="32FCD88B" w:rsidR="00B14F20" w:rsidRPr="000E08DB" w:rsidRDefault="00F079C8" w:rsidP="00755613">
          <w:pPr>
            <w:jc w:val="both"/>
            <w:rPr>
              <w:sz w:val="24"/>
              <w:szCs w:val="24"/>
            </w:rPr>
          </w:pPr>
          <w:r w:rsidRPr="000E08DB">
            <w:rPr>
              <w:sz w:val="24"/>
              <w:szCs w:val="24"/>
            </w:rPr>
            <w:t xml:space="preserve">The Government is also establishing a new specialised scholarship program complementing Australia Awards, as well as expanding Australia Award Scholarships to Brunei, Malaysia, Singapore and Thailand. </w:t>
          </w:r>
          <w:r w:rsidR="00F37DF6" w:rsidRPr="000E08DB">
            <w:rPr>
              <w:sz w:val="24"/>
              <w:szCs w:val="24"/>
            </w:rPr>
            <w:t>Additionally</w:t>
          </w:r>
          <w:r w:rsidRPr="000E08DB">
            <w:rPr>
              <w:sz w:val="24"/>
              <w:szCs w:val="24"/>
            </w:rPr>
            <w:t xml:space="preserve">, </w:t>
          </w:r>
          <w:r w:rsidR="000A7D02" w:rsidRPr="000E08DB">
            <w:rPr>
              <w:sz w:val="24"/>
              <w:szCs w:val="24"/>
            </w:rPr>
            <w:t>a new Placements and Internships Pilot Program for Young Professionals</w:t>
          </w:r>
          <w:r w:rsidR="00861862" w:rsidRPr="000E08DB">
            <w:rPr>
              <w:sz w:val="24"/>
              <w:szCs w:val="24"/>
            </w:rPr>
            <w:t xml:space="preserve"> (</w:t>
          </w:r>
          <w:r w:rsidR="000A7D02" w:rsidRPr="000E08DB">
            <w:rPr>
              <w:sz w:val="24"/>
              <w:szCs w:val="24"/>
            </w:rPr>
            <w:t>an initial $6 million over four years</w:t>
          </w:r>
          <w:r w:rsidR="00861862" w:rsidRPr="000E08DB">
            <w:rPr>
              <w:sz w:val="24"/>
              <w:szCs w:val="24"/>
            </w:rPr>
            <w:t>)</w:t>
          </w:r>
          <w:r w:rsidR="000A7D02" w:rsidRPr="000E08DB">
            <w:rPr>
              <w:sz w:val="24"/>
              <w:szCs w:val="24"/>
            </w:rPr>
            <w:t xml:space="preserve"> to help build enduring links between Australian and Southeast Asian businesses.</w:t>
          </w:r>
          <w:r w:rsidR="00150AD9" w:rsidRPr="000E08DB">
            <w:rPr>
              <w:sz w:val="24"/>
              <w:szCs w:val="24"/>
            </w:rPr>
            <w:t xml:space="preserve"> </w:t>
          </w:r>
        </w:p>
        <w:p w14:paraId="4057FAF5" w14:textId="0FD769FC" w:rsidR="00150AD9" w:rsidRPr="000E08DB" w:rsidRDefault="00742426" w:rsidP="00755613">
          <w:pPr>
            <w:jc w:val="both"/>
            <w:rPr>
              <w:sz w:val="24"/>
              <w:szCs w:val="24"/>
            </w:rPr>
          </w:pPr>
          <w:r w:rsidRPr="000E08DB">
            <w:rPr>
              <w:sz w:val="24"/>
              <w:szCs w:val="24"/>
            </w:rPr>
            <w:t>Under a system of managed growth</w:t>
          </w:r>
          <w:r w:rsidR="0011526C" w:rsidRPr="000E08DB">
            <w:rPr>
              <w:sz w:val="24"/>
              <w:szCs w:val="24"/>
            </w:rPr>
            <w:t>, u</w:t>
          </w:r>
          <w:r w:rsidRPr="000E08DB">
            <w:rPr>
              <w:sz w:val="24"/>
              <w:szCs w:val="24"/>
            </w:rPr>
            <w:t xml:space="preserve">niversities will be able to grow their student allocation where they demonstrate continued investment in Southeast Asia through their education </w:t>
          </w:r>
          <w:r w:rsidRPr="000E08DB">
            <w:rPr>
              <w:sz w:val="24"/>
              <w:szCs w:val="24"/>
            </w:rPr>
            <w:lastRenderedPageBreak/>
            <w:t>offerings, partnerships, campuses, alumni and scholarships.</w:t>
          </w:r>
          <w:r w:rsidR="00EB013B" w:rsidRPr="000E08DB">
            <w:t xml:space="preserve"> </w:t>
          </w:r>
          <w:r w:rsidR="00EB013B" w:rsidRPr="000E08DB">
            <w:rPr>
              <w:sz w:val="24"/>
              <w:szCs w:val="24"/>
            </w:rPr>
            <w:t xml:space="preserve">This will help drive Australia’s economic, people-to-people links and two-way cultural exchange. </w:t>
          </w:r>
        </w:p>
        <w:p w14:paraId="6B7C789B" w14:textId="6E611B7C" w:rsidR="00CF15FA" w:rsidRPr="000E08DB" w:rsidRDefault="006D797C" w:rsidP="00820EC4">
          <w:pPr>
            <w:jc w:val="both"/>
            <w:rPr>
              <w:sz w:val="24"/>
              <w:szCs w:val="24"/>
            </w:rPr>
          </w:pPr>
          <w:r w:rsidRPr="000E08DB">
            <w:rPr>
              <w:sz w:val="24"/>
              <w:szCs w:val="24"/>
            </w:rPr>
            <w:t>The Government exempts students from the Pacific and Timor-Leste from the prioritisation of offshore Subclass 500 (student) visa applications under Ministerial Direction 115, in recognition of Australia’s commitment to strengthening education and employment pathways with the region. This exemption extends to other visa applications, including those students with an Australian Government sponsored scholarship and key foreign partner government scholarship holders, and students studying at an Australian education provider delivering education services internationally under a transnational education agreement</w:t>
          </w:r>
          <w:r w:rsidR="00B03C63">
            <w:rPr>
              <w:sz w:val="24"/>
              <w:szCs w:val="24"/>
            </w:rPr>
            <w:t>.</w:t>
          </w:r>
        </w:p>
        <w:p w14:paraId="45FD8D5B" w14:textId="77777777" w:rsidR="006D797C" w:rsidRPr="000E08DB" w:rsidRDefault="006D797C" w:rsidP="00820EC4">
          <w:pPr>
            <w:jc w:val="both"/>
            <w:rPr>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10E10072" w14:textId="77777777">
            <w:tc>
              <w:tcPr>
                <w:tcW w:w="9016" w:type="dxa"/>
                <w:shd w:val="clear" w:color="auto" w:fill="E7E6E6" w:themeFill="background2"/>
              </w:tcPr>
              <w:p w14:paraId="2B2352FB" w14:textId="34A9DCB6" w:rsidR="00B14F20" w:rsidRPr="000E08DB" w:rsidRDefault="00B14F20" w:rsidP="00755613">
                <w:pPr>
                  <w:pStyle w:val="Heading2"/>
                  <w:jc w:val="both"/>
                  <w:rPr>
                    <w:rFonts w:asciiTheme="minorHAnsi" w:hAnsiTheme="minorHAnsi" w:cstheme="minorBidi"/>
                    <w:sz w:val="24"/>
                    <w:szCs w:val="24"/>
                  </w:rPr>
                </w:pPr>
                <w:bookmarkStart w:id="6" w:name="_Toc207627793"/>
                <w:r w:rsidRPr="000E08DB">
                  <w:rPr>
                    <w:rFonts w:asciiTheme="minorHAnsi" w:hAnsiTheme="minorHAnsi" w:cstheme="minorBidi"/>
                    <w:sz w:val="24"/>
                    <w:szCs w:val="24"/>
                  </w:rPr>
                  <w:t>Recommendation 4</w:t>
                </w:r>
                <w:bookmarkEnd w:id="6"/>
              </w:p>
              <w:p w14:paraId="05333FC1" w14:textId="77777777" w:rsidR="00B14F20" w:rsidRPr="000E08DB" w:rsidRDefault="00B14F20" w:rsidP="00755613">
                <w:pPr>
                  <w:jc w:val="both"/>
                  <w:rPr>
                    <w:rFonts w:cstheme="minorHAnsi"/>
                    <w:sz w:val="24"/>
                    <w:szCs w:val="24"/>
                  </w:rPr>
                </w:pPr>
                <w:bookmarkStart w:id="7" w:name="_Hlk210890947"/>
                <w:r w:rsidRPr="000E08DB">
                  <w:rPr>
                    <w:rFonts w:cstheme="minorHAnsi"/>
                    <w:sz w:val="24"/>
                    <w:szCs w:val="24"/>
                  </w:rPr>
                  <w:t xml:space="preserve">The Committee recommends the Government engage with the international education sector and industry bodies to develop and implement targeted campaigns to educate employers on the opportunities to hire international student graduates in sectors with high skilled job vacancies. </w:t>
                </w:r>
                <w:bookmarkEnd w:id="7"/>
                <w:r w:rsidRPr="000E08DB">
                  <w:rPr>
                    <w:rFonts w:cstheme="minorHAnsi"/>
                    <w:sz w:val="24"/>
                    <w:szCs w:val="24"/>
                  </w:rPr>
                  <w:t>Campaigns must combat employer confusion and misinformation about graduate work rights, visa conditions and pathways to permanent residency (where available). The first campaign focus should be for engineering, information technology and health industries, followed by other skilled occupations identified in high demand.</w:t>
                </w:r>
              </w:p>
              <w:p w14:paraId="1A21770D" w14:textId="77777777" w:rsidR="00B14F20" w:rsidRPr="000E08DB" w:rsidRDefault="00B14F20" w:rsidP="00755613">
                <w:pPr>
                  <w:jc w:val="both"/>
                  <w:rPr>
                    <w:rFonts w:cstheme="minorHAnsi"/>
                    <w:sz w:val="24"/>
                    <w:szCs w:val="24"/>
                  </w:rPr>
                </w:pPr>
              </w:p>
            </w:tc>
          </w:tr>
        </w:tbl>
        <w:p w14:paraId="22DADD46" w14:textId="77777777" w:rsidR="00B14F20" w:rsidRPr="000E08DB" w:rsidRDefault="00B14F20" w:rsidP="00755613">
          <w:pPr>
            <w:jc w:val="both"/>
            <w:rPr>
              <w:rFonts w:cstheme="minorHAnsi"/>
              <w:sz w:val="24"/>
              <w:szCs w:val="24"/>
            </w:rPr>
          </w:pPr>
        </w:p>
        <w:p w14:paraId="41678153" w14:textId="68A557A9" w:rsidR="00B14F20" w:rsidRPr="000E08DB" w:rsidRDefault="00033587" w:rsidP="00755613">
          <w:pPr>
            <w:jc w:val="both"/>
            <w:rPr>
              <w:sz w:val="24"/>
              <w:szCs w:val="24"/>
            </w:rPr>
          </w:pPr>
          <w:r w:rsidRPr="000E08DB">
            <w:rPr>
              <w:rFonts w:ascii="Calibri" w:eastAsia="Calibri" w:hAnsi="Calibri" w:cs="Calibri"/>
              <w:sz w:val="24"/>
              <w:szCs w:val="24"/>
            </w:rPr>
            <w:t>The Australian Government</w:t>
          </w:r>
          <w:r w:rsidR="00B14F20" w:rsidRPr="000E08DB">
            <w:rPr>
              <w:b/>
              <w:sz w:val="24"/>
              <w:szCs w:val="24"/>
            </w:rPr>
            <w:t xml:space="preserve"> agrees</w:t>
          </w:r>
          <w:r w:rsidR="005C7EE2" w:rsidRPr="000E08DB">
            <w:rPr>
              <w:b/>
              <w:sz w:val="24"/>
              <w:szCs w:val="24"/>
            </w:rPr>
            <w:t xml:space="preserve"> in-principle</w:t>
          </w:r>
          <w:r w:rsidR="00B14F20" w:rsidRPr="000E08DB">
            <w:rPr>
              <w:sz w:val="24"/>
              <w:szCs w:val="24"/>
            </w:rPr>
            <w:t xml:space="preserve"> with this </w:t>
          </w:r>
          <w:r w:rsidR="00CE6B84" w:rsidRPr="000E08DB">
            <w:rPr>
              <w:sz w:val="24"/>
              <w:szCs w:val="24"/>
            </w:rPr>
            <w:t>r</w:t>
          </w:r>
          <w:r w:rsidR="00B14F20" w:rsidRPr="000E08DB">
            <w:rPr>
              <w:sz w:val="24"/>
              <w:szCs w:val="24"/>
            </w:rPr>
            <w:t>ecommendation.</w:t>
          </w:r>
        </w:p>
        <w:p w14:paraId="3AE58083" w14:textId="1AE1853C" w:rsidR="00C832E9" w:rsidRPr="000E08DB" w:rsidRDefault="00B14F20" w:rsidP="00755613">
          <w:pPr>
            <w:jc w:val="both"/>
            <w:rPr>
              <w:sz w:val="24"/>
              <w:szCs w:val="24"/>
            </w:rPr>
          </w:pPr>
          <w:r w:rsidRPr="000E08DB">
            <w:rPr>
              <w:sz w:val="24"/>
              <w:szCs w:val="24"/>
            </w:rPr>
            <w:t xml:space="preserve">The Government notes the proposal for further information strategies and campaigns as outlined in </w:t>
          </w:r>
          <w:r w:rsidR="003425BE" w:rsidRPr="000E08DB">
            <w:rPr>
              <w:sz w:val="24"/>
              <w:szCs w:val="24"/>
            </w:rPr>
            <w:t>this recommendation, as well as Recommendation</w:t>
          </w:r>
          <w:r w:rsidRPr="000E08DB">
            <w:rPr>
              <w:sz w:val="24"/>
              <w:szCs w:val="24"/>
            </w:rPr>
            <w:t xml:space="preserve"> 20. </w:t>
          </w:r>
        </w:p>
        <w:p w14:paraId="7211E858" w14:textId="2184C974" w:rsidR="00C832E9" w:rsidRPr="000E08DB" w:rsidRDefault="00C832E9" w:rsidP="00755613">
          <w:pPr>
            <w:jc w:val="both"/>
            <w:rPr>
              <w:sz w:val="24"/>
              <w:szCs w:val="24"/>
            </w:rPr>
          </w:pPr>
          <w:r w:rsidRPr="000E08DB">
            <w:rPr>
              <w:sz w:val="24"/>
              <w:szCs w:val="24"/>
            </w:rPr>
            <w:t xml:space="preserve">The Government currently engages with the international education sector, industry bodies and employers to support awareness </w:t>
          </w:r>
          <w:r w:rsidR="00D84BC2" w:rsidRPr="000E08DB">
            <w:rPr>
              <w:sz w:val="24"/>
              <w:szCs w:val="24"/>
            </w:rPr>
            <w:t xml:space="preserve">of </w:t>
          </w:r>
          <w:r w:rsidR="005E5F70" w:rsidRPr="000E08DB">
            <w:rPr>
              <w:sz w:val="24"/>
              <w:szCs w:val="24"/>
            </w:rPr>
            <w:t>rights and opportunities in the sector</w:t>
          </w:r>
          <w:r w:rsidR="00FE398E" w:rsidRPr="000E08DB">
            <w:rPr>
              <w:sz w:val="24"/>
              <w:szCs w:val="24"/>
            </w:rPr>
            <w:t xml:space="preserve">. </w:t>
          </w:r>
          <w:r w:rsidRPr="000E08DB">
            <w:rPr>
              <w:sz w:val="24"/>
              <w:szCs w:val="24"/>
            </w:rPr>
            <w:t xml:space="preserve">The Government recognises there is value in improving employers’ understanding of the benefits that international graduates can provide, including through addressing confusion or misinformation about graduate work rights, visa conditions and pathways to permanent residency. </w:t>
          </w:r>
        </w:p>
        <w:p w14:paraId="3AD91E27" w14:textId="713A32FB" w:rsidR="00B14F20" w:rsidRPr="000E08DB" w:rsidRDefault="00B14F20" w:rsidP="00755613">
          <w:pPr>
            <w:jc w:val="both"/>
            <w:rPr>
              <w:sz w:val="24"/>
              <w:szCs w:val="24"/>
            </w:rPr>
          </w:pPr>
          <w:r w:rsidRPr="000E08DB">
            <w:rPr>
              <w:sz w:val="24"/>
              <w:szCs w:val="24"/>
            </w:rPr>
            <w:t xml:space="preserve">The Government supports improving clarity around rights, obligations, and employment opportunities for the international education sector, and will </w:t>
          </w:r>
          <w:r w:rsidR="00927E30" w:rsidRPr="000E08DB">
            <w:rPr>
              <w:sz w:val="24"/>
              <w:szCs w:val="24"/>
            </w:rPr>
            <w:t xml:space="preserve">continue to </w:t>
          </w:r>
          <w:r w:rsidRPr="000E08DB">
            <w:rPr>
              <w:sz w:val="24"/>
              <w:szCs w:val="24"/>
            </w:rPr>
            <w:t>consult with the sector to develop information products in line with recommendations outline</w:t>
          </w:r>
          <w:r w:rsidR="0016277A" w:rsidRPr="000E08DB">
            <w:rPr>
              <w:sz w:val="24"/>
              <w:szCs w:val="24"/>
            </w:rPr>
            <w:t>d</w:t>
          </w:r>
          <w:r w:rsidRPr="000E08DB">
            <w:rPr>
              <w:sz w:val="24"/>
              <w:szCs w:val="24"/>
            </w:rPr>
            <w:t xml:space="preserve"> in the </w:t>
          </w:r>
          <w:r w:rsidRPr="000E08DB">
            <w:rPr>
              <w:iCs/>
              <w:sz w:val="24"/>
              <w:szCs w:val="24"/>
            </w:rPr>
            <w:t>Migration Strategy</w:t>
          </w:r>
          <w:r w:rsidR="00BB0E8A" w:rsidRPr="000E08DB">
            <w:rPr>
              <w:sz w:val="24"/>
              <w:szCs w:val="24"/>
            </w:rPr>
            <w:t>,</w:t>
          </w:r>
          <w:r w:rsidRPr="000E08DB">
            <w:rPr>
              <w:i/>
              <w:sz w:val="24"/>
              <w:szCs w:val="24"/>
            </w:rPr>
            <w:t xml:space="preserve"> </w:t>
          </w:r>
          <w:r w:rsidR="00E62D9C" w:rsidRPr="000E08DB">
            <w:rPr>
              <w:iCs/>
              <w:sz w:val="24"/>
              <w:szCs w:val="24"/>
            </w:rPr>
            <w:t>Working Future: The Australian Government’s White Paper on Jobs and Opportunities (Employment White Paper)</w:t>
          </w:r>
          <w:r w:rsidR="00BB0E8A" w:rsidRPr="000E08DB">
            <w:rPr>
              <w:i/>
              <w:sz w:val="24"/>
              <w:szCs w:val="24"/>
            </w:rPr>
            <w:t>,</w:t>
          </w:r>
          <w:r w:rsidR="00BB0E8A" w:rsidRPr="000E08DB">
            <w:rPr>
              <w:iCs/>
              <w:sz w:val="24"/>
              <w:szCs w:val="24"/>
            </w:rPr>
            <w:t xml:space="preserve"> and the International Students </w:t>
          </w:r>
          <w:r w:rsidR="00C854F3" w:rsidRPr="000E08DB">
            <w:rPr>
              <w:iCs/>
              <w:sz w:val="24"/>
              <w:szCs w:val="24"/>
            </w:rPr>
            <w:t>Pathways</w:t>
          </w:r>
          <w:r w:rsidR="00BB0E8A" w:rsidRPr="000E08DB">
            <w:rPr>
              <w:iCs/>
              <w:sz w:val="24"/>
              <w:szCs w:val="24"/>
            </w:rPr>
            <w:t xml:space="preserve"> and </w:t>
          </w:r>
          <w:r w:rsidR="00C854F3" w:rsidRPr="000E08DB">
            <w:rPr>
              <w:iCs/>
              <w:sz w:val="24"/>
              <w:szCs w:val="24"/>
            </w:rPr>
            <w:t>Outcomes</w:t>
          </w:r>
          <w:r w:rsidR="00BB0E8A" w:rsidRPr="000E08DB">
            <w:rPr>
              <w:iCs/>
              <w:sz w:val="24"/>
              <w:szCs w:val="24"/>
            </w:rPr>
            <w:t xml:space="preserve"> Study by Jobs and Skills Australia. </w:t>
          </w:r>
        </w:p>
        <w:p w14:paraId="36667F35" w14:textId="77777777" w:rsidR="00B14F20" w:rsidRPr="000E08DB" w:rsidRDefault="00B14F20"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491BA4D3" w14:textId="77777777">
            <w:tc>
              <w:tcPr>
                <w:tcW w:w="9016" w:type="dxa"/>
                <w:shd w:val="clear" w:color="auto" w:fill="E7E6E6" w:themeFill="background2"/>
              </w:tcPr>
              <w:p w14:paraId="152AE135" w14:textId="7A520C42" w:rsidR="00B14F20" w:rsidRPr="000E08DB" w:rsidRDefault="00B14F20" w:rsidP="00755613">
                <w:pPr>
                  <w:pStyle w:val="Heading2"/>
                  <w:jc w:val="both"/>
                  <w:rPr>
                    <w:rFonts w:asciiTheme="minorHAnsi" w:hAnsiTheme="minorHAnsi" w:cstheme="minorBidi"/>
                    <w:sz w:val="24"/>
                    <w:szCs w:val="24"/>
                  </w:rPr>
                </w:pPr>
                <w:bookmarkStart w:id="8" w:name="_Toc207627794"/>
                <w:r w:rsidRPr="000E08DB">
                  <w:rPr>
                    <w:rFonts w:asciiTheme="minorHAnsi" w:hAnsiTheme="minorHAnsi" w:cstheme="minorBidi"/>
                    <w:sz w:val="24"/>
                    <w:szCs w:val="24"/>
                  </w:rPr>
                  <w:lastRenderedPageBreak/>
                  <w:t>Recommendation 5</w:t>
                </w:r>
                <w:bookmarkEnd w:id="8"/>
              </w:p>
              <w:p w14:paraId="290E76A3" w14:textId="2B381CF8" w:rsidR="00B14F20" w:rsidRPr="000E08DB" w:rsidRDefault="00B14F20" w:rsidP="00755613">
                <w:pPr>
                  <w:jc w:val="both"/>
                  <w:rPr>
                    <w:rFonts w:cstheme="minorHAnsi"/>
                    <w:sz w:val="24"/>
                    <w:szCs w:val="24"/>
                  </w:rPr>
                </w:pPr>
                <w:r w:rsidRPr="000E08DB">
                  <w:rPr>
                    <w:rFonts w:cstheme="minorHAnsi"/>
                    <w:sz w:val="24"/>
                    <w:szCs w:val="24"/>
                  </w:rPr>
                  <w:t>The Committee recommends the Government establish a national work-integrated learning framework to oversight work-integrated learning placements. The work</w:t>
                </w:r>
                <w:r w:rsidR="00B27134" w:rsidRPr="000E08DB">
                  <w:rPr>
                    <w:rFonts w:cstheme="minorHAnsi"/>
                    <w:sz w:val="24"/>
                    <w:szCs w:val="24"/>
                  </w:rPr>
                  <w:noBreakHyphen/>
                </w:r>
                <w:r w:rsidRPr="000E08DB">
                  <w:rPr>
                    <w:rFonts w:cstheme="minorHAnsi"/>
                    <w:sz w:val="24"/>
                    <w:szCs w:val="24"/>
                  </w:rPr>
                  <w:t>integrated learning framework and any accompanying system changes should be developed in consultation with the international education sector, industry peak bodies and accreditation bodies and the work-integrated learning peak body, taking into consideration Fair Work Requirements and ensuring robust oversight of providers and businesses to prevent student exploitation and integrity loopholes.</w:t>
                </w:r>
              </w:p>
              <w:p w14:paraId="2AEA1086" w14:textId="77777777" w:rsidR="00B14F20" w:rsidRPr="000E08DB" w:rsidRDefault="00B14F20" w:rsidP="00755613">
                <w:pPr>
                  <w:jc w:val="both"/>
                  <w:rPr>
                    <w:sz w:val="24"/>
                    <w:szCs w:val="24"/>
                  </w:rPr>
                </w:pPr>
                <w:r w:rsidRPr="000E08DB">
                  <w:rPr>
                    <w:sz w:val="24"/>
                    <w:szCs w:val="24"/>
                  </w:rPr>
                  <w:t xml:space="preserve">The work-integrated learning accreditation system should support the integration of accreditation placements into the work-integrated learning program, where appropriate. Further sandwich courses, higher education apprenticeships and other paid work and learn integrated models of study are increasingly common in jurisdictions with whom Australia competes for international students. These models offer better integration between industry and educational </w:t>
                </w:r>
                <w:bookmarkStart w:id="9" w:name="_Int_XB8PPDBK"/>
                <w:r w:rsidRPr="000E08DB">
                  <w:rPr>
                    <w:sz w:val="24"/>
                    <w:szCs w:val="24"/>
                  </w:rPr>
                  <w:t>entities, and</w:t>
                </w:r>
                <w:bookmarkEnd w:id="9"/>
                <w:r w:rsidRPr="000E08DB">
                  <w:rPr>
                    <w:sz w:val="24"/>
                    <w:szCs w:val="24"/>
                  </w:rPr>
                  <w:t xml:space="preserve"> should be given immediate consideration by a taskforce established by the Government.</w:t>
                </w:r>
              </w:p>
              <w:p w14:paraId="7088BF31" w14:textId="77777777" w:rsidR="00B14F20" w:rsidRPr="000E08DB" w:rsidRDefault="00B14F20" w:rsidP="00755613">
                <w:pPr>
                  <w:jc w:val="both"/>
                  <w:rPr>
                    <w:rFonts w:cstheme="minorHAnsi"/>
                    <w:sz w:val="24"/>
                    <w:szCs w:val="24"/>
                  </w:rPr>
                </w:pPr>
              </w:p>
            </w:tc>
          </w:tr>
        </w:tbl>
        <w:p w14:paraId="448F0D64" w14:textId="77777777" w:rsidR="00B14F20" w:rsidRPr="000E08DB" w:rsidRDefault="00B14F20" w:rsidP="00755613">
          <w:pPr>
            <w:jc w:val="both"/>
            <w:rPr>
              <w:rFonts w:cstheme="minorHAnsi"/>
              <w:sz w:val="24"/>
              <w:szCs w:val="24"/>
            </w:rPr>
          </w:pPr>
        </w:p>
        <w:p w14:paraId="3F018DE5" w14:textId="5F7AA432" w:rsidR="00B14F20" w:rsidRPr="000E08DB" w:rsidRDefault="00033587"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 xml:space="preserve">agrees </w:t>
          </w:r>
          <w:r w:rsidR="00B14F20" w:rsidRPr="000E08DB">
            <w:rPr>
              <w:bCs/>
              <w:sz w:val="24"/>
              <w:szCs w:val="24"/>
            </w:rPr>
            <w:t>with</w:t>
          </w:r>
          <w:r w:rsidR="00B14F20" w:rsidRPr="000E08DB">
            <w:rPr>
              <w:b/>
              <w:sz w:val="24"/>
              <w:szCs w:val="24"/>
            </w:rPr>
            <w:t xml:space="preserve"> </w:t>
          </w:r>
          <w:r w:rsidR="00B14F20" w:rsidRPr="000E08DB">
            <w:rPr>
              <w:sz w:val="24"/>
              <w:szCs w:val="24"/>
            </w:rPr>
            <w:t xml:space="preserve">this </w:t>
          </w:r>
          <w:r w:rsidR="00B42639" w:rsidRPr="000E08DB">
            <w:rPr>
              <w:sz w:val="24"/>
              <w:szCs w:val="24"/>
            </w:rPr>
            <w:t>r</w:t>
          </w:r>
          <w:r w:rsidR="00B14F20" w:rsidRPr="000E08DB">
            <w:rPr>
              <w:sz w:val="24"/>
              <w:szCs w:val="24"/>
            </w:rPr>
            <w:t>ecommendation.</w:t>
          </w:r>
        </w:p>
        <w:p w14:paraId="5BDABEE1" w14:textId="77777777" w:rsidR="00182566" w:rsidRPr="000E08DB" w:rsidRDefault="00182566" w:rsidP="00755613">
          <w:pPr>
            <w:jc w:val="both"/>
            <w:rPr>
              <w:sz w:val="24"/>
              <w:szCs w:val="24"/>
            </w:rPr>
          </w:pPr>
          <w:r w:rsidRPr="000E08DB">
            <w:rPr>
              <w:sz w:val="24"/>
              <w:szCs w:val="24"/>
            </w:rPr>
            <w:t xml:space="preserve">The Government recognises the importance of work integrated learning to support international students to enhance their workplace and employability skills and graduate employment outcomes, while also ensuring that there is appropriate oversight of providers and businesses to comply with workplace relations laws including the </w:t>
          </w:r>
          <w:r w:rsidRPr="000E08DB">
            <w:rPr>
              <w:i/>
              <w:iCs/>
              <w:sz w:val="24"/>
              <w:szCs w:val="24"/>
            </w:rPr>
            <w:t>Fair Work Act 2009</w:t>
          </w:r>
          <w:r w:rsidRPr="000E08DB">
            <w:rPr>
              <w:sz w:val="24"/>
              <w:szCs w:val="24"/>
            </w:rPr>
            <w:t>, and to prevent, detect and remedy the exploitation of students.</w:t>
          </w:r>
        </w:p>
        <w:p w14:paraId="71D99A7F" w14:textId="1FF600A0" w:rsidR="00182566" w:rsidRPr="000E08DB" w:rsidRDefault="00182566" w:rsidP="00755613">
          <w:pPr>
            <w:jc w:val="both"/>
            <w:rPr>
              <w:sz w:val="24"/>
              <w:szCs w:val="24"/>
            </w:rPr>
          </w:pPr>
          <w:r w:rsidRPr="000E08DB">
            <w:rPr>
              <w:sz w:val="24"/>
              <w:szCs w:val="24"/>
            </w:rPr>
            <w:t xml:space="preserve">The benefits </w:t>
          </w:r>
          <w:r w:rsidR="001A65FD" w:rsidRPr="000E08DB">
            <w:rPr>
              <w:sz w:val="24"/>
              <w:szCs w:val="24"/>
            </w:rPr>
            <w:t xml:space="preserve">for international students </w:t>
          </w:r>
          <w:r w:rsidRPr="000E08DB">
            <w:rPr>
              <w:sz w:val="24"/>
              <w:szCs w:val="24"/>
            </w:rPr>
            <w:t xml:space="preserve">of work experience and volunteering during their studies is well documented. Through these experiences, international students build networks, develop their English language skills, and build the skills and attributes necessary to find work </w:t>
          </w:r>
          <w:r w:rsidR="00FE398E" w:rsidRPr="000E08DB">
            <w:rPr>
              <w:sz w:val="24"/>
              <w:szCs w:val="24"/>
            </w:rPr>
            <w:t>in</w:t>
          </w:r>
          <w:r w:rsidRPr="000E08DB">
            <w:rPr>
              <w:sz w:val="24"/>
              <w:szCs w:val="24"/>
            </w:rPr>
            <w:t xml:space="preserve"> their field of study.</w:t>
          </w:r>
        </w:p>
        <w:p w14:paraId="6D77E944" w14:textId="0416C21C" w:rsidR="00182566" w:rsidRPr="000E08DB" w:rsidRDefault="00182566" w:rsidP="00755613">
          <w:pPr>
            <w:jc w:val="both"/>
            <w:rPr>
              <w:sz w:val="24"/>
              <w:szCs w:val="24"/>
            </w:rPr>
          </w:pPr>
          <w:r w:rsidRPr="000E08DB">
            <w:rPr>
              <w:sz w:val="24"/>
              <w:szCs w:val="24"/>
            </w:rPr>
            <w:t xml:space="preserve">This recommendation aligns with the </w:t>
          </w:r>
          <w:r w:rsidR="00886D2D" w:rsidRPr="000E08DB">
            <w:rPr>
              <w:sz w:val="24"/>
              <w:szCs w:val="24"/>
            </w:rPr>
            <w:t xml:space="preserve">2022 Post Study Work Rights Working Group Report to the Ministers for Education and Home Affairs </w:t>
          </w:r>
          <w:r w:rsidRPr="000E08DB">
            <w:rPr>
              <w:sz w:val="24"/>
              <w:szCs w:val="24"/>
            </w:rPr>
            <w:t>which notes that “additional work experience during their studies can also assist graduates to be more work</w:t>
          </w:r>
          <w:r w:rsidR="7674E7FD" w:rsidRPr="000E08DB">
            <w:rPr>
              <w:sz w:val="24"/>
              <w:szCs w:val="24"/>
            </w:rPr>
            <w:t xml:space="preserve"> </w:t>
          </w:r>
          <w:r w:rsidRPr="000E08DB">
            <w:rPr>
              <w:sz w:val="24"/>
              <w:szCs w:val="24"/>
            </w:rPr>
            <w:t>ready upon graduation”.</w:t>
          </w:r>
        </w:p>
        <w:p w14:paraId="4A28AC7E" w14:textId="43DFB38D" w:rsidR="00B14F20" w:rsidRPr="000E08DB" w:rsidRDefault="00B14F20" w:rsidP="00755613">
          <w:pPr>
            <w:jc w:val="both"/>
            <w:rPr>
              <w:sz w:val="24"/>
              <w:szCs w:val="24"/>
            </w:rPr>
          </w:pPr>
          <w:r w:rsidRPr="000E08DB">
            <w:rPr>
              <w:sz w:val="24"/>
              <w:szCs w:val="24"/>
            </w:rPr>
            <w:t xml:space="preserve">The Government </w:t>
          </w:r>
          <w:r w:rsidR="00DE2AB9" w:rsidRPr="000E08DB">
            <w:rPr>
              <w:sz w:val="24"/>
              <w:szCs w:val="24"/>
            </w:rPr>
            <w:t>agrees to</w:t>
          </w:r>
          <w:r w:rsidRPr="000E08DB">
            <w:rPr>
              <w:sz w:val="24"/>
              <w:szCs w:val="24"/>
            </w:rPr>
            <w:t xml:space="preserve"> establish a work integrated learning working group to consider this recommendation in the context of other key government reforms</w:t>
          </w:r>
          <w:r w:rsidR="00DE2AB9" w:rsidRPr="000E08DB">
            <w:rPr>
              <w:sz w:val="24"/>
              <w:szCs w:val="24"/>
            </w:rPr>
            <w:t>,</w:t>
          </w:r>
          <w:r w:rsidRPr="000E08DB">
            <w:rPr>
              <w:sz w:val="24"/>
              <w:szCs w:val="24"/>
            </w:rPr>
            <w:t xml:space="preserve"> including the </w:t>
          </w:r>
          <w:r w:rsidR="00E62D9C" w:rsidRPr="000E08DB">
            <w:rPr>
              <w:iCs/>
              <w:sz w:val="24"/>
              <w:szCs w:val="24"/>
            </w:rPr>
            <w:t>Employment White Paper</w:t>
          </w:r>
          <w:r w:rsidRPr="000E08DB">
            <w:rPr>
              <w:iCs/>
              <w:sz w:val="24"/>
              <w:szCs w:val="24"/>
            </w:rPr>
            <w:t xml:space="preserve">, </w:t>
          </w:r>
          <w:r w:rsidRPr="000E08DB">
            <w:rPr>
              <w:sz w:val="24"/>
              <w:szCs w:val="24"/>
            </w:rPr>
            <w:t xml:space="preserve">the </w:t>
          </w:r>
          <w:r w:rsidRPr="000E08DB">
            <w:rPr>
              <w:iCs/>
              <w:sz w:val="24"/>
              <w:szCs w:val="24"/>
            </w:rPr>
            <w:t>Australian Universities Accord</w:t>
          </w:r>
          <w:r w:rsidR="00E62D9C" w:rsidRPr="000E08DB">
            <w:rPr>
              <w:iCs/>
              <w:sz w:val="24"/>
              <w:szCs w:val="24"/>
            </w:rPr>
            <w:t xml:space="preserve"> Final Report</w:t>
          </w:r>
          <w:r w:rsidR="008F5E51" w:rsidRPr="000E08DB">
            <w:rPr>
              <w:sz w:val="24"/>
              <w:szCs w:val="24"/>
            </w:rPr>
            <w:t>,</w:t>
          </w:r>
          <w:r w:rsidRPr="000E08DB">
            <w:rPr>
              <w:sz w:val="24"/>
              <w:szCs w:val="24"/>
            </w:rPr>
            <w:t xml:space="preserve"> the </w:t>
          </w:r>
          <w:r w:rsidRPr="000E08DB">
            <w:rPr>
              <w:iCs/>
              <w:sz w:val="24"/>
              <w:szCs w:val="24"/>
            </w:rPr>
            <w:t>Migration Strategy</w:t>
          </w:r>
          <w:r w:rsidR="00932C3F" w:rsidRPr="000E08DB">
            <w:rPr>
              <w:sz w:val="24"/>
              <w:szCs w:val="24"/>
            </w:rPr>
            <w:t>,</w:t>
          </w:r>
          <w:r w:rsidR="00B03C63">
            <w:rPr>
              <w:sz w:val="24"/>
              <w:szCs w:val="24"/>
            </w:rPr>
            <w:t xml:space="preserve"> </w:t>
          </w:r>
          <w:r w:rsidR="00DC4169" w:rsidRPr="000E08DB">
            <w:rPr>
              <w:sz w:val="24"/>
              <w:szCs w:val="24"/>
            </w:rPr>
            <w:t>Invested: Australia’s Southeast Asia Economic Strategy to 2040</w:t>
          </w:r>
          <w:r w:rsidR="005C1F3F" w:rsidRPr="000E08DB">
            <w:rPr>
              <w:sz w:val="24"/>
              <w:szCs w:val="24"/>
            </w:rPr>
            <w:t xml:space="preserve">, </w:t>
          </w:r>
          <w:r w:rsidR="00932C3F" w:rsidRPr="000E08DB">
            <w:rPr>
              <w:sz w:val="24"/>
              <w:szCs w:val="24"/>
            </w:rPr>
            <w:t>and the International Students Pathways and Outcomes Study by Jobs and Skills Australia</w:t>
          </w:r>
          <w:r w:rsidR="008F5E51" w:rsidRPr="000E08DB">
            <w:rPr>
              <w:i/>
              <w:iCs/>
              <w:sz w:val="24"/>
              <w:szCs w:val="24"/>
            </w:rPr>
            <w:t>.</w:t>
          </w:r>
          <w:r w:rsidR="00E30784" w:rsidRPr="000E08DB">
            <w:rPr>
              <w:i/>
              <w:iCs/>
              <w:sz w:val="24"/>
              <w:szCs w:val="24"/>
            </w:rPr>
            <w:t xml:space="preserve"> </w:t>
          </w:r>
          <w:r w:rsidR="00E30784" w:rsidRPr="000E08DB">
            <w:rPr>
              <w:sz w:val="24"/>
              <w:szCs w:val="24"/>
            </w:rPr>
            <w:t xml:space="preserve">The Government has also committed to deepen engagement in Southeast Asia through </w:t>
          </w:r>
          <w:r w:rsidR="00E30784" w:rsidRPr="000E08DB">
            <w:rPr>
              <w:i/>
              <w:iCs/>
              <w:sz w:val="24"/>
              <w:szCs w:val="24"/>
            </w:rPr>
            <w:t>Invested: Australia’s Southeast Asia Economic Strategy to 2040</w:t>
          </w:r>
          <w:r w:rsidR="00E30784" w:rsidRPr="000E08DB">
            <w:rPr>
              <w:sz w:val="24"/>
              <w:szCs w:val="24"/>
            </w:rPr>
            <w:t xml:space="preserve"> including encouraging universities and vocational education providers to offer work-integrated learning internships as part of course offerings to Southeast Asian students.</w:t>
          </w:r>
        </w:p>
        <w:p w14:paraId="156E4BFF" w14:textId="77777777" w:rsidR="00B14F20" w:rsidRPr="000E08DB" w:rsidRDefault="00B14F20" w:rsidP="00755613">
          <w:pPr>
            <w:jc w:val="both"/>
            <w:rPr>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3B99D3E8" w14:textId="77777777">
            <w:tc>
              <w:tcPr>
                <w:tcW w:w="9016" w:type="dxa"/>
                <w:shd w:val="clear" w:color="auto" w:fill="E7E6E6" w:themeFill="background2"/>
              </w:tcPr>
              <w:p w14:paraId="43663088" w14:textId="2E66D222" w:rsidR="00B14F20" w:rsidRPr="000E08DB" w:rsidRDefault="00B14F20" w:rsidP="00755613">
                <w:pPr>
                  <w:pStyle w:val="Heading2"/>
                  <w:jc w:val="both"/>
                  <w:rPr>
                    <w:rFonts w:asciiTheme="minorHAnsi" w:hAnsiTheme="minorHAnsi" w:cstheme="minorBidi"/>
                    <w:sz w:val="24"/>
                    <w:szCs w:val="24"/>
                  </w:rPr>
                </w:pPr>
                <w:bookmarkStart w:id="10" w:name="_Toc207627795"/>
                <w:r w:rsidRPr="000E08DB">
                  <w:rPr>
                    <w:rFonts w:asciiTheme="minorHAnsi" w:hAnsiTheme="minorHAnsi" w:cstheme="minorBidi"/>
                    <w:sz w:val="24"/>
                    <w:szCs w:val="24"/>
                  </w:rPr>
                  <w:lastRenderedPageBreak/>
                  <w:t>Recommendation 6</w:t>
                </w:r>
                <w:bookmarkEnd w:id="10"/>
              </w:p>
              <w:p w14:paraId="4260A267"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take a pro-active, interventionist approach in reviewing unreasonable barriers to qualified international student graduates filling skills shortage roles that are imposed by professional accreditation bodies, to identify opportunities to streamline and remove unnecessary requirements while preserving quality assurance. The Committee recommends these reviews target and assess, as a matter of priority, accreditation barriers and issues encountered by qualified international graduates in health and allied health professional fields. There should be a specific focus on accreditation issues in nursing, midwifery, and psychology, then professional trades and other critical skills shortage areas, as they emerge.</w:t>
                </w:r>
              </w:p>
              <w:p w14:paraId="104330D2" w14:textId="77777777" w:rsidR="00B14F20" w:rsidRPr="000E08DB" w:rsidRDefault="00B14F20" w:rsidP="00755613">
                <w:pPr>
                  <w:jc w:val="both"/>
                  <w:rPr>
                    <w:rFonts w:cstheme="minorHAnsi"/>
                    <w:sz w:val="24"/>
                    <w:szCs w:val="24"/>
                  </w:rPr>
                </w:pPr>
                <w:r w:rsidRPr="000E08DB">
                  <w:rPr>
                    <w:rFonts w:cstheme="minorHAnsi"/>
                    <w:sz w:val="24"/>
                    <w:szCs w:val="24"/>
                  </w:rPr>
                  <w:t>Consideration should be given to improving pathways to apprenticeships and work placements for both vocational education and training and university degrees for international students where skills shortages cannot be met domestically.</w:t>
                </w:r>
              </w:p>
              <w:p w14:paraId="7CB4B53D" w14:textId="77777777" w:rsidR="00B14F20" w:rsidRPr="000E08DB" w:rsidRDefault="00B14F20" w:rsidP="00755613">
                <w:pPr>
                  <w:jc w:val="both"/>
                  <w:rPr>
                    <w:rFonts w:cstheme="minorHAnsi"/>
                    <w:sz w:val="24"/>
                    <w:szCs w:val="24"/>
                  </w:rPr>
                </w:pPr>
              </w:p>
            </w:tc>
          </w:tr>
        </w:tbl>
        <w:p w14:paraId="176330BE" w14:textId="77777777" w:rsidR="00B14F20" w:rsidRPr="000E08DB" w:rsidRDefault="00B14F20" w:rsidP="00755613">
          <w:pPr>
            <w:jc w:val="both"/>
            <w:rPr>
              <w:rFonts w:cstheme="minorHAnsi"/>
              <w:sz w:val="24"/>
              <w:szCs w:val="24"/>
            </w:rPr>
          </w:pPr>
        </w:p>
        <w:p w14:paraId="5351AB1C" w14:textId="07B756E4" w:rsidR="00B14F20" w:rsidRPr="000E08DB" w:rsidRDefault="00B14F20" w:rsidP="00755613">
          <w:pPr>
            <w:pStyle w:val="paragraph"/>
            <w:spacing w:before="0" w:beforeAutospacing="0" w:after="160" w:afterAutospacing="0"/>
            <w:jc w:val="both"/>
            <w:rPr>
              <w:rFonts w:ascii="Calibri" w:eastAsia="Calibri" w:hAnsi="Calibri" w:cs="Calibri"/>
            </w:rPr>
          </w:pPr>
          <w:r w:rsidRPr="000E08DB">
            <w:rPr>
              <w:rFonts w:ascii="Calibri" w:eastAsia="Calibri" w:hAnsi="Calibri" w:cs="Calibri"/>
            </w:rPr>
            <w:t xml:space="preserve">The Australian Government </w:t>
          </w:r>
          <w:r w:rsidRPr="000E08DB">
            <w:rPr>
              <w:rFonts w:ascii="Calibri" w:eastAsia="Calibri" w:hAnsi="Calibri" w:cs="Calibri"/>
              <w:b/>
              <w:bCs/>
            </w:rPr>
            <w:t>agrees</w:t>
          </w:r>
          <w:r w:rsidR="000C6E53" w:rsidRPr="000E08DB">
            <w:rPr>
              <w:rFonts w:ascii="Calibri" w:eastAsia="Calibri" w:hAnsi="Calibri" w:cs="Calibri"/>
              <w:b/>
              <w:bCs/>
            </w:rPr>
            <w:t xml:space="preserve"> in-principle</w:t>
          </w:r>
          <w:r w:rsidRPr="000E08DB">
            <w:rPr>
              <w:rFonts w:ascii="Calibri" w:eastAsia="Calibri" w:hAnsi="Calibri" w:cs="Calibri"/>
              <w:b/>
              <w:bCs/>
            </w:rPr>
            <w:t xml:space="preserve"> </w:t>
          </w:r>
          <w:r w:rsidRPr="000E08DB">
            <w:rPr>
              <w:rFonts w:ascii="Calibri" w:eastAsia="Calibri" w:hAnsi="Calibri" w:cs="Calibri"/>
            </w:rPr>
            <w:t xml:space="preserve">with this </w:t>
          </w:r>
          <w:r w:rsidR="00B42639" w:rsidRPr="000E08DB">
            <w:rPr>
              <w:rFonts w:ascii="Calibri" w:eastAsia="Calibri" w:hAnsi="Calibri" w:cs="Calibri"/>
            </w:rPr>
            <w:t>r</w:t>
          </w:r>
          <w:r w:rsidRPr="000E08DB">
            <w:rPr>
              <w:rFonts w:ascii="Calibri" w:eastAsia="Calibri" w:hAnsi="Calibri" w:cs="Calibri"/>
            </w:rPr>
            <w:t>ecommendation.</w:t>
          </w:r>
        </w:p>
        <w:p w14:paraId="7F1E32F3" w14:textId="5D800FE3" w:rsidR="00B14F20" w:rsidRPr="000E08DB" w:rsidRDefault="00B14F20" w:rsidP="00755613">
          <w:pPr>
            <w:jc w:val="both"/>
            <w:rPr>
              <w:sz w:val="24"/>
              <w:szCs w:val="24"/>
            </w:rPr>
          </w:pPr>
          <w:r w:rsidRPr="000E08DB">
            <w:rPr>
              <w:sz w:val="24"/>
              <w:szCs w:val="24"/>
            </w:rPr>
            <w:t>The Government notes this recommendation</w:t>
          </w:r>
          <w:r w:rsidR="00956D1E" w:rsidRPr="000E08DB">
            <w:rPr>
              <w:sz w:val="24"/>
              <w:szCs w:val="24"/>
            </w:rPr>
            <w:t xml:space="preserve"> aligns</w:t>
          </w:r>
          <w:r w:rsidRPr="000E08DB">
            <w:rPr>
              <w:sz w:val="24"/>
              <w:szCs w:val="24"/>
            </w:rPr>
            <w:t xml:space="preserve"> with work undertaken </w:t>
          </w:r>
          <w:r w:rsidR="00F80534" w:rsidRPr="000E08DB">
            <w:rPr>
              <w:sz w:val="24"/>
              <w:szCs w:val="24"/>
            </w:rPr>
            <w:t>by</w:t>
          </w:r>
          <w:r w:rsidRPr="000E08DB">
            <w:rPr>
              <w:sz w:val="24"/>
              <w:szCs w:val="24"/>
            </w:rPr>
            <w:t xml:space="preserve"> </w:t>
          </w:r>
          <w:r w:rsidR="00BB307D" w:rsidRPr="000E08DB">
            <w:rPr>
              <w:sz w:val="24"/>
              <w:szCs w:val="24"/>
            </w:rPr>
            <w:t xml:space="preserve">DFAT </w:t>
          </w:r>
          <w:r w:rsidRPr="000E08DB">
            <w:rPr>
              <w:sz w:val="24"/>
              <w:szCs w:val="24"/>
            </w:rPr>
            <w:t xml:space="preserve">on Mutual Recognition Agreements for Professional Qualifications. </w:t>
          </w:r>
          <w:r w:rsidR="0048118F" w:rsidRPr="000E08DB">
            <w:rPr>
              <w:sz w:val="24"/>
              <w:szCs w:val="24"/>
            </w:rPr>
            <w:t xml:space="preserve">The </w:t>
          </w:r>
          <w:r w:rsidR="009F25DB" w:rsidRPr="000E08DB">
            <w:rPr>
              <w:sz w:val="24"/>
              <w:szCs w:val="24"/>
            </w:rPr>
            <w:t>Government</w:t>
          </w:r>
          <w:r w:rsidRPr="000E08DB">
            <w:rPr>
              <w:sz w:val="24"/>
              <w:szCs w:val="24"/>
            </w:rPr>
            <w:t xml:space="preserve"> will further consider matters relating to priority skills areas in line with the Migration Strategy, </w:t>
          </w:r>
          <w:r w:rsidR="00E62D9C" w:rsidRPr="000E08DB">
            <w:rPr>
              <w:sz w:val="24"/>
              <w:szCs w:val="24"/>
            </w:rPr>
            <w:t>Australian Universities Accord Final Report</w:t>
          </w:r>
          <w:r w:rsidR="00984115" w:rsidRPr="000E08DB">
            <w:rPr>
              <w:sz w:val="24"/>
              <w:szCs w:val="24"/>
            </w:rPr>
            <w:t>,</w:t>
          </w:r>
          <w:r w:rsidRPr="000E08DB">
            <w:rPr>
              <w:i/>
              <w:iCs/>
              <w:sz w:val="24"/>
              <w:szCs w:val="24"/>
            </w:rPr>
            <w:t xml:space="preserve"> </w:t>
          </w:r>
          <w:r w:rsidR="00F02299">
            <w:rPr>
              <w:sz w:val="24"/>
              <w:szCs w:val="24"/>
            </w:rPr>
            <w:t xml:space="preserve">the </w:t>
          </w:r>
          <w:r w:rsidR="00E62D9C" w:rsidRPr="000E08DB">
            <w:rPr>
              <w:sz w:val="24"/>
              <w:szCs w:val="24"/>
            </w:rPr>
            <w:t>Employment White Paper</w:t>
          </w:r>
          <w:r w:rsidR="00CA34CC" w:rsidRPr="000E08DB">
            <w:rPr>
              <w:sz w:val="24"/>
              <w:szCs w:val="24"/>
            </w:rPr>
            <w:t>, and the International Students Pathways and Outcomes Study by Jobs and Skills Australia.</w:t>
          </w:r>
        </w:p>
        <w:p w14:paraId="4495960E" w14:textId="1957EE40" w:rsidR="00B14F20" w:rsidRPr="000E08DB" w:rsidRDefault="004604A9" w:rsidP="004604A9">
          <w:pPr>
            <w:jc w:val="both"/>
            <w:rPr>
              <w:rFonts w:cstheme="minorHAnsi"/>
              <w:sz w:val="24"/>
              <w:szCs w:val="24"/>
            </w:rPr>
          </w:pPr>
          <w:r w:rsidRPr="000E08DB">
            <w:rPr>
              <w:rFonts w:cstheme="minorHAnsi"/>
              <w:sz w:val="24"/>
              <w:szCs w:val="24"/>
            </w:rPr>
            <w:t xml:space="preserve">The Government recognises that occupations are generally subject to </w:t>
          </w:r>
          <w:r w:rsidR="00866F99" w:rsidRPr="000E08DB">
            <w:rPr>
              <w:rFonts w:cstheme="minorHAnsi"/>
              <w:sz w:val="24"/>
              <w:szCs w:val="24"/>
            </w:rPr>
            <w:t>s</w:t>
          </w:r>
          <w:r w:rsidRPr="000E08DB">
            <w:rPr>
              <w:rFonts w:cstheme="minorHAnsi"/>
              <w:sz w:val="24"/>
              <w:szCs w:val="24"/>
            </w:rPr>
            <w:t xml:space="preserve">tate and </w:t>
          </w:r>
          <w:r w:rsidR="00866F99" w:rsidRPr="000E08DB">
            <w:rPr>
              <w:rFonts w:cstheme="minorHAnsi"/>
              <w:sz w:val="24"/>
              <w:szCs w:val="24"/>
            </w:rPr>
            <w:t>t</w:t>
          </w:r>
          <w:r w:rsidRPr="000E08DB">
            <w:rPr>
              <w:rFonts w:cstheme="minorHAnsi"/>
              <w:sz w:val="24"/>
              <w:szCs w:val="24"/>
            </w:rPr>
            <w:t xml:space="preserve">erritory licensing and regulatory oversight, with health and allied health professions being nationally regulated by the Australian Health Practitioner Regulation Agency (AHPRA). </w:t>
          </w:r>
        </w:p>
        <w:p w14:paraId="312440A3" w14:textId="6338EF1E" w:rsidR="00BA024F" w:rsidRPr="000E08DB" w:rsidRDefault="00BA024F" w:rsidP="004604A9">
          <w:pPr>
            <w:jc w:val="both"/>
            <w:rPr>
              <w:rFonts w:cstheme="minorHAnsi"/>
              <w:sz w:val="24"/>
              <w:szCs w:val="24"/>
            </w:rPr>
          </w:pPr>
          <w:r w:rsidRPr="000E08DB">
            <w:rPr>
              <w:rFonts w:cstheme="minorHAnsi"/>
              <w:sz w:val="24"/>
              <w:szCs w:val="24"/>
            </w:rPr>
            <w:t xml:space="preserve">The Government recently released the </w:t>
          </w:r>
          <w:r w:rsidRPr="000E08DB">
            <w:rPr>
              <w:rFonts w:cstheme="minorHAnsi"/>
              <w:i/>
              <w:iCs/>
              <w:sz w:val="24"/>
              <w:szCs w:val="24"/>
            </w:rPr>
            <w:t>Guiding Principles and Standards for Skilled Migration Assessing Authorities</w:t>
          </w:r>
          <w:r w:rsidRPr="000E08DB">
            <w:rPr>
              <w:rFonts w:cstheme="minorHAnsi"/>
              <w:sz w:val="24"/>
              <w:szCs w:val="24"/>
            </w:rPr>
            <w:t xml:space="preserve"> </w:t>
          </w:r>
          <w:r w:rsidR="00F02299">
            <w:rPr>
              <w:rFonts w:cstheme="minorHAnsi"/>
              <w:sz w:val="24"/>
              <w:szCs w:val="24"/>
            </w:rPr>
            <w:t xml:space="preserve">(the Guide) </w:t>
          </w:r>
          <w:r w:rsidRPr="000E08DB">
            <w:rPr>
              <w:rFonts w:cstheme="minorHAnsi"/>
              <w:sz w:val="24"/>
              <w:szCs w:val="24"/>
            </w:rPr>
            <w:t>(effective 1 October 2025)</w:t>
          </w:r>
          <w:r w:rsidRPr="000E08DB">
            <w:rPr>
              <w:rFonts w:ascii="Arial" w:hAnsi="Arial" w:cs="Arial"/>
            </w:rPr>
            <w:t xml:space="preserve"> </w:t>
          </w:r>
          <w:r w:rsidRPr="000E08DB">
            <w:rPr>
              <w:rFonts w:cstheme="minorHAnsi"/>
              <w:sz w:val="24"/>
              <w:szCs w:val="24"/>
            </w:rPr>
            <w:t>to improve the approach to skills assessments for migration purposes. The Guide will be supported by new legislative powers to impose conditions on assessing authorities. The completion of this work represents a significant milestone in the journey towards greater integrity and assurance measures in skills assessments. The Government will continue to work closely with industry, migrant representatives, assessing authorities and other stakeholders to understand the opportunities for systemic changes to lift the sector and strengthen its role within the broader skills, employment and migration system.</w:t>
          </w:r>
        </w:p>
        <w:p w14:paraId="472B8E0A" w14:textId="77777777" w:rsidR="00A63392" w:rsidRPr="000E08DB" w:rsidRDefault="00A63392" w:rsidP="00A63392">
          <w:pPr>
            <w:jc w:val="both"/>
            <w:rPr>
              <w:sz w:val="24"/>
              <w:szCs w:val="24"/>
            </w:rPr>
          </w:pPr>
          <w:r w:rsidRPr="000E08DB">
            <w:rPr>
              <w:rFonts w:cstheme="minorHAnsi"/>
              <w:sz w:val="24"/>
              <w:szCs w:val="24"/>
            </w:rPr>
            <w:t xml:space="preserve">As noted in the response to Recommendation 5, the Government recognises that work placements more broadly are critical to post-study employment outcomes, and will consider opportunities to further improve access to placements for international students, including </w:t>
          </w:r>
          <w:r w:rsidRPr="000E08DB">
            <w:rPr>
              <w:sz w:val="24"/>
              <w:szCs w:val="24"/>
            </w:rPr>
            <w:t xml:space="preserve">in the context of other key government reforms. </w:t>
          </w:r>
        </w:p>
        <w:p w14:paraId="7C23FB30" w14:textId="77777777" w:rsidR="00A63392" w:rsidRPr="000E08DB" w:rsidRDefault="00A63392" w:rsidP="004604A9">
          <w:pPr>
            <w:jc w:val="both"/>
            <w:rPr>
              <w:rFonts w:cstheme="minorHAnsi"/>
              <w:sz w:val="24"/>
              <w:szCs w:val="24"/>
            </w:rPr>
          </w:pPr>
        </w:p>
        <w:p w14:paraId="7E3643FB" w14:textId="77777777" w:rsidR="004604A9" w:rsidRPr="000E08DB" w:rsidRDefault="004604A9" w:rsidP="004604A9">
          <w:pPr>
            <w:jc w:val="both"/>
            <w:rPr>
              <w:rFonts w:cstheme="minorHAnsi"/>
              <w:sz w:val="24"/>
              <w:szCs w:val="24"/>
            </w:rPr>
          </w:pPr>
        </w:p>
        <w:p w14:paraId="0C5E0762" w14:textId="77777777" w:rsidR="00DE56DC" w:rsidRPr="000E08DB" w:rsidRDefault="00DE56DC" w:rsidP="004604A9">
          <w:pPr>
            <w:jc w:val="both"/>
            <w:rPr>
              <w:rFonts w:cstheme="minorHAnsi"/>
              <w:sz w:val="24"/>
              <w:szCs w:val="24"/>
            </w:rPr>
          </w:pPr>
        </w:p>
        <w:p w14:paraId="5CE47BC2" w14:textId="77777777" w:rsidR="00DE56DC" w:rsidRPr="000E08DB" w:rsidRDefault="00DE56DC" w:rsidP="004604A9">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2D41AEDE" w14:textId="77777777">
            <w:tc>
              <w:tcPr>
                <w:tcW w:w="9016" w:type="dxa"/>
                <w:shd w:val="clear" w:color="auto" w:fill="E7E6E6" w:themeFill="background2"/>
              </w:tcPr>
              <w:p w14:paraId="39AA61A4" w14:textId="6A0B0BC3" w:rsidR="00B14F20" w:rsidRPr="000E08DB" w:rsidRDefault="00B14F20" w:rsidP="00755613">
                <w:pPr>
                  <w:pStyle w:val="Heading2"/>
                  <w:jc w:val="both"/>
                  <w:rPr>
                    <w:rFonts w:asciiTheme="minorHAnsi" w:hAnsiTheme="minorHAnsi" w:cstheme="minorBidi"/>
                    <w:sz w:val="24"/>
                    <w:szCs w:val="24"/>
                  </w:rPr>
                </w:pPr>
                <w:bookmarkStart w:id="11" w:name="_Toc207627796"/>
                <w:r w:rsidRPr="000E08DB">
                  <w:rPr>
                    <w:rFonts w:asciiTheme="minorHAnsi" w:hAnsiTheme="minorHAnsi" w:cstheme="minorBidi"/>
                    <w:sz w:val="24"/>
                    <w:szCs w:val="24"/>
                  </w:rPr>
                  <w:t>Recommendation 7</w:t>
                </w:r>
                <w:bookmarkEnd w:id="11"/>
              </w:p>
              <w:p w14:paraId="5870A027"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in light of the highly dynamic nature of the international education sector and global markets and the continuously evolving policy and regulatory frameworks, an appropriate Parliamentary Committee hold a regular annual or biennial ‘check-in’ inquiry, either stand-alone or as part of a routine annual report inquiry by the Trade Subcommittee of the Joint Standing Committee of Foreign Affairs Defence and Trade.</w:t>
                </w:r>
              </w:p>
              <w:p w14:paraId="73BCCE42" w14:textId="77777777" w:rsidR="00B14F20" w:rsidRPr="000E08DB" w:rsidRDefault="00B14F20" w:rsidP="00755613">
                <w:pPr>
                  <w:jc w:val="both"/>
                  <w:rPr>
                    <w:rFonts w:cstheme="minorHAnsi"/>
                    <w:sz w:val="24"/>
                    <w:szCs w:val="24"/>
                  </w:rPr>
                </w:pPr>
              </w:p>
            </w:tc>
          </w:tr>
        </w:tbl>
        <w:p w14:paraId="4BDE3BE9" w14:textId="77777777" w:rsidR="00B14F20" w:rsidRPr="000E08DB" w:rsidRDefault="00B14F20" w:rsidP="00755613">
          <w:pPr>
            <w:jc w:val="both"/>
            <w:rPr>
              <w:rFonts w:cstheme="minorHAnsi"/>
              <w:sz w:val="24"/>
              <w:szCs w:val="24"/>
            </w:rPr>
          </w:pPr>
        </w:p>
        <w:p w14:paraId="27AD3B81" w14:textId="1FDA7C76" w:rsidR="00B14F20" w:rsidRPr="000E08DB" w:rsidRDefault="00033587"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5A455C" w:rsidRPr="000E08DB">
            <w:rPr>
              <w:b/>
              <w:sz w:val="24"/>
              <w:szCs w:val="24"/>
            </w:rPr>
            <w:t xml:space="preserve">notes </w:t>
          </w:r>
          <w:r w:rsidR="00B14F20" w:rsidRPr="000E08DB">
            <w:rPr>
              <w:sz w:val="24"/>
              <w:szCs w:val="24"/>
            </w:rPr>
            <w:t xml:space="preserve">this </w:t>
          </w:r>
          <w:r w:rsidR="00B42639" w:rsidRPr="000E08DB">
            <w:rPr>
              <w:sz w:val="24"/>
              <w:szCs w:val="24"/>
            </w:rPr>
            <w:t>r</w:t>
          </w:r>
          <w:r w:rsidR="00B14F20" w:rsidRPr="000E08DB">
            <w:rPr>
              <w:sz w:val="24"/>
              <w:szCs w:val="24"/>
            </w:rPr>
            <w:t xml:space="preserve">ecommendation. </w:t>
          </w:r>
        </w:p>
        <w:p w14:paraId="6227762B" w14:textId="77777777" w:rsidR="00A722D4" w:rsidRPr="000E08DB" w:rsidRDefault="00A722D4" w:rsidP="00755613">
          <w:pPr>
            <w:jc w:val="both"/>
            <w:rPr>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47F17538" w14:textId="77777777">
            <w:tc>
              <w:tcPr>
                <w:tcW w:w="9016" w:type="dxa"/>
                <w:shd w:val="clear" w:color="auto" w:fill="E7E6E6" w:themeFill="background2"/>
              </w:tcPr>
              <w:p w14:paraId="0CE1A2B9" w14:textId="5366B553" w:rsidR="00B14F20" w:rsidRPr="000E08DB" w:rsidRDefault="00B14F20" w:rsidP="00755613">
                <w:pPr>
                  <w:pStyle w:val="Heading2"/>
                  <w:jc w:val="both"/>
                  <w:rPr>
                    <w:rFonts w:asciiTheme="minorHAnsi" w:hAnsiTheme="minorHAnsi" w:cstheme="minorBidi"/>
                    <w:sz w:val="24"/>
                    <w:szCs w:val="24"/>
                  </w:rPr>
                </w:pPr>
                <w:bookmarkStart w:id="12" w:name="_Toc207627797"/>
                <w:r w:rsidRPr="000E08DB">
                  <w:rPr>
                    <w:rFonts w:asciiTheme="minorHAnsi" w:hAnsiTheme="minorHAnsi" w:cstheme="minorBidi"/>
                    <w:sz w:val="24"/>
                    <w:szCs w:val="24"/>
                  </w:rPr>
                  <w:t>Recommendation 8</w:t>
                </w:r>
                <w:bookmarkEnd w:id="12"/>
              </w:p>
              <w:p w14:paraId="472C3F6A"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develop an International Education Compact for the endorsement of National Cabinet, to clarify the roles and responsibilities of respective levels of government regarding the quality and integrity standards of Australia’s international education system and to improve international student experience. Such responsibilities, for example, may confirm:</w:t>
                </w:r>
              </w:p>
              <w:p w14:paraId="0789A5CB" w14:textId="77777777" w:rsidR="00B14F20" w:rsidRPr="000E08DB" w:rsidRDefault="00B14F20" w:rsidP="00755613">
                <w:pPr>
                  <w:pStyle w:val="ListParagraph"/>
                  <w:numPr>
                    <w:ilvl w:val="0"/>
                    <w:numId w:val="3"/>
                  </w:numPr>
                  <w:jc w:val="both"/>
                  <w:rPr>
                    <w:rFonts w:cstheme="minorHAnsi"/>
                    <w:sz w:val="24"/>
                    <w:szCs w:val="24"/>
                  </w:rPr>
                </w:pPr>
                <w:r w:rsidRPr="000E08DB">
                  <w:rPr>
                    <w:rFonts w:cstheme="minorHAnsi"/>
                    <w:sz w:val="24"/>
                    <w:szCs w:val="24"/>
                  </w:rPr>
                  <w:t>the Federal Government has lead responsibility for visa policy and processing, quality regulation (with states and territories referring Vocational Education and Training (VET) regulatory powers where necessary), agent regulation, leading the international marketing of Australian education (in collaboration with states and territories), consumer protection (including tuition protection schemes) and prevention of workplace exploitation for students</w:t>
                </w:r>
              </w:p>
              <w:p w14:paraId="46AA1FE2" w14:textId="77777777" w:rsidR="00B14F20" w:rsidRPr="000E08DB" w:rsidRDefault="00B14F20" w:rsidP="00755613">
                <w:pPr>
                  <w:pStyle w:val="ListParagraph"/>
                  <w:numPr>
                    <w:ilvl w:val="0"/>
                    <w:numId w:val="3"/>
                  </w:numPr>
                  <w:jc w:val="both"/>
                  <w:rPr>
                    <w:rFonts w:cstheme="minorHAnsi"/>
                    <w:sz w:val="24"/>
                    <w:szCs w:val="24"/>
                  </w:rPr>
                </w:pPr>
                <w:r w:rsidRPr="000E08DB">
                  <w:rPr>
                    <w:rFonts w:cstheme="minorHAnsi"/>
                    <w:sz w:val="24"/>
                    <w:szCs w:val="24"/>
                  </w:rPr>
                  <w:t>state and territory governments have lead responsibility for domestic transport including committing to uniform public transport concessions, accommodation, student welfare, community integration measures such as volunteering and participation in Australian community life and celebrating the contribution that international students make to Australian society, and destination marketing in collaboration with the Commonwealth</w:t>
                </w:r>
              </w:p>
              <w:p w14:paraId="0795F15B" w14:textId="77777777" w:rsidR="00B14F20" w:rsidRPr="000E08DB" w:rsidRDefault="00B14F20" w:rsidP="00755613">
                <w:pPr>
                  <w:pStyle w:val="ListParagraph"/>
                  <w:numPr>
                    <w:ilvl w:val="0"/>
                    <w:numId w:val="3"/>
                  </w:numPr>
                  <w:jc w:val="both"/>
                  <w:rPr>
                    <w:rFonts w:cstheme="minorHAnsi"/>
                    <w:sz w:val="24"/>
                    <w:szCs w:val="24"/>
                  </w:rPr>
                </w:pPr>
                <w:r w:rsidRPr="000E08DB">
                  <w:rPr>
                    <w:rFonts w:cstheme="minorHAnsi"/>
                    <w:sz w:val="24"/>
                    <w:szCs w:val="24"/>
                  </w:rPr>
                  <w:t>local council mayors have a special leadership role in fostering a culture of welcoming students into Australian communities and championing community inclusion</w:t>
                </w:r>
              </w:p>
              <w:p w14:paraId="1E58D1C7" w14:textId="77777777" w:rsidR="00B14F20" w:rsidRPr="000E08DB" w:rsidRDefault="00B14F20" w:rsidP="00755613">
                <w:pPr>
                  <w:pStyle w:val="ListParagraph"/>
                  <w:numPr>
                    <w:ilvl w:val="0"/>
                    <w:numId w:val="3"/>
                  </w:numPr>
                  <w:jc w:val="both"/>
                  <w:rPr>
                    <w:rFonts w:cstheme="minorHAnsi"/>
                    <w:sz w:val="24"/>
                    <w:szCs w:val="24"/>
                  </w:rPr>
                </w:pPr>
                <w:r w:rsidRPr="000E08DB">
                  <w:rPr>
                    <w:rFonts w:cstheme="minorHAnsi"/>
                    <w:sz w:val="24"/>
                    <w:szCs w:val="24"/>
                  </w:rPr>
                  <w:t>a proposal that the Governor-General, State Governors and Territory Administrators host an annual reception with leading international students or sector and civic awards to recognise the contribution that international students make to Australia and champion greater community inclusion</w:t>
                </w:r>
              </w:p>
              <w:p w14:paraId="50748F17" w14:textId="77777777" w:rsidR="00B14F20" w:rsidRPr="000E08DB" w:rsidRDefault="00B14F20" w:rsidP="00755613">
                <w:pPr>
                  <w:pStyle w:val="ListParagraph"/>
                  <w:numPr>
                    <w:ilvl w:val="0"/>
                    <w:numId w:val="3"/>
                  </w:numPr>
                  <w:jc w:val="both"/>
                  <w:rPr>
                    <w:rFonts w:cstheme="minorHAnsi"/>
                    <w:sz w:val="24"/>
                    <w:szCs w:val="24"/>
                  </w:rPr>
                </w:pPr>
                <w:r w:rsidRPr="000E08DB">
                  <w:rPr>
                    <w:rFonts w:cstheme="minorHAnsi"/>
                    <w:sz w:val="24"/>
                    <w:szCs w:val="24"/>
                  </w:rPr>
                  <w:t>shared responsibility to support the Council of International Students Australia (CISA) and similar international student organisations to build their capabilities as a support and resource bridge between domestic and international students, and for new international students to acclimatise to Australian life.</w:t>
                </w:r>
              </w:p>
              <w:p w14:paraId="22A2505B" w14:textId="77777777" w:rsidR="00B14F20" w:rsidRPr="000E08DB" w:rsidRDefault="00B14F20" w:rsidP="00755613">
                <w:pPr>
                  <w:jc w:val="both"/>
                  <w:rPr>
                    <w:rFonts w:cstheme="minorHAnsi"/>
                    <w:sz w:val="24"/>
                    <w:szCs w:val="24"/>
                  </w:rPr>
                </w:pPr>
              </w:p>
            </w:tc>
          </w:tr>
        </w:tbl>
        <w:p w14:paraId="152ACE19" w14:textId="77777777" w:rsidR="00B14F20" w:rsidRPr="000E08DB" w:rsidRDefault="00B14F20" w:rsidP="00755613">
          <w:pPr>
            <w:jc w:val="both"/>
            <w:rPr>
              <w:rFonts w:cstheme="minorHAnsi"/>
              <w:sz w:val="24"/>
              <w:szCs w:val="24"/>
            </w:rPr>
          </w:pPr>
        </w:p>
        <w:p w14:paraId="26314603" w14:textId="3D8C7C7F" w:rsidR="00B14F20" w:rsidRPr="000E08DB" w:rsidRDefault="00033587" w:rsidP="00755613">
          <w:pPr>
            <w:jc w:val="both"/>
            <w:rPr>
              <w:sz w:val="24"/>
              <w:szCs w:val="24"/>
            </w:rPr>
          </w:pPr>
          <w:r w:rsidRPr="000E08DB">
            <w:rPr>
              <w:rFonts w:ascii="Calibri" w:eastAsia="Calibri" w:hAnsi="Calibri" w:cs="Calibri"/>
              <w:sz w:val="24"/>
              <w:szCs w:val="24"/>
            </w:rPr>
            <w:t xml:space="preserve">The Australian Government </w:t>
          </w:r>
          <w:r w:rsidR="005761C0" w:rsidRPr="000E08DB">
            <w:rPr>
              <w:rFonts w:ascii="Calibri" w:eastAsia="Calibri" w:hAnsi="Calibri" w:cs="Calibri"/>
              <w:b/>
              <w:sz w:val="24"/>
              <w:szCs w:val="24"/>
            </w:rPr>
            <w:t xml:space="preserve">agrees in-principle </w:t>
          </w:r>
          <w:r w:rsidR="005761C0" w:rsidRPr="000E08DB">
            <w:rPr>
              <w:rFonts w:ascii="Calibri" w:eastAsia="Calibri" w:hAnsi="Calibri" w:cs="Calibri"/>
              <w:sz w:val="24"/>
              <w:szCs w:val="24"/>
            </w:rPr>
            <w:t>with</w:t>
          </w:r>
          <w:r w:rsidR="00B14F20" w:rsidRPr="000E08DB">
            <w:rPr>
              <w:b/>
              <w:sz w:val="24"/>
              <w:szCs w:val="24"/>
            </w:rPr>
            <w:t xml:space="preserve"> </w:t>
          </w:r>
          <w:r w:rsidR="00B14F20" w:rsidRPr="000E08DB">
            <w:rPr>
              <w:sz w:val="24"/>
              <w:szCs w:val="24"/>
            </w:rPr>
            <w:t xml:space="preserve">this </w:t>
          </w:r>
          <w:r w:rsidR="00B42639" w:rsidRPr="000E08DB">
            <w:rPr>
              <w:sz w:val="24"/>
              <w:szCs w:val="24"/>
            </w:rPr>
            <w:t>r</w:t>
          </w:r>
          <w:r w:rsidR="00B14F20" w:rsidRPr="000E08DB">
            <w:rPr>
              <w:sz w:val="24"/>
              <w:szCs w:val="24"/>
            </w:rPr>
            <w:t>ecommendation.</w:t>
          </w:r>
        </w:p>
        <w:p w14:paraId="4E72BFE9" w14:textId="501CCA01" w:rsidR="00DF18CE" w:rsidRPr="000E08DB" w:rsidRDefault="00B14F20" w:rsidP="00755613">
          <w:pPr>
            <w:jc w:val="both"/>
            <w:rPr>
              <w:sz w:val="24"/>
              <w:szCs w:val="24"/>
            </w:rPr>
          </w:pPr>
          <w:r w:rsidRPr="000E08DB">
            <w:rPr>
              <w:sz w:val="24"/>
              <w:szCs w:val="24"/>
            </w:rPr>
            <w:lastRenderedPageBreak/>
            <w:t xml:space="preserve">The Government works closely with </w:t>
          </w:r>
          <w:r w:rsidR="009B0BB7" w:rsidRPr="000E08DB">
            <w:rPr>
              <w:sz w:val="24"/>
              <w:szCs w:val="24"/>
            </w:rPr>
            <w:t>s</w:t>
          </w:r>
          <w:r w:rsidRPr="000E08DB">
            <w:rPr>
              <w:sz w:val="24"/>
              <w:szCs w:val="24"/>
            </w:rPr>
            <w:t xml:space="preserve">tates and </w:t>
          </w:r>
          <w:r w:rsidR="009B0BB7" w:rsidRPr="000E08DB">
            <w:rPr>
              <w:sz w:val="24"/>
              <w:szCs w:val="24"/>
            </w:rPr>
            <w:t>t</w:t>
          </w:r>
          <w:r w:rsidRPr="000E08DB">
            <w:rPr>
              <w:sz w:val="24"/>
              <w:szCs w:val="24"/>
            </w:rPr>
            <w:t>erritories through the Study Australia partnerships and regular meetings of the C</w:t>
          </w:r>
          <w:r w:rsidR="00F3189A" w:rsidRPr="000E08DB">
            <w:rPr>
              <w:sz w:val="24"/>
              <w:szCs w:val="24"/>
            </w:rPr>
            <w:t xml:space="preserve">ommonwealth </w:t>
          </w:r>
          <w:r w:rsidRPr="000E08DB">
            <w:rPr>
              <w:sz w:val="24"/>
              <w:szCs w:val="24"/>
            </w:rPr>
            <w:t>S</w:t>
          </w:r>
          <w:r w:rsidR="00F3189A" w:rsidRPr="000E08DB">
            <w:rPr>
              <w:sz w:val="24"/>
              <w:szCs w:val="24"/>
            </w:rPr>
            <w:t xml:space="preserve">tates and </w:t>
          </w:r>
          <w:r w:rsidRPr="000E08DB">
            <w:rPr>
              <w:sz w:val="24"/>
              <w:szCs w:val="24"/>
            </w:rPr>
            <w:t>T</w:t>
          </w:r>
          <w:r w:rsidR="00F3189A" w:rsidRPr="000E08DB">
            <w:rPr>
              <w:sz w:val="24"/>
              <w:szCs w:val="24"/>
            </w:rPr>
            <w:t xml:space="preserve">erritories </w:t>
          </w:r>
          <w:r w:rsidR="00873142" w:rsidRPr="000E08DB">
            <w:rPr>
              <w:sz w:val="24"/>
              <w:szCs w:val="24"/>
            </w:rPr>
            <w:t xml:space="preserve">International Education </w:t>
          </w:r>
          <w:r w:rsidR="00F60674" w:rsidRPr="000E08DB">
            <w:rPr>
              <w:sz w:val="24"/>
              <w:szCs w:val="24"/>
            </w:rPr>
            <w:t>Stakeholder</w:t>
          </w:r>
          <w:r w:rsidR="00873142" w:rsidRPr="000E08DB">
            <w:rPr>
              <w:sz w:val="24"/>
              <w:szCs w:val="24"/>
            </w:rPr>
            <w:t xml:space="preserve"> Forum </w:t>
          </w:r>
          <w:r w:rsidRPr="000E08DB">
            <w:rPr>
              <w:sz w:val="24"/>
              <w:szCs w:val="24"/>
            </w:rPr>
            <w:t xml:space="preserve">to ensure a quality student experience for international students and enhanced community engagement. States and </w:t>
          </w:r>
          <w:r w:rsidR="009B0BB7" w:rsidRPr="000E08DB">
            <w:rPr>
              <w:sz w:val="24"/>
              <w:szCs w:val="24"/>
            </w:rPr>
            <w:t>t</w:t>
          </w:r>
          <w:r w:rsidRPr="000E08DB">
            <w:rPr>
              <w:sz w:val="24"/>
              <w:szCs w:val="24"/>
            </w:rPr>
            <w:t>erritories also celebrate the contribution that international students make to Australian society through annual international student award ceremonies.</w:t>
          </w:r>
          <w:r w:rsidR="00DE56DC" w:rsidRPr="000E08DB">
            <w:rPr>
              <w:sz w:val="24"/>
              <w:szCs w:val="24"/>
            </w:rPr>
            <w:t xml:space="preserve"> </w:t>
          </w:r>
          <w:r w:rsidR="00DF18CE" w:rsidRPr="000E08DB">
            <w:rPr>
              <w:sz w:val="24"/>
              <w:szCs w:val="24"/>
            </w:rPr>
            <w:t xml:space="preserve">The Government </w:t>
          </w:r>
          <w:r w:rsidR="007E5DC6" w:rsidRPr="000E08DB">
            <w:rPr>
              <w:sz w:val="24"/>
              <w:szCs w:val="24"/>
            </w:rPr>
            <w:t xml:space="preserve">notes </w:t>
          </w:r>
          <w:r w:rsidR="001568EF" w:rsidRPr="000E08DB">
            <w:rPr>
              <w:sz w:val="24"/>
              <w:szCs w:val="24"/>
            </w:rPr>
            <w:t>the</w:t>
          </w:r>
          <w:r w:rsidR="00DF18CE" w:rsidRPr="000E08DB">
            <w:rPr>
              <w:sz w:val="24"/>
              <w:szCs w:val="24"/>
            </w:rPr>
            <w:t xml:space="preserve"> utility in confirming the roles and responsibilities </w:t>
          </w:r>
          <w:r w:rsidR="00E71BB2" w:rsidRPr="000E08DB">
            <w:rPr>
              <w:sz w:val="24"/>
              <w:szCs w:val="24"/>
            </w:rPr>
            <w:t>of</w:t>
          </w:r>
          <w:r w:rsidR="00DF18CE" w:rsidRPr="000E08DB">
            <w:rPr>
              <w:sz w:val="24"/>
              <w:szCs w:val="24"/>
            </w:rPr>
            <w:t xml:space="preserve"> different levels of government</w:t>
          </w:r>
          <w:r w:rsidR="00A722D4" w:rsidRPr="000E08DB">
            <w:rPr>
              <w:sz w:val="24"/>
              <w:szCs w:val="24"/>
            </w:rPr>
            <w:t>.</w:t>
          </w:r>
        </w:p>
        <w:p w14:paraId="4B643557" w14:textId="2BEA0515" w:rsidR="009A36A9" w:rsidRPr="000E08DB" w:rsidRDefault="00B14F20" w:rsidP="00755613">
          <w:pPr>
            <w:jc w:val="both"/>
            <w:rPr>
              <w:sz w:val="24"/>
              <w:szCs w:val="24"/>
            </w:rPr>
          </w:pPr>
          <w:r w:rsidRPr="000E08DB">
            <w:rPr>
              <w:sz w:val="24"/>
              <w:szCs w:val="24"/>
            </w:rPr>
            <w:t xml:space="preserve">The Government recognises the importance of </w:t>
          </w:r>
          <w:r w:rsidR="00E36B8B" w:rsidRPr="000E08DB">
            <w:rPr>
              <w:sz w:val="24"/>
              <w:szCs w:val="24"/>
            </w:rPr>
            <w:t xml:space="preserve">a sustainable and representative </w:t>
          </w:r>
          <w:r w:rsidRPr="000E08DB">
            <w:rPr>
              <w:sz w:val="24"/>
              <w:szCs w:val="24"/>
            </w:rPr>
            <w:t xml:space="preserve">student voice in policy development and implementation as well as within individual institutions. </w:t>
          </w:r>
        </w:p>
        <w:p w14:paraId="0396415B" w14:textId="77777777" w:rsidR="00205227" w:rsidRPr="000E08DB" w:rsidRDefault="00205227" w:rsidP="00755613">
          <w:pPr>
            <w:jc w:val="both"/>
            <w:rPr>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654D84D3" w14:textId="77777777">
            <w:tc>
              <w:tcPr>
                <w:tcW w:w="9016" w:type="dxa"/>
                <w:shd w:val="clear" w:color="auto" w:fill="E7E6E6" w:themeFill="background2"/>
              </w:tcPr>
              <w:p w14:paraId="6E630228" w14:textId="01C337C3" w:rsidR="00B14F20" w:rsidRPr="000E08DB" w:rsidRDefault="00B14F20" w:rsidP="00755613">
                <w:pPr>
                  <w:pStyle w:val="Heading2"/>
                  <w:jc w:val="both"/>
                  <w:rPr>
                    <w:rFonts w:asciiTheme="minorHAnsi" w:hAnsiTheme="minorHAnsi" w:cstheme="minorBidi"/>
                    <w:sz w:val="24"/>
                    <w:szCs w:val="24"/>
                  </w:rPr>
                </w:pPr>
                <w:bookmarkStart w:id="13" w:name="_Toc207627798"/>
                <w:r w:rsidRPr="000E08DB">
                  <w:rPr>
                    <w:rFonts w:asciiTheme="minorHAnsi" w:hAnsiTheme="minorHAnsi" w:cstheme="minorBidi"/>
                    <w:sz w:val="24"/>
                    <w:szCs w:val="24"/>
                  </w:rPr>
                  <w:t>Recommendation 9</w:t>
                </w:r>
                <w:bookmarkEnd w:id="13"/>
              </w:p>
              <w:p w14:paraId="6756B044"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use its convening power to encourage state and territory governments, local government authorities and universities to develop appropriate local accommodation models including home stay in their respective jurisdictions to help alleviate pressing student accommodation issues and deepen connections between international students and Australian society, highlighting the tax advantages for Australians who host up to two international students.</w:t>
                </w:r>
              </w:p>
              <w:p w14:paraId="03B504BD" w14:textId="77777777" w:rsidR="00B14F20" w:rsidRPr="000E08DB" w:rsidRDefault="00B14F20" w:rsidP="00755613">
                <w:pPr>
                  <w:jc w:val="both"/>
                  <w:rPr>
                    <w:rFonts w:cstheme="minorHAnsi"/>
                    <w:sz w:val="24"/>
                    <w:szCs w:val="24"/>
                  </w:rPr>
                </w:pPr>
                <w:r w:rsidRPr="000E08DB">
                  <w:rPr>
                    <w:rFonts w:cstheme="minorHAnsi"/>
                    <w:sz w:val="24"/>
                    <w:szCs w:val="24"/>
                  </w:rPr>
                  <w:t>Best Practice Home Stay models should be informed by the Gold Coast Council's ‘Host for Coast’ program and developed in consultation with established reputable homestay organisations such as the Australian Homestay Network and international education peak bodies and include:</w:t>
                </w:r>
              </w:p>
              <w:p w14:paraId="52836694" w14:textId="77777777" w:rsidR="00B14F20" w:rsidRPr="000E08DB" w:rsidRDefault="00B14F20" w:rsidP="00755613">
                <w:pPr>
                  <w:pStyle w:val="ListParagraph"/>
                  <w:numPr>
                    <w:ilvl w:val="0"/>
                    <w:numId w:val="4"/>
                  </w:numPr>
                  <w:jc w:val="both"/>
                  <w:rPr>
                    <w:rFonts w:cstheme="minorHAnsi"/>
                    <w:sz w:val="24"/>
                    <w:szCs w:val="24"/>
                  </w:rPr>
                </w:pPr>
                <w:r w:rsidRPr="000E08DB">
                  <w:rPr>
                    <w:rFonts w:cstheme="minorHAnsi"/>
                    <w:sz w:val="24"/>
                    <w:szCs w:val="24"/>
                  </w:rPr>
                  <w:t>formal eligibility review processes and ongoing quality assurance</w:t>
                </w:r>
              </w:p>
              <w:p w14:paraId="16032425" w14:textId="77777777" w:rsidR="00B14F20" w:rsidRPr="000E08DB" w:rsidRDefault="00B14F20" w:rsidP="00755613">
                <w:pPr>
                  <w:pStyle w:val="ListParagraph"/>
                  <w:numPr>
                    <w:ilvl w:val="0"/>
                    <w:numId w:val="4"/>
                  </w:numPr>
                  <w:jc w:val="both"/>
                  <w:rPr>
                    <w:rFonts w:cstheme="minorHAnsi"/>
                    <w:sz w:val="24"/>
                    <w:szCs w:val="24"/>
                  </w:rPr>
                </w:pPr>
                <w:r w:rsidRPr="000E08DB">
                  <w:rPr>
                    <w:rFonts w:cstheme="minorHAnsi"/>
                    <w:sz w:val="24"/>
                    <w:szCs w:val="24"/>
                  </w:rPr>
                  <w:t>strong risk management focus in the lower end of the education provider market to prevent accommodation exploitation, and forms of worker exploitation such as rental debt bondage</w:t>
                </w:r>
              </w:p>
              <w:p w14:paraId="118E53E5" w14:textId="77777777" w:rsidR="00B14F20" w:rsidRPr="000E08DB" w:rsidRDefault="00B14F20" w:rsidP="00755613">
                <w:pPr>
                  <w:pStyle w:val="ListParagraph"/>
                  <w:numPr>
                    <w:ilvl w:val="0"/>
                    <w:numId w:val="4"/>
                  </w:numPr>
                  <w:jc w:val="both"/>
                  <w:rPr>
                    <w:rFonts w:cstheme="minorHAnsi"/>
                    <w:sz w:val="24"/>
                    <w:szCs w:val="24"/>
                  </w:rPr>
                </w:pPr>
                <w:r w:rsidRPr="000E08DB">
                  <w:rPr>
                    <w:rFonts w:cstheme="minorHAnsi"/>
                    <w:sz w:val="24"/>
                    <w:szCs w:val="24"/>
                  </w:rPr>
                  <w:t>focus on home stay opportunities that support providers and communities in regional Australia</w:t>
                </w:r>
              </w:p>
              <w:p w14:paraId="1C35315D" w14:textId="77777777" w:rsidR="00B14F20" w:rsidRPr="000E08DB" w:rsidRDefault="00B14F20" w:rsidP="00755613">
                <w:pPr>
                  <w:pStyle w:val="ListParagraph"/>
                  <w:numPr>
                    <w:ilvl w:val="0"/>
                    <w:numId w:val="4"/>
                  </w:numPr>
                  <w:jc w:val="both"/>
                  <w:rPr>
                    <w:rFonts w:cstheme="minorHAnsi"/>
                    <w:sz w:val="24"/>
                    <w:szCs w:val="24"/>
                  </w:rPr>
                </w:pPr>
                <w:r w:rsidRPr="000E08DB">
                  <w:rPr>
                    <w:rFonts w:cstheme="minorHAnsi"/>
                    <w:sz w:val="24"/>
                    <w:szCs w:val="24"/>
                  </w:rPr>
                  <w:t>a specific focus on home stay support for (domestic and international student) regional placements.</w:t>
                </w:r>
              </w:p>
              <w:p w14:paraId="3FB386F7" w14:textId="77777777" w:rsidR="00B14F20" w:rsidRPr="000E08DB" w:rsidRDefault="00B14F20" w:rsidP="00755613">
                <w:pPr>
                  <w:jc w:val="both"/>
                  <w:rPr>
                    <w:rFonts w:cstheme="minorHAnsi"/>
                    <w:sz w:val="24"/>
                    <w:szCs w:val="24"/>
                  </w:rPr>
                </w:pPr>
              </w:p>
            </w:tc>
          </w:tr>
        </w:tbl>
        <w:p w14:paraId="69ED7D59" w14:textId="77777777" w:rsidR="00B14F20" w:rsidRPr="000E08DB" w:rsidRDefault="00B14F20" w:rsidP="00755613">
          <w:pPr>
            <w:jc w:val="both"/>
            <w:rPr>
              <w:rFonts w:cstheme="minorHAnsi"/>
              <w:sz w:val="24"/>
              <w:szCs w:val="24"/>
            </w:rPr>
          </w:pPr>
        </w:p>
        <w:p w14:paraId="56EEB259" w14:textId="67D663FA" w:rsidR="00B14F20" w:rsidRPr="000E08DB" w:rsidRDefault="00033587" w:rsidP="00755613">
          <w:pPr>
            <w:jc w:val="both"/>
            <w:rPr>
              <w:rStyle w:val="eop"/>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7D1D57" w:rsidRPr="000E08DB">
            <w:rPr>
              <w:b/>
              <w:sz w:val="24"/>
              <w:szCs w:val="24"/>
            </w:rPr>
            <w:t>notes</w:t>
          </w:r>
          <w:r w:rsidR="00B14F20" w:rsidRPr="000E08DB">
            <w:rPr>
              <w:b/>
              <w:sz w:val="24"/>
              <w:szCs w:val="24"/>
            </w:rPr>
            <w:t xml:space="preserve"> </w:t>
          </w:r>
          <w:r w:rsidR="00B14F20" w:rsidRPr="000E08DB">
            <w:rPr>
              <w:sz w:val="24"/>
              <w:szCs w:val="24"/>
            </w:rPr>
            <w:t xml:space="preserve">this </w:t>
          </w:r>
          <w:r w:rsidR="00B42639" w:rsidRPr="000E08DB">
            <w:rPr>
              <w:sz w:val="24"/>
              <w:szCs w:val="24"/>
            </w:rPr>
            <w:t>r</w:t>
          </w:r>
          <w:r w:rsidR="00B14F20" w:rsidRPr="000E08DB">
            <w:rPr>
              <w:sz w:val="24"/>
              <w:szCs w:val="24"/>
            </w:rPr>
            <w:t>ecommendation.</w:t>
          </w:r>
        </w:p>
        <w:p w14:paraId="13EDDD98" w14:textId="054737BC" w:rsidR="00B14F20" w:rsidRPr="000E08DB" w:rsidRDefault="005E7ACF" w:rsidP="00755613">
          <w:pPr>
            <w:jc w:val="both"/>
            <w:rPr>
              <w:rFonts w:cstheme="minorHAnsi"/>
              <w:i/>
              <w:iCs/>
              <w:sz w:val="24"/>
              <w:szCs w:val="24"/>
            </w:rPr>
          </w:pPr>
          <w:r w:rsidRPr="000E08DB">
            <w:rPr>
              <w:sz w:val="24"/>
              <w:szCs w:val="24"/>
            </w:rPr>
            <w:t xml:space="preserve">The Government </w:t>
          </w:r>
          <w:r w:rsidR="007D1D57" w:rsidRPr="000E08DB">
            <w:rPr>
              <w:sz w:val="24"/>
              <w:szCs w:val="24"/>
            </w:rPr>
            <w:t>is working with</w:t>
          </w:r>
          <w:r w:rsidRPr="000E08DB">
            <w:rPr>
              <w:sz w:val="24"/>
              <w:szCs w:val="24"/>
            </w:rPr>
            <w:t xml:space="preserve"> state and territory, local governments and education providers to develop accommodation models</w:t>
          </w:r>
          <w:r w:rsidR="0019264A" w:rsidRPr="000E08DB">
            <w:rPr>
              <w:sz w:val="24"/>
              <w:szCs w:val="24"/>
            </w:rPr>
            <w:t xml:space="preserve"> </w:t>
          </w:r>
          <w:r w:rsidRPr="000E08DB">
            <w:rPr>
              <w:sz w:val="24"/>
              <w:szCs w:val="24"/>
            </w:rPr>
            <w:t>to</w:t>
          </w:r>
          <w:r w:rsidR="00EE0600" w:rsidRPr="000E08DB">
            <w:rPr>
              <w:sz w:val="24"/>
              <w:szCs w:val="24"/>
            </w:rPr>
            <w:t xml:space="preserve"> increase the</w:t>
          </w:r>
          <w:r w:rsidRPr="000E08DB">
            <w:rPr>
              <w:sz w:val="24"/>
              <w:szCs w:val="24"/>
            </w:rPr>
            <w:t xml:space="preserve"> </w:t>
          </w:r>
          <w:r w:rsidR="00EE0600" w:rsidRPr="000E08DB">
            <w:rPr>
              <w:sz w:val="24"/>
              <w:szCs w:val="24"/>
            </w:rPr>
            <w:t>provision of student accommodation, to ensure both domestic and international students have access to safe and secure housing</w:t>
          </w:r>
          <w:r w:rsidR="003D6BCA" w:rsidRPr="000E08DB">
            <w:rPr>
              <w:sz w:val="24"/>
              <w:szCs w:val="24"/>
            </w:rPr>
            <w:t>.</w:t>
          </w:r>
        </w:p>
        <w:p w14:paraId="46096797" w14:textId="77777777" w:rsidR="00DE56DC" w:rsidRPr="000E08DB" w:rsidRDefault="00DE56DC" w:rsidP="00755613">
          <w:pPr>
            <w:jc w:val="both"/>
            <w:rPr>
              <w:rFonts w:cstheme="minorHAnsi"/>
              <w:i/>
              <w:iCs/>
              <w:color w:val="C00000"/>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5969B418" w14:textId="77777777">
            <w:tc>
              <w:tcPr>
                <w:tcW w:w="9016" w:type="dxa"/>
                <w:shd w:val="clear" w:color="auto" w:fill="E7E6E6" w:themeFill="background2"/>
              </w:tcPr>
              <w:p w14:paraId="275ABB9B" w14:textId="268DD408" w:rsidR="00B14F20" w:rsidRPr="000E08DB" w:rsidRDefault="00B14F20" w:rsidP="00891560">
                <w:pPr>
                  <w:pStyle w:val="Heading2"/>
                  <w:ind w:left="720" w:hanging="720"/>
                  <w:jc w:val="both"/>
                  <w:rPr>
                    <w:rFonts w:asciiTheme="minorHAnsi" w:hAnsiTheme="minorHAnsi" w:cstheme="minorBidi"/>
                    <w:sz w:val="24"/>
                    <w:szCs w:val="24"/>
                  </w:rPr>
                </w:pPr>
                <w:bookmarkStart w:id="14" w:name="_Toc207627799"/>
                <w:r w:rsidRPr="000E08DB">
                  <w:rPr>
                    <w:rFonts w:asciiTheme="minorHAnsi" w:hAnsiTheme="minorHAnsi" w:cstheme="minorBidi"/>
                    <w:sz w:val="24"/>
                    <w:szCs w:val="24"/>
                  </w:rPr>
                  <w:lastRenderedPageBreak/>
                  <w:t>Recommendation 10</w:t>
                </w:r>
                <w:bookmarkEnd w:id="14"/>
              </w:p>
              <w:p w14:paraId="5EDBE34D"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urgently work to foster the expansion of the Purpose-Built Student Accommodation (PBSA) sector including:</w:t>
                </w:r>
              </w:p>
              <w:p w14:paraId="34ABF171" w14:textId="77777777" w:rsidR="00B14F20" w:rsidRPr="000E08DB" w:rsidRDefault="00B14F20" w:rsidP="00755613">
                <w:pPr>
                  <w:pStyle w:val="ListParagraph"/>
                  <w:numPr>
                    <w:ilvl w:val="0"/>
                    <w:numId w:val="5"/>
                  </w:numPr>
                  <w:jc w:val="both"/>
                  <w:rPr>
                    <w:rFonts w:cstheme="minorHAnsi"/>
                    <w:sz w:val="24"/>
                    <w:szCs w:val="24"/>
                  </w:rPr>
                </w:pPr>
                <w:r w:rsidRPr="000E08DB">
                  <w:rPr>
                    <w:rFonts w:cstheme="minorHAnsi"/>
                    <w:sz w:val="24"/>
                    <w:szCs w:val="24"/>
                  </w:rPr>
                  <w:t>examining mechanisms to boost domestic and superannuation fund investment into PBSA (as the majority of capital invested at present is foreign) including support for a new asset class of PBSA, recognising that it is now a mature and specialist housing product</w:t>
                </w:r>
              </w:p>
              <w:p w14:paraId="435A482E" w14:textId="77777777" w:rsidR="00B14F20" w:rsidRPr="000E08DB" w:rsidRDefault="00B14F20" w:rsidP="00755613">
                <w:pPr>
                  <w:pStyle w:val="ListParagraph"/>
                  <w:numPr>
                    <w:ilvl w:val="0"/>
                    <w:numId w:val="5"/>
                  </w:numPr>
                  <w:jc w:val="both"/>
                  <w:rPr>
                    <w:rFonts w:cstheme="minorHAnsi"/>
                    <w:sz w:val="24"/>
                    <w:szCs w:val="24"/>
                  </w:rPr>
                </w:pPr>
                <w:r w:rsidRPr="000E08DB">
                  <w:rPr>
                    <w:rFonts w:cstheme="minorHAnsi"/>
                    <w:sz w:val="24"/>
                    <w:szCs w:val="24"/>
                  </w:rPr>
                  <w:t>engaging with state, territory and local governments to remove planning and development impediments to PBSA developments</w:t>
                </w:r>
              </w:p>
              <w:p w14:paraId="798FD52A" w14:textId="77777777" w:rsidR="00B14F20" w:rsidRPr="000E08DB" w:rsidRDefault="00B14F20" w:rsidP="00755613">
                <w:pPr>
                  <w:pStyle w:val="ListParagraph"/>
                  <w:numPr>
                    <w:ilvl w:val="0"/>
                    <w:numId w:val="5"/>
                  </w:numPr>
                  <w:jc w:val="both"/>
                  <w:rPr>
                    <w:rFonts w:cstheme="minorHAnsi"/>
                    <w:sz w:val="24"/>
                    <w:szCs w:val="24"/>
                  </w:rPr>
                </w:pPr>
                <w:r w:rsidRPr="000E08DB">
                  <w:rPr>
                    <w:rFonts w:cstheme="minorHAnsi"/>
                    <w:sz w:val="24"/>
                    <w:szCs w:val="24"/>
                  </w:rPr>
                  <w:t>working with regional universities and considering incentives to support PBSA developments in regional Australia.</w:t>
                </w:r>
              </w:p>
              <w:p w14:paraId="1DF19EE7" w14:textId="77777777" w:rsidR="00B14F20" w:rsidRPr="000E08DB" w:rsidRDefault="00B14F20" w:rsidP="00755613">
                <w:pPr>
                  <w:jc w:val="both"/>
                  <w:rPr>
                    <w:rFonts w:cstheme="minorHAnsi"/>
                    <w:sz w:val="24"/>
                    <w:szCs w:val="24"/>
                  </w:rPr>
                </w:pPr>
              </w:p>
            </w:tc>
          </w:tr>
        </w:tbl>
        <w:p w14:paraId="472EF50E" w14:textId="77777777" w:rsidR="00B14F20" w:rsidRPr="000E08DB" w:rsidRDefault="00B14F20" w:rsidP="00755613">
          <w:pPr>
            <w:jc w:val="both"/>
            <w:rPr>
              <w:rFonts w:cstheme="minorHAnsi"/>
              <w:sz w:val="24"/>
              <w:szCs w:val="24"/>
            </w:rPr>
          </w:pPr>
        </w:p>
        <w:p w14:paraId="17300B22" w14:textId="6D6C00B4" w:rsidR="00A82477" w:rsidRPr="000E08DB" w:rsidRDefault="00A82477" w:rsidP="00A82477">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Pr="000E08DB">
            <w:rPr>
              <w:b/>
              <w:bCs/>
              <w:sz w:val="24"/>
              <w:szCs w:val="24"/>
            </w:rPr>
            <w:t>agrees</w:t>
          </w:r>
          <w:r w:rsidR="00BA6A8D" w:rsidRPr="000E08DB">
            <w:rPr>
              <w:b/>
              <w:bCs/>
              <w:sz w:val="24"/>
              <w:szCs w:val="24"/>
            </w:rPr>
            <w:t xml:space="preserve"> </w:t>
          </w:r>
          <w:r w:rsidRPr="000E08DB">
            <w:rPr>
              <w:b/>
              <w:bCs/>
              <w:sz w:val="24"/>
              <w:szCs w:val="24"/>
            </w:rPr>
            <w:t>in-principle</w:t>
          </w:r>
          <w:r w:rsidRPr="000E08DB">
            <w:rPr>
              <w:sz w:val="24"/>
              <w:szCs w:val="24"/>
            </w:rPr>
            <w:t xml:space="preserve"> with this recommendation.</w:t>
          </w:r>
        </w:p>
        <w:p w14:paraId="2927CCDA" w14:textId="303B4215" w:rsidR="00A82477" w:rsidRPr="000E08DB" w:rsidRDefault="00A82477" w:rsidP="00A82477">
          <w:pPr>
            <w:jc w:val="both"/>
            <w:rPr>
              <w:rFonts w:cstheme="minorHAnsi"/>
              <w:sz w:val="24"/>
              <w:szCs w:val="24"/>
            </w:rPr>
          </w:pPr>
          <w:r w:rsidRPr="000E08DB">
            <w:rPr>
              <w:rFonts w:cstheme="minorHAnsi"/>
              <w:sz w:val="24"/>
              <w:szCs w:val="24"/>
            </w:rPr>
            <w:t xml:space="preserve">The Government recognises the critical role of Purpose-Built Student Accommodation (PBSA) to alleviate accommodation shortages, particularly in the student market. </w:t>
          </w:r>
          <w:r w:rsidR="00710B09" w:rsidRPr="000E08DB">
            <w:rPr>
              <w:rFonts w:cstheme="minorHAnsi"/>
              <w:sz w:val="24"/>
              <w:szCs w:val="24"/>
            </w:rPr>
            <w:t xml:space="preserve">There is a growing pipeline of additional PBSA, with more than 11,000 beds under construction, </w:t>
          </w:r>
          <w:r w:rsidR="00D74A33" w:rsidRPr="000E08DB">
            <w:rPr>
              <w:rFonts w:cstheme="minorHAnsi"/>
              <w:sz w:val="24"/>
              <w:szCs w:val="24"/>
            </w:rPr>
            <w:t xml:space="preserve">more than </w:t>
          </w:r>
          <w:r w:rsidR="00710B09" w:rsidRPr="000E08DB">
            <w:rPr>
              <w:rFonts w:cstheme="minorHAnsi"/>
              <w:sz w:val="24"/>
              <w:szCs w:val="24"/>
            </w:rPr>
            <w:t>1</w:t>
          </w:r>
          <w:r w:rsidR="00D74A33" w:rsidRPr="000E08DB">
            <w:rPr>
              <w:rFonts w:cstheme="minorHAnsi"/>
              <w:sz w:val="24"/>
              <w:szCs w:val="24"/>
            </w:rPr>
            <w:t>5</w:t>
          </w:r>
          <w:r w:rsidR="00710B09" w:rsidRPr="000E08DB">
            <w:rPr>
              <w:rFonts w:cstheme="minorHAnsi"/>
              <w:sz w:val="24"/>
              <w:szCs w:val="24"/>
            </w:rPr>
            <w:t>,000 with development approvals in place and over 12,000 in the planning process.</w:t>
          </w:r>
        </w:p>
        <w:p w14:paraId="1EBFD740" w14:textId="1A3A2C0A" w:rsidR="0081651F" w:rsidRPr="000E08DB" w:rsidRDefault="0081651F" w:rsidP="00755613">
          <w:pPr>
            <w:jc w:val="both"/>
            <w:rPr>
              <w:rFonts w:cstheme="minorHAnsi"/>
              <w:sz w:val="24"/>
              <w:szCs w:val="24"/>
            </w:rPr>
          </w:pPr>
          <w:r w:rsidRPr="000E08DB">
            <w:rPr>
              <w:rFonts w:cstheme="minorHAnsi"/>
              <w:sz w:val="24"/>
              <w:szCs w:val="24"/>
            </w:rPr>
            <w:t>The Government has made clear to publicly funded universities that increasing the provision of safe and secure student accommodation for both domestic and international students</w:t>
          </w:r>
          <w:r w:rsidR="004E7302" w:rsidRPr="000E08DB">
            <w:rPr>
              <w:rFonts w:cstheme="minorHAnsi"/>
              <w:sz w:val="24"/>
              <w:szCs w:val="24"/>
            </w:rPr>
            <w:t>, including through PBSA,</w:t>
          </w:r>
          <w:r w:rsidRPr="000E08DB">
            <w:rPr>
              <w:rFonts w:cstheme="minorHAnsi"/>
              <w:sz w:val="24"/>
              <w:szCs w:val="24"/>
            </w:rPr>
            <w:t xml:space="preserve"> is a priority. This priority is reflected in policy settings for </w:t>
          </w:r>
          <w:r w:rsidR="00BD619A" w:rsidRPr="000E08DB">
            <w:rPr>
              <w:rFonts w:cstheme="minorHAnsi"/>
              <w:sz w:val="24"/>
              <w:szCs w:val="24"/>
            </w:rPr>
            <w:t xml:space="preserve">a </w:t>
          </w:r>
          <w:r w:rsidRPr="000E08DB">
            <w:rPr>
              <w:rFonts w:cstheme="minorHAnsi"/>
              <w:sz w:val="24"/>
              <w:szCs w:val="24"/>
            </w:rPr>
            <w:t xml:space="preserve">managed </w:t>
          </w:r>
          <w:r w:rsidR="00BD2A20" w:rsidRPr="000E08DB">
            <w:rPr>
              <w:rFonts w:cstheme="minorHAnsi"/>
              <w:sz w:val="24"/>
              <w:szCs w:val="24"/>
            </w:rPr>
            <w:t>system</w:t>
          </w:r>
          <w:r w:rsidRPr="000E08DB">
            <w:rPr>
              <w:rFonts w:cstheme="minorHAnsi"/>
              <w:sz w:val="24"/>
              <w:szCs w:val="24"/>
            </w:rPr>
            <w:t xml:space="preserve"> of international education in Australia.</w:t>
          </w:r>
          <w:r w:rsidR="002D532E" w:rsidRPr="000E08DB">
            <w:rPr>
              <w:rFonts w:cstheme="minorHAnsi"/>
              <w:sz w:val="24"/>
              <w:szCs w:val="24"/>
            </w:rPr>
            <w:t xml:space="preserve"> In its settings for 2026, </w:t>
          </w:r>
          <w:r w:rsidR="00EB695F" w:rsidRPr="000E08DB">
            <w:rPr>
              <w:rFonts w:cstheme="minorHAnsi"/>
              <w:sz w:val="24"/>
              <w:szCs w:val="24"/>
            </w:rPr>
            <w:t xml:space="preserve">the Government established an application process for universities through which they can apply for an increase in their </w:t>
          </w:r>
          <w:r w:rsidR="00C36670" w:rsidRPr="000E08DB">
            <w:rPr>
              <w:rFonts w:cstheme="minorHAnsi"/>
              <w:sz w:val="24"/>
              <w:szCs w:val="24"/>
            </w:rPr>
            <w:t>New Overseas Student Commencement (NOSC) allocation</w:t>
          </w:r>
          <w:r w:rsidR="00062DA7" w:rsidRPr="000E08DB">
            <w:rPr>
              <w:rFonts w:cstheme="minorHAnsi"/>
              <w:sz w:val="24"/>
              <w:szCs w:val="24"/>
            </w:rPr>
            <w:t xml:space="preserve">, with </w:t>
          </w:r>
          <w:r w:rsidR="0077677B" w:rsidRPr="000E08DB">
            <w:rPr>
              <w:rFonts w:cstheme="minorHAnsi"/>
              <w:sz w:val="24"/>
              <w:szCs w:val="24"/>
            </w:rPr>
            <w:t xml:space="preserve">student </w:t>
          </w:r>
          <w:r w:rsidR="00D32FF9" w:rsidRPr="000E08DB">
            <w:rPr>
              <w:rFonts w:cstheme="minorHAnsi"/>
              <w:sz w:val="24"/>
              <w:szCs w:val="24"/>
            </w:rPr>
            <w:t>accommodation</w:t>
          </w:r>
          <w:r w:rsidR="0077677B" w:rsidRPr="000E08DB">
            <w:rPr>
              <w:rFonts w:cstheme="minorHAnsi"/>
              <w:sz w:val="24"/>
              <w:szCs w:val="24"/>
            </w:rPr>
            <w:t xml:space="preserve"> as one of the key </w:t>
          </w:r>
          <w:r w:rsidR="006B0B56" w:rsidRPr="000E08DB">
            <w:rPr>
              <w:rFonts w:cstheme="minorHAnsi"/>
              <w:sz w:val="24"/>
              <w:szCs w:val="24"/>
            </w:rPr>
            <w:t>factors</w:t>
          </w:r>
          <w:r w:rsidR="0077677B" w:rsidRPr="000E08DB">
            <w:rPr>
              <w:rFonts w:cstheme="minorHAnsi"/>
              <w:sz w:val="24"/>
              <w:szCs w:val="24"/>
            </w:rPr>
            <w:t xml:space="preserve"> against which applications are assessed</w:t>
          </w:r>
          <w:r w:rsidR="00C36670" w:rsidRPr="000E08DB">
            <w:rPr>
              <w:rFonts w:cstheme="minorHAnsi"/>
              <w:sz w:val="24"/>
              <w:szCs w:val="24"/>
            </w:rPr>
            <w:t>.</w:t>
          </w:r>
          <w:r w:rsidR="00A07525" w:rsidRPr="000E08DB">
            <w:rPr>
              <w:rFonts w:cstheme="minorHAnsi"/>
              <w:sz w:val="24"/>
              <w:szCs w:val="24"/>
            </w:rPr>
            <w:t xml:space="preserve"> </w:t>
          </w:r>
        </w:p>
        <w:p w14:paraId="5E0FC510" w14:textId="137D71A7" w:rsidR="00434B64" w:rsidRPr="000E08DB" w:rsidRDefault="00434B64" w:rsidP="00755613">
          <w:pPr>
            <w:jc w:val="both"/>
            <w:rPr>
              <w:rFonts w:cstheme="minorHAnsi"/>
              <w:i/>
              <w:iCs/>
              <w:sz w:val="24"/>
              <w:szCs w:val="24"/>
            </w:rPr>
          </w:pPr>
          <w:r w:rsidRPr="000E08DB">
            <w:rPr>
              <w:rFonts w:cstheme="minorHAnsi"/>
              <w:sz w:val="24"/>
              <w:szCs w:val="24"/>
            </w:rPr>
            <w:t>The Government will further consider this recommendation in line with other Government reforms, including the Housing Australia Future Fund, the measures from the National Housing Accord, the Australian Universities Accord Final Report, as well as guidance from the recently established National Housing Supply and Affordability Council</w:t>
          </w:r>
          <w:r w:rsidRPr="000E08DB">
            <w:rPr>
              <w:rFonts w:cstheme="minorHAnsi"/>
              <w:i/>
              <w:iCs/>
              <w:sz w:val="24"/>
              <w:szCs w:val="24"/>
            </w:rPr>
            <w:t>.</w:t>
          </w:r>
        </w:p>
        <w:p w14:paraId="20FB69B4" w14:textId="77777777" w:rsidR="00B14F20" w:rsidRPr="000E08DB" w:rsidRDefault="00B14F20"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62918B71" w14:textId="77777777">
            <w:tc>
              <w:tcPr>
                <w:tcW w:w="9016" w:type="dxa"/>
                <w:shd w:val="clear" w:color="auto" w:fill="E7E6E6" w:themeFill="background2"/>
              </w:tcPr>
              <w:p w14:paraId="6812DA2E" w14:textId="12F8386E" w:rsidR="00B14F20" w:rsidRPr="000E08DB" w:rsidRDefault="00B14F20" w:rsidP="00755613">
                <w:pPr>
                  <w:pStyle w:val="Heading2"/>
                  <w:jc w:val="both"/>
                  <w:rPr>
                    <w:rFonts w:asciiTheme="minorHAnsi" w:hAnsiTheme="minorHAnsi" w:cstheme="minorBidi"/>
                    <w:sz w:val="24"/>
                    <w:szCs w:val="24"/>
                  </w:rPr>
                </w:pPr>
                <w:bookmarkStart w:id="15" w:name="_Toc207627800"/>
                <w:r w:rsidRPr="000E08DB">
                  <w:rPr>
                    <w:rFonts w:asciiTheme="minorHAnsi" w:hAnsiTheme="minorHAnsi" w:cstheme="minorBidi"/>
                    <w:sz w:val="24"/>
                    <w:szCs w:val="24"/>
                  </w:rPr>
                  <w:t>Recommendation 11</w:t>
                </w:r>
                <w:bookmarkEnd w:id="15"/>
              </w:p>
              <w:p w14:paraId="364914F7"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review and consider the desirability of the widespread practice in the university sector whereby universities establish Central Business District (CBD) campuses largely comprising international students and sub-contract the teaching to private institutions. This could be considered as part of the University Accord process and may warrant adjustments to funding formulas to ensure genuine regional universities in particular are adequately funded and not forced in effect to chase revenue in this manner.</w:t>
                </w:r>
              </w:p>
              <w:p w14:paraId="2CB6240B" w14:textId="77777777" w:rsidR="00B14F20" w:rsidRPr="000E08DB" w:rsidRDefault="00B14F20" w:rsidP="00755613">
                <w:pPr>
                  <w:jc w:val="both"/>
                  <w:rPr>
                    <w:rFonts w:cstheme="minorHAnsi"/>
                    <w:sz w:val="24"/>
                    <w:szCs w:val="24"/>
                  </w:rPr>
                </w:pPr>
              </w:p>
            </w:tc>
          </w:tr>
        </w:tbl>
        <w:p w14:paraId="049F58E7" w14:textId="77777777" w:rsidR="00B14F20" w:rsidRPr="000E08DB" w:rsidRDefault="00B14F20" w:rsidP="00755613">
          <w:pPr>
            <w:jc w:val="both"/>
            <w:rPr>
              <w:rFonts w:cstheme="minorHAnsi"/>
              <w:sz w:val="24"/>
              <w:szCs w:val="24"/>
            </w:rPr>
          </w:pPr>
        </w:p>
        <w:p w14:paraId="70224A24" w14:textId="03CC6A3D"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bCs/>
              <w:sz w:val="24"/>
              <w:szCs w:val="24"/>
            </w:rPr>
            <w:t>notes</w:t>
          </w:r>
          <w:r w:rsidR="00B14F20" w:rsidRPr="000E08DB">
            <w:rPr>
              <w:sz w:val="24"/>
              <w:szCs w:val="24"/>
            </w:rPr>
            <w:t xml:space="preserve"> this recommendation.</w:t>
          </w:r>
        </w:p>
        <w:p w14:paraId="1FD364C1" w14:textId="77777777" w:rsidR="007F10AC" w:rsidRPr="000E08DB" w:rsidRDefault="007F10AC" w:rsidP="007F10AC">
          <w:pPr>
            <w:jc w:val="both"/>
            <w:rPr>
              <w:rFonts w:cstheme="minorHAnsi"/>
              <w:sz w:val="24"/>
              <w:szCs w:val="24"/>
              <w:shd w:val="clear" w:color="auto" w:fill="C5E0B3" w:themeFill="accent6" w:themeFillTint="66"/>
            </w:rPr>
          </w:pPr>
          <w:r w:rsidRPr="000E08DB">
            <w:rPr>
              <w:sz w:val="24"/>
              <w:szCs w:val="24"/>
            </w:rPr>
            <w:lastRenderedPageBreak/>
            <w:t>The Government is committed to supporting regional universities, ensuring they are adequately funded and that the students receive a quality education.</w:t>
          </w:r>
          <w:r w:rsidRPr="000E08DB">
            <w:rPr>
              <w:rFonts w:cstheme="minorHAnsi"/>
              <w:sz w:val="24"/>
              <w:szCs w:val="24"/>
              <w:shd w:val="clear" w:color="auto" w:fill="C5E0B3" w:themeFill="accent6" w:themeFillTint="66"/>
            </w:rPr>
            <w:t xml:space="preserve"> </w:t>
          </w:r>
        </w:p>
        <w:p w14:paraId="3B0AE115" w14:textId="1795111D" w:rsidR="00B14F20" w:rsidRPr="000E08DB" w:rsidRDefault="007F10AC" w:rsidP="00755613">
          <w:pPr>
            <w:jc w:val="both"/>
            <w:rPr>
              <w:rFonts w:cstheme="minorHAnsi"/>
              <w:sz w:val="24"/>
              <w:szCs w:val="24"/>
            </w:rPr>
          </w:pPr>
          <w:r w:rsidRPr="000E08DB">
            <w:rPr>
              <w:sz w:val="24"/>
              <w:szCs w:val="24"/>
            </w:rPr>
            <w:t xml:space="preserve">The Government will further consider </w:t>
          </w:r>
          <w:r w:rsidRPr="000E08DB">
            <w:rPr>
              <w:rFonts w:eastAsiaTheme="minorEastAsia"/>
              <w:sz w:val="24"/>
              <w:szCs w:val="24"/>
            </w:rPr>
            <w:t xml:space="preserve">how to support regional universities </w:t>
          </w:r>
          <w:r w:rsidRPr="000E08DB">
            <w:rPr>
              <w:rFonts w:eastAsiaTheme="minorEastAsia"/>
              <w:color w:val="333333"/>
              <w:sz w:val="24"/>
              <w:szCs w:val="24"/>
            </w:rPr>
            <w:t xml:space="preserve">to thrive </w:t>
          </w:r>
          <w:r w:rsidRPr="000E08DB">
            <w:rPr>
              <w:sz w:val="24"/>
              <w:szCs w:val="24"/>
            </w:rPr>
            <w:t xml:space="preserve">in line with other Government reforms, including implementation of recommendations in </w:t>
          </w:r>
          <w:r w:rsidRPr="000E08DB">
            <w:rPr>
              <w:rFonts w:eastAsiaTheme="minorEastAsia"/>
              <w:sz w:val="24"/>
              <w:szCs w:val="24"/>
            </w:rPr>
            <w:t>the Australian Universities Accord Final Report</w:t>
          </w:r>
          <w:r w:rsidRPr="000E08DB">
            <w:rPr>
              <w:sz w:val="24"/>
              <w:szCs w:val="24"/>
            </w:rPr>
            <w:t xml:space="preserve"> with demand-driven Needs-based Funding for students studying at regional campuses commencing from 2026. Measures to guide the international education sector towards greater sustainability will </w:t>
          </w:r>
          <w:r w:rsidR="00E83047" w:rsidRPr="000E08DB">
            <w:rPr>
              <w:sz w:val="24"/>
              <w:szCs w:val="24"/>
            </w:rPr>
            <w:t>continue</w:t>
          </w:r>
          <w:r w:rsidR="000A30F3" w:rsidRPr="000E08DB">
            <w:rPr>
              <w:sz w:val="24"/>
              <w:szCs w:val="24"/>
            </w:rPr>
            <w:t xml:space="preserve"> through a man</w:t>
          </w:r>
          <w:r w:rsidR="004951FD" w:rsidRPr="000E08DB">
            <w:rPr>
              <w:sz w:val="24"/>
              <w:szCs w:val="24"/>
            </w:rPr>
            <w:t>a</w:t>
          </w:r>
          <w:r w:rsidR="000A30F3" w:rsidRPr="000E08DB">
            <w:rPr>
              <w:sz w:val="24"/>
              <w:szCs w:val="24"/>
            </w:rPr>
            <w:t>ged growth approach</w:t>
          </w:r>
          <w:r w:rsidR="00D80DD2" w:rsidRPr="000E08DB">
            <w:rPr>
              <w:sz w:val="24"/>
              <w:szCs w:val="24"/>
            </w:rPr>
            <w:t xml:space="preserve">, </w:t>
          </w:r>
          <w:r w:rsidR="001F76C3" w:rsidRPr="000E08DB">
            <w:rPr>
              <w:sz w:val="24"/>
              <w:szCs w:val="24"/>
            </w:rPr>
            <w:t xml:space="preserve">which is currently being implemented through </w:t>
          </w:r>
          <w:r w:rsidR="00596D62" w:rsidRPr="000E08DB">
            <w:rPr>
              <w:sz w:val="24"/>
              <w:szCs w:val="24"/>
            </w:rPr>
            <w:t xml:space="preserve">changes to </w:t>
          </w:r>
          <w:r w:rsidR="00CF5522" w:rsidRPr="000E08DB">
            <w:rPr>
              <w:sz w:val="24"/>
              <w:szCs w:val="24"/>
            </w:rPr>
            <w:t xml:space="preserve">the </w:t>
          </w:r>
          <w:r w:rsidR="00551573" w:rsidRPr="000E08DB">
            <w:rPr>
              <w:sz w:val="24"/>
              <w:szCs w:val="24"/>
            </w:rPr>
            <w:t xml:space="preserve">prioritisation of </w:t>
          </w:r>
          <w:r w:rsidR="00CF5522" w:rsidRPr="000E08DB">
            <w:rPr>
              <w:sz w:val="24"/>
              <w:szCs w:val="24"/>
            </w:rPr>
            <w:t xml:space="preserve">resources for </w:t>
          </w:r>
          <w:r w:rsidR="006B0B56" w:rsidRPr="000E08DB">
            <w:rPr>
              <w:sz w:val="24"/>
              <w:szCs w:val="24"/>
            </w:rPr>
            <w:t xml:space="preserve">offshore </w:t>
          </w:r>
          <w:r w:rsidR="00D80DD2" w:rsidRPr="000E08DB">
            <w:rPr>
              <w:sz w:val="24"/>
              <w:szCs w:val="24"/>
            </w:rPr>
            <w:t xml:space="preserve">student visa processing </w:t>
          </w:r>
          <w:r w:rsidR="00551573" w:rsidRPr="000E08DB">
            <w:rPr>
              <w:sz w:val="24"/>
              <w:szCs w:val="24"/>
            </w:rPr>
            <w:t xml:space="preserve">under </w:t>
          </w:r>
          <w:r w:rsidR="00721D13" w:rsidRPr="000E08DB">
            <w:rPr>
              <w:sz w:val="24"/>
              <w:szCs w:val="24"/>
            </w:rPr>
            <w:t>a National Planning Level.</w:t>
          </w:r>
          <w:r w:rsidR="000A30F3" w:rsidRPr="000E08DB">
            <w:rPr>
              <w:sz w:val="24"/>
              <w:szCs w:val="24"/>
            </w:rPr>
            <w:t xml:space="preserve"> </w:t>
          </w:r>
          <w:r w:rsidR="00C453AF" w:rsidRPr="000E08DB">
            <w:rPr>
              <w:color w:val="FF0000"/>
              <w:sz w:val="24"/>
              <w:szCs w:val="24"/>
            </w:rPr>
            <w:t xml:space="preserve"> </w:t>
          </w:r>
        </w:p>
        <w:p w14:paraId="401D37EA" w14:textId="6BE814D4" w:rsidR="00DD5CE5" w:rsidRPr="000E08DB" w:rsidRDefault="00DD5CE5" w:rsidP="00755613">
          <w:pPr>
            <w:jc w:val="both"/>
            <w:rPr>
              <w:sz w:val="24"/>
              <w:szCs w:val="24"/>
            </w:rPr>
          </w:pPr>
          <w:r w:rsidRPr="000E08DB">
            <w:rPr>
              <w:sz w:val="24"/>
              <w:szCs w:val="24"/>
            </w:rPr>
            <w:t>Where a provider delivers a course with a third party, the Higher Education Standards (HES) Framework requires higher education providers to remain responsible and accountable in all aspects of course delivery and support. TEQSA may apply a greater focus in ensuring compliance is effectively implemented by the higher education provider. TEQSA also expects students have equivalent opportunity to successfully transition into and through their course of study irrespective of educational background, mode, delivery arrangement or place of study.</w:t>
          </w: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771704B2" w14:textId="77777777">
            <w:tc>
              <w:tcPr>
                <w:tcW w:w="9016" w:type="dxa"/>
                <w:shd w:val="clear" w:color="auto" w:fill="E7E6E6" w:themeFill="background2"/>
              </w:tcPr>
              <w:p w14:paraId="114526B8" w14:textId="2F490FB6" w:rsidR="00B14F20" w:rsidRPr="000E08DB" w:rsidRDefault="00B14F20" w:rsidP="00755613">
                <w:pPr>
                  <w:pStyle w:val="Heading2"/>
                  <w:jc w:val="both"/>
                  <w:rPr>
                    <w:rFonts w:asciiTheme="minorHAnsi" w:hAnsiTheme="minorHAnsi" w:cstheme="minorBidi"/>
                    <w:sz w:val="24"/>
                    <w:szCs w:val="24"/>
                  </w:rPr>
                </w:pPr>
                <w:bookmarkStart w:id="16" w:name="_Toc207627801"/>
                <w:r w:rsidRPr="000E08DB">
                  <w:rPr>
                    <w:rFonts w:asciiTheme="minorHAnsi" w:hAnsiTheme="minorHAnsi" w:cstheme="minorBidi"/>
                    <w:sz w:val="24"/>
                    <w:szCs w:val="24"/>
                  </w:rPr>
                  <w:t>Recommendation 12</w:t>
                </w:r>
                <w:bookmarkEnd w:id="16"/>
              </w:p>
              <w:p w14:paraId="24EB1A77" w14:textId="3AFEC47F" w:rsidR="00B14F20" w:rsidRPr="000E08DB" w:rsidRDefault="00B14F20" w:rsidP="00755613">
                <w:pPr>
                  <w:jc w:val="both"/>
                  <w:rPr>
                    <w:rFonts w:cstheme="minorHAnsi"/>
                    <w:sz w:val="24"/>
                    <w:szCs w:val="24"/>
                  </w:rPr>
                </w:pPr>
                <w:r w:rsidRPr="000E08DB">
                  <w:rPr>
                    <w:rFonts w:cstheme="minorHAnsi"/>
                    <w:sz w:val="24"/>
                    <w:szCs w:val="24"/>
                  </w:rPr>
                  <w:t>The Committee recommends the Government significantly improve data sharing between agencies to address serious integrity concerns, including formal information and sharing agreements and platforms between the Department of Home Affairs, the Department of Education, Tertiary Education Quality and Standards Agency (TEQSA), Australian Skills Quality Authority (ASQA), and where appropriate, the Commonwealth Ombudsman, Austrade and the Department of Employment and Workplace Relations.</w:t>
                </w:r>
              </w:p>
              <w:p w14:paraId="6A6314DB" w14:textId="77777777" w:rsidR="00B14F20" w:rsidRPr="000E08DB" w:rsidRDefault="00B14F20" w:rsidP="00755613">
                <w:pPr>
                  <w:jc w:val="both"/>
                  <w:rPr>
                    <w:rFonts w:cstheme="minorHAnsi"/>
                    <w:sz w:val="24"/>
                    <w:szCs w:val="24"/>
                  </w:rPr>
                </w:pPr>
                <w:r w:rsidRPr="000E08DB">
                  <w:rPr>
                    <w:rFonts w:cstheme="minorHAnsi"/>
                    <w:sz w:val="24"/>
                    <w:szCs w:val="24"/>
                  </w:rPr>
                  <w:t>Government should form or utilise an existing cross agency expert group to oversee the development of these platforms to ensure:</w:t>
                </w:r>
              </w:p>
              <w:p w14:paraId="7623F64A" w14:textId="77777777" w:rsidR="00B14F20" w:rsidRPr="000E08DB" w:rsidRDefault="00B14F20" w:rsidP="00755613">
                <w:pPr>
                  <w:pStyle w:val="ListParagraph"/>
                  <w:numPr>
                    <w:ilvl w:val="0"/>
                    <w:numId w:val="6"/>
                  </w:numPr>
                  <w:jc w:val="both"/>
                  <w:rPr>
                    <w:rFonts w:cstheme="minorHAnsi"/>
                    <w:sz w:val="24"/>
                    <w:szCs w:val="24"/>
                  </w:rPr>
                </w:pPr>
                <w:r w:rsidRPr="000E08DB">
                  <w:rPr>
                    <w:rFonts w:cstheme="minorHAnsi"/>
                    <w:sz w:val="24"/>
                    <w:szCs w:val="24"/>
                  </w:rPr>
                  <w:t>legislative basis and privacy considerations are appropriately addressed without preventing the effective sharing of information</w:t>
                </w:r>
              </w:p>
              <w:p w14:paraId="5CAC61D4" w14:textId="77777777" w:rsidR="00B14F20" w:rsidRPr="000E08DB" w:rsidRDefault="00B14F20" w:rsidP="00755613">
                <w:pPr>
                  <w:pStyle w:val="ListParagraph"/>
                  <w:numPr>
                    <w:ilvl w:val="0"/>
                    <w:numId w:val="6"/>
                  </w:numPr>
                  <w:jc w:val="both"/>
                  <w:rPr>
                    <w:rFonts w:cstheme="minorHAnsi"/>
                    <w:sz w:val="24"/>
                    <w:szCs w:val="24"/>
                  </w:rPr>
                </w:pPr>
                <w:r w:rsidRPr="000E08DB">
                  <w:rPr>
                    <w:rFonts w:cstheme="minorHAnsi"/>
                    <w:sz w:val="24"/>
                    <w:szCs w:val="24"/>
                  </w:rPr>
                  <w:t>platforms are sufficiently resourced to rapidly identify and track high-risk behaviours by education providers, education agents and related third parties and have capacity to map such behaviours to international student movements and student visa data</w:t>
                </w:r>
              </w:p>
              <w:p w14:paraId="5C31E00D" w14:textId="77777777" w:rsidR="00B14F20" w:rsidRPr="000E08DB" w:rsidRDefault="00B14F20" w:rsidP="00755613">
                <w:pPr>
                  <w:pStyle w:val="ListParagraph"/>
                  <w:numPr>
                    <w:ilvl w:val="0"/>
                    <w:numId w:val="6"/>
                  </w:numPr>
                  <w:jc w:val="both"/>
                  <w:rPr>
                    <w:rFonts w:cstheme="minorHAnsi"/>
                    <w:sz w:val="24"/>
                    <w:szCs w:val="24"/>
                  </w:rPr>
                </w:pPr>
                <w:r w:rsidRPr="000E08DB">
                  <w:rPr>
                    <w:rFonts w:cstheme="minorHAnsi"/>
                    <w:sz w:val="24"/>
                    <w:szCs w:val="24"/>
                  </w:rPr>
                  <w:t>platforms can inform more effective and timely regulatory action to deter and disrupt international student exploitation and safeguard Australian international education and visa integrity.</w:t>
                </w:r>
              </w:p>
              <w:p w14:paraId="006D2AFE" w14:textId="77777777" w:rsidR="00B14F20" w:rsidRPr="000E08DB" w:rsidRDefault="00B14F20" w:rsidP="00755613">
                <w:pPr>
                  <w:jc w:val="both"/>
                  <w:rPr>
                    <w:rFonts w:cstheme="minorHAnsi"/>
                    <w:sz w:val="24"/>
                    <w:szCs w:val="24"/>
                  </w:rPr>
                </w:pPr>
              </w:p>
            </w:tc>
          </w:tr>
        </w:tbl>
        <w:p w14:paraId="491C2A3C" w14:textId="77777777" w:rsidR="00B14F20" w:rsidRPr="000E08DB" w:rsidRDefault="00B14F20" w:rsidP="00755613">
          <w:pPr>
            <w:jc w:val="both"/>
            <w:rPr>
              <w:rFonts w:cstheme="minorHAnsi"/>
              <w:sz w:val="24"/>
              <w:szCs w:val="24"/>
            </w:rPr>
          </w:pPr>
        </w:p>
        <w:p w14:paraId="588D11B1" w14:textId="04377995" w:rsidR="00B14F20" w:rsidRPr="000E08DB" w:rsidRDefault="00E2764F" w:rsidP="00755613">
          <w:pPr>
            <w:jc w:val="both"/>
            <w:rPr>
              <w:rFonts w:eastAsiaTheme="minorEastAsia"/>
              <w:sz w:val="24"/>
              <w:szCs w:val="24"/>
            </w:rPr>
          </w:pPr>
          <w:r w:rsidRPr="000E08DB">
            <w:rPr>
              <w:rFonts w:eastAsiaTheme="minorEastAsia"/>
              <w:sz w:val="24"/>
              <w:szCs w:val="24"/>
            </w:rPr>
            <w:t xml:space="preserve">The Australian Government </w:t>
          </w:r>
          <w:r w:rsidR="52FEF5C8" w:rsidRPr="000E08DB">
            <w:rPr>
              <w:rFonts w:eastAsiaTheme="minorEastAsia"/>
              <w:b/>
              <w:bCs/>
              <w:sz w:val="24"/>
              <w:szCs w:val="24"/>
            </w:rPr>
            <w:t>agrees</w:t>
          </w:r>
          <w:r w:rsidR="52FEF5C8" w:rsidRPr="000E08DB">
            <w:rPr>
              <w:rFonts w:eastAsiaTheme="minorEastAsia"/>
              <w:sz w:val="24"/>
              <w:szCs w:val="24"/>
            </w:rPr>
            <w:t xml:space="preserve"> with</w:t>
          </w:r>
          <w:r w:rsidR="005E086C" w:rsidRPr="000E08DB">
            <w:rPr>
              <w:rFonts w:eastAsiaTheme="minorEastAsia"/>
              <w:sz w:val="24"/>
              <w:szCs w:val="24"/>
            </w:rPr>
            <w:t xml:space="preserve"> </w:t>
          </w:r>
          <w:r w:rsidR="00B14F20" w:rsidRPr="000E08DB">
            <w:rPr>
              <w:rFonts w:eastAsiaTheme="minorEastAsia"/>
              <w:sz w:val="24"/>
              <w:szCs w:val="24"/>
            </w:rPr>
            <w:t xml:space="preserve">this </w:t>
          </w:r>
          <w:r w:rsidR="00B42639" w:rsidRPr="000E08DB">
            <w:rPr>
              <w:rFonts w:eastAsiaTheme="minorEastAsia"/>
              <w:sz w:val="24"/>
              <w:szCs w:val="24"/>
            </w:rPr>
            <w:t>r</w:t>
          </w:r>
          <w:r w:rsidR="00B14F20" w:rsidRPr="000E08DB">
            <w:rPr>
              <w:rFonts w:eastAsiaTheme="minorEastAsia"/>
              <w:sz w:val="24"/>
              <w:szCs w:val="24"/>
            </w:rPr>
            <w:t xml:space="preserve">ecommendation. </w:t>
          </w:r>
        </w:p>
        <w:p w14:paraId="36ECA199" w14:textId="757FECB0" w:rsidR="00B14F20" w:rsidRPr="000E08DB" w:rsidRDefault="00B14F20" w:rsidP="00755613">
          <w:pPr>
            <w:jc w:val="both"/>
            <w:rPr>
              <w:rFonts w:eastAsiaTheme="minorEastAsia"/>
              <w:sz w:val="24"/>
              <w:szCs w:val="24"/>
            </w:rPr>
          </w:pPr>
          <w:r w:rsidRPr="000E08DB">
            <w:rPr>
              <w:rFonts w:eastAsiaTheme="minorEastAsia"/>
              <w:sz w:val="24"/>
              <w:szCs w:val="24"/>
            </w:rPr>
            <w:t xml:space="preserve">The Government </w:t>
          </w:r>
          <w:r w:rsidR="008F5E51" w:rsidRPr="000E08DB">
            <w:rPr>
              <w:rFonts w:eastAsiaTheme="minorEastAsia"/>
              <w:sz w:val="24"/>
              <w:szCs w:val="24"/>
            </w:rPr>
            <w:t xml:space="preserve">is exploring </w:t>
          </w:r>
          <w:r w:rsidRPr="000E08DB">
            <w:rPr>
              <w:rFonts w:eastAsiaTheme="minorEastAsia"/>
              <w:sz w:val="24"/>
              <w:szCs w:val="24"/>
            </w:rPr>
            <w:t>further reform</w:t>
          </w:r>
          <w:r w:rsidR="008F5E51" w:rsidRPr="000E08DB">
            <w:rPr>
              <w:rFonts w:eastAsiaTheme="minorEastAsia"/>
              <w:sz w:val="24"/>
              <w:szCs w:val="24"/>
            </w:rPr>
            <w:t>s</w:t>
          </w:r>
          <w:r w:rsidRPr="000E08DB">
            <w:rPr>
              <w:rFonts w:eastAsiaTheme="minorEastAsia"/>
              <w:sz w:val="24"/>
              <w:szCs w:val="24"/>
            </w:rPr>
            <w:t xml:space="preserve"> around data expansion as outlined in Recommendations 12, 13, 18, 23, and 26, and notes the actions in this recommendation are being progressed.</w:t>
          </w:r>
        </w:p>
        <w:p w14:paraId="00F781E6" w14:textId="5F639FF9" w:rsidR="00B304ED" w:rsidRPr="000E08DB" w:rsidRDefault="00B304ED" w:rsidP="005D37A4">
          <w:pPr>
            <w:jc w:val="both"/>
            <w:rPr>
              <w:rFonts w:eastAsiaTheme="minorEastAsia"/>
              <w:sz w:val="24"/>
              <w:szCs w:val="24"/>
            </w:rPr>
          </w:pPr>
          <w:r w:rsidRPr="000E08DB">
            <w:rPr>
              <w:rFonts w:eastAsiaTheme="minorEastAsia"/>
              <w:sz w:val="24"/>
              <w:szCs w:val="24"/>
            </w:rPr>
            <w:t>The Government is committed to enhancing data sharing capability between regulatory agencies, in alignment with the Government’s response to</w:t>
          </w:r>
          <w:r w:rsidR="00C13BBA" w:rsidRPr="000E08DB">
            <w:rPr>
              <w:rFonts w:eastAsiaTheme="minorEastAsia"/>
              <w:sz w:val="24"/>
              <w:szCs w:val="24"/>
            </w:rPr>
            <w:t xml:space="preserve"> the</w:t>
          </w:r>
          <w:r w:rsidRPr="000E08DB">
            <w:rPr>
              <w:rFonts w:eastAsiaTheme="minorEastAsia"/>
              <w:sz w:val="24"/>
              <w:szCs w:val="24"/>
            </w:rPr>
            <w:t xml:space="preserve"> Nixon Review. </w:t>
          </w:r>
        </w:p>
        <w:p w14:paraId="323EFC31" w14:textId="24EADB73" w:rsidR="00B304ED" w:rsidRPr="000E08DB" w:rsidRDefault="00B304ED" w:rsidP="005D37A4">
          <w:pPr>
            <w:jc w:val="both"/>
            <w:rPr>
              <w:rFonts w:eastAsiaTheme="minorEastAsia"/>
              <w:sz w:val="24"/>
              <w:szCs w:val="24"/>
            </w:rPr>
          </w:pPr>
          <w:r w:rsidRPr="000E08DB">
            <w:rPr>
              <w:rFonts w:eastAsiaTheme="minorEastAsia"/>
              <w:sz w:val="24"/>
              <w:szCs w:val="24"/>
            </w:rPr>
            <w:lastRenderedPageBreak/>
            <w:t>Broader data sharing detailed in this recommendation will be investigated over the longer term in line with the strategic priorities of Government and areas of responsibility for relevant agencies.</w:t>
          </w:r>
        </w:p>
        <w:p w14:paraId="4B45F3B7" w14:textId="4173FF1A" w:rsidR="007F10AC" w:rsidRPr="000E08DB" w:rsidRDefault="007F10AC" w:rsidP="007F10AC">
          <w:pPr>
            <w:jc w:val="both"/>
            <w:rPr>
              <w:rFonts w:eastAsiaTheme="minorEastAsia"/>
              <w:sz w:val="24"/>
              <w:szCs w:val="24"/>
            </w:rPr>
          </w:pPr>
          <w:r w:rsidRPr="000E08DB">
            <w:rPr>
              <w:rFonts w:eastAsiaTheme="minorEastAsia"/>
              <w:sz w:val="24"/>
              <w:szCs w:val="24"/>
            </w:rPr>
            <w:t>The Government regards agencies working together to share intelligence, identifying areas for regulatory action and treating shared risks in international education</w:t>
          </w:r>
          <w:r w:rsidR="00F02299">
            <w:rPr>
              <w:rFonts w:eastAsiaTheme="minorEastAsia"/>
              <w:sz w:val="24"/>
              <w:szCs w:val="24"/>
            </w:rPr>
            <w:t>,</w:t>
          </w:r>
          <w:r w:rsidRPr="000E08DB">
            <w:rPr>
              <w:rFonts w:eastAsiaTheme="minorEastAsia"/>
              <w:sz w:val="24"/>
              <w:szCs w:val="24"/>
            </w:rPr>
            <w:t xml:space="preserve"> as a critical component to ensuring integrity in the sector. Government </w:t>
          </w:r>
          <w:r w:rsidR="00932219" w:rsidRPr="000E08DB">
            <w:rPr>
              <w:rFonts w:eastAsiaTheme="minorEastAsia"/>
              <w:sz w:val="24"/>
              <w:szCs w:val="24"/>
            </w:rPr>
            <w:t>has</w:t>
          </w:r>
          <w:r w:rsidRPr="000E08DB">
            <w:rPr>
              <w:rFonts w:eastAsiaTheme="minorEastAsia"/>
              <w:sz w:val="24"/>
              <w:szCs w:val="24"/>
            </w:rPr>
            <w:t xml:space="preserve"> establish</w:t>
          </w:r>
          <w:r w:rsidR="00BA19A1" w:rsidRPr="000E08DB">
            <w:rPr>
              <w:rFonts w:eastAsiaTheme="minorEastAsia"/>
              <w:sz w:val="24"/>
              <w:szCs w:val="24"/>
            </w:rPr>
            <w:t>ed</w:t>
          </w:r>
          <w:r w:rsidRPr="000E08DB">
            <w:rPr>
              <w:rFonts w:eastAsiaTheme="minorEastAsia"/>
              <w:sz w:val="24"/>
              <w:szCs w:val="24"/>
            </w:rPr>
            <w:t xml:space="preserve"> a cross-agency committee consisting of ESOS agencies and Commonwealth departments, with a focus on information sharing on integrity risks to the sector.</w:t>
          </w:r>
        </w:p>
        <w:p w14:paraId="35E7E1F2" w14:textId="77777777" w:rsidR="00DE56DC" w:rsidRPr="000E08DB" w:rsidRDefault="00DE56DC"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787AF6DF" w14:textId="77777777">
            <w:tc>
              <w:tcPr>
                <w:tcW w:w="9016" w:type="dxa"/>
                <w:shd w:val="clear" w:color="auto" w:fill="E7E6E6" w:themeFill="background2"/>
              </w:tcPr>
              <w:p w14:paraId="358668CB" w14:textId="45A44E7D" w:rsidR="00B14F20" w:rsidRPr="000E08DB" w:rsidRDefault="00B14F20" w:rsidP="00755613">
                <w:pPr>
                  <w:pStyle w:val="Heading2"/>
                  <w:jc w:val="both"/>
                  <w:rPr>
                    <w:rFonts w:asciiTheme="minorHAnsi" w:hAnsiTheme="minorHAnsi" w:cstheme="minorBidi"/>
                    <w:sz w:val="24"/>
                    <w:szCs w:val="24"/>
                  </w:rPr>
                </w:pPr>
                <w:bookmarkStart w:id="17" w:name="_Toc207627802"/>
                <w:r w:rsidRPr="000E08DB">
                  <w:rPr>
                    <w:rFonts w:asciiTheme="minorHAnsi" w:hAnsiTheme="minorHAnsi" w:cstheme="minorBidi"/>
                    <w:sz w:val="24"/>
                    <w:szCs w:val="24"/>
                  </w:rPr>
                  <w:t>Recommendation 13</w:t>
                </w:r>
                <w:bookmarkEnd w:id="17"/>
              </w:p>
              <w:p w14:paraId="006EFAEF"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use whatever means at its disposal to compel education providers to develop information channels across sectors to share credible information and concerns regarding education agents, entities and student movements to inform and support integrity in student recruitment and delivery of international education and to disrupt non-genuine students and other entities seeking to exploit the international education sector, the student visa system, and international students.</w:t>
                </w:r>
              </w:p>
              <w:p w14:paraId="3C9D455E" w14:textId="77777777" w:rsidR="00B14F20" w:rsidRPr="000E08DB" w:rsidRDefault="00B14F20" w:rsidP="00755613">
                <w:pPr>
                  <w:jc w:val="both"/>
                  <w:rPr>
                    <w:rFonts w:cstheme="minorHAnsi"/>
                    <w:sz w:val="24"/>
                    <w:szCs w:val="24"/>
                  </w:rPr>
                </w:pPr>
              </w:p>
            </w:tc>
          </w:tr>
        </w:tbl>
        <w:p w14:paraId="205DB882" w14:textId="77777777" w:rsidR="00B14F20" w:rsidRPr="000E08DB" w:rsidRDefault="00B14F20" w:rsidP="00755613">
          <w:pPr>
            <w:jc w:val="both"/>
            <w:rPr>
              <w:rFonts w:cstheme="minorHAnsi"/>
              <w:sz w:val="24"/>
              <w:szCs w:val="24"/>
            </w:rPr>
          </w:pPr>
        </w:p>
        <w:p w14:paraId="467C117E" w14:textId="664AC28F"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bCs/>
              <w:sz w:val="24"/>
              <w:szCs w:val="24"/>
            </w:rPr>
            <w:t>agrees</w:t>
          </w:r>
          <w:r w:rsidR="00154012" w:rsidRPr="000E08DB">
            <w:rPr>
              <w:b/>
              <w:bCs/>
              <w:sz w:val="24"/>
              <w:szCs w:val="24"/>
            </w:rPr>
            <w:t xml:space="preserve"> </w:t>
          </w:r>
          <w:r w:rsidR="00B14F20" w:rsidRPr="000E08DB">
            <w:rPr>
              <w:sz w:val="24"/>
              <w:szCs w:val="24"/>
            </w:rPr>
            <w:t>with</w:t>
          </w:r>
          <w:r w:rsidR="005E086C" w:rsidRPr="000E08DB">
            <w:rPr>
              <w:sz w:val="24"/>
              <w:szCs w:val="24"/>
            </w:rPr>
            <w:t xml:space="preserve"> </w:t>
          </w:r>
          <w:r w:rsidR="00B14F20" w:rsidRPr="000E08DB">
            <w:rPr>
              <w:sz w:val="24"/>
              <w:szCs w:val="24"/>
            </w:rPr>
            <w:t xml:space="preserve">this </w:t>
          </w:r>
          <w:r w:rsidR="00B42639" w:rsidRPr="000E08DB">
            <w:rPr>
              <w:sz w:val="24"/>
              <w:szCs w:val="24"/>
            </w:rPr>
            <w:t>r</w:t>
          </w:r>
          <w:r w:rsidR="00B14F20" w:rsidRPr="000E08DB">
            <w:rPr>
              <w:sz w:val="24"/>
              <w:szCs w:val="24"/>
            </w:rPr>
            <w:t>ecommendation.</w:t>
          </w:r>
        </w:p>
        <w:p w14:paraId="49A9F011" w14:textId="57D0AA98" w:rsidR="008E1298" w:rsidRPr="000E08DB" w:rsidRDefault="006F51E8" w:rsidP="009257AD">
          <w:pPr>
            <w:jc w:val="both"/>
            <w:rPr>
              <w:sz w:val="24"/>
              <w:szCs w:val="24"/>
            </w:rPr>
          </w:pPr>
          <w:r w:rsidRPr="000E08DB">
            <w:rPr>
              <w:sz w:val="24"/>
              <w:szCs w:val="24"/>
            </w:rPr>
            <w:t xml:space="preserve">The </w:t>
          </w:r>
          <w:r w:rsidR="005E086C" w:rsidRPr="000E08DB">
            <w:rPr>
              <w:sz w:val="24"/>
              <w:szCs w:val="24"/>
            </w:rPr>
            <w:t>Government</w:t>
          </w:r>
          <w:r w:rsidRPr="000E08DB">
            <w:rPr>
              <w:sz w:val="24"/>
              <w:szCs w:val="24"/>
            </w:rPr>
            <w:t xml:space="preserve"> has</w:t>
          </w:r>
          <w:r w:rsidR="005E086C" w:rsidRPr="000E08DB">
            <w:rPr>
              <w:sz w:val="24"/>
              <w:szCs w:val="24"/>
            </w:rPr>
            <w:t xml:space="preserve"> positive working relationships with the sector and will continue to build conduits to share information related to risks to the integrity of Australia's international education system.</w:t>
          </w:r>
          <w:r w:rsidR="002B3272" w:rsidRPr="000E08DB">
            <w:rPr>
              <w:sz w:val="24"/>
              <w:szCs w:val="24"/>
            </w:rPr>
            <w:t xml:space="preserve"> The</w:t>
          </w:r>
          <w:r w:rsidR="000F5746" w:rsidRPr="000E08DB">
            <w:rPr>
              <w:sz w:val="24"/>
              <w:szCs w:val="24"/>
            </w:rPr>
            <w:t xml:space="preserve"> </w:t>
          </w:r>
          <w:r w:rsidR="00F23C8A" w:rsidRPr="000E08DB">
            <w:rPr>
              <w:sz w:val="24"/>
              <w:szCs w:val="24"/>
            </w:rPr>
            <w:t xml:space="preserve">Government remains </w:t>
          </w:r>
          <w:r w:rsidR="0046314B" w:rsidRPr="000E08DB">
            <w:rPr>
              <w:sz w:val="24"/>
              <w:szCs w:val="24"/>
            </w:rPr>
            <w:t>committed to ensuring the quality, integrity and sustainable growth of Australia’s international education sector</w:t>
          </w:r>
          <w:r w:rsidR="007C74A7" w:rsidRPr="000E08DB">
            <w:rPr>
              <w:sz w:val="24"/>
              <w:szCs w:val="24"/>
            </w:rPr>
            <w:t xml:space="preserve"> and working with the sector to achieve this goal</w:t>
          </w:r>
          <w:r w:rsidR="0046314B" w:rsidRPr="000E08DB">
            <w:rPr>
              <w:sz w:val="24"/>
              <w:szCs w:val="24"/>
            </w:rPr>
            <w:t>.</w:t>
          </w:r>
          <w:r w:rsidR="00F147CE" w:rsidRPr="000E08DB">
            <w:rPr>
              <w:sz w:val="24"/>
              <w:szCs w:val="24"/>
            </w:rPr>
            <w:t xml:space="preserve"> </w:t>
          </w:r>
        </w:p>
        <w:p w14:paraId="32A2D0AE" w14:textId="698BCFA0" w:rsidR="00B448B7" w:rsidRPr="000E08DB" w:rsidRDefault="00E707B2" w:rsidP="00755613">
          <w:pPr>
            <w:jc w:val="both"/>
            <w:rPr>
              <w:sz w:val="24"/>
              <w:szCs w:val="24"/>
            </w:rPr>
          </w:pPr>
          <w:r w:rsidRPr="000E08DB">
            <w:rPr>
              <w:sz w:val="24"/>
              <w:szCs w:val="24"/>
            </w:rPr>
            <w:t xml:space="preserve">The </w:t>
          </w:r>
          <w:r w:rsidR="000A4AF5" w:rsidRPr="000E08DB">
            <w:rPr>
              <w:sz w:val="24"/>
              <w:szCs w:val="24"/>
            </w:rPr>
            <w:t>ELA</w:t>
          </w:r>
          <w:r w:rsidR="002D4C73" w:rsidRPr="000E08DB">
            <w:rPr>
              <w:sz w:val="24"/>
              <w:szCs w:val="24"/>
            </w:rPr>
            <w:t xml:space="preserve"> </w:t>
          </w:r>
          <w:r w:rsidR="007354EB" w:rsidRPr="000E08DB">
            <w:rPr>
              <w:sz w:val="24"/>
              <w:szCs w:val="24"/>
            </w:rPr>
            <w:t>Act</w:t>
          </w:r>
          <w:r w:rsidRPr="000E08DB">
            <w:rPr>
              <w:sz w:val="24"/>
              <w:szCs w:val="24"/>
            </w:rPr>
            <w:t xml:space="preserve"> </w:t>
          </w:r>
          <w:r w:rsidR="009257AD" w:rsidRPr="000E08DB">
            <w:rPr>
              <w:sz w:val="24"/>
              <w:szCs w:val="24"/>
            </w:rPr>
            <w:t>contains robust elements to increase information</w:t>
          </w:r>
          <w:r w:rsidR="00B64F9E" w:rsidRPr="000E08DB">
            <w:rPr>
              <w:sz w:val="24"/>
              <w:szCs w:val="24"/>
            </w:rPr>
            <w:t xml:space="preserve"> sharing </w:t>
          </w:r>
          <w:r w:rsidR="009F3CC9" w:rsidRPr="000E08DB">
            <w:rPr>
              <w:sz w:val="24"/>
              <w:szCs w:val="24"/>
            </w:rPr>
            <w:t xml:space="preserve">on </w:t>
          </w:r>
          <w:r w:rsidR="009257AD" w:rsidRPr="000E08DB">
            <w:rPr>
              <w:sz w:val="24"/>
              <w:szCs w:val="24"/>
            </w:rPr>
            <w:t>education agents to support providers to choose ethical, high performing agents.</w:t>
          </w:r>
          <w:r w:rsidR="008E1298" w:rsidRPr="000E08DB">
            <w:rPr>
              <w:sz w:val="24"/>
              <w:szCs w:val="24"/>
            </w:rPr>
            <w:t xml:space="preserve"> Integrity reforms in the </w:t>
          </w:r>
          <w:r w:rsidR="007354EB" w:rsidRPr="000E08DB">
            <w:rPr>
              <w:sz w:val="24"/>
              <w:szCs w:val="24"/>
            </w:rPr>
            <w:t xml:space="preserve">Act </w:t>
          </w:r>
          <w:r w:rsidRPr="000E08DB">
            <w:rPr>
              <w:sz w:val="24"/>
              <w:szCs w:val="24"/>
            </w:rPr>
            <w:t xml:space="preserve">complement the changes to the Student </w:t>
          </w:r>
          <w:r w:rsidR="00D84335" w:rsidRPr="000E08DB">
            <w:rPr>
              <w:sz w:val="24"/>
              <w:szCs w:val="24"/>
            </w:rPr>
            <w:t>V</w:t>
          </w:r>
          <w:r w:rsidRPr="000E08DB">
            <w:rPr>
              <w:sz w:val="24"/>
              <w:szCs w:val="24"/>
            </w:rPr>
            <w:t xml:space="preserve">isa </w:t>
          </w:r>
          <w:r w:rsidR="00D84335" w:rsidRPr="000E08DB">
            <w:rPr>
              <w:sz w:val="24"/>
              <w:szCs w:val="24"/>
            </w:rPr>
            <w:t>P</w:t>
          </w:r>
          <w:r w:rsidRPr="000E08DB">
            <w:rPr>
              <w:sz w:val="24"/>
              <w:szCs w:val="24"/>
            </w:rPr>
            <w:t>rogram through strengthening regulations for education providers and disrupting and deterring non-genuine education providers and students.</w:t>
          </w:r>
        </w:p>
        <w:p w14:paraId="7D9A8DDA" w14:textId="62BCDC66" w:rsidR="00091EB8" w:rsidRPr="000E08DB" w:rsidRDefault="0084700B" w:rsidP="00091EB8">
          <w:pPr>
            <w:jc w:val="both"/>
            <w:rPr>
              <w:sz w:val="24"/>
              <w:szCs w:val="24"/>
            </w:rPr>
          </w:pPr>
          <w:r w:rsidRPr="000E08DB">
            <w:rPr>
              <w:sz w:val="24"/>
              <w:szCs w:val="24"/>
            </w:rPr>
            <w:t xml:space="preserve"> </w:t>
          </w:r>
        </w:p>
        <w:p w14:paraId="53F2402C" w14:textId="77777777" w:rsidR="00A44AF8" w:rsidRPr="000E08DB" w:rsidRDefault="00A44AF8" w:rsidP="00A44AF8">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0E06652C" w14:textId="77777777">
            <w:tc>
              <w:tcPr>
                <w:tcW w:w="9016" w:type="dxa"/>
                <w:shd w:val="clear" w:color="auto" w:fill="E7E6E6" w:themeFill="background2"/>
              </w:tcPr>
              <w:p w14:paraId="7A94E5EF" w14:textId="6678300A" w:rsidR="00B14F20" w:rsidRPr="000E08DB" w:rsidRDefault="00B14F20" w:rsidP="00755613">
                <w:pPr>
                  <w:pStyle w:val="Heading2"/>
                  <w:jc w:val="both"/>
                  <w:rPr>
                    <w:rFonts w:asciiTheme="minorHAnsi" w:hAnsiTheme="minorHAnsi" w:cstheme="minorBidi"/>
                    <w:sz w:val="24"/>
                    <w:szCs w:val="24"/>
                  </w:rPr>
                </w:pPr>
                <w:bookmarkStart w:id="18" w:name="_Toc207627803"/>
                <w:bookmarkStart w:id="19" w:name="_Hlk180502112"/>
                <w:r w:rsidRPr="000E08DB">
                  <w:rPr>
                    <w:rFonts w:asciiTheme="minorHAnsi" w:hAnsiTheme="minorHAnsi" w:cstheme="minorBidi"/>
                    <w:sz w:val="24"/>
                    <w:szCs w:val="24"/>
                  </w:rPr>
                  <w:lastRenderedPageBreak/>
                  <w:t>Recommendation 14</w:t>
                </w:r>
                <w:bookmarkEnd w:id="18"/>
              </w:p>
              <w:p w14:paraId="3D45F4FD"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take firm action to address persistent and deep-seated integrity issues in the private Vocational Education and Training (VET) sector, understanding this will be a difficult and long-term reform program. Actions may require legislative changes to strengthen regulatory oversight and tough decisions and could include:</w:t>
                </w:r>
              </w:p>
              <w:p w14:paraId="3FD46ECB"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structural reforms to improve the monitoring and assessment of current providers and increase vetting of new providers including a fit and proper person test to operate a VET provider</w:t>
                </w:r>
              </w:p>
              <w:p w14:paraId="53AB3644"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a pause for at least 12 months by Australian Skills Quality Authority (ASQA) in processing new provider applications for Commonwealth Register of Institutions and Courses for Overseas Students (CRICOS) registered VET providers, with limited exceptions for legitimate applications such as industry linked entities, high economic value proposals or those endorsed by state and territory governments</w:t>
                </w:r>
              </w:p>
              <w:p w14:paraId="6A4DA458"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requiring new providers seeking CRICOS registration to have operated and delivered to domestic students for at least 12 months</w:t>
                </w:r>
              </w:p>
              <w:p w14:paraId="3FA6B569"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suspension of recruitment of international students to CRICOS VET courses identified with persistent quality and integrity issues and/or of limited value to Australia’s critical skills needs, such as management and leadership courses.</w:t>
                </w:r>
              </w:p>
              <w:p w14:paraId="798A5721"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automatic suspension of new international student intake for providers under serious regulatory investigation</w:t>
                </w:r>
              </w:p>
              <w:p w14:paraId="4B3D92F6"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cancellation of a provider’s CRICOS registration if no training is delivered for a period of 12 months or more</w:t>
                </w:r>
              </w:p>
              <w:p w14:paraId="143BB884" w14:textId="77777777" w:rsidR="00B14F20" w:rsidRPr="000E08DB" w:rsidRDefault="00B14F20" w:rsidP="00755613">
                <w:pPr>
                  <w:pStyle w:val="ListParagraph"/>
                  <w:numPr>
                    <w:ilvl w:val="0"/>
                    <w:numId w:val="7"/>
                  </w:numPr>
                  <w:jc w:val="both"/>
                  <w:rPr>
                    <w:rFonts w:cstheme="minorHAnsi"/>
                    <w:sz w:val="24"/>
                    <w:szCs w:val="24"/>
                  </w:rPr>
                </w:pPr>
                <w:r w:rsidRPr="000E08DB">
                  <w:rPr>
                    <w:rFonts w:cstheme="minorHAnsi"/>
                    <w:sz w:val="24"/>
                    <w:szCs w:val="24"/>
                  </w:rPr>
                  <w:t>an ongoing boost to the resources available to ASQA for compliance and enforcement of VET regulatory and quality requirements over time.</w:t>
                </w:r>
              </w:p>
              <w:p w14:paraId="52226EED" w14:textId="77777777" w:rsidR="00B14F20" w:rsidRPr="000E08DB" w:rsidRDefault="00B14F20" w:rsidP="00755613">
                <w:pPr>
                  <w:jc w:val="both"/>
                  <w:rPr>
                    <w:rFonts w:cstheme="minorHAnsi"/>
                    <w:sz w:val="24"/>
                    <w:szCs w:val="24"/>
                  </w:rPr>
                </w:pPr>
              </w:p>
            </w:tc>
          </w:tr>
        </w:tbl>
        <w:p w14:paraId="2664121E" w14:textId="77777777" w:rsidR="00B14F20" w:rsidRPr="000E08DB" w:rsidRDefault="00B14F20" w:rsidP="00755613">
          <w:pPr>
            <w:jc w:val="both"/>
            <w:rPr>
              <w:rFonts w:cstheme="minorHAnsi"/>
              <w:sz w:val="24"/>
              <w:szCs w:val="24"/>
            </w:rPr>
          </w:pPr>
        </w:p>
        <w:p w14:paraId="6817C729" w14:textId="62E7F726"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w:t>
          </w:r>
          <w:r w:rsidR="00FB7BD3" w:rsidRPr="000E08DB">
            <w:rPr>
              <w:b/>
              <w:sz w:val="24"/>
              <w:szCs w:val="24"/>
            </w:rPr>
            <w:t xml:space="preserve"> in-principle</w:t>
          </w:r>
          <w:r w:rsidR="00752001" w:rsidRPr="000E08DB">
            <w:rPr>
              <w:b/>
              <w:sz w:val="24"/>
              <w:szCs w:val="24"/>
            </w:rPr>
            <w:t xml:space="preserve"> </w:t>
          </w:r>
          <w:r w:rsidR="00B14F20" w:rsidRPr="000E08DB">
            <w:rPr>
              <w:sz w:val="24"/>
              <w:szCs w:val="24"/>
            </w:rPr>
            <w:t xml:space="preserve">with this </w:t>
          </w:r>
          <w:r w:rsidR="009C2DC2" w:rsidRPr="000E08DB">
            <w:rPr>
              <w:sz w:val="24"/>
              <w:szCs w:val="24"/>
            </w:rPr>
            <w:t>r</w:t>
          </w:r>
          <w:r w:rsidR="00B14F20" w:rsidRPr="000E08DB">
            <w:rPr>
              <w:sz w:val="24"/>
              <w:szCs w:val="24"/>
            </w:rPr>
            <w:t>ecommendation.</w:t>
          </w:r>
        </w:p>
        <w:p w14:paraId="6CED9B4B" w14:textId="1E5E4864" w:rsidR="007C547B" w:rsidRPr="000E08DB" w:rsidRDefault="007F10AC" w:rsidP="007C547B">
          <w:pPr>
            <w:spacing w:line="257" w:lineRule="auto"/>
            <w:jc w:val="both"/>
            <w:rPr>
              <w:rFonts w:ascii="Calibri" w:eastAsia="Calibri" w:hAnsi="Calibri" w:cs="Calibri"/>
              <w:sz w:val="24"/>
              <w:szCs w:val="24"/>
            </w:rPr>
          </w:pPr>
          <w:r w:rsidRPr="000E08DB">
            <w:rPr>
              <w:rFonts w:ascii="Calibri" w:eastAsia="Calibri" w:hAnsi="Calibri" w:cs="Calibri"/>
              <w:sz w:val="24"/>
              <w:szCs w:val="24"/>
            </w:rPr>
            <w:t xml:space="preserve">The </w:t>
          </w:r>
          <w:r w:rsidR="007C547B" w:rsidRPr="000E08DB">
            <w:rPr>
              <w:rFonts w:ascii="Calibri" w:eastAsia="Calibri" w:hAnsi="Calibri" w:cs="Calibri"/>
              <w:sz w:val="24"/>
              <w:szCs w:val="24"/>
            </w:rPr>
            <w:t>Government is committed to ensuring integrity and quality in Australia’s international and domestic VET sector. These issues are complex and require a coordinated approach across government agencies.</w:t>
          </w:r>
        </w:p>
        <w:p w14:paraId="767DB7B6" w14:textId="4F6FAC44" w:rsidR="0057446E" w:rsidRPr="000E08DB" w:rsidRDefault="0057446E" w:rsidP="0057446E">
          <w:pPr>
            <w:rPr>
              <w:rFonts w:ascii="Calibri" w:eastAsiaTheme="minorEastAsia" w:hAnsi="Calibri" w:cs="Calibri"/>
              <w:bCs/>
              <w:kern w:val="24"/>
              <w:sz w:val="24"/>
              <w:szCs w:val="24"/>
              <w:lang w:eastAsia="en-AU"/>
            </w:rPr>
          </w:pPr>
          <w:r w:rsidRPr="000E08DB">
            <w:rPr>
              <w:rFonts w:ascii="Calibri" w:hAnsi="Calibri" w:cs="Calibri"/>
              <w:sz w:val="24"/>
              <w:szCs w:val="24"/>
            </w:rPr>
            <w:t xml:space="preserve">The ELA Bill passed by Parliament on 28 November 2025 included a range of integrity measures to strengthen the </w:t>
          </w:r>
          <w:r w:rsidRPr="000E08DB">
            <w:rPr>
              <w:rFonts w:ascii="Calibri" w:eastAsiaTheme="minorEastAsia" w:hAnsi="Calibri" w:cs="Calibri"/>
              <w:bCs/>
              <w:kern w:val="24"/>
              <w:sz w:val="24"/>
              <w:szCs w:val="24"/>
              <w:lang w:eastAsia="en-AU"/>
            </w:rPr>
            <w:t xml:space="preserve">international education regulatory framework by amending the </w:t>
          </w:r>
          <w:r w:rsidRPr="000E08DB">
            <w:rPr>
              <w:rFonts w:ascii="Calibri" w:eastAsiaTheme="minorEastAsia" w:hAnsi="Calibri" w:cs="Calibri"/>
              <w:bCs/>
              <w:i/>
              <w:iCs/>
              <w:kern w:val="24"/>
              <w:sz w:val="24"/>
              <w:szCs w:val="24"/>
              <w:lang w:eastAsia="en-AU"/>
            </w:rPr>
            <w:t>Education Services for Overseas Students Act 2000</w:t>
          </w:r>
          <w:r w:rsidR="004B35BF">
            <w:rPr>
              <w:rFonts w:ascii="Calibri" w:eastAsiaTheme="minorEastAsia" w:hAnsi="Calibri" w:cs="Calibri"/>
              <w:bCs/>
              <w:i/>
              <w:iCs/>
              <w:kern w:val="24"/>
              <w:sz w:val="24"/>
              <w:szCs w:val="24"/>
              <w:lang w:eastAsia="en-AU"/>
            </w:rPr>
            <w:t xml:space="preserve"> (the ESOS Act)</w:t>
          </w:r>
          <w:r w:rsidRPr="000E08DB">
            <w:rPr>
              <w:rFonts w:ascii="Calibri" w:eastAsiaTheme="minorEastAsia" w:hAnsi="Calibri" w:cs="Calibri"/>
              <w:bCs/>
              <w:kern w:val="24"/>
              <w:sz w:val="24"/>
              <w:szCs w:val="24"/>
              <w:lang w:eastAsia="en-AU"/>
            </w:rPr>
            <w:t xml:space="preserve">. </w:t>
          </w:r>
        </w:p>
        <w:p w14:paraId="4FFDABE4" w14:textId="77777777" w:rsidR="0057446E" w:rsidRPr="000E08DB" w:rsidRDefault="0057446E" w:rsidP="0057446E">
          <w:pPr>
            <w:rPr>
              <w:rFonts w:ascii="Calibri" w:eastAsiaTheme="minorEastAsia" w:hAnsi="Calibri" w:cs="Calibri"/>
              <w:bCs/>
              <w:kern w:val="24"/>
              <w:sz w:val="24"/>
              <w:szCs w:val="24"/>
              <w:lang w:eastAsia="en-AU"/>
            </w:rPr>
          </w:pPr>
          <w:r w:rsidRPr="000E08DB">
            <w:rPr>
              <w:rFonts w:ascii="Calibri" w:eastAsiaTheme="minorEastAsia" w:hAnsi="Calibri" w:cs="Calibri"/>
              <w:bCs/>
              <w:kern w:val="24"/>
              <w:sz w:val="24"/>
              <w:szCs w:val="24"/>
              <w:lang w:eastAsia="en-AU"/>
            </w:rPr>
            <w:t>These measures directly address the recommendation, including by:</w:t>
          </w:r>
        </w:p>
        <w:p w14:paraId="51B81D86" w14:textId="77777777" w:rsidR="0057446E" w:rsidRPr="000E08DB" w:rsidRDefault="0057446E" w:rsidP="0057446E">
          <w:pPr>
            <w:pStyle w:val="ListParagraph"/>
            <w:numPr>
              <w:ilvl w:val="0"/>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t>strengthening the criteria for determining whether a provider is ‘fit and proper’ to include consideration of cross-ownership arrangements and any current investigation for specified offences;</w:t>
          </w:r>
        </w:p>
        <w:p w14:paraId="1F517366" w14:textId="77777777" w:rsidR="0057446E" w:rsidRPr="000E08DB" w:rsidRDefault="0057446E" w:rsidP="0057446E">
          <w:pPr>
            <w:pStyle w:val="ListParagraph"/>
            <w:numPr>
              <w:ilvl w:val="0"/>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t>requiring VET providers, except for TAFEs, to first deliver courses to domestic students for two years before they can apply for registration to teach overseas students;</w:t>
          </w:r>
        </w:p>
        <w:p w14:paraId="12C4E21B" w14:textId="77777777" w:rsidR="0057446E" w:rsidRPr="000E08DB" w:rsidRDefault="0057446E" w:rsidP="0057446E">
          <w:pPr>
            <w:pStyle w:val="ListParagraph"/>
            <w:numPr>
              <w:ilvl w:val="0"/>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lastRenderedPageBreak/>
            <w:t xml:space="preserve">automatically cancelling CRICOS registration of ‘dormant’ providers – that is, any provider that has not delivered any registered course to any overseas student at any onshore location for a period of 12 consecutive months; </w:t>
          </w:r>
        </w:p>
        <w:p w14:paraId="2622D551" w14:textId="77777777" w:rsidR="0057446E" w:rsidRPr="000E08DB" w:rsidRDefault="0057446E" w:rsidP="0057446E">
          <w:pPr>
            <w:pStyle w:val="ListParagraph"/>
            <w:numPr>
              <w:ilvl w:val="0"/>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t>enabling the Minister for Education, with agreement of the Minister for Skills and Training for the VET sector, to pause the making or processing of CRICOS applications for new providers or courses for up to 12 months; and</w:t>
          </w:r>
        </w:p>
        <w:p w14:paraId="215E3E0C" w14:textId="77777777" w:rsidR="0057446E" w:rsidRPr="000E08DB" w:rsidRDefault="0057446E" w:rsidP="0057446E">
          <w:pPr>
            <w:pStyle w:val="ListParagraph"/>
            <w:numPr>
              <w:ilvl w:val="0"/>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t>enabling the Minister for Education, with agreement of the Minister for Skills and Training for the VET sector, to suspend or cancel specified classes of CRICOS courses where:</w:t>
          </w:r>
        </w:p>
        <w:p w14:paraId="377F1FFC" w14:textId="77777777" w:rsidR="0057446E" w:rsidRPr="000E08DB" w:rsidRDefault="0057446E" w:rsidP="0057446E">
          <w:pPr>
            <w:pStyle w:val="ListParagraph"/>
            <w:numPr>
              <w:ilvl w:val="1"/>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t>there are or have been systemic issues in relation to the standard of delivery of the courses included in the class;</w:t>
          </w:r>
        </w:p>
        <w:p w14:paraId="22FAE748" w14:textId="77777777" w:rsidR="0057446E" w:rsidRPr="000E08DB" w:rsidRDefault="0057446E" w:rsidP="0057446E">
          <w:pPr>
            <w:pStyle w:val="ListParagraph"/>
            <w:numPr>
              <w:ilvl w:val="1"/>
              <w:numId w:val="50"/>
            </w:numPr>
            <w:rPr>
              <w:rFonts w:ascii="Calibri" w:eastAsiaTheme="minorEastAsia" w:hAnsi="Calibri" w:cs="Calibri"/>
              <w:bCs/>
              <w:kern w:val="24"/>
              <w:sz w:val="24"/>
              <w:szCs w:val="24"/>
              <w:lang w:eastAsia="en-AU"/>
              <w14:ligatures w14:val="none"/>
            </w:rPr>
          </w:pPr>
          <w:r w:rsidRPr="000E08DB">
            <w:rPr>
              <w:rFonts w:ascii="Calibri" w:eastAsiaTheme="minorEastAsia" w:hAnsi="Calibri" w:cs="Calibri"/>
              <w:bCs/>
              <w:kern w:val="24"/>
              <w:sz w:val="24"/>
              <w:szCs w:val="24"/>
              <w:lang w:eastAsia="en-AU"/>
              <w14:ligatures w14:val="none"/>
            </w:rPr>
            <w:t>the courses provide limited value to Australia’s current, emerging and future skills and training needs and priorities;</w:t>
          </w:r>
        </w:p>
        <w:p w14:paraId="11A7A334" w14:textId="0654CC64" w:rsidR="00831AB0" w:rsidRPr="000E08DB" w:rsidRDefault="0057446E" w:rsidP="000167B4">
          <w:pPr>
            <w:pStyle w:val="ListParagraph"/>
            <w:numPr>
              <w:ilvl w:val="1"/>
              <w:numId w:val="50"/>
            </w:numPr>
            <w:rPr>
              <w:rFonts w:ascii="Calibri" w:eastAsiaTheme="minorEastAsia" w:hAnsi="Calibri" w:cs="Calibri"/>
              <w:bCs/>
              <w:kern w:val="24"/>
              <w:sz w:val="24"/>
              <w:szCs w:val="24"/>
              <w:lang w:eastAsia="en-AU"/>
            </w:rPr>
          </w:pPr>
          <w:r w:rsidRPr="000E08DB">
            <w:rPr>
              <w:rFonts w:ascii="Calibri" w:eastAsiaTheme="minorEastAsia" w:hAnsi="Calibri" w:cs="Calibri"/>
              <w:bCs/>
              <w:kern w:val="24"/>
              <w:sz w:val="24"/>
              <w:szCs w:val="24"/>
              <w:lang w:eastAsia="en-AU"/>
              <w14:ligatures w14:val="none"/>
            </w:rPr>
            <w:t>it is in the public interest to do so.</w:t>
          </w:r>
        </w:p>
        <w:p w14:paraId="39546D2E" w14:textId="51BDC887" w:rsidR="00213F74" w:rsidRPr="000E08DB" w:rsidRDefault="00495144" w:rsidP="00213F74">
          <w:pPr>
            <w:spacing w:line="257" w:lineRule="auto"/>
            <w:jc w:val="both"/>
            <w:rPr>
              <w:rFonts w:ascii="Calibri" w:eastAsia="Calibri" w:hAnsi="Calibri" w:cs="Calibri"/>
              <w:sz w:val="24"/>
              <w:szCs w:val="24"/>
            </w:rPr>
          </w:pPr>
          <w:r w:rsidRPr="000E08DB">
            <w:rPr>
              <w:rFonts w:ascii="Calibri" w:eastAsia="Calibri" w:hAnsi="Calibri" w:cs="Calibri"/>
              <w:sz w:val="24"/>
              <w:szCs w:val="24"/>
            </w:rPr>
            <w:t>In the 2023-24</w:t>
          </w:r>
          <w:r w:rsidR="004B35BF" w:rsidRPr="004B35BF">
            <w:rPr>
              <w:rFonts w:ascii="Calibri" w:eastAsia="Calibri" w:hAnsi="Calibri" w:cs="Calibri"/>
              <w:sz w:val="24"/>
              <w:szCs w:val="24"/>
            </w:rPr>
            <w:t xml:space="preserve"> Mid-Year Economic and Fiscal Outlook</w:t>
          </w:r>
          <w:r w:rsidRPr="000E08DB">
            <w:rPr>
              <w:rFonts w:ascii="Calibri" w:eastAsia="Calibri" w:hAnsi="Calibri" w:cs="Calibri"/>
              <w:sz w:val="24"/>
              <w:szCs w:val="24"/>
            </w:rPr>
            <w:t xml:space="preserve"> </w:t>
          </w:r>
          <w:r w:rsidR="004B35BF">
            <w:rPr>
              <w:rFonts w:ascii="Calibri" w:eastAsia="Calibri" w:hAnsi="Calibri" w:cs="Calibri"/>
              <w:sz w:val="24"/>
              <w:szCs w:val="24"/>
            </w:rPr>
            <w:t>(</w:t>
          </w:r>
          <w:r w:rsidRPr="000E08DB">
            <w:rPr>
              <w:rFonts w:ascii="Calibri" w:eastAsia="Calibri" w:hAnsi="Calibri" w:cs="Calibri"/>
              <w:sz w:val="24"/>
              <w:szCs w:val="24"/>
            </w:rPr>
            <w:t>MYEFO</w:t>
          </w:r>
          <w:r w:rsidR="004B35BF">
            <w:rPr>
              <w:rFonts w:ascii="Calibri" w:eastAsia="Calibri" w:hAnsi="Calibri" w:cs="Calibri"/>
              <w:sz w:val="24"/>
              <w:szCs w:val="24"/>
            </w:rPr>
            <w:t>)</w:t>
          </w:r>
          <w:r w:rsidRPr="000E08DB">
            <w:rPr>
              <w:rFonts w:ascii="Calibri" w:eastAsia="Calibri" w:hAnsi="Calibri" w:cs="Calibri"/>
              <w:sz w:val="24"/>
              <w:szCs w:val="24"/>
            </w:rPr>
            <w:t xml:space="preserve">, the </w:t>
          </w:r>
          <w:r w:rsidR="00213F74" w:rsidRPr="000E08DB">
            <w:rPr>
              <w:rFonts w:ascii="Calibri" w:eastAsia="Calibri" w:hAnsi="Calibri" w:cs="Calibri"/>
              <w:sz w:val="24"/>
              <w:szCs w:val="24"/>
            </w:rPr>
            <w:t xml:space="preserve">Government announced a package of $37.8 million for measures to improve integrity in the VET system and protections for students. The measures </w:t>
          </w:r>
          <w:r w:rsidR="009240D6" w:rsidRPr="000E08DB">
            <w:rPr>
              <w:rFonts w:ascii="Calibri" w:eastAsia="Calibri" w:hAnsi="Calibri" w:cs="Calibri"/>
              <w:sz w:val="24"/>
              <w:szCs w:val="24"/>
            </w:rPr>
            <w:t xml:space="preserve">have </w:t>
          </w:r>
          <w:r w:rsidR="00213F74" w:rsidRPr="000E08DB">
            <w:rPr>
              <w:rFonts w:ascii="Calibri" w:eastAsia="Calibri" w:hAnsi="Calibri" w:cs="Calibri"/>
              <w:sz w:val="24"/>
              <w:szCs w:val="24"/>
            </w:rPr>
            <w:t>support</w:t>
          </w:r>
          <w:r w:rsidR="00145D08" w:rsidRPr="000E08DB">
            <w:rPr>
              <w:rFonts w:ascii="Calibri" w:eastAsia="Calibri" w:hAnsi="Calibri" w:cs="Calibri"/>
              <w:sz w:val="24"/>
              <w:szCs w:val="24"/>
            </w:rPr>
            <w:t>ed</w:t>
          </w:r>
          <w:r w:rsidR="00213F74" w:rsidRPr="000E08DB">
            <w:rPr>
              <w:rFonts w:ascii="Calibri" w:eastAsia="Calibri" w:hAnsi="Calibri" w:cs="Calibri"/>
              <w:sz w:val="24"/>
              <w:szCs w:val="24"/>
            </w:rPr>
            <w:t xml:space="preserve"> the national VET regulator, ASQA, to strengthen its regulatory activities by:</w:t>
          </w:r>
        </w:p>
        <w:p w14:paraId="30C36D25" w14:textId="2EC1E83E" w:rsidR="007B4433" w:rsidRPr="000E08DB" w:rsidRDefault="00213F74" w:rsidP="00633A00">
          <w:pPr>
            <w:pStyle w:val="ListParagraph"/>
            <w:numPr>
              <w:ilvl w:val="0"/>
              <w:numId w:val="48"/>
            </w:numPr>
            <w:spacing w:line="257" w:lineRule="auto"/>
            <w:jc w:val="both"/>
            <w:rPr>
              <w:rFonts w:ascii="Calibri" w:eastAsia="Calibri" w:hAnsi="Calibri" w:cs="Calibri"/>
              <w:sz w:val="24"/>
              <w:szCs w:val="24"/>
            </w:rPr>
          </w:pPr>
          <w:r w:rsidRPr="000E08DB">
            <w:rPr>
              <w:rFonts w:ascii="Calibri" w:eastAsia="Calibri" w:hAnsi="Calibri" w:cs="Calibri"/>
              <w:sz w:val="24"/>
              <w:szCs w:val="24"/>
            </w:rPr>
            <w:t>establishing a new Integrity Unit within ASQA,</w:t>
          </w:r>
        </w:p>
        <w:p w14:paraId="2CC427E1" w14:textId="5D096502" w:rsidR="007B4433" w:rsidRPr="000E08DB" w:rsidRDefault="00213F74" w:rsidP="00633A00">
          <w:pPr>
            <w:pStyle w:val="ListParagraph"/>
            <w:numPr>
              <w:ilvl w:val="0"/>
              <w:numId w:val="48"/>
            </w:numPr>
            <w:spacing w:line="257" w:lineRule="auto"/>
            <w:jc w:val="both"/>
            <w:rPr>
              <w:rFonts w:ascii="Calibri" w:eastAsia="Calibri" w:hAnsi="Calibri" w:cs="Calibri"/>
              <w:sz w:val="24"/>
              <w:szCs w:val="24"/>
            </w:rPr>
          </w:pPr>
          <w:r w:rsidRPr="000E08DB">
            <w:rPr>
              <w:rFonts w:ascii="Calibri" w:eastAsia="Calibri" w:hAnsi="Calibri" w:cs="Calibri"/>
              <w:sz w:val="24"/>
              <w:szCs w:val="24"/>
            </w:rPr>
            <w:t xml:space="preserve">upgrading ASQA’s digital and data systems to identify and respond to potentially illegal activity in the sector, </w:t>
          </w:r>
        </w:p>
        <w:p w14:paraId="6D5DE83C" w14:textId="77777777" w:rsidR="00213F74" w:rsidRPr="000E08DB" w:rsidRDefault="00213F74" w:rsidP="00633A00">
          <w:pPr>
            <w:pStyle w:val="ListParagraph"/>
            <w:numPr>
              <w:ilvl w:val="0"/>
              <w:numId w:val="48"/>
            </w:numPr>
            <w:spacing w:line="257" w:lineRule="auto"/>
            <w:jc w:val="both"/>
            <w:rPr>
              <w:rFonts w:ascii="Calibri" w:eastAsia="Calibri" w:hAnsi="Calibri" w:cs="Calibri"/>
              <w:sz w:val="24"/>
              <w:szCs w:val="24"/>
            </w:rPr>
          </w:pPr>
          <w:r w:rsidRPr="000E08DB">
            <w:rPr>
              <w:rFonts w:ascii="Calibri" w:eastAsia="Calibri" w:hAnsi="Calibri" w:cs="Calibri"/>
              <w:sz w:val="24"/>
              <w:szCs w:val="24"/>
            </w:rPr>
            <w:t>establishing a confidential VET tip-</w:t>
          </w:r>
          <w:proofErr w:type="gramStart"/>
          <w:r w:rsidRPr="000E08DB">
            <w:rPr>
              <w:rFonts w:ascii="Calibri" w:eastAsia="Calibri" w:hAnsi="Calibri" w:cs="Calibri"/>
              <w:sz w:val="24"/>
              <w:szCs w:val="24"/>
            </w:rPr>
            <w:t>off line</w:t>
          </w:r>
          <w:proofErr w:type="gramEnd"/>
          <w:r w:rsidRPr="000E08DB">
            <w:rPr>
              <w:rFonts w:ascii="Calibri" w:eastAsia="Calibri" w:hAnsi="Calibri" w:cs="Calibri"/>
              <w:sz w:val="24"/>
              <w:szCs w:val="24"/>
            </w:rPr>
            <w:t xml:space="preserve"> for reports of serious non-compliance and illegal activity.</w:t>
          </w:r>
        </w:p>
        <w:p w14:paraId="46A33823" w14:textId="5AC155EB" w:rsidR="00213F74" w:rsidRPr="000E08DB" w:rsidRDefault="007F10AC" w:rsidP="00213F74">
          <w:pPr>
            <w:spacing w:line="257" w:lineRule="auto"/>
            <w:jc w:val="both"/>
            <w:rPr>
              <w:rFonts w:ascii="Calibri" w:eastAsia="Calibri" w:hAnsi="Calibri" w:cs="Calibri"/>
              <w:sz w:val="24"/>
              <w:szCs w:val="24"/>
            </w:rPr>
          </w:pPr>
          <w:r w:rsidRPr="000E08DB">
            <w:rPr>
              <w:rFonts w:ascii="Calibri" w:eastAsia="Calibri" w:hAnsi="Calibri" w:cs="Calibri"/>
              <w:sz w:val="24"/>
              <w:szCs w:val="24"/>
            </w:rPr>
            <w:t xml:space="preserve">The </w:t>
          </w:r>
          <w:r w:rsidR="00213F74" w:rsidRPr="000E08DB">
            <w:rPr>
              <w:rFonts w:ascii="Calibri" w:eastAsia="Calibri" w:hAnsi="Calibri" w:cs="Calibri"/>
              <w:sz w:val="24"/>
              <w:szCs w:val="24"/>
            </w:rPr>
            <w:t xml:space="preserve">Government has also taken swift action to strengthen the Fit and Proper Person Requirements under the </w:t>
          </w:r>
          <w:r w:rsidR="00213F74" w:rsidRPr="000E08DB">
            <w:rPr>
              <w:rFonts w:ascii="Calibri" w:eastAsia="Calibri" w:hAnsi="Calibri" w:cs="Calibri"/>
              <w:i/>
              <w:iCs/>
              <w:sz w:val="24"/>
              <w:szCs w:val="24"/>
            </w:rPr>
            <w:t>National Vocational Education and Training Regulator Act 2011</w:t>
          </w:r>
          <w:r w:rsidRPr="000E08DB">
            <w:rPr>
              <w:rFonts w:ascii="Calibri" w:eastAsia="Calibri" w:hAnsi="Calibri" w:cs="Calibri"/>
              <w:i/>
              <w:iCs/>
              <w:sz w:val="24"/>
              <w:szCs w:val="24"/>
            </w:rPr>
            <w:t xml:space="preserve"> </w:t>
          </w:r>
          <w:r w:rsidRPr="000E08DB">
            <w:rPr>
              <w:rFonts w:ascii="Calibri" w:eastAsia="Calibri" w:hAnsi="Calibri" w:cs="Calibri"/>
              <w:sz w:val="24"/>
              <w:szCs w:val="24"/>
            </w:rPr>
            <w:t>(NVETR Act)</w:t>
          </w:r>
          <w:r w:rsidR="00213F74" w:rsidRPr="000E08DB">
            <w:rPr>
              <w:rFonts w:ascii="Calibri" w:eastAsia="Calibri" w:hAnsi="Calibri" w:cs="Calibri"/>
              <w:sz w:val="24"/>
              <w:szCs w:val="24"/>
            </w:rPr>
            <w:t>. These changes provide</w:t>
          </w:r>
          <w:r w:rsidR="0033792F" w:rsidRPr="000E08DB">
            <w:rPr>
              <w:rFonts w:ascii="Calibri" w:eastAsia="Calibri" w:hAnsi="Calibri" w:cs="Calibri"/>
              <w:sz w:val="24"/>
              <w:szCs w:val="24"/>
            </w:rPr>
            <w:t>d</w:t>
          </w:r>
          <w:r w:rsidR="00213F74" w:rsidRPr="000E08DB">
            <w:rPr>
              <w:rFonts w:ascii="Calibri" w:eastAsia="Calibri" w:hAnsi="Calibri" w:cs="Calibri"/>
              <w:sz w:val="24"/>
              <w:szCs w:val="24"/>
            </w:rPr>
            <w:t xml:space="preserve"> ASQA with increased powers to scrutinise those who are in the business of managing or operating Registered Training Organisations (RTOs).</w:t>
          </w:r>
        </w:p>
        <w:p w14:paraId="49C41C81" w14:textId="1D90C139" w:rsidR="00D16559" w:rsidRPr="000E08DB" w:rsidRDefault="00D16559" w:rsidP="00D16559">
          <w:pPr>
            <w:spacing w:line="257" w:lineRule="auto"/>
            <w:jc w:val="both"/>
            <w:rPr>
              <w:rFonts w:ascii="Calibri" w:eastAsia="Calibri" w:hAnsi="Calibri" w:cs="Calibri"/>
              <w:sz w:val="24"/>
              <w:szCs w:val="24"/>
            </w:rPr>
          </w:pPr>
          <w:r w:rsidRPr="000E08DB">
            <w:rPr>
              <w:rFonts w:ascii="Calibri" w:eastAsia="Calibri" w:hAnsi="Calibri" w:cs="Calibri"/>
              <w:sz w:val="24"/>
              <w:szCs w:val="24"/>
            </w:rPr>
            <w:t>The Government is also lifting the quality and integrity of training within the VET sector through the release of revised Standards for Registered Training Organisations (RTOs)</w:t>
          </w:r>
          <w:r w:rsidR="004848A4" w:rsidRPr="000E08DB">
            <w:rPr>
              <w:rFonts w:ascii="Calibri" w:eastAsia="Calibri" w:hAnsi="Calibri" w:cs="Calibri"/>
              <w:sz w:val="24"/>
              <w:szCs w:val="24"/>
            </w:rPr>
            <w:t xml:space="preserve"> </w:t>
          </w:r>
          <w:r w:rsidR="004B35BF" w:rsidRPr="000E08DB">
            <w:rPr>
              <w:rFonts w:ascii="Calibri" w:eastAsia="Calibri" w:hAnsi="Calibri" w:cs="Calibri"/>
              <w:sz w:val="24"/>
              <w:szCs w:val="24"/>
            </w:rPr>
            <w:t>2015 with</w:t>
          </w:r>
          <w:r w:rsidR="004848A4" w:rsidRPr="000E08DB">
            <w:rPr>
              <w:rFonts w:ascii="Calibri" w:eastAsia="Calibri" w:hAnsi="Calibri" w:cs="Calibri"/>
              <w:sz w:val="24"/>
              <w:szCs w:val="24"/>
            </w:rPr>
            <w:t xml:space="preserve"> 2025 Standards for Registered Training Organisations (2025 Standards)</w:t>
          </w:r>
          <w:r w:rsidRPr="000E08DB">
            <w:rPr>
              <w:rFonts w:ascii="Calibri" w:eastAsia="Calibri" w:hAnsi="Calibri" w:cs="Calibri"/>
              <w:sz w:val="24"/>
              <w:szCs w:val="24"/>
            </w:rPr>
            <w:t>. The 2025 Standards for RTOs came into effect on 1 July 2025 and strengthen the focus on quality outcomes for learners and employers, provide greater clarity around expectations, and allow for more flexibility and innovation in training delivery across the sector.</w:t>
          </w:r>
        </w:p>
        <w:p w14:paraId="03865397" w14:textId="555157CF" w:rsidR="00D16559" w:rsidRPr="000E08DB" w:rsidRDefault="00D16559" w:rsidP="00D16559">
          <w:pPr>
            <w:spacing w:line="257" w:lineRule="auto"/>
            <w:jc w:val="both"/>
            <w:rPr>
              <w:rFonts w:ascii="Calibri" w:eastAsia="Calibri" w:hAnsi="Calibri" w:cs="Calibri"/>
              <w:color w:val="000000" w:themeColor="text1"/>
              <w:sz w:val="24"/>
              <w:szCs w:val="24"/>
            </w:rPr>
          </w:pPr>
          <w:r w:rsidRPr="000E08DB">
            <w:rPr>
              <w:rFonts w:ascii="Calibri" w:eastAsia="Calibri" w:hAnsi="Calibri" w:cs="Calibri"/>
              <w:sz w:val="24"/>
              <w:szCs w:val="24"/>
            </w:rPr>
            <w:t>The Government made amendments to the NVETR Act in early 2024 to ensure ASQA has the necessary regulatory tools to take swift action to address integrity risks posed by non-genuine or unscrupulous RTOs and lift quality across the VET sector. </w:t>
          </w:r>
          <w:r w:rsidRPr="000E08DB">
            <w:rPr>
              <w:rFonts w:ascii="Calibri" w:eastAsia="Calibri" w:hAnsi="Calibri" w:cs="Calibri"/>
              <w:color w:val="000000" w:themeColor="text1"/>
              <w:sz w:val="24"/>
              <w:szCs w:val="24"/>
            </w:rPr>
            <w:t xml:space="preserve"> </w:t>
          </w:r>
        </w:p>
        <w:p w14:paraId="53416959" w14:textId="65041423" w:rsidR="00D16559" w:rsidRPr="000E08DB" w:rsidRDefault="00D16559" w:rsidP="00D16559">
          <w:pPr>
            <w:spacing w:line="257" w:lineRule="auto"/>
            <w:jc w:val="both"/>
            <w:rPr>
              <w:rFonts w:ascii="Calibri" w:eastAsia="Calibri" w:hAnsi="Calibri" w:cs="Calibri"/>
              <w:sz w:val="24"/>
              <w:szCs w:val="24"/>
            </w:rPr>
          </w:pPr>
          <w:r w:rsidRPr="000E08DB">
            <w:rPr>
              <w:rFonts w:ascii="Calibri" w:eastAsia="Calibri" w:hAnsi="Calibri" w:cs="Calibri"/>
              <w:sz w:val="24"/>
              <w:szCs w:val="24"/>
            </w:rPr>
            <w:t xml:space="preserve">In the 2024-25 MYEFO, the Government committed $7.7 million over four years from 2024–25 (and $0.4 million per year ongoing) to enable </w:t>
          </w:r>
          <w:r w:rsidR="004B35BF">
            <w:rPr>
              <w:rFonts w:ascii="Calibri" w:eastAsia="Calibri" w:hAnsi="Calibri" w:cs="Calibri"/>
              <w:sz w:val="24"/>
              <w:szCs w:val="24"/>
            </w:rPr>
            <w:t>ASQA</w:t>
          </w:r>
          <w:r w:rsidRPr="000E08DB">
            <w:rPr>
              <w:rFonts w:ascii="Calibri" w:eastAsia="Calibri" w:hAnsi="Calibri" w:cs="Calibri"/>
              <w:sz w:val="24"/>
              <w:szCs w:val="24"/>
            </w:rPr>
            <w:t xml:space="preserve"> to deliver additional integrity activities for Australia’s international vocational education and training sector, working closely with sector regulators</w:t>
          </w:r>
          <w:r w:rsidR="004B35BF">
            <w:rPr>
              <w:rFonts w:ascii="Calibri" w:eastAsia="Calibri" w:hAnsi="Calibri" w:cs="Calibri"/>
              <w:sz w:val="24"/>
              <w:szCs w:val="24"/>
            </w:rPr>
            <w:t>.</w:t>
          </w:r>
        </w:p>
        <w:p w14:paraId="0F735C98" w14:textId="77777777" w:rsidR="00D16559" w:rsidRPr="000E08DB" w:rsidRDefault="00D16559" w:rsidP="00D16559">
          <w:pPr>
            <w:spacing w:line="257" w:lineRule="auto"/>
            <w:jc w:val="both"/>
            <w:rPr>
              <w:rFonts w:ascii="Calibri" w:eastAsia="Calibri" w:hAnsi="Calibri" w:cs="Calibri"/>
              <w:sz w:val="24"/>
              <w:szCs w:val="24"/>
            </w:rPr>
          </w:pPr>
          <w:r w:rsidRPr="000E08DB">
            <w:rPr>
              <w:rFonts w:ascii="Calibri" w:eastAsia="Calibri" w:hAnsi="Calibri" w:cs="Calibri"/>
              <w:sz w:val="24"/>
              <w:szCs w:val="24"/>
            </w:rPr>
            <w:lastRenderedPageBreak/>
            <w:t xml:space="preserve">Additionally, in the 2025-26 Budget, the government committed $4.7 million in surge funding for ASQA. This funding will enable ASQA to immediately respond to fraud in the VET sector, particularly where providers are issuing fraudulent qualifications. </w:t>
          </w:r>
        </w:p>
        <w:p w14:paraId="2A52DB99" w14:textId="77777777" w:rsidR="00D16559" w:rsidRPr="000E08DB" w:rsidRDefault="00D16559" w:rsidP="00D16559">
          <w:pPr>
            <w:spacing w:line="257" w:lineRule="auto"/>
            <w:jc w:val="both"/>
            <w:rPr>
              <w:rFonts w:ascii="Calibri" w:eastAsia="Calibri" w:hAnsi="Calibri" w:cs="Calibri"/>
              <w:sz w:val="24"/>
              <w:szCs w:val="24"/>
            </w:rPr>
          </w:pPr>
          <w:r w:rsidRPr="000E08DB">
            <w:rPr>
              <w:rFonts w:ascii="Calibri" w:eastAsia="Calibri" w:hAnsi="Calibri" w:cs="Calibri"/>
              <w:sz w:val="24"/>
              <w:szCs w:val="24"/>
            </w:rPr>
            <w:t>The Government is committed to ensuring Australia’s VET system delivers world-class training while protecting students and quality providers. Government will continue to investigate further improvements to the regulatory framework and enhance quality requirements for VET delivery. Implementation of improvements would require careful consideration to ensure intended outcomes are achieved.</w:t>
          </w:r>
        </w:p>
        <w:bookmarkEnd w:id="19"/>
        <w:p w14:paraId="14C51128" w14:textId="77777777" w:rsidR="00854A28" w:rsidRPr="000E08DB" w:rsidRDefault="00854A28" w:rsidP="007C547B">
          <w:pPr>
            <w:spacing w:line="257" w:lineRule="auto"/>
            <w:jc w:val="both"/>
            <w:rPr>
              <w:rFonts w:ascii="Calibri" w:eastAsia="Calibri" w:hAnsi="Calibri" w:cs="Calibri"/>
              <w:sz w:val="24"/>
              <w:szCs w:val="24"/>
            </w:rPr>
          </w:pPr>
        </w:p>
        <w:p w14:paraId="24D4A836" w14:textId="77777777" w:rsidR="00854A28" w:rsidRPr="000E08DB" w:rsidRDefault="00854A28" w:rsidP="007C547B">
          <w:pPr>
            <w:spacing w:line="257" w:lineRule="auto"/>
            <w:jc w:val="both"/>
            <w:rPr>
              <w:rFonts w:ascii="Calibri" w:eastAsia="Calibri" w:hAnsi="Calibri" w:cs="Calibr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1B036595" w14:textId="77777777">
            <w:tc>
              <w:tcPr>
                <w:tcW w:w="9016" w:type="dxa"/>
                <w:shd w:val="clear" w:color="auto" w:fill="E7E6E6" w:themeFill="background2"/>
              </w:tcPr>
              <w:p w14:paraId="3AB7E64C" w14:textId="2E16C4B5" w:rsidR="00B14F20" w:rsidRPr="000E08DB" w:rsidRDefault="00B14F20" w:rsidP="00755613">
                <w:pPr>
                  <w:pStyle w:val="Heading2"/>
                  <w:jc w:val="both"/>
                  <w:rPr>
                    <w:rFonts w:asciiTheme="minorHAnsi" w:hAnsiTheme="minorHAnsi" w:cstheme="minorBidi"/>
                    <w:sz w:val="24"/>
                    <w:szCs w:val="24"/>
                  </w:rPr>
                </w:pPr>
                <w:bookmarkStart w:id="20" w:name="_Toc207627804"/>
                <w:r w:rsidRPr="000E08DB">
                  <w:rPr>
                    <w:rFonts w:asciiTheme="minorHAnsi" w:hAnsiTheme="minorHAnsi" w:cstheme="minorBidi"/>
                    <w:sz w:val="24"/>
                    <w:szCs w:val="24"/>
                  </w:rPr>
                  <w:t>Recommendation 15</w:t>
                </w:r>
                <w:bookmarkEnd w:id="20"/>
              </w:p>
              <w:p w14:paraId="3C0AD411"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implement or at least trial major reforms to how international student learning is assessed, and education quality assured for high-risk Vocational Education and Training (VET) providers and courses by working with the States and Territories to consider the following options:</w:t>
                </w:r>
              </w:p>
              <w:p w14:paraId="06765D95" w14:textId="77777777" w:rsidR="00B14F20" w:rsidRPr="000E08DB" w:rsidRDefault="00B14F20" w:rsidP="00755613">
                <w:pPr>
                  <w:pStyle w:val="ListParagraph"/>
                  <w:numPr>
                    <w:ilvl w:val="0"/>
                    <w:numId w:val="8"/>
                  </w:numPr>
                  <w:jc w:val="both"/>
                  <w:rPr>
                    <w:rFonts w:cstheme="minorHAnsi"/>
                    <w:sz w:val="24"/>
                    <w:szCs w:val="24"/>
                  </w:rPr>
                </w:pPr>
                <w:r w:rsidRPr="000E08DB">
                  <w:rPr>
                    <w:rFonts w:cstheme="minorHAnsi"/>
                    <w:sz w:val="24"/>
                    <w:szCs w:val="24"/>
                  </w:rPr>
                  <w:t>developing a framework to assess all 932 Commonwealth Register of Institutions and Courses for Overseas Students (CRICOS) registered VET providers (excluding public Technical and Further Education providers (TAFEs)) to identify higher risk providers – the framework should be equitable and transparent, informed by both quantitative and qualitative information, though not all data sources and aspects may be public</w:t>
                </w:r>
              </w:p>
              <w:p w14:paraId="05F0C299" w14:textId="77777777" w:rsidR="00B14F20" w:rsidRPr="000E08DB" w:rsidRDefault="00B14F20" w:rsidP="00755613">
                <w:pPr>
                  <w:pStyle w:val="ListParagraph"/>
                  <w:numPr>
                    <w:ilvl w:val="0"/>
                    <w:numId w:val="8"/>
                  </w:numPr>
                  <w:jc w:val="both"/>
                  <w:rPr>
                    <w:rFonts w:cstheme="minorHAnsi"/>
                    <w:sz w:val="24"/>
                    <w:szCs w:val="24"/>
                  </w:rPr>
                </w:pPr>
                <w:r w:rsidRPr="000E08DB">
                  <w:rPr>
                    <w:rFonts w:cstheme="minorHAnsi"/>
                    <w:sz w:val="24"/>
                    <w:szCs w:val="24"/>
                  </w:rPr>
                  <w:t xml:space="preserve">subjecting identified higher risk providers to stricter compliance and accreditation requirements which may include: </w:t>
                </w:r>
              </w:p>
              <w:p w14:paraId="0066142B" w14:textId="77777777" w:rsidR="00B14F20" w:rsidRPr="000E08DB" w:rsidRDefault="00B14F20" w:rsidP="00755613">
                <w:pPr>
                  <w:pStyle w:val="ListParagraph"/>
                  <w:numPr>
                    <w:ilvl w:val="1"/>
                    <w:numId w:val="8"/>
                  </w:numPr>
                  <w:jc w:val="both"/>
                  <w:rPr>
                    <w:rFonts w:cstheme="minorHAnsi"/>
                    <w:sz w:val="24"/>
                    <w:szCs w:val="24"/>
                  </w:rPr>
                </w:pPr>
                <w:r w:rsidRPr="000E08DB">
                  <w:rPr>
                    <w:rFonts w:cstheme="minorHAnsi"/>
                    <w:sz w:val="24"/>
                    <w:szCs w:val="24"/>
                  </w:rPr>
                  <w:t>trialling external assessments of a random selection of students from high-risk providers / courses to accurately assess education training quality, identify systemic issues and provide Australian Skills Quality Authority (ASQA) with better evidence to respond with and cancel the registration of non-genuine poor-quality providers, more rapidly</w:t>
                </w:r>
              </w:p>
              <w:p w14:paraId="67206C04" w14:textId="77777777" w:rsidR="00B14F20" w:rsidRPr="000E08DB" w:rsidRDefault="00B14F20" w:rsidP="00755613">
                <w:pPr>
                  <w:pStyle w:val="ListParagraph"/>
                  <w:numPr>
                    <w:ilvl w:val="1"/>
                    <w:numId w:val="8"/>
                  </w:numPr>
                  <w:jc w:val="both"/>
                  <w:rPr>
                    <w:rFonts w:cstheme="minorHAnsi"/>
                    <w:sz w:val="24"/>
                    <w:szCs w:val="24"/>
                  </w:rPr>
                </w:pPr>
                <w:r w:rsidRPr="000E08DB">
                  <w:rPr>
                    <w:rFonts w:cstheme="minorHAnsi"/>
                    <w:sz w:val="24"/>
                    <w:szCs w:val="24"/>
                  </w:rPr>
                  <w:t>a full re-accreditation process for providers identified as posing the highest integrity and quality risks where providers would have to reapply for their registration with ASQA</w:t>
                </w:r>
              </w:p>
              <w:p w14:paraId="61DCD0B6" w14:textId="77777777" w:rsidR="00B14F20" w:rsidRPr="000E08DB" w:rsidRDefault="00B14F20" w:rsidP="00755613">
                <w:pPr>
                  <w:pStyle w:val="ListParagraph"/>
                  <w:numPr>
                    <w:ilvl w:val="1"/>
                    <w:numId w:val="8"/>
                  </w:numPr>
                  <w:jc w:val="both"/>
                  <w:rPr>
                    <w:rFonts w:cstheme="minorHAnsi"/>
                    <w:sz w:val="24"/>
                    <w:szCs w:val="24"/>
                  </w:rPr>
                </w:pPr>
                <w:r w:rsidRPr="000E08DB">
                  <w:rPr>
                    <w:rFonts w:cstheme="minorHAnsi"/>
                    <w:sz w:val="24"/>
                    <w:szCs w:val="24"/>
                  </w:rPr>
                  <w:t>a mechanism to separate the training function from the assessment function in limited circumstances for high-risk providers and / or course, requiring students to be externally assessed by an independent body or by a provider approved (such as TAFEs or a proven high-quality private provider permitted to undertake external assessments).</w:t>
                </w:r>
              </w:p>
              <w:p w14:paraId="6F3FB69F" w14:textId="77777777" w:rsidR="00B14F20" w:rsidRPr="000E08DB" w:rsidRDefault="00B14F20" w:rsidP="00755613">
                <w:pPr>
                  <w:jc w:val="both"/>
                  <w:rPr>
                    <w:rFonts w:cstheme="minorHAnsi"/>
                    <w:sz w:val="24"/>
                    <w:szCs w:val="24"/>
                  </w:rPr>
                </w:pPr>
                <w:r w:rsidRPr="000E08DB">
                  <w:rPr>
                    <w:rFonts w:cstheme="minorHAnsi"/>
                    <w:sz w:val="24"/>
                    <w:szCs w:val="24"/>
                  </w:rPr>
                  <w:t>All of the above initiatives would be provider funded on a cost-recovery basis.</w:t>
                </w:r>
              </w:p>
              <w:p w14:paraId="7A4DF02A" w14:textId="77777777" w:rsidR="00B14F20" w:rsidRPr="000E08DB" w:rsidRDefault="00B14F20" w:rsidP="00755613">
                <w:pPr>
                  <w:jc w:val="both"/>
                  <w:rPr>
                    <w:rFonts w:cstheme="minorHAnsi"/>
                    <w:sz w:val="24"/>
                    <w:szCs w:val="24"/>
                  </w:rPr>
                </w:pPr>
              </w:p>
            </w:tc>
          </w:tr>
        </w:tbl>
        <w:p w14:paraId="6C5CD560" w14:textId="77777777" w:rsidR="00B14F20" w:rsidRPr="000E08DB" w:rsidRDefault="00B14F20" w:rsidP="00755613">
          <w:pPr>
            <w:jc w:val="both"/>
            <w:rPr>
              <w:rFonts w:cstheme="minorHAnsi"/>
              <w:sz w:val="24"/>
              <w:szCs w:val="24"/>
            </w:rPr>
          </w:pPr>
        </w:p>
        <w:p w14:paraId="4072B252" w14:textId="75172B09"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 in-principle</w:t>
          </w:r>
          <w:r w:rsidR="00DD44E3" w:rsidRPr="000E08DB">
            <w:rPr>
              <w:b/>
              <w:sz w:val="24"/>
              <w:szCs w:val="24"/>
            </w:rPr>
            <w:t xml:space="preserve"> </w:t>
          </w:r>
          <w:r w:rsidR="00DD44E3" w:rsidRPr="000E08DB">
            <w:rPr>
              <w:bCs/>
              <w:sz w:val="24"/>
              <w:szCs w:val="24"/>
            </w:rPr>
            <w:t>with</w:t>
          </w:r>
          <w:r w:rsidR="00752001" w:rsidRPr="000E08DB">
            <w:rPr>
              <w:b/>
              <w:sz w:val="24"/>
              <w:szCs w:val="24"/>
            </w:rPr>
            <w:t xml:space="preserve"> </w:t>
          </w:r>
          <w:r w:rsidR="00B14F20" w:rsidRPr="000E08DB">
            <w:rPr>
              <w:sz w:val="24"/>
              <w:szCs w:val="24"/>
            </w:rPr>
            <w:t xml:space="preserve">this </w:t>
          </w:r>
          <w:r w:rsidR="009C2DC2" w:rsidRPr="000E08DB">
            <w:rPr>
              <w:sz w:val="24"/>
              <w:szCs w:val="24"/>
            </w:rPr>
            <w:t>r</w:t>
          </w:r>
          <w:r w:rsidR="00B14F20" w:rsidRPr="000E08DB">
            <w:rPr>
              <w:sz w:val="24"/>
              <w:szCs w:val="24"/>
            </w:rPr>
            <w:t>ecommendation.</w:t>
          </w:r>
        </w:p>
        <w:p w14:paraId="1A769AB8" w14:textId="1579B33D" w:rsidR="00111BE1" w:rsidRPr="000E08DB" w:rsidRDefault="00261F2B" w:rsidP="00111BE1">
          <w:pPr>
            <w:jc w:val="both"/>
            <w:rPr>
              <w:sz w:val="24"/>
              <w:szCs w:val="24"/>
            </w:rPr>
          </w:pPr>
          <w:r w:rsidRPr="000E08DB">
            <w:rPr>
              <w:sz w:val="24"/>
              <w:szCs w:val="24"/>
            </w:rPr>
            <w:t xml:space="preserve">The </w:t>
          </w:r>
          <w:r w:rsidR="00111BE1" w:rsidRPr="000E08DB">
            <w:rPr>
              <w:sz w:val="24"/>
              <w:szCs w:val="24"/>
            </w:rPr>
            <w:t>Government is strongly committed to ensuring a high-quality vocational education and training</w:t>
          </w:r>
          <w:r w:rsidR="002C3A83" w:rsidRPr="000E08DB">
            <w:rPr>
              <w:sz w:val="24"/>
              <w:szCs w:val="24"/>
            </w:rPr>
            <w:t xml:space="preserve"> (VET)</w:t>
          </w:r>
          <w:r w:rsidR="00111BE1" w:rsidRPr="000E08DB">
            <w:rPr>
              <w:sz w:val="24"/>
              <w:szCs w:val="24"/>
            </w:rPr>
            <w:t xml:space="preserve"> sector with oversight by the national VET regulator</w:t>
          </w:r>
          <w:r w:rsidR="007A691C" w:rsidRPr="000E08DB">
            <w:rPr>
              <w:sz w:val="24"/>
              <w:szCs w:val="24"/>
            </w:rPr>
            <w:t xml:space="preserve">, </w:t>
          </w:r>
          <w:r w:rsidR="00111BE1" w:rsidRPr="000E08DB">
            <w:rPr>
              <w:sz w:val="24"/>
              <w:szCs w:val="24"/>
            </w:rPr>
            <w:t>ASQA</w:t>
          </w:r>
          <w:r w:rsidR="0084169D" w:rsidRPr="000E08DB">
            <w:rPr>
              <w:sz w:val="24"/>
              <w:szCs w:val="24"/>
            </w:rPr>
            <w:t>,</w:t>
          </w:r>
          <w:r w:rsidR="00111BE1" w:rsidRPr="000E08DB">
            <w:rPr>
              <w:sz w:val="24"/>
              <w:szCs w:val="24"/>
            </w:rPr>
            <w:t xml:space="preserve"> delivering a risk-based approach to regulation. </w:t>
          </w:r>
        </w:p>
        <w:p w14:paraId="345920A3" w14:textId="6EA3DF23" w:rsidR="00111BE1" w:rsidRPr="000E08DB" w:rsidRDefault="00111BE1" w:rsidP="00111BE1">
          <w:pPr>
            <w:jc w:val="both"/>
            <w:rPr>
              <w:sz w:val="24"/>
              <w:szCs w:val="24"/>
            </w:rPr>
          </w:pPr>
          <w:r w:rsidRPr="000E08DB">
            <w:rPr>
              <w:sz w:val="24"/>
              <w:szCs w:val="24"/>
            </w:rPr>
            <w:lastRenderedPageBreak/>
            <w:t>ASQA manage</w:t>
          </w:r>
          <w:r w:rsidR="00EA4875" w:rsidRPr="000E08DB">
            <w:rPr>
              <w:sz w:val="24"/>
              <w:szCs w:val="24"/>
            </w:rPr>
            <w:t>s</w:t>
          </w:r>
          <w:r w:rsidRPr="000E08DB">
            <w:rPr>
              <w:sz w:val="24"/>
              <w:szCs w:val="24"/>
            </w:rPr>
            <w:t xml:space="preserve"> the registration of all providers based on risk and has an ongoing risk focus on CRICOS providers. ASQA</w:t>
          </w:r>
          <w:r w:rsidR="00FD2EB0" w:rsidRPr="000E08DB">
            <w:rPr>
              <w:sz w:val="24"/>
              <w:szCs w:val="24"/>
            </w:rPr>
            <w:t>’s</w:t>
          </w:r>
          <w:r w:rsidRPr="000E08DB">
            <w:rPr>
              <w:sz w:val="24"/>
              <w:szCs w:val="24"/>
            </w:rPr>
            <w:t xml:space="preserve"> measures to support greater integrity in the international education system, </w:t>
          </w:r>
          <w:r w:rsidR="00FD2EB0" w:rsidRPr="000E08DB">
            <w:rPr>
              <w:sz w:val="24"/>
              <w:szCs w:val="24"/>
            </w:rPr>
            <w:t xml:space="preserve">supported by </w:t>
          </w:r>
          <w:r w:rsidRPr="000E08DB">
            <w:rPr>
              <w:sz w:val="24"/>
              <w:szCs w:val="24"/>
            </w:rPr>
            <w:t xml:space="preserve">a significant uplift in </w:t>
          </w:r>
          <w:r w:rsidR="0085206A" w:rsidRPr="000E08DB">
            <w:rPr>
              <w:sz w:val="24"/>
              <w:szCs w:val="24"/>
            </w:rPr>
            <w:t xml:space="preserve">its </w:t>
          </w:r>
          <w:r w:rsidRPr="000E08DB">
            <w:rPr>
              <w:sz w:val="24"/>
              <w:szCs w:val="24"/>
            </w:rPr>
            <w:t xml:space="preserve">digital and data systems </w:t>
          </w:r>
          <w:r w:rsidR="0085206A" w:rsidRPr="000E08DB">
            <w:rPr>
              <w:sz w:val="24"/>
              <w:szCs w:val="24"/>
            </w:rPr>
            <w:t xml:space="preserve">continues to </w:t>
          </w:r>
          <w:r w:rsidRPr="000E08DB">
            <w:rPr>
              <w:sz w:val="24"/>
              <w:szCs w:val="24"/>
            </w:rPr>
            <w:t>build ASQA’s compliance, investigative and enforcement capabilities</w:t>
          </w:r>
          <w:r w:rsidR="0085206A" w:rsidRPr="000E08DB">
            <w:rPr>
              <w:sz w:val="24"/>
              <w:szCs w:val="24"/>
            </w:rPr>
            <w:t>.</w:t>
          </w:r>
          <w:r w:rsidRPr="000E08DB">
            <w:rPr>
              <w:sz w:val="24"/>
              <w:szCs w:val="24"/>
            </w:rPr>
            <w:t xml:space="preserve"> The </w:t>
          </w:r>
          <w:r w:rsidR="00394D74" w:rsidRPr="000E08DB">
            <w:rPr>
              <w:sz w:val="24"/>
              <w:szCs w:val="24"/>
            </w:rPr>
            <w:t xml:space="preserve">most effective approach is to engage </w:t>
          </w:r>
          <w:r w:rsidRPr="000E08DB">
            <w:rPr>
              <w:sz w:val="24"/>
              <w:szCs w:val="24"/>
            </w:rPr>
            <w:t xml:space="preserve">with those providers on whether they meet the threshold for registration – at any stage in their registration cycle. </w:t>
          </w:r>
        </w:p>
        <w:p w14:paraId="01FEB09E" w14:textId="0CE519FB" w:rsidR="00213F74" w:rsidRPr="000E08DB" w:rsidRDefault="00213F74" w:rsidP="00213F74">
          <w:pPr>
            <w:spacing w:line="257" w:lineRule="auto"/>
            <w:jc w:val="both"/>
            <w:rPr>
              <w:rFonts w:ascii="Calibri" w:eastAsia="Calibri" w:hAnsi="Calibri" w:cs="Calibri"/>
              <w:sz w:val="24"/>
              <w:szCs w:val="24"/>
            </w:rPr>
          </w:pPr>
          <w:r w:rsidRPr="000E08DB">
            <w:rPr>
              <w:rFonts w:ascii="Calibri" w:eastAsia="Calibri" w:hAnsi="Calibri" w:cs="Calibri"/>
              <w:sz w:val="24"/>
              <w:szCs w:val="24"/>
            </w:rPr>
            <w:t>As outlined in Recommendation 14, Government is lifting the quality and integrity of training within the VET sector through</w:t>
          </w:r>
          <w:r w:rsidR="00AB2194" w:rsidRPr="000E08DB">
            <w:rPr>
              <w:rFonts w:ascii="Calibri" w:eastAsia="Calibri" w:hAnsi="Calibri" w:cs="Calibri"/>
              <w:sz w:val="24"/>
              <w:szCs w:val="24"/>
            </w:rPr>
            <w:t xml:space="preserve"> the release of </w:t>
          </w:r>
          <w:r w:rsidR="00692CA8" w:rsidRPr="000E08DB">
            <w:rPr>
              <w:rFonts w:ascii="Calibri" w:eastAsia="Calibri" w:hAnsi="Calibri" w:cs="Calibri"/>
              <w:sz w:val="24"/>
              <w:szCs w:val="24"/>
            </w:rPr>
            <w:t xml:space="preserve">revised </w:t>
          </w:r>
          <w:r w:rsidRPr="000E08DB">
            <w:rPr>
              <w:rFonts w:ascii="Calibri" w:eastAsia="Calibri" w:hAnsi="Calibri" w:cs="Calibri"/>
              <w:sz w:val="24"/>
              <w:szCs w:val="24"/>
            </w:rPr>
            <w:t>Standards for Registered Training Organisations (RTOs). The</w:t>
          </w:r>
          <w:r w:rsidR="00692CA8" w:rsidRPr="000E08DB">
            <w:rPr>
              <w:rFonts w:ascii="Calibri" w:eastAsia="Calibri" w:hAnsi="Calibri" w:cs="Calibri"/>
              <w:sz w:val="24"/>
              <w:szCs w:val="24"/>
            </w:rPr>
            <w:t xml:space="preserve"> 2025</w:t>
          </w:r>
          <w:r w:rsidRPr="000E08DB">
            <w:rPr>
              <w:rFonts w:ascii="Calibri" w:eastAsia="Calibri" w:hAnsi="Calibri" w:cs="Calibri"/>
              <w:sz w:val="24"/>
              <w:szCs w:val="24"/>
            </w:rPr>
            <w:t xml:space="preserve"> revised Standards </w:t>
          </w:r>
          <w:r w:rsidR="00692CA8" w:rsidRPr="000E08DB">
            <w:rPr>
              <w:rFonts w:ascii="Calibri" w:eastAsia="Calibri" w:hAnsi="Calibri" w:cs="Calibri"/>
              <w:sz w:val="24"/>
              <w:szCs w:val="24"/>
            </w:rPr>
            <w:t xml:space="preserve">for RTOs </w:t>
          </w:r>
          <w:r w:rsidRPr="000E08DB">
            <w:rPr>
              <w:rFonts w:ascii="Calibri" w:eastAsia="Calibri" w:hAnsi="Calibri" w:cs="Calibri"/>
              <w:sz w:val="24"/>
              <w:szCs w:val="24"/>
            </w:rPr>
            <w:t>will strengthen the focus on quality outcomes for learners and employers, provide greater clarity around expectations, and allow for more flexibility and innovation in training delivery across the sector.</w:t>
          </w:r>
        </w:p>
        <w:p w14:paraId="22CA3FA5" w14:textId="1F1B3471" w:rsidR="00213F74" w:rsidRPr="000E08DB" w:rsidRDefault="00213F74" w:rsidP="00213F74">
          <w:pPr>
            <w:jc w:val="both"/>
            <w:rPr>
              <w:sz w:val="24"/>
              <w:szCs w:val="24"/>
            </w:rPr>
          </w:pPr>
          <w:r w:rsidRPr="000E08DB">
            <w:rPr>
              <w:sz w:val="24"/>
              <w:szCs w:val="24"/>
            </w:rPr>
            <w:t xml:space="preserve">In line with a focus on quality outcomes, the </w:t>
          </w:r>
          <w:r w:rsidR="00692CA8" w:rsidRPr="000E08DB">
            <w:rPr>
              <w:sz w:val="24"/>
              <w:szCs w:val="24"/>
            </w:rPr>
            <w:t xml:space="preserve">2025 </w:t>
          </w:r>
          <w:r w:rsidRPr="000E08DB">
            <w:rPr>
              <w:sz w:val="24"/>
              <w:szCs w:val="24"/>
            </w:rPr>
            <w:t xml:space="preserve">Standards </w:t>
          </w:r>
          <w:r w:rsidR="00692CA8" w:rsidRPr="000E08DB">
            <w:rPr>
              <w:sz w:val="24"/>
              <w:szCs w:val="24"/>
            </w:rPr>
            <w:t xml:space="preserve">for RTOs </w:t>
          </w:r>
          <w:r w:rsidRPr="000E08DB">
            <w:rPr>
              <w:sz w:val="24"/>
              <w:szCs w:val="24"/>
            </w:rPr>
            <w:t xml:space="preserve">support a more </w:t>
          </w:r>
          <w:r w:rsidR="00DA4CBD" w:rsidRPr="000E08DB">
            <w:rPr>
              <w:sz w:val="24"/>
              <w:szCs w:val="24"/>
            </w:rPr>
            <w:t xml:space="preserve">flexible </w:t>
          </w:r>
          <w:r w:rsidRPr="000E08DB">
            <w:rPr>
              <w:sz w:val="24"/>
              <w:szCs w:val="24"/>
            </w:rPr>
            <w:t xml:space="preserve">approach to </w:t>
          </w:r>
          <w:r w:rsidR="00DA4CBD" w:rsidRPr="000E08DB">
            <w:rPr>
              <w:sz w:val="24"/>
              <w:szCs w:val="24"/>
            </w:rPr>
            <w:t xml:space="preserve">delivery </w:t>
          </w:r>
          <w:r w:rsidRPr="000E08DB">
            <w:rPr>
              <w:sz w:val="24"/>
              <w:szCs w:val="24"/>
            </w:rPr>
            <w:t xml:space="preserve">and regulation and </w:t>
          </w:r>
          <w:r w:rsidR="00DA4CBD" w:rsidRPr="000E08DB">
            <w:rPr>
              <w:sz w:val="24"/>
              <w:szCs w:val="24"/>
            </w:rPr>
            <w:t xml:space="preserve">complement </w:t>
          </w:r>
          <w:r w:rsidRPr="000E08DB">
            <w:rPr>
              <w:sz w:val="24"/>
              <w:szCs w:val="24"/>
            </w:rPr>
            <w:t xml:space="preserve">ASQA’s risk-based approach. </w:t>
          </w:r>
          <w:r w:rsidR="00525794" w:rsidRPr="000E08DB">
            <w:rPr>
              <w:sz w:val="24"/>
              <w:szCs w:val="24"/>
            </w:rPr>
            <w:t xml:space="preserve">A significant and ongoing program of engagement has been undertaken to facilitate the transition to the 2025 Standards, including to build RTO understanding and capability for operating under the 2025 Standards. Commencing in October 2024, this program of engagement included the development of educative and supporting resources, policy guidance, and a significant program of face-to-face and virtual workshops conducted by ASQA with providers across the country. </w:t>
          </w:r>
          <w:r w:rsidRPr="000E08DB">
            <w:rPr>
              <w:sz w:val="24"/>
              <w:szCs w:val="24"/>
            </w:rPr>
            <w:t xml:space="preserve"> </w:t>
          </w:r>
        </w:p>
        <w:p w14:paraId="2BAEDABB" w14:textId="33A92310" w:rsidR="00261F2B" w:rsidRPr="000E08DB" w:rsidDel="008E42F9" w:rsidRDefault="00261F2B" w:rsidP="00261F2B">
          <w:pPr>
            <w:jc w:val="both"/>
            <w:rPr>
              <w:color w:val="FF0000"/>
              <w:sz w:val="24"/>
              <w:szCs w:val="24"/>
            </w:rPr>
          </w:pPr>
          <w:r w:rsidRPr="000E08DB">
            <w:rPr>
              <w:sz w:val="24"/>
              <w:szCs w:val="24"/>
            </w:rPr>
            <w:t xml:space="preserve">The Government remains committed to managing the sector at sustainable levels, creating a better and fairer system, and addressing integrity issues in international education. </w:t>
          </w:r>
          <w:r w:rsidR="00A67B6A" w:rsidRPr="000E08DB">
            <w:rPr>
              <w:sz w:val="24"/>
              <w:szCs w:val="24"/>
            </w:rPr>
            <w:t xml:space="preserve"> Measures included in the </w:t>
          </w:r>
          <w:r w:rsidR="004B420D" w:rsidRPr="000E08DB">
            <w:rPr>
              <w:sz w:val="24"/>
              <w:szCs w:val="24"/>
            </w:rPr>
            <w:t>ELA</w:t>
          </w:r>
          <w:r w:rsidR="008D722A" w:rsidRPr="000E08DB">
            <w:rPr>
              <w:sz w:val="24"/>
              <w:szCs w:val="24"/>
            </w:rPr>
            <w:t xml:space="preserve"> </w:t>
          </w:r>
          <w:r w:rsidR="007354EB" w:rsidRPr="000E08DB">
            <w:rPr>
              <w:sz w:val="24"/>
              <w:szCs w:val="24"/>
            </w:rPr>
            <w:t>Act</w:t>
          </w:r>
          <w:r w:rsidR="00A67B6A" w:rsidRPr="000E08DB">
            <w:rPr>
              <w:sz w:val="24"/>
              <w:szCs w:val="24"/>
            </w:rPr>
            <w:t xml:space="preserve"> strengthen integrity and support quality in the sector.</w:t>
          </w:r>
        </w:p>
        <w:p w14:paraId="2E34AD96" w14:textId="77777777" w:rsidR="00DE56DC" w:rsidRPr="000E08DB" w:rsidRDefault="00DE56DC" w:rsidP="00111BE1">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6ABB90C3" w14:textId="77777777">
            <w:tc>
              <w:tcPr>
                <w:tcW w:w="9016" w:type="dxa"/>
                <w:shd w:val="clear" w:color="auto" w:fill="E7E6E6" w:themeFill="background2"/>
              </w:tcPr>
              <w:p w14:paraId="1CFD43B8" w14:textId="5E7B29A9" w:rsidR="00B14F20" w:rsidRPr="000E08DB" w:rsidRDefault="00B14F20" w:rsidP="00755613">
                <w:pPr>
                  <w:pStyle w:val="Heading2"/>
                  <w:jc w:val="both"/>
                  <w:rPr>
                    <w:rFonts w:asciiTheme="minorHAnsi" w:hAnsiTheme="minorHAnsi" w:cstheme="minorBidi"/>
                    <w:sz w:val="24"/>
                    <w:szCs w:val="24"/>
                  </w:rPr>
                </w:pPr>
                <w:bookmarkStart w:id="21" w:name="_Toc207627805"/>
                <w:r w:rsidRPr="000E08DB">
                  <w:rPr>
                    <w:rFonts w:asciiTheme="minorHAnsi" w:hAnsiTheme="minorHAnsi" w:cstheme="minorBidi"/>
                    <w:sz w:val="24"/>
                    <w:szCs w:val="24"/>
                  </w:rPr>
                  <w:t>Recommendation 16</w:t>
                </w:r>
                <w:bookmarkEnd w:id="21"/>
              </w:p>
              <w:p w14:paraId="3B1BACFB"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consider differentiating visa applications for international students who choose to study at Technical and Further Education providers (TAFEs). Further considerations to support TAFEs should include:</w:t>
                </w:r>
              </w:p>
              <w:p w14:paraId="2FC7E96F" w14:textId="77777777" w:rsidR="00B14F20" w:rsidRPr="000E08DB" w:rsidRDefault="00B14F20" w:rsidP="00755613">
                <w:pPr>
                  <w:pStyle w:val="ListParagraph"/>
                  <w:numPr>
                    <w:ilvl w:val="0"/>
                    <w:numId w:val="9"/>
                  </w:numPr>
                  <w:jc w:val="both"/>
                  <w:rPr>
                    <w:rFonts w:cstheme="minorHAnsi"/>
                    <w:sz w:val="24"/>
                    <w:szCs w:val="24"/>
                  </w:rPr>
                </w:pPr>
                <w:r w:rsidRPr="000E08DB">
                  <w:rPr>
                    <w:rFonts w:cstheme="minorHAnsi"/>
                    <w:sz w:val="24"/>
                    <w:szCs w:val="24"/>
                  </w:rPr>
                  <w:t>Disaggregating Vocational Education and Training (VET) immigration data so that TAFE applications are reported separately</w:t>
                </w:r>
              </w:p>
              <w:p w14:paraId="23530F68" w14:textId="77777777" w:rsidR="00B14F20" w:rsidRPr="000E08DB" w:rsidRDefault="00B14F20" w:rsidP="00755613">
                <w:pPr>
                  <w:pStyle w:val="ListParagraph"/>
                  <w:numPr>
                    <w:ilvl w:val="0"/>
                    <w:numId w:val="9"/>
                  </w:numPr>
                  <w:jc w:val="both"/>
                  <w:rPr>
                    <w:rFonts w:cstheme="minorHAnsi"/>
                    <w:sz w:val="24"/>
                    <w:szCs w:val="24"/>
                  </w:rPr>
                </w:pPr>
                <w:r w:rsidRPr="000E08DB">
                  <w:rPr>
                    <w:rFonts w:cstheme="minorHAnsi"/>
                    <w:sz w:val="24"/>
                    <w:szCs w:val="24"/>
                  </w:rPr>
                  <w:t>supporting the Department of Home Affairs to apply a risk regime that recognises TAFEs genuine commitment to providing a quality experience for international students, by providing TAFEs with the same benefits/recognition as universities under the Simplified Student Visa Framework (SSVF).</w:t>
                </w:r>
              </w:p>
              <w:p w14:paraId="4482D894" w14:textId="77777777" w:rsidR="00B14F20" w:rsidRPr="000E08DB" w:rsidRDefault="00B14F20" w:rsidP="00755613">
                <w:pPr>
                  <w:jc w:val="both"/>
                  <w:rPr>
                    <w:rFonts w:cstheme="minorHAnsi"/>
                    <w:sz w:val="24"/>
                    <w:szCs w:val="24"/>
                  </w:rPr>
                </w:pPr>
              </w:p>
            </w:tc>
          </w:tr>
        </w:tbl>
        <w:p w14:paraId="38AD715E" w14:textId="77777777" w:rsidR="00B14F20" w:rsidRPr="000E08DB" w:rsidRDefault="00B14F20" w:rsidP="00755613">
          <w:pPr>
            <w:jc w:val="both"/>
            <w:rPr>
              <w:rFonts w:cstheme="minorHAnsi"/>
              <w:sz w:val="24"/>
              <w:szCs w:val="24"/>
            </w:rPr>
          </w:pPr>
        </w:p>
        <w:p w14:paraId="70E2E588" w14:textId="4479B399"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792C19" w:rsidRPr="000E08DB">
            <w:rPr>
              <w:b/>
              <w:sz w:val="24"/>
              <w:szCs w:val="24"/>
            </w:rPr>
            <w:t>notes</w:t>
          </w:r>
          <w:r w:rsidR="00B14F20" w:rsidRPr="000E08DB">
            <w:rPr>
              <w:sz w:val="24"/>
              <w:szCs w:val="24"/>
            </w:rPr>
            <w:t xml:space="preserve"> this </w:t>
          </w:r>
          <w:r w:rsidR="009C2DC2" w:rsidRPr="000E08DB">
            <w:rPr>
              <w:sz w:val="24"/>
              <w:szCs w:val="24"/>
            </w:rPr>
            <w:t>r</w:t>
          </w:r>
          <w:r w:rsidR="00B14F20" w:rsidRPr="000E08DB">
            <w:rPr>
              <w:sz w:val="24"/>
              <w:szCs w:val="24"/>
            </w:rPr>
            <w:t>ecommendation.</w:t>
          </w:r>
        </w:p>
        <w:p w14:paraId="4B8C9010" w14:textId="4413E4C3" w:rsidR="00B14F20" w:rsidRPr="000E08DB" w:rsidRDefault="00261F2B" w:rsidP="00755613">
          <w:pPr>
            <w:jc w:val="both"/>
            <w:rPr>
              <w:rFonts w:ascii="Calibri" w:eastAsia="Calibri" w:hAnsi="Calibri" w:cs="Calibri"/>
              <w:color w:val="000000" w:themeColor="text1"/>
              <w:sz w:val="24"/>
              <w:szCs w:val="24"/>
            </w:rPr>
          </w:pPr>
          <w:r w:rsidRPr="000E08DB">
            <w:rPr>
              <w:sz w:val="24"/>
              <w:szCs w:val="24"/>
            </w:rPr>
            <w:t xml:space="preserve">The </w:t>
          </w:r>
          <w:r w:rsidR="00B14F20" w:rsidRPr="000E08DB">
            <w:rPr>
              <w:sz w:val="24"/>
              <w:szCs w:val="24"/>
            </w:rPr>
            <w:t>Government will further consider this recommendation, in line with its response to</w:t>
          </w:r>
          <w:r w:rsidR="002C3A83" w:rsidRPr="000E08DB">
            <w:rPr>
              <w:sz w:val="24"/>
              <w:szCs w:val="24"/>
            </w:rPr>
            <w:t xml:space="preserve"> the Nixon Review</w:t>
          </w:r>
          <w:r w:rsidR="00B62C33" w:rsidRPr="000E08DB">
            <w:rPr>
              <w:rFonts w:ascii="Calibri" w:eastAsia="Calibri" w:hAnsi="Calibri" w:cs="Calibri"/>
              <w:color w:val="000000" w:themeColor="text1"/>
              <w:sz w:val="24"/>
              <w:szCs w:val="24"/>
            </w:rPr>
            <w:t xml:space="preserve">, which advocates for several reforms to </w:t>
          </w:r>
          <w:r w:rsidR="002E27CD" w:rsidRPr="000E08DB">
            <w:rPr>
              <w:rFonts w:ascii="Calibri" w:eastAsia="Calibri" w:hAnsi="Calibri" w:cs="Calibri"/>
              <w:color w:val="000000" w:themeColor="text1"/>
              <w:sz w:val="24"/>
              <w:szCs w:val="24"/>
            </w:rPr>
            <w:t xml:space="preserve">protect students from unscrupulous private VET providers. </w:t>
          </w: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781BC054" w14:textId="77777777">
            <w:tc>
              <w:tcPr>
                <w:tcW w:w="9016" w:type="dxa"/>
                <w:shd w:val="clear" w:color="auto" w:fill="E7E6E6" w:themeFill="background2"/>
              </w:tcPr>
              <w:p w14:paraId="387DA4F2" w14:textId="5DE628DA" w:rsidR="00B14F20" w:rsidRPr="000E08DB" w:rsidRDefault="00B14F20" w:rsidP="00755613">
                <w:pPr>
                  <w:pStyle w:val="Heading2"/>
                  <w:jc w:val="both"/>
                  <w:rPr>
                    <w:rFonts w:asciiTheme="minorHAnsi" w:hAnsiTheme="minorHAnsi" w:cstheme="minorBidi"/>
                    <w:sz w:val="24"/>
                    <w:szCs w:val="24"/>
                  </w:rPr>
                </w:pPr>
                <w:bookmarkStart w:id="22" w:name="_Toc207627806"/>
                <w:r w:rsidRPr="000E08DB">
                  <w:rPr>
                    <w:rFonts w:asciiTheme="minorHAnsi" w:hAnsiTheme="minorHAnsi" w:cstheme="minorBidi"/>
                    <w:sz w:val="24"/>
                    <w:szCs w:val="24"/>
                  </w:rPr>
                  <w:lastRenderedPageBreak/>
                  <w:t>Recommendation 17</w:t>
                </w:r>
                <w:bookmarkEnd w:id="22"/>
              </w:p>
              <w:p w14:paraId="472DBBA5"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review international education regulatory bodies to ensure the settings and frameworks empower proactive risk analysis, on-the-ground quality assurance practices and that individual complaints, especially complaints by students, are investigated within an efficient timeframe. The review should consider how:</w:t>
                </w:r>
              </w:p>
              <w:p w14:paraId="408479B7" w14:textId="77777777" w:rsidR="00B14F20" w:rsidRPr="000E08DB" w:rsidRDefault="00B14F20" w:rsidP="00755613">
                <w:pPr>
                  <w:pStyle w:val="ListParagraph"/>
                  <w:numPr>
                    <w:ilvl w:val="0"/>
                    <w:numId w:val="10"/>
                  </w:numPr>
                  <w:jc w:val="both"/>
                  <w:rPr>
                    <w:rFonts w:cstheme="minorHAnsi"/>
                    <w:sz w:val="24"/>
                    <w:szCs w:val="24"/>
                  </w:rPr>
                </w:pPr>
                <w:r w:rsidRPr="000E08DB">
                  <w:rPr>
                    <w:rFonts w:cstheme="minorHAnsi"/>
                    <w:sz w:val="24"/>
                    <w:szCs w:val="24"/>
                  </w:rPr>
                  <w:t>agencies could maintain a list of ‘red flagged’ individuals and entities subject to serious regulatory action or serious integrity concerns, increase the degree and scope of penalties, and regulators could be empowered to be able to investigate provider and education agent or equivalent relationships</w:t>
                </w:r>
              </w:p>
              <w:p w14:paraId="353E33FA" w14:textId="77777777" w:rsidR="00B14F20" w:rsidRPr="000E08DB" w:rsidRDefault="00B14F20" w:rsidP="00755613">
                <w:pPr>
                  <w:pStyle w:val="ListParagraph"/>
                  <w:numPr>
                    <w:ilvl w:val="0"/>
                    <w:numId w:val="10"/>
                  </w:numPr>
                  <w:jc w:val="both"/>
                  <w:rPr>
                    <w:rFonts w:cstheme="minorHAnsi"/>
                    <w:sz w:val="24"/>
                    <w:szCs w:val="24"/>
                  </w:rPr>
                </w:pPr>
                <w:r w:rsidRPr="000E08DB">
                  <w:rPr>
                    <w:rFonts w:cstheme="minorHAnsi"/>
                    <w:sz w:val="24"/>
                    <w:szCs w:val="24"/>
                  </w:rPr>
                  <w:t>increase the capacity and resourcing of international regulatory bodies over time to enable the agencies to effectively conduct randomised provider checks including site visits and conduct scaled investigations into high-risk provider behaviour</w:t>
                </w:r>
              </w:p>
              <w:p w14:paraId="2E5CD723" w14:textId="77777777" w:rsidR="00B14F20" w:rsidRPr="000E08DB" w:rsidRDefault="00B14F20" w:rsidP="00755613">
                <w:pPr>
                  <w:pStyle w:val="ListParagraph"/>
                  <w:numPr>
                    <w:ilvl w:val="0"/>
                    <w:numId w:val="10"/>
                  </w:numPr>
                  <w:jc w:val="both"/>
                  <w:rPr>
                    <w:rFonts w:cstheme="minorHAnsi"/>
                    <w:sz w:val="24"/>
                    <w:szCs w:val="24"/>
                  </w:rPr>
                </w:pPr>
                <w:r w:rsidRPr="000E08DB">
                  <w:rPr>
                    <w:rFonts w:cstheme="minorHAnsi"/>
                    <w:sz w:val="24"/>
                    <w:szCs w:val="24"/>
                  </w:rPr>
                  <w:t>ensure resourcing is sufficient so that agencies are equipped and capably resourced to take full advantage of, and contribute to cross-agency intelligence data gathering, pursue individual student complaints/whistleblowing allegations, and be able to report annual monitoring and investigation KPIs to be set by Government.</w:t>
                </w:r>
              </w:p>
              <w:p w14:paraId="3AB620F9" w14:textId="77777777" w:rsidR="00B14F20" w:rsidRPr="000E08DB" w:rsidRDefault="00B14F20" w:rsidP="00755613">
                <w:pPr>
                  <w:jc w:val="both"/>
                  <w:rPr>
                    <w:rFonts w:cstheme="minorHAnsi"/>
                    <w:sz w:val="24"/>
                    <w:szCs w:val="24"/>
                  </w:rPr>
                </w:pPr>
              </w:p>
            </w:tc>
          </w:tr>
        </w:tbl>
        <w:p w14:paraId="5BAE487B" w14:textId="77777777" w:rsidR="00B14F20" w:rsidRPr="000E08DB" w:rsidRDefault="00B14F20" w:rsidP="00755613">
          <w:pPr>
            <w:jc w:val="both"/>
            <w:rPr>
              <w:rFonts w:cstheme="minorHAnsi"/>
              <w:sz w:val="24"/>
              <w:szCs w:val="24"/>
            </w:rPr>
          </w:pPr>
        </w:p>
        <w:p w14:paraId="481F7B2A" w14:textId="549C414F" w:rsidR="00B14F20" w:rsidRPr="000E08DB" w:rsidRDefault="00E2764F" w:rsidP="00755613">
          <w:pPr>
            <w:jc w:val="both"/>
            <w:rPr>
              <w:rFonts w:ascii="Calibri" w:eastAsia="Calibri" w:hAnsi="Calibri" w:cs="Calibri"/>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5D70DC" w:rsidRPr="000E08DB">
            <w:rPr>
              <w:rFonts w:ascii="Calibri" w:eastAsia="Calibri" w:hAnsi="Calibri" w:cs="Calibri"/>
              <w:b/>
              <w:bCs/>
              <w:sz w:val="24"/>
              <w:szCs w:val="24"/>
            </w:rPr>
            <w:t>agrees</w:t>
          </w:r>
          <w:r w:rsidR="00B14F20" w:rsidRPr="000E08DB">
            <w:rPr>
              <w:rFonts w:ascii="Calibri" w:eastAsia="Calibri" w:hAnsi="Calibri" w:cs="Calibri"/>
              <w:sz w:val="24"/>
              <w:szCs w:val="24"/>
            </w:rPr>
            <w:t xml:space="preserve"> with</w:t>
          </w:r>
          <w:r w:rsidR="00B14F20" w:rsidRPr="000E08DB">
            <w:rPr>
              <w:rFonts w:ascii="Calibri" w:eastAsia="Calibri" w:hAnsi="Calibri" w:cs="Calibri"/>
              <w:b/>
              <w:bCs/>
              <w:sz w:val="24"/>
              <w:szCs w:val="24"/>
            </w:rPr>
            <w:t xml:space="preserve"> </w:t>
          </w:r>
          <w:r w:rsidR="00B14F20" w:rsidRPr="000E08DB">
            <w:rPr>
              <w:rFonts w:ascii="Calibri" w:eastAsia="Calibri" w:hAnsi="Calibri" w:cs="Calibri"/>
              <w:sz w:val="24"/>
              <w:szCs w:val="24"/>
            </w:rPr>
            <w:t xml:space="preserve">this </w:t>
          </w:r>
          <w:r w:rsidR="009C2DC2" w:rsidRPr="000E08DB">
            <w:rPr>
              <w:rFonts w:ascii="Calibri" w:eastAsia="Calibri" w:hAnsi="Calibri" w:cs="Calibri"/>
              <w:sz w:val="24"/>
              <w:szCs w:val="24"/>
            </w:rPr>
            <w:t>r</w:t>
          </w:r>
          <w:r w:rsidR="00B14F20" w:rsidRPr="000E08DB">
            <w:rPr>
              <w:rFonts w:ascii="Calibri" w:eastAsia="Calibri" w:hAnsi="Calibri" w:cs="Calibri"/>
              <w:sz w:val="24"/>
              <w:szCs w:val="24"/>
            </w:rPr>
            <w:t>ecommendation</w:t>
          </w:r>
          <w:r w:rsidR="00C61B77" w:rsidRPr="000E08DB">
            <w:rPr>
              <w:rFonts w:ascii="Calibri" w:eastAsia="Calibri" w:hAnsi="Calibri" w:cs="Calibri"/>
              <w:sz w:val="24"/>
              <w:szCs w:val="24"/>
            </w:rPr>
            <w:t>.</w:t>
          </w:r>
        </w:p>
        <w:p w14:paraId="7AC4C3FC" w14:textId="3719124D" w:rsidR="00B14F20" w:rsidRPr="000E08DB" w:rsidRDefault="00261F2B" w:rsidP="00755613">
          <w:pPr>
            <w:jc w:val="both"/>
            <w:rPr>
              <w:rFonts w:ascii="Calibri" w:eastAsia="Calibri" w:hAnsi="Calibri" w:cs="Calibri"/>
              <w:color w:val="000000" w:themeColor="text1"/>
              <w:sz w:val="24"/>
              <w:szCs w:val="24"/>
            </w:rPr>
          </w:pPr>
          <w:r w:rsidRPr="000E08DB">
            <w:rPr>
              <w:rFonts w:ascii="Calibri" w:eastAsia="Calibri" w:hAnsi="Calibri" w:cs="Calibri"/>
              <w:color w:val="000000" w:themeColor="text1"/>
              <w:sz w:val="24"/>
              <w:szCs w:val="24"/>
            </w:rPr>
            <w:t xml:space="preserve">The </w:t>
          </w:r>
          <w:r w:rsidR="00B14F20" w:rsidRPr="000E08DB">
            <w:rPr>
              <w:rFonts w:ascii="Calibri" w:eastAsia="Calibri" w:hAnsi="Calibri" w:cs="Calibri"/>
              <w:color w:val="000000" w:themeColor="text1"/>
              <w:sz w:val="24"/>
              <w:szCs w:val="24"/>
            </w:rPr>
            <w:t xml:space="preserve">Government notes that the actions responding to this recommendation are covered by its response to </w:t>
          </w:r>
          <w:r w:rsidR="002C3A83" w:rsidRPr="000E08DB">
            <w:rPr>
              <w:sz w:val="24"/>
              <w:szCs w:val="24"/>
            </w:rPr>
            <w:t>the Nixon Review</w:t>
          </w:r>
          <w:r w:rsidR="00423807" w:rsidRPr="000E08DB">
            <w:rPr>
              <w:rFonts w:ascii="Calibri" w:eastAsia="Calibri" w:hAnsi="Calibri" w:cs="Calibri"/>
              <w:color w:val="000000" w:themeColor="text1"/>
              <w:sz w:val="24"/>
              <w:szCs w:val="24"/>
            </w:rPr>
            <w:t>.</w:t>
          </w:r>
          <w:r w:rsidR="00B304ED" w:rsidRPr="000E08DB">
            <w:rPr>
              <w:rFonts w:ascii="Calibri" w:eastAsia="Calibri" w:hAnsi="Calibri" w:cs="Calibri"/>
              <w:color w:val="000000" w:themeColor="text1"/>
              <w:sz w:val="24"/>
              <w:szCs w:val="24"/>
            </w:rPr>
            <w:t xml:space="preserve"> In its response</w:t>
          </w:r>
          <w:r w:rsidR="009E1797">
            <w:rPr>
              <w:rFonts w:ascii="Calibri" w:eastAsia="Calibri" w:hAnsi="Calibri" w:cs="Calibri"/>
              <w:color w:val="000000" w:themeColor="text1"/>
              <w:sz w:val="24"/>
              <w:szCs w:val="24"/>
            </w:rPr>
            <w:t>,</w:t>
          </w:r>
          <w:r w:rsidR="00B304ED" w:rsidRPr="000E08DB">
            <w:rPr>
              <w:rFonts w:ascii="Calibri" w:eastAsia="Calibri" w:hAnsi="Calibri" w:cs="Calibri"/>
              <w:color w:val="000000" w:themeColor="text1"/>
              <w:sz w:val="24"/>
              <w:szCs w:val="24"/>
            </w:rPr>
            <w:t xml:space="preserve"> Government has undertaken significant uplifts </w:t>
          </w:r>
          <w:r w:rsidR="00753016" w:rsidRPr="000E08DB">
            <w:rPr>
              <w:rFonts w:ascii="Calibri" w:eastAsia="Calibri" w:hAnsi="Calibri" w:cs="Calibri"/>
              <w:color w:val="000000" w:themeColor="text1"/>
              <w:sz w:val="24"/>
              <w:szCs w:val="24"/>
            </w:rPr>
            <w:t>o</w:t>
          </w:r>
          <w:r w:rsidR="00B304ED" w:rsidRPr="000E08DB">
            <w:rPr>
              <w:rFonts w:ascii="Calibri" w:eastAsia="Calibri" w:hAnsi="Calibri" w:cs="Calibri"/>
              <w:color w:val="000000" w:themeColor="text1"/>
              <w:sz w:val="24"/>
              <w:szCs w:val="24"/>
            </w:rPr>
            <w:t>f regulatory capacity.</w:t>
          </w:r>
        </w:p>
        <w:p w14:paraId="263A5212" w14:textId="106F1FD3" w:rsidR="00B304ED" w:rsidRPr="000E08DB" w:rsidRDefault="00B304ED" w:rsidP="00B304ED">
          <w:pPr>
            <w:spacing w:line="257" w:lineRule="auto"/>
            <w:jc w:val="both"/>
            <w:rPr>
              <w:rFonts w:ascii="Calibri" w:eastAsia="Calibri" w:hAnsi="Calibri" w:cs="Calibri"/>
              <w:sz w:val="24"/>
              <w:szCs w:val="24"/>
            </w:rPr>
          </w:pPr>
          <w:r w:rsidRPr="000E08DB">
            <w:rPr>
              <w:rFonts w:ascii="Calibri" w:eastAsia="Calibri" w:hAnsi="Calibri" w:cs="Calibri"/>
              <w:sz w:val="24"/>
              <w:szCs w:val="24"/>
            </w:rPr>
            <w:t xml:space="preserve">In </w:t>
          </w:r>
          <w:r w:rsidR="0008391C" w:rsidRPr="000E08DB">
            <w:rPr>
              <w:rFonts w:ascii="Calibri" w:eastAsia="Calibri" w:hAnsi="Calibri" w:cs="Calibri"/>
              <w:sz w:val="24"/>
              <w:szCs w:val="24"/>
            </w:rPr>
            <w:t>the 2023-24 MYEFO, the</w:t>
          </w:r>
          <w:r w:rsidRPr="000E08DB">
            <w:rPr>
              <w:rFonts w:ascii="Calibri" w:eastAsia="Calibri" w:hAnsi="Calibri" w:cs="Calibri"/>
              <w:sz w:val="24"/>
              <w:szCs w:val="24"/>
            </w:rPr>
            <w:t xml:space="preserve"> Government announced a package of $37.8 million for measures to improve integrity in the VET system and protections for students. The measures </w:t>
          </w:r>
          <w:r w:rsidR="009240D6" w:rsidRPr="000E08DB">
            <w:rPr>
              <w:rFonts w:ascii="Calibri" w:eastAsia="Calibri" w:hAnsi="Calibri" w:cs="Calibri"/>
              <w:sz w:val="24"/>
              <w:szCs w:val="24"/>
            </w:rPr>
            <w:t xml:space="preserve">have </w:t>
          </w:r>
          <w:r w:rsidRPr="000E08DB">
            <w:rPr>
              <w:rFonts w:ascii="Calibri" w:eastAsia="Calibri" w:hAnsi="Calibri" w:cs="Calibri"/>
              <w:sz w:val="24"/>
              <w:szCs w:val="24"/>
            </w:rPr>
            <w:t>support</w:t>
          </w:r>
          <w:r w:rsidR="009240D6" w:rsidRPr="000E08DB">
            <w:rPr>
              <w:rFonts w:ascii="Calibri" w:eastAsia="Calibri" w:hAnsi="Calibri" w:cs="Calibri"/>
              <w:sz w:val="24"/>
              <w:szCs w:val="24"/>
            </w:rPr>
            <w:t>ed</w:t>
          </w:r>
          <w:r w:rsidRPr="000E08DB">
            <w:rPr>
              <w:rFonts w:ascii="Calibri" w:eastAsia="Calibri" w:hAnsi="Calibri" w:cs="Calibri"/>
              <w:sz w:val="24"/>
              <w:szCs w:val="24"/>
            </w:rPr>
            <w:t xml:space="preserve"> the national VET regulator, ASQA, to strengthen its regulatory activities by:</w:t>
          </w:r>
        </w:p>
        <w:p w14:paraId="7200E1EB" w14:textId="716ECF78" w:rsidR="002C3A83" w:rsidRPr="000E08DB" w:rsidRDefault="00B304ED" w:rsidP="00633A00">
          <w:pPr>
            <w:pStyle w:val="ListParagraph"/>
            <w:numPr>
              <w:ilvl w:val="0"/>
              <w:numId w:val="49"/>
            </w:numPr>
            <w:spacing w:line="257" w:lineRule="auto"/>
            <w:jc w:val="both"/>
            <w:rPr>
              <w:rFonts w:ascii="Calibri" w:eastAsia="Calibri" w:hAnsi="Calibri" w:cs="Calibri"/>
              <w:sz w:val="24"/>
              <w:szCs w:val="24"/>
            </w:rPr>
          </w:pPr>
          <w:r w:rsidRPr="000E08DB">
            <w:rPr>
              <w:rFonts w:ascii="Calibri" w:eastAsia="Calibri" w:hAnsi="Calibri" w:cs="Calibri"/>
              <w:sz w:val="24"/>
              <w:szCs w:val="24"/>
            </w:rPr>
            <w:t>establishing a new Integrity Unit within ASQA,</w:t>
          </w:r>
        </w:p>
        <w:p w14:paraId="05B23313" w14:textId="63AD816F" w:rsidR="002C3A83" w:rsidRPr="000E08DB" w:rsidRDefault="00B304ED" w:rsidP="00633A00">
          <w:pPr>
            <w:pStyle w:val="ListParagraph"/>
            <w:numPr>
              <w:ilvl w:val="0"/>
              <w:numId w:val="49"/>
            </w:numPr>
            <w:spacing w:line="257" w:lineRule="auto"/>
            <w:jc w:val="both"/>
            <w:rPr>
              <w:rFonts w:ascii="Calibri" w:eastAsia="Calibri" w:hAnsi="Calibri" w:cs="Calibri"/>
              <w:sz w:val="24"/>
              <w:szCs w:val="24"/>
            </w:rPr>
          </w:pPr>
          <w:r w:rsidRPr="000E08DB">
            <w:rPr>
              <w:rFonts w:ascii="Calibri" w:eastAsia="Calibri" w:hAnsi="Calibri" w:cs="Calibri"/>
              <w:sz w:val="24"/>
              <w:szCs w:val="24"/>
            </w:rPr>
            <w:t xml:space="preserve">upgrading ASQA’s digital and data systems to identify and respond to potentially illegal activity in the sector, </w:t>
          </w:r>
        </w:p>
        <w:p w14:paraId="4D368CCF" w14:textId="77777777" w:rsidR="00B304ED" w:rsidRPr="000E08DB" w:rsidRDefault="00B304ED" w:rsidP="00633A00">
          <w:pPr>
            <w:pStyle w:val="ListParagraph"/>
            <w:numPr>
              <w:ilvl w:val="0"/>
              <w:numId w:val="49"/>
            </w:numPr>
            <w:spacing w:line="257" w:lineRule="auto"/>
            <w:jc w:val="both"/>
            <w:rPr>
              <w:rFonts w:ascii="Calibri" w:eastAsia="Calibri" w:hAnsi="Calibri" w:cs="Calibri"/>
              <w:sz w:val="24"/>
              <w:szCs w:val="24"/>
            </w:rPr>
          </w:pPr>
          <w:r w:rsidRPr="000E08DB">
            <w:rPr>
              <w:rFonts w:ascii="Calibri" w:eastAsia="Calibri" w:hAnsi="Calibri" w:cs="Calibri"/>
              <w:sz w:val="24"/>
              <w:szCs w:val="24"/>
            </w:rPr>
            <w:t>establishing a confidential VET tip-</w:t>
          </w:r>
          <w:proofErr w:type="gramStart"/>
          <w:r w:rsidRPr="000E08DB">
            <w:rPr>
              <w:rFonts w:ascii="Calibri" w:eastAsia="Calibri" w:hAnsi="Calibri" w:cs="Calibri"/>
              <w:sz w:val="24"/>
              <w:szCs w:val="24"/>
            </w:rPr>
            <w:t>off line</w:t>
          </w:r>
          <w:proofErr w:type="gramEnd"/>
          <w:r w:rsidRPr="000E08DB">
            <w:rPr>
              <w:rFonts w:ascii="Calibri" w:eastAsia="Calibri" w:hAnsi="Calibri" w:cs="Calibri"/>
              <w:sz w:val="24"/>
              <w:szCs w:val="24"/>
            </w:rPr>
            <w:t xml:space="preserve"> for reports of serious non-compliance and illegal activity.</w:t>
          </w:r>
        </w:p>
        <w:p w14:paraId="40C4BDBC" w14:textId="1FB2F062" w:rsidR="00B304ED" w:rsidRPr="000E08DB" w:rsidRDefault="00261F2B" w:rsidP="00B304ED">
          <w:pPr>
            <w:jc w:val="both"/>
            <w:rPr>
              <w:rFonts w:ascii="Calibri" w:eastAsia="Calibri" w:hAnsi="Calibri" w:cs="Calibri"/>
              <w:sz w:val="24"/>
              <w:szCs w:val="24"/>
            </w:rPr>
          </w:pPr>
          <w:r w:rsidRPr="000E08DB">
            <w:rPr>
              <w:rFonts w:ascii="Calibri" w:eastAsia="Calibri" w:hAnsi="Calibri" w:cs="Calibri"/>
              <w:sz w:val="24"/>
              <w:szCs w:val="24"/>
            </w:rPr>
            <w:t xml:space="preserve">The </w:t>
          </w:r>
          <w:r w:rsidR="00B304ED" w:rsidRPr="000E08DB">
            <w:rPr>
              <w:rFonts w:ascii="Calibri" w:eastAsia="Calibri" w:hAnsi="Calibri" w:cs="Calibri"/>
              <w:sz w:val="24"/>
              <w:szCs w:val="24"/>
            </w:rPr>
            <w:t xml:space="preserve">Government is continuing cross agency work to support ESOS agencies to share and integrate data holdings and to support ongoing development of evidence-based risk indicators to inform compliance actions by the education regulators.   </w:t>
          </w:r>
        </w:p>
        <w:p w14:paraId="29799B16" w14:textId="77777777" w:rsidR="00B14F20" w:rsidRPr="000E08DB" w:rsidRDefault="00B14F20"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5A9084D9" w14:textId="77777777">
            <w:tc>
              <w:tcPr>
                <w:tcW w:w="9016" w:type="dxa"/>
                <w:shd w:val="clear" w:color="auto" w:fill="E7E6E6" w:themeFill="background2"/>
              </w:tcPr>
              <w:p w14:paraId="393F6C5D" w14:textId="57DD270F" w:rsidR="00B14F20" w:rsidRPr="000E08DB" w:rsidRDefault="00B14F20" w:rsidP="00755613">
                <w:pPr>
                  <w:pStyle w:val="Heading2"/>
                  <w:jc w:val="both"/>
                  <w:rPr>
                    <w:rFonts w:asciiTheme="minorHAnsi" w:hAnsiTheme="minorHAnsi" w:cstheme="minorBidi"/>
                    <w:sz w:val="24"/>
                    <w:szCs w:val="24"/>
                  </w:rPr>
                </w:pPr>
                <w:bookmarkStart w:id="23" w:name="_Toc207627807"/>
                <w:r w:rsidRPr="000E08DB">
                  <w:rPr>
                    <w:rFonts w:asciiTheme="minorHAnsi" w:hAnsiTheme="minorHAnsi" w:cstheme="minorBidi"/>
                    <w:sz w:val="24"/>
                    <w:szCs w:val="24"/>
                  </w:rPr>
                  <w:t>Recommendation 18</w:t>
                </w:r>
                <w:bookmarkEnd w:id="23"/>
              </w:p>
              <w:p w14:paraId="512D0FAA"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amend Quality Indicators for Teaching and Learning (QILT) Surveys to include questions about education agents and equivalents that would provide more detailed information of the agent student interactions.</w:t>
                </w:r>
              </w:p>
              <w:p w14:paraId="48BECB78" w14:textId="77777777" w:rsidR="00B14F20" w:rsidRPr="000E08DB" w:rsidRDefault="00B14F20" w:rsidP="00755613">
                <w:pPr>
                  <w:jc w:val="both"/>
                  <w:rPr>
                    <w:rFonts w:cstheme="minorHAnsi"/>
                    <w:sz w:val="24"/>
                    <w:szCs w:val="24"/>
                  </w:rPr>
                </w:pPr>
              </w:p>
            </w:tc>
          </w:tr>
        </w:tbl>
        <w:p w14:paraId="754552E5" w14:textId="77777777" w:rsidR="00B14F20" w:rsidRPr="000E08DB" w:rsidRDefault="00B14F20" w:rsidP="00755613">
          <w:pPr>
            <w:jc w:val="both"/>
            <w:rPr>
              <w:rFonts w:cstheme="minorHAnsi"/>
              <w:sz w:val="24"/>
              <w:szCs w:val="24"/>
            </w:rPr>
          </w:pPr>
        </w:p>
        <w:p w14:paraId="7F8A01C4" w14:textId="2B135D7D"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w:t>
          </w:r>
          <w:r w:rsidR="009833A5" w:rsidRPr="000E08DB">
            <w:rPr>
              <w:b/>
              <w:sz w:val="24"/>
              <w:szCs w:val="24"/>
            </w:rPr>
            <w:t xml:space="preserve">s </w:t>
          </w:r>
          <w:r w:rsidR="00B14F20" w:rsidRPr="000E08DB">
            <w:rPr>
              <w:sz w:val="24"/>
              <w:szCs w:val="24"/>
            </w:rPr>
            <w:t xml:space="preserve">with this </w:t>
          </w:r>
          <w:r w:rsidR="009C2DC2" w:rsidRPr="000E08DB">
            <w:rPr>
              <w:sz w:val="24"/>
              <w:szCs w:val="24"/>
            </w:rPr>
            <w:t>r</w:t>
          </w:r>
          <w:r w:rsidR="00B14F20" w:rsidRPr="000E08DB">
            <w:rPr>
              <w:sz w:val="24"/>
              <w:szCs w:val="24"/>
            </w:rPr>
            <w:t>ecommendation.</w:t>
          </w:r>
        </w:p>
        <w:p w14:paraId="06CA0984" w14:textId="0622B03E" w:rsidR="00B14F20" w:rsidRPr="000E08DB" w:rsidRDefault="00261F2B" w:rsidP="00755613">
          <w:pPr>
            <w:jc w:val="both"/>
            <w:rPr>
              <w:rFonts w:cstheme="minorHAnsi"/>
              <w:sz w:val="24"/>
              <w:szCs w:val="24"/>
            </w:rPr>
          </w:pPr>
          <w:r w:rsidRPr="000E08DB">
            <w:rPr>
              <w:rFonts w:cstheme="minorHAnsi"/>
              <w:sz w:val="24"/>
              <w:szCs w:val="24"/>
            </w:rPr>
            <w:lastRenderedPageBreak/>
            <w:t xml:space="preserve">The </w:t>
          </w:r>
          <w:r w:rsidR="00B14F20" w:rsidRPr="000E08DB">
            <w:rPr>
              <w:rFonts w:cstheme="minorHAnsi"/>
              <w:sz w:val="24"/>
              <w:szCs w:val="24"/>
            </w:rPr>
            <w:t>Government</w:t>
          </w:r>
          <w:r w:rsidR="007105D9" w:rsidRPr="000E08DB">
            <w:rPr>
              <w:rFonts w:cstheme="minorHAnsi"/>
              <w:sz w:val="24"/>
              <w:szCs w:val="24"/>
            </w:rPr>
            <w:t xml:space="preserve"> has</w:t>
          </w:r>
          <w:r w:rsidR="00B14F20" w:rsidRPr="000E08DB">
            <w:rPr>
              <w:rFonts w:cstheme="minorHAnsi"/>
              <w:sz w:val="24"/>
              <w:szCs w:val="24"/>
            </w:rPr>
            <w:t xml:space="preserve"> </w:t>
          </w:r>
          <w:r w:rsidR="005E7ACF" w:rsidRPr="000E08DB">
            <w:rPr>
              <w:rFonts w:cstheme="minorHAnsi"/>
              <w:sz w:val="24"/>
              <w:szCs w:val="24"/>
            </w:rPr>
            <w:t>work</w:t>
          </w:r>
          <w:r w:rsidR="00E6597D" w:rsidRPr="000E08DB">
            <w:rPr>
              <w:rFonts w:cstheme="minorHAnsi"/>
              <w:sz w:val="24"/>
              <w:szCs w:val="24"/>
            </w:rPr>
            <w:t>ed</w:t>
          </w:r>
          <w:r w:rsidR="005E7ACF" w:rsidRPr="000E08DB">
            <w:rPr>
              <w:rFonts w:cstheme="minorHAnsi"/>
              <w:sz w:val="24"/>
              <w:szCs w:val="24"/>
            </w:rPr>
            <w:t xml:space="preserve"> with</w:t>
          </w:r>
          <w:r w:rsidR="00B14F20" w:rsidRPr="000E08DB">
            <w:rPr>
              <w:rFonts w:cstheme="minorHAnsi"/>
              <w:sz w:val="24"/>
              <w:szCs w:val="24"/>
            </w:rPr>
            <w:t xml:space="preserve"> the QILT </w:t>
          </w:r>
          <w:r w:rsidR="005E7ACF" w:rsidRPr="000E08DB">
            <w:rPr>
              <w:rFonts w:cstheme="minorHAnsi"/>
              <w:sz w:val="24"/>
              <w:szCs w:val="24"/>
            </w:rPr>
            <w:t>contractor</w:t>
          </w:r>
          <w:r w:rsidR="00B14F20" w:rsidRPr="000E08DB">
            <w:rPr>
              <w:rFonts w:cstheme="minorHAnsi"/>
              <w:sz w:val="24"/>
              <w:szCs w:val="24"/>
            </w:rPr>
            <w:t xml:space="preserve"> to </w:t>
          </w:r>
          <w:r w:rsidR="005E7ACF" w:rsidRPr="000E08DB">
            <w:rPr>
              <w:rFonts w:cstheme="minorHAnsi"/>
              <w:sz w:val="24"/>
              <w:szCs w:val="24"/>
            </w:rPr>
            <w:t xml:space="preserve">include questions about education agents </w:t>
          </w:r>
          <w:r w:rsidR="008F5E51" w:rsidRPr="000E08DB">
            <w:rPr>
              <w:rFonts w:cstheme="minorHAnsi"/>
              <w:sz w:val="24"/>
              <w:szCs w:val="24"/>
            </w:rPr>
            <w:t xml:space="preserve">and equivalents </w:t>
          </w:r>
          <w:r w:rsidR="005E7ACF" w:rsidRPr="000E08DB">
            <w:rPr>
              <w:rFonts w:cstheme="minorHAnsi"/>
              <w:sz w:val="24"/>
              <w:szCs w:val="24"/>
            </w:rPr>
            <w:t xml:space="preserve">for </w:t>
          </w:r>
          <w:r w:rsidR="008F5E51" w:rsidRPr="000E08DB">
            <w:rPr>
              <w:rFonts w:cstheme="minorHAnsi"/>
              <w:sz w:val="24"/>
              <w:szCs w:val="24"/>
            </w:rPr>
            <w:t xml:space="preserve">the </w:t>
          </w:r>
          <w:r w:rsidR="005E7ACF" w:rsidRPr="000E08DB">
            <w:rPr>
              <w:rFonts w:cstheme="minorHAnsi"/>
              <w:sz w:val="24"/>
              <w:szCs w:val="24"/>
            </w:rPr>
            <w:t>2025 Student Experience Survey.</w:t>
          </w:r>
          <w:r w:rsidR="00E6597D" w:rsidRPr="000E08DB">
            <w:rPr>
              <w:rFonts w:cstheme="minorHAnsi"/>
              <w:sz w:val="24"/>
              <w:szCs w:val="24"/>
            </w:rPr>
            <w:t xml:space="preserve"> </w:t>
          </w:r>
        </w:p>
        <w:p w14:paraId="4977C471" w14:textId="77777777" w:rsidR="00DA701E" w:rsidRPr="000E08DB" w:rsidRDefault="00DA701E"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471E8882" w14:textId="77777777">
            <w:tc>
              <w:tcPr>
                <w:tcW w:w="9016" w:type="dxa"/>
                <w:shd w:val="clear" w:color="auto" w:fill="E7E6E6" w:themeFill="background2"/>
              </w:tcPr>
              <w:p w14:paraId="0FDBD111" w14:textId="501BC6C0" w:rsidR="00B14F20" w:rsidRPr="000E08DB" w:rsidRDefault="00B14F20" w:rsidP="00755613">
                <w:pPr>
                  <w:pStyle w:val="Heading2"/>
                  <w:jc w:val="both"/>
                  <w:rPr>
                    <w:rFonts w:asciiTheme="minorHAnsi" w:hAnsiTheme="minorHAnsi" w:cstheme="minorBidi"/>
                    <w:sz w:val="24"/>
                    <w:szCs w:val="24"/>
                  </w:rPr>
                </w:pPr>
                <w:bookmarkStart w:id="24" w:name="_Toc207627808"/>
                <w:r w:rsidRPr="000E08DB">
                  <w:rPr>
                    <w:rFonts w:asciiTheme="minorHAnsi" w:hAnsiTheme="minorHAnsi" w:cstheme="minorBidi"/>
                    <w:sz w:val="24"/>
                    <w:szCs w:val="24"/>
                  </w:rPr>
                  <w:t>Recommendation 19</w:t>
                </w:r>
                <w:bookmarkEnd w:id="24"/>
              </w:p>
              <w:p w14:paraId="7EF030EB"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w:t>
                </w:r>
              </w:p>
              <w:p w14:paraId="5F91ACF7" w14:textId="77777777" w:rsidR="00B14F20" w:rsidRPr="000E08DB" w:rsidRDefault="00B14F20" w:rsidP="00755613">
                <w:pPr>
                  <w:pStyle w:val="ListParagraph"/>
                  <w:numPr>
                    <w:ilvl w:val="0"/>
                    <w:numId w:val="11"/>
                  </w:numPr>
                  <w:jc w:val="both"/>
                  <w:rPr>
                    <w:rFonts w:cstheme="minorHAnsi"/>
                    <w:sz w:val="24"/>
                    <w:szCs w:val="24"/>
                  </w:rPr>
                </w:pPr>
                <w:r w:rsidRPr="000E08DB">
                  <w:rPr>
                    <w:rFonts w:cstheme="minorHAnsi"/>
                    <w:sz w:val="24"/>
                    <w:szCs w:val="24"/>
                  </w:rPr>
                  <w:t>review and improve protections for international students to safely report workplace exploitation, including reviewing the Assurance Protocol to ensure that students who report exploitation are protected from visa cancellation</w:t>
                </w:r>
              </w:p>
              <w:p w14:paraId="72A57AD6" w14:textId="77777777" w:rsidR="00B14F20" w:rsidRPr="000E08DB" w:rsidRDefault="00B14F20" w:rsidP="00755613">
                <w:pPr>
                  <w:pStyle w:val="ListParagraph"/>
                  <w:numPr>
                    <w:ilvl w:val="0"/>
                    <w:numId w:val="11"/>
                  </w:numPr>
                  <w:jc w:val="both"/>
                  <w:rPr>
                    <w:rFonts w:cstheme="minorHAnsi"/>
                    <w:sz w:val="24"/>
                    <w:szCs w:val="24"/>
                  </w:rPr>
                </w:pPr>
                <w:r w:rsidRPr="000E08DB">
                  <w:rPr>
                    <w:rFonts w:cstheme="minorHAnsi"/>
                    <w:sz w:val="24"/>
                    <w:szCs w:val="24"/>
                  </w:rPr>
                  <w:t>examine the scale and use of Australian Business Numbers (ABNs) by international students to ensure this is not being abused as a device by employers to exploit students</w:t>
                </w:r>
              </w:p>
              <w:p w14:paraId="51664E4A" w14:textId="77777777" w:rsidR="00B14F20" w:rsidRPr="000E08DB" w:rsidRDefault="00B14F20" w:rsidP="00755613">
                <w:pPr>
                  <w:pStyle w:val="ListParagraph"/>
                  <w:numPr>
                    <w:ilvl w:val="0"/>
                    <w:numId w:val="11"/>
                  </w:numPr>
                  <w:jc w:val="both"/>
                  <w:rPr>
                    <w:rFonts w:cstheme="minorHAnsi"/>
                    <w:sz w:val="24"/>
                    <w:szCs w:val="24"/>
                  </w:rPr>
                </w:pPr>
                <w:r w:rsidRPr="000E08DB">
                  <w:rPr>
                    <w:rFonts w:cstheme="minorHAnsi"/>
                    <w:sz w:val="24"/>
                    <w:szCs w:val="24"/>
                  </w:rPr>
                  <w:t>consider a scheme of endorsement of ABN requests by international students that require oversight by their educational institution</w:t>
                </w:r>
              </w:p>
              <w:p w14:paraId="5CD6521C" w14:textId="77777777" w:rsidR="00B14F20" w:rsidRPr="000E08DB" w:rsidRDefault="00B14F20" w:rsidP="00755613">
                <w:pPr>
                  <w:pStyle w:val="ListParagraph"/>
                  <w:numPr>
                    <w:ilvl w:val="0"/>
                    <w:numId w:val="11"/>
                  </w:numPr>
                  <w:jc w:val="both"/>
                  <w:rPr>
                    <w:rFonts w:cstheme="minorHAnsi"/>
                    <w:sz w:val="24"/>
                    <w:szCs w:val="24"/>
                  </w:rPr>
                </w:pPr>
                <w:r w:rsidRPr="000E08DB">
                  <w:rPr>
                    <w:rFonts w:cstheme="minorHAnsi"/>
                    <w:sz w:val="24"/>
                    <w:szCs w:val="24"/>
                  </w:rPr>
                  <w:t>consider requiring employers to undertake a very light touch registration when they employ international students (or potentially any temporary migrant), for example a simple website registration, enabling the Fair Work Ombudsman to undertake more targeted enforcement and to fine businesses found to be employing unregistered workers.</w:t>
                </w:r>
              </w:p>
              <w:p w14:paraId="2518E539" w14:textId="77777777" w:rsidR="00B14F20" w:rsidRPr="000E08DB" w:rsidRDefault="00B14F20" w:rsidP="00755613">
                <w:pPr>
                  <w:jc w:val="both"/>
                  <w:rPr>
                    <w:rFonts w:cstheme="minorHAnsi"/>
                    <w:sz w:val="24"/>
                    <w:szCs w:val="24"/>
                  </w:rPr>
                </w:pPr>
              </w:p>
            </w:tc>
          </w:tr>
        </w:tbl>
        <w:p w14:paraId="7967C408" w14:textId="77777777" w:rsidR="00B14F20" w:rsidRPr="000E08DB" w:rsidRDefault="00B14F20" w:rsidP="00755613">
          <w:pPr>
            <w:jc w:val="both"/>
            <w:rPr>
              <w:rFonts w:cstheme="minorHAnsi"/>
              <w:sz w:val="24"/>
              <w:szCs w:val="24"/>
            </w:rPr>
          </w:pPr>
        </w:p>
        <w:p w14:paraId="1CD85AD3" w14:textId="2A288152"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5029E8" w:rsidRPr="000E08DB">
            <w:rPr>
              <w:b/>
              <w:sz w:val="24"/>
              <w:szCs w:val="24"/>
            </w:rPr>
            <w:t>agrees in-principle</w:t>
          </w:r>
          <w:r w:rsidR="005029E8" w:rsidRPr="000E08DB">
            <w:rPr>
              <w:bCs/>
              <w:sz w:val="24"/>
              <w:szCs w:val="24"/>
            </w:rPr>
            <w:t xml:space="preserve"> with</w:t>
          </w:r>
          <w:r w:rsidR="009833A5" w:rsidRPr="000E08DB">
            <w:rPr>
              <w:b/>
              <w:sz w:val="24"/>
              <w:szCs w:val="24"/>
            </w:rPr>
            <w:t xml:space="preserve"> </w:t>
          </w:r>
          <w:r w:rsidR="00B14F20" w:rsidRPr="000E08DB">
            <w:rPr>
              <w:sz w:val="24"/>
              <w:szCs w:val="24"/>
            </w:rPr>
            <w:t xml:space="preserve">this </w:t>
          </w:r>
          <w:r w:rsidR="00A11A0F" w:rsidRPr="000E08DB">
            <w:rPr>
              <w:sz w:val="24"/>
              <w:szCs w:val="24"/>
            </w:rPr>
            <w:t>r</w:t>
          </w:r>
          <w:r w:rsidR="00B14F20" w:rsidRPr="000E08DB">
            <w:rPr>
              <w:sz w:val="24"/>
              <w:szCs w:val="24"/>
            </w:rPr>
            <w:t>ecommendation.</w:t>
          </w:r>
        </w:p>
        <w:p w14:paraId="62F679E7" w14:textId="77777777" w:rsidR="00A5702A" w:rsidRPr="000E08DB" w:rsidRDefault="00A5702A" w:rsidP="00A5702A">
          <w:pPr>
            <w:jc w:val="both"/>
            <w:rPr>
              <w:iCs/>
              <w:sz w:val="24"/>
              <w:szCs w:val="24"/>
            </w:rPr>
          </w:pPr>
          <w:bookmarkStart w:id="25" w:name="_Hlk154037279"/>
          <w:r w:rsidRPr="000E08DB">
            <w:rPr>
              <w:iCs/>
              <w:sz w:val="24"/>
              <w:szCs w:val="24"/>
            </w:rPr>
            <w:t xml:space="preserve">The Government has zero tolerance for exploitation of migrant workers, including international students. </w:t>
          </w:r>
        </w:p>
        <w:p w14:paraId="2F195D10" w14:textId="3F19C91F" w:rsidR="00DE5217" w:rsidRPr="000E08DB" w:rsidRDefault="00A5702A" w:rsidP="00DE5217">
          <w:pPr>
            <w:jc w:val="both"/>
            <w:rPr>
              <w:sz w:val="24"/>
              <w:szCs w:val="24"/>
            </w:rPr>
          </w:pPr>
          <w:r w:rsidRPr="000E08DB">
            <w:rPr>
              <w:sz w:val="24"/>
              <w:szCs w:val="24"/>
            </w:rPr>
            <w:t xml:space="preserve">In July 2024, the Government implemented </w:t>
          </w:r>
          <w:bookmarkEnd w:id="25"/>
          <w:r w:rsidR="00DE5217" w:rsidRPr="000E08DB">
            <w:rPr>
              <w:sz w:val="24"/>
              <w:szCs w:val="24"/>
            </w:rPr>
            <w:t>a pilot to strengthen reporting protections for a range of temporary visa holders, including international students. This pilot was co-designed with a targeted group of unions and civil society organisations with expertise in workplace relations. The design recognised that without appropriate protections for both their current and any future visa, some temporary migrants have been too afraid to try to resolve workplace exploitation, or to support investigations or pursue litigation against dishonest employers.  This is a key element of the package of reforms to address migrant worker exploitation announced by Government in June 2023, in line with commitments made at the 2022 Jobs and Skills Summit.</w:t>
          </w:r>
        </w:p>
        <w:p w14:paraId="7B13EF2C" w14:textId="2E0919F5" w:rsidR="00DE5217" w:rsidRPr="000E08DB" w:rsidRDefault="00261F2B" w:rsidP="00DE5217">
          <w:pPr>
            <w:jc w:val="both"/>
            <w:rPr>
              <w:sz w:val="24"/>
              <w:szCs w:val="24"/>
            </w:rPr>
          </w:pPr>
          <w:r w:rsidRPr="000E08DB">
            <w:rPr>
              <w:sz w:val="24"/>
              <w:szCs w:val="24"/>
            </w:rPr>
            <w:t xml:space="preserve">The </w:t>
          </w:r>
          <w:r w:rsidR="00DE5217" w:rsidRPr="000E08DB">
            <w:rPr>
              <w:sz w:val="24"/>
              <w:szCs w:val="24"/>
            </w:rPr>
            <w:t xml:space="preserve">Government has driven broader legislative reform to deter the misclassification of employees as independent contractors through its </w:t>
          </w:r>
          <w:r w:rsidR="00DE5217" w:rsidRPr="000E08DB">
            <w:rPr>
              <w:i/>
              <w:iCs/>
              <w:sz w:val="24"/>
              <w:szCs w:val="24"/>
            </w:rPr>
            <w:t>Fair Work Legislation Amendment (Closing Loopholes No. 2) Act 2024</w:t>
          </w:r>
          <w:r w:rsidR="00DE5217" w:rsidRPr="000E08DB">
            <w:rPr>
              <w:sz w:val="24"/>
              <w:szCs w:val="24"/>
            </w:rPr>
            <w:t xml:space="preserve">. The Act changes the defence to misrepresenting employment as an independent contractor arrangement (i.e. ‘sham contracting’) from a test of ‘recklessness’ to one of ‘reasonableness’. The effect of this change is to impose a more objective test. This means that an employer’s ignorance or unreasonable mistake will no longer allow them to make out the defence and avoid liability for sham contracting. The Act also substantially increases the maximum penalties for bodies corporate that are not small business employers that are found to have engaged in sham contracting in the </w:t>
          </w:r>
          <w:r w:rsidR="00DE5217" w:rsidRPr="000E08DB">
            <w:rPr>
              <w:i/>
              <w:iCs/>
              <w:sz w:val="24"/>
              <w:szCs w:val="24"/>
            </w:rPr>
            <w:t>Fair Work Act 2009</w:t>
          </w:r>
          <w:r w:rsidR="00DE5217" w:rsidRPr="000E08DB">
            <w:rPr>
              <w:sz w:val="24"/>
              <w:szCs w:val="24"/>
            </w:rPr>
            <w:t>.</w:t>
          </w:r>
        </w:p>
        <w:p w14:paraId="46CB6C4F" w14:textId="6FDBF28C" w:rsidR="00DE5217" w:rsidRPr="000E08DB" w:rsidRDefault="00DE5217" w:rsidP="00DE5217">
          <w:pPr>
            <w:jc w:val="both"/>
            <w:rPr>
              <w:sz w:val="24"/>
              <w:szCs w:val="24"/>
            </w:rPr>
          </w:pPr>
          <w:r w:rsidRPr="000E08DB">
            <w:rPr>
              <w:sz w:val="24"/>
              <w:szCs w:val="24"/>
            </w:rPr>
            <w:lastRenderedPageBreak/>
            <w:t xml:space="preserve">For the purposes of examining the scale and use of ABNs, the Australian Business Registrar currently shares ABN non-public information with eligible government agencies. The Government will consider a scheme of endorsement of ABN requests by international students overseen by education institutions.  The recommendation to have ABN requests to be overseen by educational institutions raises several policy and legal issues, including considering how such a scheme would fit with the existing ABN obligations, and whether it would achieve the desired outcome. The recommendation would also require policy and law change. </w:t>
          </w:r>
        </w:p>
        <w:p w14:paraId="05070053" w14:textId="3533C741" w:rsidR="00DE5217" w:rsidRPr="000E08DB" w:rsidRDefault="00DE5217" w:rsidP="00DE5217">
          <w:pPr>
            <w:jc w:val="both"/>
            <w:rPr>
              <w:sz w:val="24"/>
              <w:szCs w:val="24"/>
            </w:rPr>
          </w:pPr>
          <w:r w:rsidRPr="000E08DB">
            <w:rPr>
              <w:sz w:val="24"/>
              <w:szCs w:val="24"/>
            </w:rPr>
            <w:t>Consistent with the direction in the Migration Strategy and the development of a public register for employer sponsors in the temporary skilled program, Government will in future consider if this register can extend to businesses that employ other temporary migrants where workers are particularly susceptible to exploitation.</w:t>
          </w:r>
        </w:p>
        <w:p w14:paraId="08531F22" w14:textId="77777777" w:rsidR="00372A90" w:rsidRPr="000E08DB" w:rsidRDefault="00372A90"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439CA969" w14:textId="77777777">
            <w:tc>
              <w:tcPr>
                <w:tcW w:w="9016" w:type="dxa"/>
                <w:shd w:val="clear" w:color="auto" w:fill="E7E6E6" w:themeFill="background2"/>
              </w:tcPr>
              <w:p w14:paraId="6E8C3F77" w14:textId="6882BC93" w:rsidR="00B14F20" w:rsidRPr="000E08DB" w:rsidRDefault="00B14F20" w:rsidP="00755613">
                <w:pPr>
                  <w:pStyle w:val="Heading2"/>
                  <w:jc w:val="both"/>
                  <w:rPr>
                    <w:rFonts w:asciiTheme="minorHAnsi" w:hAnsiTheme="minorHAnsi" w:cstheme="minorBidi"/>
                    <w:sz w:val="24"/>
                    <w:szCs w:val="24"/>
                  </w:rPr>
                </w:pPr>
                <w:bookmarkStart w:id="26" w:name="_Toc207627809"/>
                <w:r w:rsidRPr="000E08DB">
                  <w:rPr>
                    <w:rFonts w:asciiTheme="minorHAnsi" w:hAnsiTheme="minorHAnsi" w:cstheme="minorBidi"/>
                    <w:sz w:val="24"/>
                    <w:szCs w:val="24"/>
                  </w:rPr>
                  <w:t>Recommendation 20</w:t>
                </w:r>
                <w:bookmarkEnd w:id="26"/>
              </w:p>
              <w:p w14:paraId="156BB31E"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cross government agencies and the sector intensify efforts in implementing a targeted communication strategy to educate:</w:t>
                </w:r>
              </w:p>
              <w:p w14:paraId="5FC3352D" w14:textId="77777777" w:rsidR="00B14F20" w:rsidRPr="000E08DB" w:rsidRDefault="00B14F20" w:rsidP="00755613">
                <w:pPr>
                  <w:pStyle w:val="ListParagraph"/>
                  <w:numPr>
                    <w:ilvl w:val="0"/>
                    <w:numId w:val="12"/>
                  </w:numPr>
                  <w:jc w:val="both"/>
                  <w:rPr>
                    <w:rFonts w:cstheme="minorHAnsi"/>
                    <w:sz w:val="24"/>
                    <w:szCs w:val="24"/>
                  </w:rPr>
                </w:pPr>
                <w:r w:rsidRPr="000E08DB">
                  <w:rPr>
                    <w:rFonts w:cstheme="minorHAnsi"/>
                    <w:sz w:val="24"/>
                    <w:szCs w:val="24"/>
                  </w:rPr>
                  <w:t>international students of their rights and obligations when studying in Australia</w:t>
                </w:r>
              </w:p>
              <w:p w14:paraId="5EDBF0CA" w14:textId="77777777" w:rsidR="00B14F20" w:rsidRPr="000E08DB" w:rsidRDefault="00B14F20" w:rsidP="00755613">
                <w:pPr>
                  <w:pStyle w:val="ListParagraph"/>
                  <w:numPr>
                    <w:ilvl w:val="0"/>
                    <w:numId w:val="12"/>
                  </w:numPr>
                  <w:jc w:val="both"/>
                  <w:rPr>
                    <w:rFonts w:cstheme="minorHAnsi"/>
                    <w:sz w:val="24"/>
                    <w:szCs w:val="24"/>
                  </w:rPr>
                </w:pPr>
                <w:r w:rsidRPr="000E08DB">
                  <w:rPr>
                    <w:rFonts w:cstheme="minorHAnsi"/>
                    <w:sz w:val="24"/>
                    <w:szCs w:val="24"/>
                  </w:rPr>
                  <w:t>providers and education agents of their obligations to international students studying in Australia</w:t>
                </w:r>
              </w:p>
              <w:p w14:paraId="36B14F5F" w14:textId="77777777" w:rsidR="00B14F20" w:rsidRPr="000E08DB" w:rsidRDefault="00B14F20" w:rsidP="00755613">
                <w:pPr>
                  <w:pStyle w:val="ListParagraph"/>
                  <w:numPr>
                    <w:ilvl w:val="0"/>
                    <w:numId w:val="12"/>
                  </w:numPr>
                  <w:jc w:val="both"/>
                  <w:rPr>
                    <w:rFonts w:cstheme="minorHAnsi"/>
                    <w:sz w:val="24"/>
                    <w:szCs w:val="24"/>
                  </w:rPr>
                </w:pPr>
                <w:r w:rsidRPr="000E08DB">
                  <w:rPr>
                    <w:rFonts w:cstheme="minorHAnsi"/>
                    <w:sz w:val="24"/>
                    <w:szCs w:val="24"/>
                  </w:rPr>
                  <w:t>employers and industries that are high employers of international students.</w:t>
                </w:r>
              </w:p>
              <w:p w14:paraId="4B3ECF1F" w14:textId="77777777" w:rsidR="00B14F20" w:rsidRPr="000E08DB" w:rsidRDefault="00B14F20" w:rsidP="00755613">
                <w:pPr>
                  <w:jc w:val="both"/>
                  <w:rPr>
                    <w:rFonts w:cstheme="minorHAnsi"/>
                    <w:sz w:val="24"/>
                    <w:szCs w:val="24"/>
                  </w:rPr>
                </w:pPr>
              </w:p>
            </w:tc>
          </w:tr>
        </w:tbl>
        <w:p w14:paraId="5DD97477" w14:textId="77777777" w:rsidR="005C1840" w:rsidRPr="000E08DB" w:rsidRDefault="005C1840" w:rsidP="00755613">
          <w:pPr>
            <w:jc w:val="both"/>
            <w:rPr>
              <w:rFonts w:ascii="Calibri" w:eastAsia="Calibri" w:hAnsi="Calibri" w:cs="Calibri"/>
              <w:sz w:val="24"/>
              <w:szCs w:val="24"/>
            </w:rPr>
          </w:pPr>
        </w:p>
        <w:p w14:paraId="06D799FA" w14:textId="6AE4929D" w:rsidR="00B14F20" w:rsidRPr="000E08DB" w:rsidRDefault="00E2764F" w:rsidP="00755613">
          <w:pPr>
            <w:jc w:val="both"/>
            <w:rPr>
              <w:rFonts w:ascii="Calibri" w:eastAsia="Calibri" w:hAnsi="Calibri" w:cs="Calibri"/>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5029E8" w:rsidRPr="000E08DB">
            <w:rPr>
              <w:rFonts w:ascii="Calibri" w:eastAsia="Calibri" w:hAnsi="Calibri" w:cs="Calibri"/>
              <w:b/>
              <w:bCs/>
              <w:sz w:val="24"/>
              <w:szCs w:val="24"/>
            </w:rPr>
            <w:t>agrees in-principle</w:t>
          </w:r>
          <w:r w:rsidR="005029E8" w:rsidRPr="000E08DB">
            <w:rPr>
              <w:rFonts w:ascii="Calibri" w:eastAsia="Calibri" w:hAnsi="Calibri" w:cs="Calibri"/>
              <w:sz w:val="24"/>
              <w:szCs w:val="24"/>
            </w:rPr>
            <w:t xml:space="preserve"> with</w:t>
          </w:r>
          <w:r w:rsidR="00E62875" w:rsidRPr="000E08DB">
            <w:rPr>
              <w:rFonts w:ascii="Calibri" w:eastAsia="Calibri" w:hAnsi="Calibri" w:cs="Calibri"/>
              <w:b/>
              <w:bCs/>
              <w:sz w:val="24"/>
              <w:szCs w:val="24"/>
            </w:rPr>
            <w:t xml:space="preserve"> </w:t>
          </w:r>
          <w:r w:rsidR="00B14F20" w:rsidRPr="000E08DB">
            <w:rPr>
              <w:rFonts w:ascii="Calibri" w:eastAsia="Calibri" w:hAnsi="Calibri" w:cs="Calibri"/>
              <w:sz w:val="24"/>
              <w:szCs w:val="24"/>
            </w:rPr>
            <w:t xml:space="preserve">this </w:t>
          </w:r>
          <w:r w:rsidR="00A11A0F" w:rsidRPr="000E08DB">
            <w:rPr>
              <w:rFonts w:ascii="Calibri" w:eastAsia="Calibri" w:hAnsi="Calibri" w:cs="Calibri"/>
              <w:sz w:val="24"/>
              <w:szCs w:val="24"/>
            </w:rPr>
            <w:t>r</w:t>
          </w:r>
          <w:r w:rsidR="00B14F20" w:rsidRPr="000E08DB">
            <w:rPr>
              <w:rFonts w:ascii="Calibri" w:eastAsia="Calibri" w:hAnsi="Calibri" w:cs="Calibri"/>
              <w:sz w:val="24"/>
              <w:szCs w:val="24"/>
            </w:rPr>
            <w:t>ecommendation.</w:t>
          </w:r>
        </w:p>
        <w:p w14:paraId="58C50816" w14:textId="4A29F905" w:rsidR="00C803A1" w:rsidRPr="000E08DB" w:rsidRDefault="00C803A1" w:rsidP="00755613">
          <w:pPr>
            <w:jc w:val="both"/>
            <w:rPr>
              <w:rFonts w:ascii="Calibri" w:eastAsia="Calibri" w:hAnsi="Calibri" w:cs="Calibri"/>
              <w:sz w:val="24"/>
              <w:szCs w:val="24"/>
            </w:rPr>
          </w:pPr>
          <w:r w:rsidRPr="000E08DB">
            <w:rPr>
              <w:rFonts w:ascii="Calibri" w:eastAsia="Calibri" w:hAnsi="Calibri" w:cs="Calibri"/>
              <w:sz w:val="24"/>
              <w:szCs w:val="24"/>
            </w:rPr>
            <w:t xml:space="preserve">The Study Australia website and social channels are official Australian Government sources of information and referral for international students, agents, parents, school counsellors and other stakeholders. </w:t>
          </w:r>
        </w:p>
        <w:p w14:paraId="17396CEF" w14:textId="0AF41334" w:rsidR="00CC4F42" w:rsidRPr="000E08DB" w:rsidRDefault="00C803A1" w:rsidP="00755613">
          <w:pPr>
            <w:jc w:val="both"/>
            <w:rPr>
              <w:rFonts w:ascii="Calibri" w:eastAsia="Calibri" w:hAnsi="Calibri" w:cs="Calibri"/>
              <w:sz w:val="24"/>
              <w:szCs w:val="24"/>
            </w:rPr>
          </w:pPr>
          <w:r w:rsidRPr="000E08DB">
            <w:rPr>
              <w:rFonts w:ascii="Calibri" w:eastAsia="Calibri" w:hAnsi="Calibri" w:cs="Calibri"/>
              <w:sz w:val="24"/>
              <w:szCs w:val="24"/>
            </w:rPr>
            <w:t xml:space="preserve">Study Australia channels aggregate and disseminate whole-of-government information to a global audience. Austrade works closely with Commonwealth </w:t>
          </w:r>
          <w:r w:rsidR="005C238B" w:rsidRPr="000E08DB">
            <w:rPr>
              <w:rFonts w:ascii="Calibri" w:eastAsia="Calibri" w:hAnsi="Calibri" w:cs="Calibri"/>
              <w:sz w:val="24"/>
              <w:szCs w:val="24"/>
            </w:rPr>
            <w:t xml:space="preserve">agencies, </w:t>
          </w:r>
          <w:r w:rsidR="001F2668" w:rsidRPr="000E08DB">
            <w:rPr>
              <w:rFonts w:ascii="Calibri" w:eastAsia="Calibri" w:hAnsi="Calibri" w:cs="Calibri"/>
              <w:sz w:val="24"/>
              <w:szCs w:val="24"/>
            </w:rPr>
            <w:t>as well as</w:t>
          </w:r>
          <w:r w:rsidRPr="000E08DB">
            <w:rPr>
              <w:rFonts w:ascii="Calibri" w:eastAsia="Calibri" w:hAnsi="Calibri" w:cs="Calibri"/>
              <w:sz w:val="24"/>
              <w:szCs w:val="24"/>
            </w:rPr>
            <w:t xml:space="preserve"> Australian state and territory study destination agencies, to ensure the provision of accurate and up-to-date information, including on rights and obligations, and relevant tools and directions to </w:t>
          </w:r>
          <w:r w:rsidR="00713EA5" w:rsidRPr="000E08DB">
            <w:rPr>
              <w:rFonts w:ascii="Calibri" w:eastAsia="Calibri" w:hAnsi="Calibri" w:cs="Calibri"/>
              <w:sz w:val="24"/>
              <w:szCs w:val="24"/>
            </w:rPr>
            <w:t>providers</w:t>
          </w:r>
          <w:r w:rsidR="00532CE3" w:rsidRPr="000E08DB">
            <w:rPr>
              <w:rFonts w:ascii="Calibri" w:eastAsia="Calibri" w:hAnsi="Calibri" w:cs="Calibri"/>
              <w:sz w:val="24"/>
              <w:szCs w:val="24"/>
            </w:rPr>
            <w:t xml:space="preserve">, </w:t>
          </w:r>
          <w:r w:rsidR="00981AFA" w:rsidRPr="000E08DB">
            <w:rPr>
              <w:rFonts w:ascii="Calibri" w:eastAsia="Calibri" w:hAnsi="Calibri" w:cs="Calibri"/>
              <w:sz w:val="24"/>
              <w:szCs w:val="24"/>
            </w:rPr>
            <w:t>students and other stakeholders</w:t>
          </w:r>
          <w:r w:rsidR="00AC6304" w:rsidRPr="000E08DB">
            <w:rPr>
              <w:rFonts w:ascii="Calibri" w:eastAsia="Calibri" w:hAnsi="Calibri" w:cs="Calibri"/>
              <w:sz w:val="24"/>
              <w:szCs w:val="24"/>
            </w:rPr>
            <w:t xml:space="preserve">. </w:t>
          </w:r>
          <w:r w:rsidR="00CC4F42" w:rsidRPr="000E08DB">
            <w:rPr>
              <w:rFonts w:ascii="Calibri" w:eastAsia="Calibri" w:hAnsi="Calibri" w:cs="Calibri"/>
              <w:sz w:val="24"/>
              <w:szCs w:val="24"/>
            </w:rPr>
            <w:t>Austrade also actively engages with global education agents via the Study Australia Agent Hub, a dedicated resource for education agents.</w:t>
          </w:r>
        </w:p>
        <w:p w14:paraId="060CE67D" w14:textId="24B2CFAD" w:rsidR="00D031FD" w:rsidRPr="000E08DB" w:rsidRDefault="00162CCA" w:rsidP="00755613">
          <w:pPr>
            <w:jc w:val="both"/>
            <w:rPr>
              <w:rFonts w:ascii="Calibri" w:eastAsia="Calibri" w:hAnsi="Calibri" w:cs="Calibri"/>
              <w:sz w:val="24"/>
              <w:szCs w:val="24"/>
            </w:rPr>
          </w:pPr>
          <w:r w:rsidRPr="000E08DB">
            <w:rPr>
              <w:rFonts w:ascii="Calibri" w:eastAsia="Calibri" w:hAnsi="Calibri" w:cs="Calibri"/>
              <w:sz w:val="24"/>
              <w:szCs w:val="24"/>
            </w:rPr>
            <w:t>Education providers a</w:t>
          </w:r>
          <w:r w:rsidR="001A38FC" w:rsidRPr="000E08DB">
            <w:rPr>
              <w:rFonts w:ascii="Calibri" w:eastAsia="Calibri" w:hAnsi="Calibri" w:cs="Calibri"/>
              <w:sz w:val="24"/>
              <w:szCs w:val="24"/>
            </w:rPr>
            <w:t>re</w:t>
          </w:r>
          <w:r w:rsidR="00D210BD" w:rsidRPr="000E08DB">
            <w:rPr>
              <w:rFonts w:ascii="Calibri" w:eastAsia="Calibri" w:hAnsi="Calibri" w:cs="Calibri"/>
              <w:sz w:val="24"/>
              <w:szCs w:val="24"/>
            </w:rPr>
            <w:t xml:space="preserve"> </w:t>
          </w:r>
          <w:r w:rsidR="001A38FC" w:rsidRPr="000E08DB">
            <w:rPr>
              <w:rFonts w:ascii="Calibri" w:eastAsia="Calibri" w:hAnsi="Calibri" w:cs="Calibri"/>
              <w:sz w:val="24"/>
              <w:szCs w:val="24"/>
            </w:rPr>
            <w:t>required under</w:t>
          </w:r>
          <w:r w:rsidR="00AC6304" w:rsidRPr="000E08DB">
            <w:rPr>
              <w:rFonts w:ascii="Calibri" w:eastAsia="Calibri" w:hAnsi="Calibri" w:cs="Calibri"/>
              <w:sz w:val="24"/>
              <w:szCs w:val="24"/>
            </w:rPr>
            <w:t xml:space="preserve"> the</w:t>
          </w:r>
          <w:r w:rsidR="009722AF">
            <w:rPr>
              <w:rFonts w:ascii="Calibri" w:eastAsia="Calibri" w:hAnsi="Calibri" w:cs="Calibri"/>
              <w:sz w:val="24"/>
              <w:szCs w:val="24"/>
            </w:rPr>
            <w:t xml:space="preserve"> ESOS Act</w:t>
          </w:r>
          <w:r w:rsidR="00813D2D" w:rsidRPr="000E08DB">
            <w:rPr>
              <w:rFonts w:ascii="Calibri" w:eastAsia="Calibri" w:hAnsi="Calibri" w:cs="Calibri"/>
              <w:i/>
              <w:iCs/>
              <w:sz w:val="24"/>
              <w:szCs w:val="24"/>
            </w:rPr>
            <w:t xml:space="preserve"> </w:t>
          </w:r>
          <w:r w:rsidR="00AC6304" w:rsidRPr="000E08DB">
            <w:rPr>
              <w:rFonts w:ascii="Calibri" w:eastAsia="Calibri" w:hAnsi="Calibri" w:cs="Calibri"/>
              <w:sz w:val="24"/>
              <w:szCs w:val="24"/>
            </w:rPr>
            <w:t xml:space="preserve">and the National Code of Practice for Providers of Education and Training to Overseas </w:t>
          </w:r>
          <w:r w:rsidR="00D033AD" w:rsidRPr="000E08DB">
            <w:rPr>
              <w:rFonts w:ascii="Calibri" w:eastAsia="Calibri" w:hAnsi="Calibri" w:cs="Calibri"/>
              <w:sz w:val="24"/>
              <w:szCs w:val="24"/>
            </w:rPr>
            <w:t>S</w:t>
          </w:r>
          <w:r w:rsidR="00AC6304" w:rsidRPr="000E08DB">
            <w:rPr>
              <w:rFonts w:ascii="Calibri" w:eastAsia="Calibri" w:hAnsi="Calibri" w:cs="Calibri"/>
              <w:sz w:val="24"/>
              <w:szCs w:val="24"/>
            </w:rPr>
            <w:t>tudents 2018</w:t>
          </w:r>
          <w:r w:rsidR="001A38FC" w:rsidRPr="000E08DB">
            <w:rPr>
              <w:rFonts w:ascii="Calibri" w:eastAsia="Calibri" w:hAnsi="Calibri" w:cs="Calibri"/>
              <w:sz w:val="24"/>
              <w:szCs w:val="24"/>
            </w:rPr>
            <w:t xml:space="preserve"> to provide information on student rights and responsibilities, as learners and as employees in Australia</w:t>
          </w:r>
          <w:r w:rsidR="00C803A1" w:rsidRPr="000E08DB">
            <w:rPr>
              <w:rFonts w:ascii="Calibri" w:eastAsia="Calibri" w:hAnsi="Calibri" w:cs="Calibri"/>
              <w:sz w:val="24"/>
              <w:szCs w:val="24"/>
            </w:rPr>
            <w:t>.</w:t>
          </w:r>
          <w:r w:rsidR="007849A7" w:rsidRPr="000E08DB">
            <w:rPr>
              <w:rFonts w:ascii="Calibri" w:eastAsia="Calibri" w:hAnsi="Calibri" w:cs="Calibri"/>
              <w:sz w:val="24"/>
              <w:szCs w:val="24"/>
            </w:rPr>
            <w:t xml:space="preserve"> </w:t>
          </w:r>
          <w:r w:rsidR="001A38FC" w:rsidRPr="000E08DB">
            <w:rPr>
              <w:rFonts w:ascii="Calibri" w:eastAsia="Calibri" w:hAnsi="Calibri" w:cs="Calibri"/>
              <w:sz w:val="24"/>
              <w:szCs w:val="24"/>
            </w:rPr>
            <w:t>The Department of Home Affairs, as the responsible agency, disseminates information relating to student’s visas</w:t>
          </w:r>
          <w:r w:rsidR="00A3045D" w:rsidRPr="000E08DB">
            <w:rPr>
              <w:rFonts w:ascii="Calibri" w:eastAsia="Calibri" w:hAnsi="Calibri" w:cs="Calibri"/>
              <w:sz w:val="24"/>
              <w:szCs w:val="24"/>
            </w:rPr>
            <w:t xml:space="preserve"> and conditions for employment</w:t>
          </w:r>
          <w:r w:rsidR="00B65D44" w:rsidRPr="000E08DB">
            <w:rPr>
              <w:rFonts w:ascii="Calibri" w:eastAsia="Calibri" w:hAnsi="Calibri" w:cs="Calibri"/>
              <w:sz w:val="24"/>
              <w:szCs w:val="24"/>
            </w:rPr>
            <w:t>, while the Fair Work Ombudsman offers free advice and education, including a range of in-language resources, to all employees and employers.</w:t>
          </w:r>
        </w:p>
        <w:p w14:paraId="477B2C23" w14:textId="30278398" w:rsidR="00C803A1" w:rsidRPr="000E08DB" w:rsidRDefault="00C803A1" w:rsidP="00755613">
          <w:pPr>
            <w:jc w:val="both"/>
            <w:rPr>
              <w:rFonts w:ascii="Calibri" w:eastAsia="Calibri" w:hAnsi="Calibri" w:cs="Calibri"/>
              <w:sz w:val="24"/>
              <w:szCs w:val="24"/>
            </w:rPr>
          </w:pPr>
          <w:r w:rsidRPr="000E08DB">
            <w:rPr>
              <w:rFonts w:ascii="Calibri" w:eastAsia="Calibri" w:hAnsi="Calibri" w:cs="Calibri"/>
              <w:sz w:val="24"/>
              <w:szCs w:val="24"/>
            </w:rPr>
            <w:lastRenderedPageBreak/>
            <w:t xml:space="preserve">Collectively, these whole-of-government activities provide current and prospective students with information about their protections and rights under the </w:t>
          </w:r>
          <w:r w:rsidR="00633A00" w:rsidRPr="000E08DB">
            <w:rPr>
              <w:rFonts w:ascii="Calibri" w:eastAsia="Calibri" w:hAnsi="Calibri" w:cs="Calibri"/>
              <w:sz w:val="24"/>
              <w:szCs w:val="24"/>
            </w:rPr>
            <w:t>Education Services for Overseas Students</w:t>
          </w:r>
          <w:r w:rsidRPr="000E08DB">
            <w:rPr>
              <w:rFonts w:ascii="Calibri" w:eastAsia="Calibri" w:hAnsi="Calibri" w:cs="Calibri"/>
              <w:sz w:val="24"/>
              <w:szCs w:val="24"/>
            </w:rPr>
            <w:t xml:space="preserve"> Framework, assist education providers and their contracted agents to understand their responsibilities, and educate employers and industry on the benefits and processes associated with engaging international students and graduates.</w:t>
          </w:r>
        </w:p>
        <w:p w14:paraId="7AE0A40E" w14:textId="146F30A2" w:rsidR="00DE56DC" w:rsidRPr="000E08DB" w:rsidRDefault="00C803A1" w:rsidP="00755613">
          <w:pPr>
            <w:jc w:val="both"/>
            <w:rPr>
              <w:rFonts w:ascii="Calibri" w:eastAsia="Calibri" w:hAnsi="Calibri" w:cs="Calibri"/>
              <w:sz w:val="24"/>
              <w:szCs w:val="24"/>
            </w:rPr>
          </w:pPr>
          <w:r w:rsidRPr="000E08DB">
            <w:rPr>
              <w:rFonts w:ascii="Calibri" w:eastAsia="Calibri" w:hAnsi="Calibri" w:cs="Calibri"/>
              <w:sz w:val="24"/>
              <w:szCs w:val="24"/>
            </w:rPr>
            <w:t xml:space="preserve">Greater cross-government collaboration will be developed and delivered in the context of the International Education </w:t>
          </w:r>
          <w:r w:rsidR="00E62D9C" w:rsidRPr="000E08DB">
            <w:rPr>
              <w:rFonts w:ascii="Calibri" w:eastAsia="Calibri" w:hAnsi="Calibri" w:cs="Calibri"/>
              <w:sz w:val="24"/>
              <w:szCs w:val="24"/>
            </w:rPr>
            <w:t xml:space="preserve">and Skills </w:t>
          </w:r>
          <w:r w:rsidRPr="000E08DB">
            <w:rPr>
              <w:rFonts w:ascii="Calibri" w:eastAsia="Calibri" w:hAnsi="Calibri" w:cs="Calibri"/>
              <w:sz w:val="24"/>
              <w:szCs w:val="24"/>
            </w:rPr>
            <w:t>Strategic Framework</w:t>
          </w:r>
          <w:r w:rsidR="008529F7" w:rsidRPr="000E08DB">
            <w:rPr>
              <w:rFonts w:ascii="Calibri" w:eastAsia="Calibri" w:hAnsi="Calibri" w:cs="Calibri"/>
              <w:sz w:val="24"/>
              <w:szCs w:val="24"/>
            </w:rPr>
            <w:t>, once finalised</w:t>
          </w:r>
          <w:r w:rsidRPr="000E08DB">
            <w:rPr>
              <w:rFonts w:ascii="Calibri" w:eastAsia="Calibri" w:hAnsi="Calibri" w:cs="Calibri"/>
              <w:sz w:val="24"/>
              <w:szCs w:val="24"/>
            </w:rPr>
            <w:t xml:space="preserve">. </w:t>
          </w:r>
          <w:r w:rsidR="00813D2D" w:rsidRPr="000E08DB">
            <w:rPr>
              <w:rFonts w:ascii="Calibri" w:eastAsia="Calibri" w:hAnsi="Calibri" w:cs="Calibri"/>
              <w:sz w:val="24"/>
              <w:szCs w:val="24"/>
            </w:rPr>
            <w:t>I</w:t>
          </w:r>
          <w:r w:rsidRPr="000E08DB">
            <w:rPr>
              <w:rFonts w:ascii="Calibri" w:eastAsia="Calibri" w:hAnsi="Calibri" w:cs="Calibri"/>
              <w:sz w:val="24"/>
              <w:szCs w:val="24"/>
            </w:rPr>
            <w:t xml:space="preserve">mplementation </w:t>
          </w:r>
          <w:r w:rsidR="00813D2D" w:rsidRPr="000E08DB">
            <w:rPr>
              <w:rFonts w:ascii="Calibri" w:eastAsia="Calibri" w:hAnsi="Calibri" w:cs="Calibri"/>
              <w:sz w:val="24"/>
              <w:szCs w:val="24"/>
            </w:rPr>
            <w:t>will include</w:t>
          </w:r>
          <w:r w:rsidRPr="000E08DB">
            <w:rPr>
              <w:rFonts w:ascii="Calibri" w:eastAsia="Calibri" w:hAnsi="Calibri" w:cs="Calibri"/>
              <w:sz w:val="24"/>
              <w:szCs w:val="24"/>
            </w:rPr>
            <w:t xml:space="preserve"> additional targeted communication strategies to better inform and educate providers on their obligations, under both the </w:t>
          </w:r>
          <w:r w:rsidR="00D033AD" w:rsidRPr="000E08DB">
            <w:rPr>
              <w:rFonts w:ascii="Calibri" w:eastAsia="Calibri" w:hAnsi="Calibri" w:cs="Calibri"/>
              <w:sz w:val="24"/>
              <w:szCs w:val="24"/>
            </w:rPr>
            <w:t xml:space="preserve">National Code of Practice for Providers of Education and Training to Overseas Students 2018 </w:t>
          </w:r>
          <w:r w:rsidRPr="000E08DB">
            <w:rPr>
              <w:rFonts w:ascii="Calibri" w:eastAsia="Calibri" w:hAnsi="Calibri" w:cs="Calibri"/>
              <w:sz w:val="24"/>
              <w:szCs w:val="24"/>
            </w:rPr>
            <w:t xml:space="preserve">and </w:t>
          </w:r>
          <w:r w:rsidR="005A1858" w:rsidRPr="000E08DB">
            <w:rPr>
              <w:rFonts w:ascii="Calibri" w:eastAsia="Calibri" w:hAnsi="Calibri" w:cs="Calibri"/>
              <w:sz w:val="24"/>
              <w:szCs w:val="24"/>
            </w:rPr>
            <w:t xml:space="preserve">2025 </w:t>
          </w:r>
          <w:r w:rsidRPr="000E08DB">
            <w:rPr>
              <w:rFonts w:ascii="Calibri" w:eastAsia="Calibri" w:hAnsi="Calibri" w:cs="Calibri"/>
              <w:sz w:val="24"/>
              <w:szCs w:val="24"/>
            </w:rPr>
            <w:t>Standards for RTOs, along with further efforts to educate international students, education agents, and employers</w:t>
          </w:r>
          <w:r w:rsidR="005761C0" w:rsidRPr="000E08DB">
            <w:rPr>
              <w:rFonts w:ascii="Calibri" w:eastAsia="Calibri" w:hAnsi="Calibri" w:cs="Calibri"/>
              <w:sz w:val="24"/>
              <w:szCs w:val="24"/>
            </w:rPr>
            <w:t xml:space="preserve">. </w:t>
          </w:r>
        </w:p>
        <w:p w14:paraId="1CAF4F68" w14:textId="77777777" w:rsidR="00372A90" w:rsidRPr="000E08DB" w:rsidRDefault="00372A90" w:rsidP="00755613">
          <w:pPr>
            <w:jc w:val="both"/>
            <w:rPr>
              <w:rFonts w:ascii="Calibri" w:eastAsia="Calibri" w:hAnsi="Calibri" w:cs="Calibr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7CD78078" w14:textId="77777777">
            <w:tc>
              <w:tcPr>
                <w:tcW w:w="9016" w:type="dxa"/>
                <w:shd w:val="clear" w:color="auto" w:fill="E7E6E6" w:themeFill="background2"/>
              </w:tcPr>
              <w:p w14:paraId="7934D922" w14:textId="7C9B6CEC" w:rsidR="00B14F20" w:rsidRPr="000E08DB" w:rsidRDefault="00B14F20" w:rsidP="00755613">
                <w:pPr>
                  <w:pStyle w:val="Heading2"/>
                  <w:jc w:val="both"/>
                  <w:rPr>
                    <w:rFonts w:asciiTheme="minorHAnsi" w:hAnsiTheme="minorHAnsi" w:cstheme="minorBidi"/>
                    <w:sz w:val="24"/>
                    <w:szCs w:val="24"/>
                  </w:rPr>
                </w:pPr>
                <w:bookmarkStart w:id="27" w:name="_Toc207627810"/>
                <w:r w:rsidRPr="000E08DB">
                  <w:rPr>
                    <w:rFonts w:asciiTheme="minorHAnsi" w:hAnsiTheme="minorHAnsi" w:cstheme="minorBidi"/>
                    <w:sz w:val="24"/>
                    <w:szCs w:val="24"/>
                  </w:rPr>
                  <w:t>Recommendation 21</w:t>
                </w:r>
                <w:bookmarkEnd w:id="27"/>
              </w:p>
              <w:p w14:paraId="7B7AD460"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w:t>
                </w:r>
              </w:p>
              <w:p w14:paraId="32325DCA" w14:textId="77777777" w:rsidR="00B14F20" w:rsidRPr="000E08DB" w:rsidRDefault="00B14F20" w:rsidP="00755613">
                <w:pPr>
                  <w:pStyle w:val="ListParagraph"/>
                  <w:numPr>
                    <w:ilvl w:val="0"/>
                    <w:numId w:val="13"/>
                  </w:numPr>
                  <w:jc w:val="both"/>
                  <w:rPr>
                    <w:rFonts w:cstheme="minorHAnsi"/>
                    <w:sz w:val="24"/>
                    <w:szCs w:val="24"/>
                  </w:rPr>
                </w:pPr>
                <w:r w:rsidRPr="000E08DB">
                  <w:rPr>
                    <w:rFonts w:cstheme="minorHAnsi"/>
                    <w:sz w:val="24"/>
                    <w:szCs w:val="24"/>
                  </w:rPr>
                  <w:t>better enforce the current rules prohibiting transfers within the first six months of commencement of a student’s primary course</w:t>
                </w:r>
              </w:p>
              <w:p w14:paraId="5144CC0C" w14:textId="77777777" w:rsidR="00B14F20" w:rsidRPr="000E08DB" w:rsidRDefault="00B14F20" w:rsidP="00755613">
                <w:pPr>
                  <w:pStyle w:val="ListParagraph"/>
                  <w:numPr>
                    <w:ilvl w:val="0"/>
                    <w:numId w:val="13"/>
                  </w:numPr>
                  <w:jc w:val="both"/>
                  <w:rPr>
                    <w:rFonts w:cstheme="minorHAnsi"/>
                    <w:sz w:val="24"/>
                    <w:szCs w:val="24"/>
                  </w:rPr>
                </w:pPr>
                <w:r w:rsidRPr="000E08DB">
                  <w:rPr>
                    <w:rFonts w:cstheme="minorHAnsi"/>
                    <w:sz w:val="24"/>
                    <w:szCs w:val="24"/>
                  </w:rPr>
                  <w:t>if resources prohibit this from being enforced in all instances, at least take a risk-based approach and enforce where there is evidence of patterns of transfers linked to certain providers or agents</w:t>
                </w:r>
              </w:p>
              <w:p w14:paraId="5754D501" w14:textId="77777777" w:rsidR="00B14F20" w:rsidRPr="000E08DB" w:rsidRDefault="00B14F20" w:rsidP="00755613">
                <w:pPr>
                  <w:pStyle w:val="ListParagraph"/>
                  <w:numPr>
                    <w:ilvl w:val="0"/>
                    <w:numId w:val="13"/>
                  </w:numPr>
                  <w:jc w:val="both"/>
                  <w:rPr>
                    <w:rFonts w:cstheme="minorHAnsi"/>
                    <w:sz w:val="24"/>
                    <w:szCs w:val="24"/>
                  </w:rPr>
                </w:pPr>
                <w:r w:rsidRPr="000E08DB">
                  <w:rPr>
                    <w:rFonts w:cstheme="minorHAnsi"/>
                    <w:sz w:val="24"/>
                    <w:szCs w:val="24"/>
                  </w:rPr>
                  <w:t>consider adjustments to the student visa system so that visa risk follows the student, shifting to the receiving providers when students transfer onshore to other providers.</w:t>
                </w:r>
              </w:p>
              <w:p w14:paraId="6C7C6FBC" w14:textId="77777777" w:rsidR="00B14F20" w:rsidRPr="000E08DB" w:rsidRDefault="00B14F20" w:rsidP="00755613">
                <w:pPr>
                  <w:jc w:val="both"/>
                  <w:rPr>
                    <w:rFonts w:cstheme="minorHAnsi"/>
                    <w:sz w:val="24"/>
                    <w:szCs w:val="24"/>
                  </w:rPr>
                </w:pPr>
              </w:p>
            </w:tc>
          </w:tr>
        </w:tbl>
        <w:p w14:paraId="7268817D" w14:textId="77777777" w:rsidR="00B14F20" w:rsidRPr="000E08DB" w:rsidRDefault="00B14F20" w:rsidP="00755613">
          <w:pPr>
            <w:jc w:val="both"/>
            <w:rPr>
              <w:rFonts w:cstheme="minorHAnsi"/>
              <w:sz w:val="24"/>
              <w:szCs w:val="24"/>
            </w:rPr>
          </w:pPr>
        </w:p>
        <w:p w14:paraId="2E3C8907" w14:textId="4385B7F9"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w:t>
          </w:r>
          <w:r w:rsidR="00B14F20" w:rsidRPr="000E08DB">
            <w:rPr>
              <w:sz w:val="24"/>
              <w:szCs w:val="24"/>
            </w:rPr>
            <w:t xml:space="preserve"> with this </w:t>
          </w:r>
          <w:r w:rsidR="00A11A0F" w:rsidRPr="000E08DB">
            <w:rPr>
              <w:sz w:val="24"/>
              <w:szCs w:val="24"/>
            </w:rPr>
            <w:t>r</w:t>
          </w:r>
          <w:r w:rsidR="00B14F20" w:rsidRPr="000E08DB">
            <w:rPr>
              <w:sz w:val="24"/>
              <w:szCs w:val="24"/>
            </w:rPr>
            <w:t>ecommendation.</w:t>
          </w:r>
        </w:p>
        <w:p w14:paraId="1BCF4BF7" w14:textId="72A82AA5" w:rsidR="00224C6B" w:rsidRPr="000E08DB" w:rsidRDefault="00261F2B" w:rsidP="00224C6B">
          <w:pPr>
            <w:jc w:val="both"/>
            <w:rPr>
              <w:rStyle w:val="normaltextrun"/>
              <w:color w:val="000000" w:themeColor="text1"/>
              <w:sz w:val="24"/>
              <w:szCs w:val="24"/>
            </w:rPr>
          </w:pPr>
          <w:r w:rsidRPr="000E08DB">
            <w:rPr>
              <w:rStyle w:val="normaltextrun"/>
              <w:color w:val="000000" w:themeColor="text1"/>
              <w:sz w:val="24"/>
              <w:szCs w:val="24"/>
            </w:rPr>
            <w:t xml:space="preserve">The </w:t>
          </w:r>
          <w:r w:rsidR="00224C6B" w:rsidRPr="000E08DB">
            <w:rPr>
              <w:rStyle w:val="normaltextrun"/>
              <w:color w:val="000000" w:themeColor="text1"/>
              <w:sz w:val="24"/>
              <w:szCs w:val="24"/>
            </w:rPr>
            <w:t xml:space="preserve">Government has removed the concurrent study functionality from the Provider Registration and International Student Management System (PRISMS), in line with </w:t>
          </w:r>
          <w:r w:rsidR="00DA2174" w:rsidRPr="000E08DB">
            <w:rPr>
              <w:rStyle w:val="normaltextrun"/>
              <w:color w:val="000000" w:themeColor="text1"/>
              <w:sz w:val="24"/>
              <w:szCs w:val="24"/>
            </w:rPr>
            <w:br/>
          </w:r>
          <w:r w:rsidR="00224C6B" w:rsidRPr="000E08DB">
            <w:rPr>
              <w:rStyle w:val="normaltextrun"/>
              <w:color w:val="000000" w:themeColor="text1"/>
              <w:sz w:val="24"/>
              <w:szCs w:val="24"/>
            </w:rPr>
            <w:t xml:space="preserve">Standard 7 of the </w:t>
          </w:r>
          <w:r w:rsidR="00D033AD" w:rsidRPr="000E08DB">
            <w:rPr>
              <w:rFonts w:ascii="Calibri" w:eastAsia="Calibri" w:hAnsi="Calibri" w:cs="Calibri"/>
              <w:sz w:val="24"/>
              <w:szCs w:val="24"/>
            </w:rPr>
            <w:t xml:space="preserve">National Code of Practice for Providers of Education and Training to Overseas Students 2018 </w:t>
          </w:r>
          <w:r w:rsidR="00224C6B" w:rsidRPr="000E08DB">
            <w:rPr>
              <w:rStyle w:val="normaltextrun"/>
              <w:color w:val="000000" w:themeColor="text1"/>
              <w:sz w:val="24"/>
              <w:szCs w:val="24"/>
            </w:rPr>
            <w:t xml:space="preserve">which restricts student transfers in the first </w:t>
          </w:r>
          <w:r w:rsidR="008F0E56" w:rsidRPr="000E08DB">
            <w:rPr>
              <w:rStyle w:val="normaltextrun"/>
              <w:color w:val="000000" w:themeColor="text1"/>
              <w:sz w:val="24"/>
              <w:szCs w:val="24"/>
            </w:rPr>
            <w:t>6</w:t>
          </w:r>
          <w:r w:rsidR="00224C6B" w:rsidRPr="000E08DB">
            <w:rPr>
              <w:rStyle w:val="normaltextrun"/>
              <w:color w:val="000000" w:themeColor="text1"/>
              <w:sz w:val="24"/>
              <w:szCs w:val="24"/>
            </w:rPr>
            <w:t xml:space="preserve"> months of their primary course of study. </w:t>
          </w:r>
        </w:p>
        <w:p w14:paraId="6C6CDD58" w14:textId="384653F0" w:rsidR="007C28D7" w:rsidRPr="000E08DB" w:rsidRDefault="00784B10" w:rsidP="00224C6B">
          <w:pPr>
            <w:jc w:val="both"/>
            <w:rPr>
              <w:rStyle w:val="normaltextrun"/>
              <w:color w:val="FF0000"/>
              <w:sz w:val="24"/>
              <w:szCs w:val="24"/>
            </w:rPr>
          </w:pPr>
          <w:r w:rsidRPr="000E08DB">
            <w:rPr>
              <w:rStyle w:val="normaltextrun"/>
              <w:sz w:val="24"/>
              <w:szCs w:val="24"/>
            </w:rPr>
            <w:t>The government announced its intention to</w:t>
          </w:r>
          <w:r w:rsidR="00F47CC4" w:rsidRPr="000E08DB">
            <w:rPr>
              <w:rStyle w:val="normaltextrun"/>
              <w:sz w:val="24"/>
              <w:szCs w:val="24"/>
            </w:rPr>
            <w:t xml:space="preserve"> introduce new legislation to</w:t>
          </w:r>
          <w:r w:rsidRPr="000E08DB">
            <w:rPr>
              <w:rStyle w:val="normaltextrun"/>
              <w:sz w:val="24"/>
              <w:szCs w:val="24"/>
            </w:rPr>
            <w:t xml:space="preserve"> ban agent commissions for onshore transfers in October 2023 and remains committed to implementing this measure. The ban seeks to disrupt unscrupulous agents from facilitating non-genuine student transfers</w:t>
          </w:r>
          <w:r w:rsidR="007C28D7" w:rsidRPr="000E08DB">
            <w:rPr>
              <w:rStyle w:val="normaltextrun"/>
              <w:sz w:val="24"/>
              <w:szCs w:val="24"/>
            </w:rPr>
            <w:t xml:space="preserve">, including in the first </w:t>
          </w:r>
          <w:r w:rsidR="008F0E56" w:rsidRPr="000E08DB">
            <w:rPr>
              <w:rStyle w:val="normaltextrun"/>
              <w:sz w:val="24"/>
              <w:szCs w:val="24"/>
            </w:rPr>
            <w:t xml:space="preserve">6 </w:t>
          </w:r>
          <w:r w:rsidR="007C28D7" w:rsidRPr="000E08DB">
            <w:rPr>
              <w:rStyle w:val="normaltextrun"/>
              <w:sz w:val="24"/>
              <w:szCs w:val="24"/>
            </w:rPr>
            <w:t>months of study.</w:t>
          </w:r>
        </w:p>
        <w:p w14:paraId="35A4DFF7" w14:textId="3EB33FBB" w:rsidR="00224C6B" w:rsidRPr="000E08DB" w:rsidRDefault="00224C6B" w:rsidP="00224C6B">
          <w:pPr>
            <w:jc w:val="both"/>
            <w:rPr>
              <w:rStyle w:val="normaltextrun"/>
              <w:color w:val="000000" w:themeColor="text1"/>
              <w:sz w:val="24"/>
              <w:szCs w:val="24"/>
            </w:rPr>
          </w:pPr>
          <w:r w:rsidRPr="000E08DB">
            <w:rPr>
              <w:rStyle w:val="normaltextrun"/>
              <w:color w:val="000000" w:themeColor="text1"/>
              <w:sz w:val="24"/>
              <w:szCs w:val="24"/>
            </w:rPr>
            <w:t xml:space="preserve">The Department of Home Affairs will work with the Department of Education to identify and inform policy changes and risk settings for students changing education providers. Government will consider student wellbeing to ensure that students with legitimate reasons for requesting a transfer within the first </w:t>
          </w:r>
          <w:r w:rsidR="008F0E56" w:rsidRPr="000E08DB">
            <w:rPr>
              <w:rStyle w:val="normaltextrun"/>
              <w:color w:val="000000" w:themeColor="text1"/>
              <w:sz w:val="24"/>
              <w:szCs w:val="24"/>
            </w:rPr>
            <w:t xml:space="preserve">6 </w:t>
          </w:r>
          <w:r w:rsidRPr="000E08DB">
            <w:rPr>
              <w:rStyle w:val="normaltextrun"/>
              <w:color w:val="000000" w:themeColor="text1"/>
              <w:sz w:val="24"/>
              <w:szCs w:val="24"/>
            </w:rPr>
            <w:t>months of study are not disadvantaged.</w:t>
          </w:r>
        </w:p>
        <w:p w14:paraId="7BF16552" w14:textId="229E769C" w:rsidR="00B14F20" w:rsidRPr="000E08DB" w:rsidRDefault="00261F2B" w:rsidP="00224C6B">
          <w:pPr>
            <w:jc w:val="both"/>
            <w:rPr>
              <w:rStyle w:val="normaltextrun"/>
              <w:color w:val="000000" w:themeColor="text1"/>
              <w:sz w:val="24"/>
              <w:szCs w:val="24"/>
            </w:rPr>
          </w:pPr>
          <w:r w:rsidRPr="000E08DB">
            <w:rPr>
              <w:rStyle w:val="normaltextrun"/>
              <w:color w:val="000000" w:themeColor="text1"/>
              <w:sz w:val="24"/>
              <w:szCs w:val="24"/>
            </w:rPr>
            <w:t xml:space="preserve">The </w:t>
          </w:r>
          <w:r w:rsidR="00224C6B" w:rsidRPr="000E08DB">
            <w:rPr>
              <w:rStyle w:val="normaltextrun"/>
              <w:color w:val="000000" w:themeColor="text1"/>
              <w:sz w:val="24"/>
              <w:szCs w:val="24"/>
            </w:rPr>
            <w:t xml:space="preserve">Government will further consider regulatory enforcement </w:t>
          </w:r>
          <w:r w:rsidR="0076460F" w:rsidRPr="000E08DB">
            <w:rPr>
              <w:rStyle w:val="normaltextrun"/>
              <w:color w:val="000000" w:themeColor="text1"/>
              <w:sz w:val="24"/>
              <w:szCs w:val="24"/>
            </w:rPr>
            <w:t>in line with</w:t>
          </w:r>
          <w:r w:rsidR="00224C6B" w:rsidRPr="000E08DB">
            <w:rPr>
              <w:rStyle w:val="normaltextrun"/>
              <w:color w:val="000000" w:themeColor="text1"/>
              <w:sz w:val="24"/>
              <w:szCs w:val="24"/>
            </w:rPr>
            <w:t xml:space="preserve"> this recommendation</w:t>
          </w:r>
          <w:r w:rsidR="005D47D0" w:rsidRPr="000E08DB">
            <w:rPr>
              <w:rStyle w:val="normaltextrun"/>
              <w:color w:val="000000" w:themeColor="text1"/>
              <w:sz w:val="24"/>
              <w:szCs w:val="24"/>
            </w:rPr>
            <w:t>,</w:t>
          </w:r>
          <w:r w:rsidR="00224C6B" w:rsidRPr="000E08DB">
            <w:rPr>
              <w:rStyle w:val="normaltextrun"/>
              <w:color w:val="000000" w:themeColor="text1"/>
              <w:sz w:val="24"/>
              <w:szCs w:val="24"/>
            </w:rPr>
            <w:t xml:space="preserve"> including how non-compliance would be identified and enforced.</w:t>
          </w:r>
        </w:p>
        <w:p w14:paraId="762C68F8" w14:textId="77777777" w:rsidR="00224C6B" w:rsidRPr="000E08DB" w:rsidRDefault="00224C6B" w:rsidP="00224C6B">
          <w:pPr>
            <w:jc w:val="both"/>
            <w:rPr>
              <w:rFonts w:ascii="Calibri" w:eastAsia="Calibri" w:hAnsi="Calibri" w:cs="Calibr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225E77E7" w14:textId="77777777">
            <w:tc>
              <w:tcPr>
                <w:tcW w:w="9016" w:type="dxa"/>
                <w:shd w:val="clear" w:color="auto" w:fill="E7E6E6" w:themeFill="background2"/>
              </w:tcPr>
              <w:p w14:paraId="76C9052E" w14:textId="4709BBFD" w:rsidR="00B14F20" w:rsidRPr="000E08DB" w:rsidRDefault="00B14F20" w:rsidP="00755613">
                <w:pPr>
                  <w:pStyle w:val="Heading2"/>
                  <w:jc w:val="both"/>
                  <w:rPr>
                    <w:rFonts w:asciiTheme="minorHAnsi" w:hAnsiTheme="minorHAnsi" w:cstheme="minorBidi"/>
                    <w:sz w:val="24"/>
                    <w:szCs w:val="24"/>
                  </w:rPr>
                </w:pPr>
                <w:bookmarkStart w:id="28" w:name="_Toc207627811"/>
                <w:r w:rsidRPr="000E08DB">
                  <w:rPr>
                    <w:rFonts w:asciiTheme="minorHAnsi" w:hAnsiTheme="minorHAnsi" w:cstheme="minorBidi"/>
                    <w:sz w:val="24"/>
                    <w:szCs w:val="24"/>
                  </w:rPr>
                  <w:t>Recommendation 22</w:t>
                </w:r>
                <w:bookmarkEnd w:id="28"/>
              </w:p>
              <w:p w14:paraId="18D8A26F"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amend Education Services and Overseas Students regulations to provide that any medical letter or certification for consideration of early release can only be issued by a medical professional who is approved under the students’ Overseas Student Health Cover.</w:t>
                </w:r>
              </w:p>
              <w:p w14:paraId="49DC4561" w14:textId="77777777" w:rsidR="00B14F20" w:rsidRPr="000E08DB" w:rsidRDefault="00B14F20" w:rsidP="00755613">
                <w:pPr>
                  <w:jc w:val="both"/>
                  <w:rPr>
                    <w:rFonts w:cstheme="minorHAnsi"/>
                    <w:sz w:val="24"/>
                    <w:szCs w:val="24"/>
                  </w:rPr>
                </w:pPr>
              </w:p>
            </w:tc>
          </w:tr>
        </w:tbl>
        <w:p w14:paraId="1D2A8E58" w14:textId="77777777" w:rsidR="00B14F20" w:rsidRPr="000E08DB" w:rsidRDefault="00B14F20" w:rsidP="00B80066">
          <w:pPr>
            <w:jc w:val="both"/>
            <w:rPr>
              <w:rFonts w:cstheme="minorHAnsi"/>
              <w:sz w:val="24"/>
              <w:szCs w:val="24"/>
            </w:rPr>
          </w:pPr>
        </w:p>
        <w:p w14:paraId="04A38D01" w14:textId="33E46370" w:rsidR="00B14F20" w:rsidRPr="000E08DB" w:rsidRDefault="00E2764F" w:rsidP="00B80066">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 in-principle</w:t>
          </w:r>
          <w:r w:rsidR="00B14F20" w:rsidRPr="000E08DB">
            <w:rPr>
              <w:sz w:val="24"/>
              <w:szCs w:val="24"/>
            </w:rPr>
            <w:t xml:space="preserve"> with this </w:t>
          </w:r>
          <w:r w:rsidR="00A11A0F" w:rsidRPr="000E08DB">
            <w:rPr>
              <w:sz w:val="24"/>
              <w:szCs w:val="24"/>
            </w:rPr>
            <w:t>r</w:t>
          </w:r>
          <w:r w:rsidR="00B14F20" w:rsidRPr="000E08DB">
            <w:rPr>
              <w:sz w:val="24"/>
              <w:szCs w:val="24"/>
            </w:rPr>
            <w:t>ecommendation.</w:t>
          </w:r>
        </w:p>
        <w:p w14:paraId="6EB006D8" w14:textId="65FA9074" w:rsidR="00B14F20" w:rsidRPr="000E08DB" w:rsidRDefault="00261F2B" w:rsidP="00B80066">
          <w:pPr>
            <w:jc w:val="both"/>
            <w:rPr>
              <w:rFonts w:eastAsia="Times New Roman"/>
              <w:sz w:val="24"/>
              <w:szCs w:val="24"/>
              <w:lang w:eastAsia="en-AU"/>
            </w:rPr>
          </w:pPr>
          <w:r w:rsidRPr="000E08DB">
            <w:rPr>
              <w:rFonts w:eastAsia="Times New Roman"/>
              <w:sz w:val="24"/>
              <w:szCs w:val="24"/>
              <w:lang w:eastAsia="en-AU"/>
            </w:rPr>
            <w:t xml:space="preserve">The </w:t>
          </w:r>
          <w:r w:rsidR="003C6A71" w:rsidRPr="000E08DB">
            <w:rPr>
              <w:rFonts w:eastAsia="Times New Roman"/>
              <w:sz w:val="24"/>
              <w:szCs w:val="24"/>
              <w:lang w:eastAsia="en-AU"/>
            </w:rPr>
            <w:t xml:space="preserve">Government will consider this recommendation in the context of work underway to </w:t>
          </w:r>
          <w:r w:rsidR="00DF4E2C" w:rsidRPr="000E08DB">
            <w:rPr>
              <w:rFonts w:eastAsia="Times New Roman"/>
              <w:sz w:val="24"/>
              <w:szCs w:val="24"/>
              <w:lang w:eastAsia="en-AU"/>
            </w:rPr>
            <w:t>increase</w:t>
          </w:r>
          <w:r w:rsidR="003C6A71" w:rsidRPr="000E08DB">
            <w:rPr>
              <w:rFonts w:eastAsia="Times New Roman"/>
              <w:sz w:val="24"/>
              <w:szCs w:val="24"/>
              <w:lang w:eastAsia="en-AU"/>
            </w:rPr>
            <w:t xml:space="preserve"> integrity in Australia’s international education sector.</w:t>
          </w:r>
        </w:p>
        <w:p w14:paraId="1F8BFF8E" w14:textId="77777777" w:rsidR="003C6A71" w:rsidRPr="000E08DB" w:rsidRDefault="003C6A71"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447C1242" w14:textId="77777777">
            <w:tc>
              <w:tcPr>
                <w:tcW w:w="9016" w:type="dxa"/>
                <w:shd w:val="clear" w:color="auto" w:fill="E7E6E6" w:themeFill="background2"/>
              </w:tcPr>
              <w:p w14:paraId="72036FBF" w14:textId="33360F0D" w:rsidR="00B14F20" w:rsidRPr="000E08DB" w:rsidRDefault="00B14F20" w:rsidP="00755613">
                <w:pPr>
                  <w:pStyle w:val="Heading2"/>
                  <w:jc w:val="both"/>
                  <w:rPr>
                    <w:rFonts w:asciiTheme="minorHAnsi" w:hAnsiTheme="minorHAnsi" w:cstheme="minorBidi"/>
                    <w:sz w:val="24"/>
                    <w:szCs w:val="24"/>
                  </w:rPr>
                </w:pPr>
                <w:bookmarkStart w:id="29" w:name="_Toc207627812"/>
                <w:r w:rsidRPr="000E08DB">
                  <w:rPr>
                    <w:rFonts w:asciiTheme="minorHAnsi" w:hAnsiTheme="minorHAnsi" w:cstheme="minorBidi"/>
                    <w:sz w:val="24"/>
                    <w:szCs w:val="24"/>
                  </w:rPr>
                  <w:t>Recommendation 23</w:t>
                </w:r>
                <w:bookmarkEnd w:id="29"/>
              </w:p>
              <w:p w14:paraId="08E2E628"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tighten regulations to:</w:t>
                </w:r>
              </w:p>
              <w:p w14:paraId="03A43213" w14:textId="77777777" w:rsidR="00B14F20" w:rsidRPr="000E08DB" w:rsidRDefault="00B14F20" w:rsidP="00755613">
                <w:pPr>
                  <w:pStyle w:val="ListParagraph"/>
                  <w:numPr>
                    <w:ilvl w:val="0"/>
                    <w:numId w:val="14"/>
                  </w:numPr>
                  <w:jc w:val="both"/>
                  <w:rPr>
                    <w:rFonts w:cstheme="minorHAnsi"/>
                    <w:sz w:val="24"/>
                    <w:szCs w:val="24"/>
                  </w:rPr>
                </w:pPr>
                <w:r w:rsidRPr="000E08DB">
                  <w:rPr>
                    <w:rFonts w:cstheme="minorHAnsi"/>
                    <w:sz w:val="24"/>
                    <w:szCs w:val="24"/>
                  </w:rPr>
                  <w:t>require providers to record the details of all education agents or equivalent that they receive students from into Provider Registration and International Student Management System (PRISMS) Agents Dashboard</w:t>
                </w:r>
              </w:p>
              <w:p w14:paraId="4D21B674" w14:textId="77777777" w:rsidR="00B14F20" w:rsidRPr="000E08DB" w:rsidRDefault="00B14F20" w:rsidP="00755613">
                <w:pPr>
                  <w:pStyle w:val="ListParagraph"/>
                  <w:numPr>
                    <w:ilvl w:val="0"/>
                    <w:numId w:val="14"/>
                  </w:numPr>
                  <w:jc w:val="both"/>
                  <w:rPr>
                    <w:rFonts w:cstheme="minorHAnsi"/>
                    <w:sz w:val="24"/>
                    <w:szCs w:val="24"/>
                  </w:rPr>
                </w:pPr>
                <w:r w:rsidRPr="000E08DB">
                  <w:rPr>
                    <w:rFonts w:cstheme="minorHAnsi"/>
                    <w:sz w:val="24"/>
                    <w:szCs w:val="24"/>
                  </w:rPr>
                  <w:t>require providers to have written agreements with all education agents or equivalent</w:t>
                </w:r>
              </w:p>
              <w:p w14:paraId="216158C8" w14:textId="77777777" w:rsidR="00B14F20" w:rsidRPr="000E08DB" w:rsidRDefault="00B14F20" w:rsidP="00755613">
                <w:pPr>
                  <w:pStyle w:val="ListParagraph"/>
                  <w:numPr>
                    <w:ilvl w:val="0"/>
                    <w:numId w:val="14"/>
                  </w:numPr>
                  <w:jc w:val="both"/>
                  <w:rPr>
                    <w:rFonts w:cstheme="minorHAnsi"/>
                    <w:sz w:val="24"/>
                    <w:szCs w:val="24"/>
                  </w:rPr>
                </w:pPr>
                <w:r w:rsidRPr="000E08DB">
                  <w:rPr>
                    <w:rFonts w:cstheme="minorHAnsi"/>
                    <w:sz w:val="24"/>
                    <w:szCs w:val="24"/>
                  </w:rPr>
                  <w:t>require providers to actively monitor agent conduct including annually reviewed key risk indicators</w:t>
                </w:r>
              </w:p>
              <w:p w14:paraId="2E97C5ED" w14:textId="77777777" w:rsidR="00B14F20" w:rsidRPr="000E08DB" w:rsidRDefault="00B14F20" w:rsidP="00755613">
                <w:pPr>
                  <w:pStyle w:val="ListParagraph"/>
                  <w:numPr>
                    <w:ilvl w:val="0"/>
                    <w:numId w:val="14"/>
                  </w:numPr>
                  <w:jc w:val="both"/>
                  <w:rPr>
                    <w:rFonts w:cstheme="minorHAnsi"/>
                    <w:sz w:val="24"/>
                    <w:szCs w:val="24"/>
                  </w:rPr>
                </w:pPr>
                <w:r w:rsidRPr="000E08DB">
                  <w:rPr>
                    <w:rFonts w:cstheme="minorHAnsi"/>
                    <w:sz w:val="24"/>
                    <w:szCs w:val="24"/>
                  </w:rPr>
                  <w:t>enable mandatory requirements to report misconduct involving suspected trafficking to the relevant regulatory authorities.</w:t>
                </w:r>
              </w:p>
              <w:p w14:paraId="0F90E3B3" w14:textId="77777777" w:rsidR="00B14F20" w:rsidRPr="000E08DB" w:rsidRDefault="00B14F20" w:rsidP="00755613">
                <w:pPr>
                  <w:jc w:val="both"/>
                  <w:rPr>
                    <w:rFonts w:cstheme="minorHAnsi"/>
                    <w:sz w:val="24"/>
                    <w:szCs w:val="24"/>
                  </w:rPr>
                </w:pPr>
              </w:p>
            </w:tc>
          </w:tr>
        </w:tbl>
        <w:p w14:paraId="66D54BB6" w14:textId="77777777" w:rsidR="00B14F20" w:rsidRPr="000E08DB" w:rsidRDefault="00B14F20" w:rsidP="00755613">
          <w:pPr>
            <w:jc w:val="both"/>
            <w:rPr>
              <w:rFonts w:cstheme="minorHAnsi"/>
              <w:sz w:val="24"/>
              <w:szCs w:val="24"/>
            </w:rPr>
          </w:pPr>
        </w:p>
        <w:p w14:paraId="1FC667E0" w14:textId="64EB4EE5" w:rsidR="00B14F20" w:rsidRPr="000E08DB" w:rsidRDefault="00E2764F" w:rsidP="00B80066">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w:t>
          </w:r>
          <w:r w:rsidR="00261F2B" w:rsidRPr="000E08DB">
            <w:rPr>
              <w:b/>
              <w:sz w:val="24"/>
              <w:szCs w:val="24"/>
            </w:rPr>
            <w:t xml:space="preserve"> in-principle</w:t>
          </w:r>
          <w:r w:rsidR="00D47C21" w:rsidRPr="000E08DB">
            <w:rPr>
              <w:b/>
              <w:sz w:val="24"/>
              <w:szCs w:val="24"/>
            </w:rPr>
            <w:t xml:space="preserve"> </w:t>
          </w:r>
          <w:r w:rsidR="00B14F20" w:rsidRPr="000E08DB">
            <w:rPr>
              <w:sz w:val="24"/>
              <w:szCs w:val="24"/>
            </w:rPr>
            <w:t>w</w:t>
          </w:r>
          <w:r w:rsidR="0032110A" w:rsidRPr="000E08DB">
            <w:rPr>
              <w:sz w:val="24"/>
              <w:szCs w:val="24"/>
            </w:rPr>
            <w:t>i</w:t>
          </w:r>
          <w:r w:rsidR="00B14F20" w:rsidRPr="000E08DB">
            <w:rPr>
              <w:sz w:val="24"/>
              <w:szCs w:val="24"/>
            </w:rPr>
            <w:t xml:space="preserve">th this </w:t>
          </w:r>
          <w:r w:rsidR="00A11A0F" w:rsidRPr="000E08DB">
            <w:rPr>
              <w:sz w:val="24"/>
              <w:szCs w:val="24"/>
            </w:rPr>
            <w:t>r</w:t>
          </w:r>
          <w:r w:rsidR="00B14F20" w:rsidRPr="000E08DB">
            <w:rPr>
              <w:sz w:val="24"/>
              <w:szCs w:val="24"/>
            </w:rPr>
            <w:t>ecommendation.</w:t>
          </w:r>
        </w:p>
        <w:p w14:paraId="47E20937" w14:textId="2EE174D1" w:rsidR="00197ABD" w:rsidRPr="000E08DB" w:rsidRDefault="00261F2B" w:rsidP="00197ABD">
          <w:pPr>
            <w:pStyle w:val="pf0"/>
            <w:spacing w:before="0" w:beforeAutospacing="0" w:after="160" w:afterAutospacing="0"/>
            <w:jc w:val="both"/>
            <w:rPr>
              <w:rFonts w:asciiTheme="minorHAnsi" w:eastAsiaTheme="minorHAnsi" w:hAnsiTheme="minorHAnsi" w:cstheme="minorBidi"/>
              <w:lang w:eastAsia="en-US"/>
            </w:rPr>
          </w:pPr>
          <w:r w:rsidRPr="000E08DB">
            <w:rPr>
              <w:rFonts w:asciiTheme="minorHAnsi" w:eastAsiaTheme="minorEastAsia" w:hAnsiTheme="minorHAnsi" w:cstheme="minorBidi"/>
              <w:lang w:eastAsia="en-US"/>
            </w:rPr>
            <w:t xml:space="preserve">The Government supports increasing the transparency of education agent data to providers. </w:t>
          </w:r>
          <w:r w:rsidR="00D910B2" w:rsidRPr="000E08DB">
            <w:rPr>
              <w:rFonts w:asciiTheme="minorHAnsi" w:eastAsiaTheme="minorEastAsia" w:hAnsiTheme="minorHAnsi" w:cstheme="minorBidi"/>
              <w:lang w:eastAsia="en-US"/>
            </w:rPr>
            <w:t xml:space="preserve"> </w:t>
          </w:r>
          <w:r w:rsidR="0046310D" w:rsidRPr="000E08DB">
            <w:rPr>
              <w:rFonts w:asciiTheme="minorHAnsi" w:eastAsiaTheme="minorEastAsia" w:hAnsiTheme="minorHAnsi" w:cstheme="minorBidi"/>
              <w:lang w:eastAsia="en-US"/>
            </w:rPr>
            <w:t xml:space="preserve">The </w:t>
          </w:r>
          <w:r w:rsidR="00D910B2" w:rsidRPr="000E08DB">
            <w:rPr>
              <w:rFonts w:asciiTheme="minorHAnsi" w:eastAsiaTheme="minorEastAsia" w:hAnsiTheme="minorHAnsi" w:cstheme="minorBidi"/>
              <w:lang w:eastAsia="en-US"/>
            </w:rPr>
            <w:t xml:space="preserve">collection of information on education agent commissions </w:t>
          </w:r>
          <w:r w:rsidR="007C3D5A" w:rsidRPr="000E08DB">
            <w:rPr>
              <w:rFonts w:asciiTheme="minorHAnsi" w:eastAsiaTheme="minorHAnsi" w:hAnsiTheme="minorHAnsi" w:cstheme="minorBidi"/>
              <w:lang w:eastAsia="en-US"/>
            </w:rPr>
            <w:t>will</w:t>
          </w:r>
          <w:r w:rsidR="00D910B2" w:rsidRPr="000E08DB">
            <w:rPr>
              <w:rFonts w:asciiTheme="minorHAnsi" w:eastAsiaTheme="minorHAnsi" w:hAnsiTheme="minorHAnsi" w:cstheme="minorBidi"/>
              <w:lang w:eastAsia="en-US"/>
            </w:rPr>
            <w:t xml:space="preserve"> enable Government to share more information with providers on the education agents they engage. These changes are outlined in measures under the </w:t>
          </w:r>
          <w:r w:rsidR="004B420D" w:rsidRPr="000E08DB">
            <w:rPr>
              <w:rFonts w:asciiTheme="minorHAnsi" w:eastAsiaTheme="minorHAnsi" w:hAnsiTheme="minorHAnsi" w:cstheme="minorBidi"/>
              <w:lang w:eastAsia="en-US"/>
            </w:rPr>
            <w:t>ELA</w:t>
          </w:r>
          <w:r w:rsidR="00D910B2" w:rsidRPr="000E08DB">
            <w:rPr>
              <w:rFonts w:asciiTheme="minorHAnsi" w:eastAsiaTheme="minorHAnsi" w:hAnsiTheme="minorHAnsi" w:cstheme="minorBidi"/>
              <w:lang w:eastAsia="en-US"/>
            </w:rPr>
            <w:t xml:space="preserve"> </w:t>
          </w:r>
          <w:r w:rsidR="007354EB" w:rsidRPr="000E08DB">
            <w:rPr>
              <w:rFonts w:asciiTheme="minorHAnsi" w:eastAsiaTheme="minorHAnsi" w:hAnsiTheme="minorHAnsi" w:cstheme="minorBidi"/>
              <w:lang w:eastAsia="en-US"/>
            </w:rPr>
            <w:t>Act</w:t>
          </w:r>
          <w:r w:rsidR="00D910B2" w:rsidRPr="000E08DB">
            <w:rPr>
              <w:rFonts w:asciiTheme="minorHAnsi" w:eastAsiaTheme="minorHAnsi" w:hAnsiTheme="minorHAnsi" w:cstheme="minorBidi"/>
              <w:lang w:eastAsia="en-US"/>
            </w:rPr>
            <w:t xml:space="preserve"> </w:t>
          </w:r>
          <w:r w:rsidR="004C5DA7" w:rsidRPr="000E08DB">
            <w:rPr>
              <w:rFonts w:asciiTheme="minorHAnsi" w:eastAsiaTheme="minorHAnsi" w:hAnsiTheme="minorHAnsi" w:cstheme="minorBidi"/>
              <w:lang w:eastAsia="en-US"/>
            </w:rPr>
            <w:t>passed by</w:t>
          </w:r>
          <w:r w:rsidR="00D910B2" w:rsidRPr="000E08DB">
            <w:rPr>
              <w:rFonts w:asciiTheme="minorHAnsi" w:eastAsiaTheme="minorHAnsi" w:hAnsiTheme="minorHAnsi" w:cstheme="minorBidi"/>
              <w:lang w:eastAsia="en-US"/>
            </w:rPr>
            <w:t xml:space="preserve"> Parliament in </w:t>
          </w:r>
          <w:r w:rsidR="006C65AE" w:rsidRPr="000E08DB">
            <w:rPr>
              <w:rFonts w:asciiTheme="minorHAnsi" w:eastAsiaTheme="minorHAnsi" w:hAnsiTheme="minorHAnsi" w:cstheme="minorBidi"/>
              <w:lang w:eastAsia="en-US"/>
            </w:rPr>
            <w:t>November</w:t>
          </w:r>
          <w:r w:rsidR="00D910B2" w:rsidRPr="000E08DB">
            <w:rPr>
              <w:rFonts w:asciiTheme="minorHAnsi" w:eastAsiaTheme="minorHAnsi" w:hAnsiTheme="minorHAnsi" w:cstheme="minorBidi"/>
              <w:lang w:eastAsia="en-US"/>
            </w:rPr>
            <w:t xml:space="preserve"> 2025</w:t>
          </w:r>
          <w:r w:rsidR="006465AA" w:rsidRPr="000E08DB">
            <w:rPr>
              <w:rFonts w:asciiTheme="minorHAnsi" w:eastAsiaTheme="minorHAnsi" w:hAnsiTheme="minorHAnsi" w:cstheme="minorBidi"/>
              <w:lang w:eastAsia="en-US"/>
            </w:rPr>
            <w:t xml:space="preserve">, </w:t>
          </w:r>
          <w:r w:rsidR="00E643D7" w:rsidRPr="000E08DB" w:rsidDel="009F7869">
            <w:rPr>
              <w:rFonts w:asciiTheme="minorHAnsi" w:eastAsiaTheme="minorEastAsia" w:hAnsiTheme="minorHAnsi" w:cstheme="minorBidi"/>
              <w:lang w:eastAsia="en-US"/>
            </w:rPr>
            <w:t xml:space="preserve">supported by complementary changes to the </w:t>
          </w:r>
          <w:r w:rsidR="00E643D7" w:rsidRPr="000E08DB" w:rsidDel="009F7869">
            <w:rPr>
              <w:rFonts w:asciiTheme="minorHAnsi" w:eastAsiaTheme="minorEastAsia" w:hAnsiTheme="minorHAnsi" w:cstheme="minorBidi"/>
              <w:i/>
              <w:iCs/>
              <w:lang w:eastAsia="en-US"/>
            </w:rPr>
            <w:t>Education Services for Overseas Students Regulations 2019</w:t>
          </w:r>
          <w:r w:rsidR="00E6741E" w:rsidRPr="000E08DB" w:rsidDel="006465AA">
            <w:rPr>
              <w:rFonts w:asciiTheme="minorHAnsi" w:eastAsiaTheme="minorEastAsia" w:hAnsiTheme="minorHAnsi" w:cstheme="minorBidi"/>
              <w:i/>
              <w:lang w:eastAsia="en-US"/>
            </w:rPr>
            <w:t>.</w:t>
          </w:r>
          <w:r w:rsidR="005456BE" w:rsidRPr="000E08DB">
            <w:rPr>
              <w:rFonts w:asciiTheme="minorHAnsi" w:eastAsiaTheme="minorEastAsia" w:hAnsiTheme="minorHAnsi" w:cstheme="minorBidi"/>
              <w:i/>
              <w:lang w:eastAsia="en-US"/>
            </w:rPr>
            <w:t xml:space="preserve"> </w:t>
          </w:r>
          <w:r w:rsidRPr="000E08DB">
            <w:rPr>
              <w:rFonts w:asciiTheme="minorHAnsi" w:eastAsiaTheme="minorHAnsi" w:hAnsiTheme="minorHAnsi" w:cstheme="minorBidi"/>
              <w:lang w:eastAsia="en-US"/>
            </w:rPr>
            <w:t xml:space="preserve">The </w:t>
          </w:r>
          <w:r w:rsidR="00197ABD" w:rsidRPr="000E08DB">
            <w:rPr>
              <w:rFonts w:asciiTheme="minorHAnsi" w:eastAsiaTheme="minorHAnsi" w:hAnsiTheme="minorHAnsi" w:cstheme="minorBidi"/>
              <w:lang w:eastAsia="en-US"/>
            </w:rPr>
            <w:t xml:space="preserve">Government also supports increasing requirements for providers to actively monitor education agents including requiring providers to have written agreements with the agents from when they receive international </w:t>
          </w:r>
          <w:r w:rsidR="00974B2B" w:rsidRPr="000E08DB">
            <w:rPr>
              <w:rFonts w:asciiTheme="minorHAnsi" w:eastAsiaTheme="minorHAnsi" w:hAnsiTheme="minorHAnsi" w:cstheme="minorBidi"/>
              <w:lang w:eastAsia="en-US"/>
            </w:rPr>
            <w:t>students and</w:t>
          </w:r>
          <w:r w:rsidR="00197ABD" w:rsidRPr="000E08DB">
            <w:rPr>
              <w:rFonts w:asciiTheme="minorHAnsi" w:eastAsiaTheme="minorHAnsi" w:hAnsiTheme="minorHAnsi" w:cstheme="minorBidi"/>
              <w:lang w:eastAsia="en-US"/>
            </w:rPr>
            <w:t xml:space="preserve"> will consider these measures in more detail in consultation with the sector.</w:t>
          </w:r>
        </w:p>
        <w:p w14:paraId="476084A1" w14:textId="04438501" w:rsidR="00B14F20" w:rsidRPr="000E08DB" w:rsidRDefault="00261F2B" w:rsidP="00B80066">
          <w:pPr>
            <w:pStyle w:val="pf0"/>
            <w:spacing w:before="0" w:beforeAutospacing="0" w:after="160" w:afterAutospacing="0"/>
            <w:jc w:val="both"/>
            <w:rPr>
              <w:rFonts w:asciiTheme="minorHAnsi" w:eastAsiaTheme="minorHAnsi" w:hAnsiTheme="minorHAnsi" w:cstheme="minorBidi"/>
              <w:lang w:eastAsia="en-US"/>
            </w:rPr>
          </w:pPr>
          <w:r w:rsidRPr="000E08DB">
            <w:rPr>
              <w:rFonts w:asciiTheme="minorHAnsi" w:eastAsiaTheme="minorHAnsi" w:hAnsiTheme="minorHAnsi" w:cstheme="minorBidi"/>
              <w:lang w:eastAsia="en-US"/>
            </w:rPr>
            <w:t xml:space="preserve">The </w:t>
          </w:r>
          <w:r w:rsidR="00D47C21" w:rsidRPr="000E08DB">
            <w:rPr>
              <w:rFonts w:asciiTheme="minorHAnsi" w:eastAsiaTheme="minorHAnsi" w:hAnsiTheme="minorHAnsi" w:cstheme="minorBidi"/>
              <w:lang w:eastAsia="en-US"/>
            </w:rPr>
            <w:t xml:space="preserve">Government notes the part of the recommendation to </w:t>
          </w:r>
          <w:r w:rsidR="005D47D0" w:rsidRPr="000E08DB">
            <w:rPr>
              <w:rFonts w:asciiTheme="minorHAnsi" w:eastAsiaTheme="minorHAnsi" w:hAnsiTheme="minorHAnsi" w:cstheme="minorBidi"/>
              <w:lang w:eastAsia="en-US"/>
            </w:rPr>
            <w:t>implement</w:t>
          </w:r>
          <w:r w:rsidR="00D47C21" w:rsidRPr="000E08DB">
            <w:rPr>
              <w:rFonts w:asciiTheme="minorHAnsi" w:eastAsiaTheme="minorHAnsi" w:hAnsiTheme="minorHAnsi" w:cstheme="minorBidi"/>
              <w:lang w:eastAsia="en-US"/>
            </w:rPr>
            <w:t xml:space="preserve"> mandatory requirements to report misconduct involving suspected trafficking and will consider this in the context of the work underway, in line with its response to the</w:t>
          </w:r>
          <w:r w:rsidR="00D033AD" w:rsidRPr="000E08DB">
            <w:rPr>
              <w:rFonts w:asciiTheme="minorHAnsi" w:eastAsiaTheme="minorHAnsi" w:hAnsiTheme="minorHAnsi" w:cstheme="minorBidi"/>
              <w:lang w:eastAsia="en-US"/>
            </w:rPr>
            <w:t xml:space="preserve"> </w:t>
          </w:r>
          <w:r w:rsidR="00D47C21" w:rsidRPr="000E08DB">
            <w:rPr>
              <w:rFonts w:asciiTheme="minorHAnsi" w:eastAsiaTheme="minorHAnsi" w:hAnsiTheme="minorHAnsi" w:cstheme="minorBidi"/>
              <w:lang w:eastAsia="en-US"/>
            </w:rPr>
            <w:t xml:space="preserve">Nixon </w:t>
          </w:r>
          <w:r w:rsidR="00AC2B0E" w:rsidRPr="000E08DB">
            <w:rPr>
              <w:rFonts w:asciiTheme="minorHAnsi" w:eastAsiaTheme="minorHAnsi" w:hAnsiTheme="minorHAnsi" w:cstheme="minorBidi"/>
              <w:lang w:eastAsia="en-US"/>
            </w:rPr>
            <w:t>R</w:t>
          </w:r>
          <w:r w:rsidR="00D47C21" w:rsidRPr="000E08DB">
            <w:rPr>
              <w:rFonts w:asciiTheme="minorHAnsi" w:eastAsiaTheme="minorHAnsi" w:hAnsiTheme="minorHAnsi" w:cstheme="minorBidi"/>
              <w:lang w:eastAsia="en-US"/>
            </w:rPr>
            <w:t>eview and commitments detailed in the Migration Strategy.</w:t>
          </w: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4B470673" w14:textId="77777777">
            <w:tc>
              <w:tcPr>
                <w:tcW w:w="9016" w:type="dxa"/>
                <w:shd w:val="clear" w:color="auto" w:fill="E7E6E6" w:themeFill="background2"/>
              </w:tcPr>
              <w:p w14:paraId="5CCCE3B0" w14:textId="7FDE1C91" w:rsidR="00B14F20" w:rsidRPr="000E08DB" w:rsidRDefault="00B14F20" w:rsidP="00755613">
                <w:pPr>
                  <w:pStyle w:val="Heading2"/>
                  <w:jc w:val="both"/>
                  <w:rPr>
                    <w:rFonts w:asciiTheme="minorHAnsi" w:hAnsiTheme="minorHAnsi" w:cstheme="minorBidi"/>
                    <w:sz w:val="24"/>
                    <w:szCs w:val="24"/>
                  </w:rPr>
                </w:pPr>
                <w:bookmarkStart w:id="30" w:name="_Toc207627813"/>
                <w:r w:rsidRPr="000E08DB">
                  <w:rPr>
                    <w:rFonts w:asciiTheme="minorHAnsi" w:hAnsiTheme="minorHAnsi" w:cstheme="minorBidi"/>
                    <w:sz w:val="24"/>
                    <w:szCs w:val="24"/>
                  </w:rPr>
                  <w:lastRenderedPageBreak/>
                  <w:t>Recommendation 24</w:t>
                </w:r>
                <w:bookmarkEnd w:id="30"/>
              </w:p>
              <w:p w14:paraId="3B47B08D"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in consultation with the education sector and agent peak bodies develop model clauses for providers to use in their written agreements with education agents to improve integrity, consumer protection and enable more transparency of payments.</w:t>
                </w:r>
              </w:p>
              <w:p w14:paraId="484CF45A" w14:textId="77777777" w:rsidR="00B14F20" w:rsidRPr="000E08DB" w:rsidRDefault="00B14F20" w:rsidP="00755613">
                <w:pPr>
                  <w:jc w:val="both"/>
                  <w:rPr>
                    <w:rFonts w:cstheme="minorHAnsi"/>
                    <w:sz w:val="24"/>
                    <w:szCs w:val="24"/>
                  </w:rPr>
                </w:pPr>
              </w:p>
            </w:tc>
          </w:tr>
        </w:tbl>
        <w:p w14:paraId="7ECF36E0" w14:textId="77777777" w:rsidR="00B14F20" w:rsidRPr="000E08DB" w:rsidRDefault="00B14F20" w:rsidP="00755613">
          <w:pPr>
            <w:jc w:val="both"/>
            <w:rPr>
              <w:rFonts w:cstheme="minorHAnsi"/>
              <w:sz w:val="24"/>
              <w:szCs w:val="24"/>
            </w:rPr>
          </w:pPr>
        </w:p>
        <w:p w14:paraId="6E792C0E" w14:textId="189CE720" w:rsidR="00B14F20" w:rsidRPr="000E08DB" w:rsidRDefault="00E2764F" w:rsidP="00755613">
          <w:pPr>
            <w:jc w:val="both"/>
            <w:rPr>
              <w:rFonts w:cstheme="minorHAnsi"/>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rFonts w:cstheme="minorHAnsi"/>
              <w:b/>
              <w:bCs/>
              <w:sz w:val="24"/>
              <w:szCs w:val="24"/>
            </w:rPr>
            <w:t>agrees</w:t>
          </w:r>
          <w:r w:rsidR="002B3272" w:rsidRPr="000E08DB">
            <w:rPr>
              <w:rFonts w:cstheme="minorHAnsi"/>
              <w:b/>
              <w:bCs/>
              <w:sz w:val="24"/>
              <w:szCs w:val="24"/>
            </w:rPr>
            <w:t xml:space="preserve"> </w:t>
          </w:r>
          <w:r w:rsidR="00B14F20" w:rsidRPr="000E08DB">
            <w:rPr>
              <w:rFonts w:cstheme="minorHAnsi"/>
              <w:sz w:val="24"/>
              <w:szCs w:val="24"/>
            </w:rPr>
            <w:t xml:space="preserve">with this </w:t>
          </w:r>
          <w:r w:rsidR="00A11A0F" w:rsidRPr="000E08DB">
            <w:rPr>
              <w:rFonts w:cstheme="minorHAnsi"/>
              <w:sz w:val="24"/>
              <w:szCs w:val="24"/>
            </w:rPr>
            <w:t>r</w:t>
          </w:r>
          <w:r w:rsidR="00B14F20" w:rsidRPr="000E08DB">
            <w:rPr>
              <w:rFonts w:cstheme="minorHAnsi"/>
              <w:sz w:val="24"/>
              <w:szCs w:val="24"/>
            </w:rPr>
            <w:t>ecommendation.</w:t>
          </w:r>
        </w:p>
        <w:p w14:paraId="028022B3" w14:textId="15B4F89B" w:rsidR="00261F2B" w:rsidRPr="000E08DB" w:rsidRDefault="00261F2B" w:rsidP="00261F2B">
          <w:pPr>
            <w:jc w:val="both"/>
            <w:rPr>
              <w:rFonts w:cstheme="minorHAnsi"/>
              <w:sz w:val="24"/>
              <w:szCs w:val="24"/>
            </w:rPr>
          </w:pPr>
          <w:r w:rsidRPr="000E08DB">
            <w:rPr>
              <w:rFonts w:cstheme="minorHAnsi"/>
              <w:sz w:val="24"/>
              <w:szCs w:val="24"/>
            </w:rPr>
            <w:t xml:space="preserve">The Government will consider how implementation of the recommendation on model clauses </w:t>
          </w:r>
          <w:r w:rsidR="00BC7E71" w:rsidRPr="000E08DB">
            <w:rPr>
              <w:rFonts w:cstheme="minorHAnsi"/>
              <w:sz w:val="24"/>
              <w:szCs w:val="24"/>
            </w:rPr>
            <w:t>could</w:t>
          </w:r>
          <w:r w:rsidRPr="000E08DB">
            <w:rPr>
              <w:rFonts w:cstheme="minorHAnsi"/>
              <w:sz w:val="24"/>
              <w:szCs w:val="24"/>
            </w:rPr>
            <w:t xml:space="preserve"> align with its broader reform work on the Education Services for Overseas Students Framework. </w:t>
          </w:r>
        </w:p>
        <w:p w14:paraId="1F8CDEE8" w14:textId="77777777" w:rsidR="00F035DA" w:rsidRPr="000E08DB" w:rsidRDefault="00F035DA" w:rsidP="00F035DA">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779BA985" w14:textId="77777777">
            <w:tc>
              <w:tcPr>
                <w:tcW w:w="9016" w:type="dxa"/>
                <w:shd w:val="clear" w:color="auto" w:fill="E7E6E6" w:themeFill="background2"/>
              </w:tcPr>
              <w:p w14:paraId="66A79212" w14:textId="0BA3AECC" w:rsidR="00B14F20" w:rsidRPr="000E08DB" w:rsidRDefault="00B14F20" w:rsidP="00755613">
                <w:pPr>
                  <w:pStyle w:val="Heading2"/>
                  <w:jc w:val="both"/>
                  <w:rPr>
                    <w:rFonts w:asciiTheme="minorHAnsi" w:hAnsiTheme="minorHAnsi" w:cstheme="minorBidi"/>
                    <w:sz w:val="24"/>
                    <w:szCs w:val="24"/>
                  </w:rPr>
                </w:pPr>
                <w:bookmarkStart w:id="31" w:name="_Toc207627814"/>
                <w:r w:rsidRPr="000E08DB">
                  <w:rPr>
                    <w:rFonts w:asciiTheme="minorHAnsi" w:hAnsiTheme="minorHAnsi" w:cstheme="minorBidi"/>
                    <w:sz w:val="24"/>
                    <w:szCs w:val="24"/>
                  </w:rPr>
                  <w:t>Recommendation 25</w:t>
                </w:r>
                <w:bookmarkEnd w:id="31"/>
              </w:p>
              <w:p w14:paraId="459BB89F"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use whatever regulatory levers necessary to mandate certain minimum requirements be included in all written agreements between providers and students to increase transparency and consumer protection including:</w:t>
                </w:r>
              </w:p>
              <w:p w14:paraId="02067DD0" w14:textId="77777777" w:rsidR="00B14F20" w:rsidRPr="000E08DB" w:rsidRDefault="00B14F20" w:rsidP="00755613">
                <w:pPr>
                  <w:pStyle w:val="ListParagraph"/>
                  <w:numPr>
                    <w:ilvl w:val="0"/>
                    <w:numId w:val="15"/>
                  </w:numPr>
                  <w:jc w:val="both"/>
                  <w:rPr>
                    <w:rFonts w:cstheme="minorHAnsi"/>
                    <w:sz w:val="24"/>
                    <w:szCs w:val="24"/>
                  </w:rPr>
                </w:pPr>
                <w:r w:rsidRPr="000E08DB">
                  <w:rPr>
                    <w:rFonts w:cstheme="minorHAnsi"/>
                    <w:sz w:val="24"/>
                    <w:szCs w:val="24"/>
                  </w:rPr>
                  <w:t>standard refund conditions</w:t>
                </w:r>
              </w:p>
              <w:p w14:paraId="4E154411" w14:textId="77777777" w:rsidR="00B14F20" w:rsidRPr="000E08DB" w:rsidRDefault="00B14F20" w:rsidP="00755613">
                <w:pPr>
                  <w:pStyle w:val="ListParagraph"/>
                  <w:numPr>
                    <w:ilvl w:val="0"/>
                    <w:numId w:val="15"/>
                  </w:numPr>
                  <w:jc w:val="both"/>
                  <w:rPr>
                    <w:rFonts w:cstheme="minorHAnsi"/>
                    <w:sz w:val="24"/>
                    <w:szCs w:val="24"/>
                  </w:rPr>
                </w:pPr>
                <w:r w:rsidRPr="000E08DB">
                  <w:rPr>
                    <w:rFonts w:cstheme="minorHAnsi"/>
                    <w:sz w:val="24"/>
                    <w:szCs w:val="24"/>
                  </w:rPr>
                  <w:t>mandatory disclosure of agent commissions and all other payments to the agent, their employees or family, and all related entities (to avoid rorts and workaround payments that are not characterised as ‘commissions’) that are charged to the student.</w:t>
                </w:r>
              </w:p>
              <w:p w14:paraId="20E1202A" w14:textId="77777777" w:rsidR="00B14F20" w:rsidRPr="000E08DB" w:rsidRDefault="00B14F20" w:rsidP="00755613">
                <w:pPr>
                  <w:jc w:val="both"/>
                  <w:rPr>
                    <w:rFonts w:cstheme="minorHAnsi"/>
                    <w:sz w:val="24"/>
                    <w:szCs w:val="24"/>
                  </w:rPr>
                </w:pPr>
              </w:p>
            </w:tc>
          </w:tr>
        </w:tbl>
        <w:p w14:paraId="29C35159" w14:textId="77777777" w:rsidR="00B14F20" w:rsidRPr="000E08DB" w:rsidRDefault="00B14F20" w:rsidP="00755613">
          <w:pPr>
            <w:jc w:val="both"/>
            <w:rPr>
              <w:rFonts w:cstheme="minorHAnsi"/>
              <w:sz w:val="24"/>
              <w:szCs w:val="24"/>
            </w:rPr>
          </w:pPr>
        </w:p>
        <w:p w14:paraId="45148AE3" w14:textId="3DF40D06" w:rsidR="00B14F20" w:rsidRPr="000E08DB" w:rsidRDefault="00E2764F" w:rsidP="00755613">
          <w:pPr>
            <w:jc w:val="both"/>
            <w:rPr>
              <w:i/>
              <w:iCs/>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rFonts w:cstheme="minorHAnsi"/>
              <w:b/>
              <w:bCs/>
              <w:sz w:val="24"/>
              <w:szCs w:val="24"/>
            </w:rPr>
            <w:t>agrees</w:t>
          </w:r>
          <w:r w:rsidR="00B14F20" w:rsidRPr="000E08DB">
            <w:rPr>
              <w:rFonts w:cstheme="minorHAnsi"/>
              <w:sz w:val="24"/>
              <w:szCs w:val="24"/>
            </w:rPr>
            <w:t xml:space="preserve"> with this </w:t>
          </w:r>
          <w:r w:rsidR="00A11A0F" w:rsidRPr="000E08DB">
            <w:rPr>
              <w:rFonts w:cstheme="minorHAnsi"/>
              <w:sz w:val="24"/>
              <w:szCs w:val="24"/>
            </w:rPr>
            <w:t>r</w:t>
          </w:r>
          <w:r w:rsidR="00B14F20" w:rsidRPr="000E08DB">
            <w:rPr>
              <w:rFonts w:cstheme="minorHAnsi"/>
              <w:sz w:val="24"/>
              <w:szCs w:val="24"/>
            </w:rPr>
            <w:t>ecommendation.</w:t>
          </w:r>
        </w:p>
        <w:p w14:paraId="1F486779" w14:textId="6A75E5EE" w:rsidR="00F035DA" w:rsidRPr="000E08DB" w:rsidRDefault="00261F2B" w:rsidP="00F035DA">
          <w:pPr>
            <w:jc w:val="both"/>
            <w:rPr>
              <w:rFonts w:cstheme="minorHAnsi"/>
              <w:sz w:val="24"/>
              <w:szCs w:val="24"/>
            </w:rPr>
          </w:pPr>
          <w:r w:rsidRPr="000E08DB">
            <w:rPr>
              <w:rFonts w:cstheme="minorHAnsi"/>
              <w:sz w:val="24"/>
              <w:szCs w:val="24"/>
            </w:rPr>
            <w:t xml:space="preserve">The </w:t>
          </w:r>
          <w:r w:rsidR="00F035DA" w:rsidRPr="000E08DB">
            <w:rPr>
              <w:rFonts w:cstheme="minorHAnsi"/>
              <w:sz w:val="24"/>
              <w:szCs w:val="24"/>
            </w:rPr>
            <w:t>Government recognises the importance of embedding transparency and consumer protection in written agreements between providers and students.</w:t>
          </w:r>
        </w:p>
        <w:p w14:paraId="129EFBDC" w14:textId="2885836F" w:rsidR="00B14F20" w:rsidRPr="000E08DB" w:rsidRDefault="00261F2B" w:rsidP="00F035DA">
          <w:pPr>
            <w:jc w:val="both"/>
            <w:rPr>
              <w:rFonts w:cstheme="minorHAnsi"/>
              <w:sz w:val="24"/>
              <w:szCs w:val="24"/>
            </w:rPr>
          </w:pPr>
          <w:r w:rsidRPr="000E08DB">
            <w:rPr>
              <w:rFonts w:cstheme="minorHAnsi"/>
              <w:sz w:val="24"/>
              <w:szCs w:val="24"/>
            </w:rPr>
            <w:t xml:space="preserve">The </w:t>
          </w:r>
          <w:r w:rsidR="00F035DA" w:rsidRPr="000E08DB">
            <w:rPr>
              <w:rFonts w:cstheme="minorHAnsi"/>
              <w:sz w:val="24"/>
              <w:szCs w:val="24"/>
            </w:rPr>
            <w:t>Government will work with the sector to consider requirements to be included.</w:t>
          </w:r>
        </w:p>
        <w:p w14:paraId="7812D729" w14:textId="77777777" w:rsidR="00F035DA" w:rsidRPr="000E08DB" w:rsidRDefault="00F035DA" w:rsidP="00F035DA">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2FC40097" w14:textId="77777777">
            <w:tc>
              <w:tcPr>
                <w:tcW w:w="9016" w:type="dxa"/>
                <w:shd w:val="clear" w:color="auto" w:fill="E7E6E6" w:themeFill="background2"/>
              </w:tcPr>
              <w:p w14:paraId="7830D4DA" w14:textId="6F4D942B" w:rsidR="00B14F20" w:rsidRPr="000E08DB" w:rsidRDefault="00B14F20" w:rsidP="00755613">
                <w:pPr>
                  <w:pStyle w:val="Heading2"/>
                  <w:jc w:val="both"/>
                  <w:rPr>
                    <w:rFonts w:asciiTheme="minorHAnsi" w:hAnsiTheme="minorHAnsi" w:cstheme="minorBidi"/>
                    <w:sz w:val="24"/>
                    <w:szCs w:val="24"/>
                  </w:rPr>
                </w:pPr>
                <w:bookmarkStart w:id="32" w:name="_Toc207627815"/>
                <w:r w:rsidRPr="000E08DB">
                  <w:rPr>
                    <w:rFonts w:asciiTheme="minorHAnsi" w:hAnsiTheme="minorHAnsi" w:cstheme="minorBidi"/>
                    <w:sz w:val="24"/>
                    <w:szCs w:val="24"/>
                  </w:rPr>
                  <w:t>Recommendation 26</w:t>
                </w:r>
                <w:bookmarkEnd w:id="32"/>
              </w:p>
              <w:p w14:paraId="0462964D"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an expansion of the current Education Agents Dashboard on Provider Registration and International Student Management System (PRISMS) to allow provider access to all education agents' information. Such an expansion should enable providers to consider an agent’s performance before entering contractual arrangements and to be able to compare agent performance or integrity concerns about individual agents across the sector.</w:t>
                </w:r>
              </w:p>
              <w:p w14:paraId="552CB90D" w14:textId="77777777" w:rsidR="00B14F20" w:rsidRPr="000E08DB" w:rsidRDefault="00B14F20" w:rsidP="00755613">
                <w:pPr>
                  <w:jc w:val="both"/>
                  <w:rPr>
                    <w:rFonts w:cstheme="minorHAnsi"/>
                    <w:sz w:val="24"/>
                    <w:szCs w:val="24"/>
                  </w:rPr>
                </w:pPr>
              </w:p>
            </w:tc>
          </w:tr>
        </w:tbl>
        <w:p w14:paraId="0D5764AB" w14:textId="77777777" w:rsidR="00B14F20" w:rsidRPr="000E08DB" w:rsidRDefault="00B14F20" w:rsidP="00755613">
          <w:pPr>
            <w:jc w:val="both"/>
            <w:rPr>
              <w:rFonts w:cstheme="minorHAnsi"/>
              <w:sz w:val="24"/>
              <w:szCs w:val="24"/>
            </w:rPr>
          </w:pPr>
        </w:p>
        <w:p w14:paraId="6CBDB65B" w14:textId="60C237CA" w:rsidR="00B14F20" w:rsidRPr="000E08DB" w:rsidRDefault="00E2764F" w:rsidP="00755613">
          <w:pPr>
            <w:jc w:val="both"/>
            <w:rPr>
              <w:rFonts w:cstheme="minorHAnsi"/>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rFonts w:cstheme="minorHAnsi"/>
              <w:b/>
              <w:bCs/>
              <w:sz w:val="24"/>
              <w:szCs w:val="24"/>
            </w:rPr>
            <w:t>agrees</w:t>
          </w:r>
          <w:r w:rsidR="00B14F20" w:rsidRPr="000E08DB">
            <w:rPr>
              <w:rFonts w:cstheme="minorHAnsi"/>
              <w:sz w:val="24"/>
              <w:szCs w:val="24"/>
            </w:rPr>
            <w:t xml:space="preserve"> with this </w:t>
          </w:r>
          <w:r w:rsidR="00A11A0F" w:rsidRPr="000E08DB">
            <w:rPr>
              <w:rFonts w:cstheme="minorHAnsi"/>
              <w:sz w:val="24"/>
              <w:szCs w:val="24"/>
            </w:rPr>
            <w:t>r</w:t>
          </w:r>
          <w:r w:rsidR="00B14F20" w:rsidRPr="000E08DB">
            <w:rPr>
              <w:rFonts w:cstheme="minorHAnsi"/>
              <w:sz w:val="24"/>
              <w:szCs w:val="24"/>
            </w:rPr>
            <w:t>ecommendation.</w:t>
          </w:r>
        </w:p>
        <w:p w14:paraId="3D00D2CA" w14:textId="2AE7330B" w:rsidR="007527F9" w:rsidRPr="000E08DB" w:rsidRDefault="007527F9" w:rsidP="00755613">
          <w:pPr>
            <w:jc w:val="both"/>
            <w:rPr>
              <w:rStyle w:val="normaltextrun"/>
              <w:sz w:val="24"/>
              <w:szCs w:val="24"/>
            </w:rPr>
          </w:pPr>
          <w:r w:rsidRPr="000E08DB">
            <w:rPr>
              <w:rStyle w:val="normaltextrun"/>
              <w:sz w:val="24"/>
              <w:szCs w:val="24"/>
            </w:rPr>
            <w:lastRenderedPageBreak/>
            <w:t>Improving providers’ access to education agent performance data will assist providers in choosing quality education agents to support their student recruitment activities.</w:t>
          </w:r>
        </w:p>
        <w:p w14:paraId="419DB6F4" w14:textId="0F9E4E6E" w:rsidR="00E10140" w:rsidRPr="000E08DB" w:rsidRDefault="00E10140" w:rsidP="00E10140">
          <w:pPr>
            <w:jc w:val="both"/>
            <w:rPr>
              <w:rFonts w:cstheme="minorHAnsi"/>
              <w:sz w:val="24"/>
              <w:szCs w:val="24"/>
            </w:rPr>
          </w:pPr>
          <w:r w:rsidRPr="000E08DB">
            <w:rPr>
              <w:rFonts w:cstheme="minorHAnsi"/>
              <w:sz w:val="24"/>
              <w:szCs w:val="24"/>
            </w:rPr>
            <w:t>The Department of Education has already made enhancements to PRISMS that align with this recommendation. In July 2024, the Department of Education expanded functions in</w:t>
          </w:r>
          <w:r w:rsidR="00D56B1A">
            <w:rPr>
              <w:rFonts w:cstheme="minorHAnsi"/>
              <w:sz w:val="24"/>
              <w:szCs w:val="24"/>
            </w:rPr>
            <w:t xml:space="preserve"> PRISMS</w:t>
          </w:r>
          <w:r w:rsidRPr="000E08DB">
            <w:rPr>
              <w:rFonts w:cstheme="minorHAnsi"/>
              <w:sz w:val="24"/>
              <w:szCs w:val="24"/>
            </w:rPr>
            <w:t xml:space="preserve">, allowing education providers to search for any education agent and view information related to the education agent, including the other education providers they work with as well as the incompletion rates and visa refusal rates associated with that education agent. </w:t>
          </w:r>
        </w:p>
        <w:p w14:paraId="0EA7F83E" w14:textId="3E1D7CCE" w:rsidR="00155B80" w:rsidRPr="000E08DB" w:rsidRDefault="00150D12" w:rsidP="00261F2B">
          <w:pPr>
            <w:jc w:val="both"/>
            <w:rPr>
              <w:rStyle w:val="normaltextrun"/>
              <w:color w:val="FF0000"/>
              <w:sz w:val="24"/>
              <w:szCs w:val="24"/>
            </w:rPr>
          </w:pPr>
          <w:r w:rsidRPr="000E08DB">
            <w:rPr>
              <w:rStyle w:val="normaltextrun"/>
              <w:sz w:val="24"/>
              <w:szCs w:val="24"/>
            </w:rPr>
            <w:t xml:space="preserve">As noted in the response to Recommendations 13 and 23, </w:t>
          </w:r>
          <w:r w:rsidRPr="000E08DB">
            <w:rPr>
              <w:sz w:val="24"/>
              <w:szCs w:val="24"/>
            </w:rPr>
            <w:t xml:space="preserve">measures under the </w:t>
          </w:r>
          <w:r w:rsidR="006308BD" w:rsidRPr="000E08DB">
            <w:rPr>
              <w:sz w:val="24"/>
              <w:szCs w:val="24"/>
            </w:rPr>
            <w:t>ELA</w:t>
          </w:r>
          <w:r w:rsidRPr="000E08DB">
            <w:rPr>
              <w:sz w:val="24"/>
              <w:szCs w:val="24"/>
            </w:rPr>
            <w:t xml:space="preserve"> </w:t>
          </w:r>
          <w:r w:rsidR="007354EB" w:rsidRPr="000E08DB">
            <w:rPr>
              <w:sz w:val="24"/>
              <w:szCs w:val="24"/>
            </w:rPr>
            <w:t>Act</w:t>
          </w:r>
          <w:r w:rsidRPr="000E08DB">
            <w:rPr>
              <w:sz w:val="24"/>
              <w:szCs w:val="24"/>
            </w:rPr>
            <w:t xml:space="preserve"> </w:t>
          </w:r>
          <w:r w:rsidRPr="000E08DB">
            <w:rPr>
              <w:rStyle w:val="normaltextrun"/>
              <w:sz w:val="24"/>
              <w:szCs w:val="24"/>
            </w:rPr>
            <w:t xml:space="preserve">give providers greater access to the performance data of all education agents, not just those agents with </w:t>
          </w:r>
          <w:r w:rsidR="00BC7E71" w:rsidRPr="000E08DB">
            <w:rPr>
              <w:rStyle w:val="normaltextrun"/>
              <w:sz w:val="24"/>
              <w:szCs w:val="24"/>
            </w:rPr>
            <w:t>whom</w:t>
          </w:r>
          <w:r w:rsidRPr="000E08DB">
            <w:rPr>
              <w:rStyle w:val="normaltextrun"/>
              <w:sz w:val="24"/>
              <w:szCs w:val="24"/>
            </w:rPr>
            <w:t xml:space="preserve"> they have agreements. </w:t>
          </w:r>
          <w:r w:rsidR="00D77D02" w:rsidRPr="000E08DB">
            <w:rPr>
              <w:rStyle w:val="normaltextrun"/>
              <w:color w:val="000000" w:themeColor="text1"/>
              <w:sz w:val="24"/>
              <w:szCs w:val="24"/>
            </w:rPr>
            <w:t>Improving providers’ access to education agent performance data will assist providers in choosing quality education agents to support their student recruitment activities.</w:t>
          </w:r>
        </w:p>
        <w:p w14:paraId="15E8E261" w14:textId="77777777" w:rsidR="00DE56DC" w:rsidRPr="000E08DB" w:rsidRDefault="00DE56DC" w:rsidP="00755613">
          <w:pPr>
            <w:jc w:val="both"/>
            <w:rPr>
              <w:rFonts w:cstheme="minorHAnsi"/>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1373E29C" w14:textId="77777777">
            <w:tc>
              <w:tcPr>
                <w:tcW w:w="9016" w:type="dxa"/>
                <w:shd w:val="clear" w:color="auto" w:fill="E7E6E6" w:themeFill="background2"/>
              </w:tcPr>
              <w:p w14:paraId="5544D731" w14:textId="0A3BFE94" w:rsidR="00B14F20" w:rsidRPr="000E08DB" w:rsidRDefault="00B14F20" w:rsidP="00755613">
                <w:pPr>
                  <w:pStyle w:val="Heading2"/>
                  <w:jc w:val="both"/>
                  <w:rPr>
                    <w:rFonts w:asciiTheme="minorHAnsi" w:hAnsiTheme="minorHAnsi" w:cstheme="minorBidi"/>
                    <w:sz w:val="24"/>
                    <w:szCs w:val="24"/>
                  </w:rPr>
                </w:pPr>
                <w:bookmarkStart w:id="33" w:name="_Toc207627816"/>
                <w:r w:rsidRPr="000E08DB">
                  <w:rPr>
                    <w:rFonts w:asciiTheme="minorHAnsi" w:hAnsiTheme="minorHAnsi" w:cstheme="minorBidi"/>
                    <w:sz w:val="24"/>
                    <w:szCs w:val="24"/>
                  </w:rPr>
                  <w:t>Recommendation 27</w:t>
                </w:r>
                <w:bookmarkEnd w:id="33"/>
              </w:p>
              <w:p w14:paraId="4D00467F"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in implementing the decision to ban the payment of commissions by providers to education agents, migration agents or equivalent entities for all onshore international student transfers, the Government ensure this captures ‘marketing’ or equivalent payments to related entities and persons however they are characterised.</w:t>
                </w:r>
              </w:p>
              <w:p w14:paraId="1E9D4BDB" w14:textId="77777777" w:rsidR="00B14F20" w:rsidRPr="000E08DB" w:rsidRDefault="00B14F20" w:rsidP="00755613">
                <w:pPr>
                  <w:jc w:val="both"/>
                  <w:rPr>
                    <w:rFonts w:cstheme="minorHAnsi"/>
                    <w:sz w:val="24"/>
                    <w:szCs w:val="24"/>
                  </w:rPr>
                </w:pPr>
              </w:p>
            </w:tc>
          </w:tr>
        </w:tbl>
        <w:p w14:paraId="5FC92A2D" w14:textId="77777777" w:rsidR="00B14F20" w:rsidRPr="000E08DB" w:rsidRDefault="00B14F20" w:rsidP="00755613">
          <w:pPr>
            <w:jc w:val="both"/>
            <w:rPr>
              <w:rFonts w:cstheme="minorHAnsi"/>
              <w:sz w:val="24"/>
              <w:szCs w:val="24"/>
            </w:rPr>
          </w:pPr>
        </w:p>
        <w:p w14:paraId="6D817E0B" w14:textId="77777777" w:rsidR="00E01A35"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B14F20" w:rsidRPr="000E08DB">
            <w:rPr>
              <w:b/>
              <w:sz w:val="24"/>
              <w:szCs w:val="24"/>
            </w:rPr>
            <w:t>agrees</w:t>
          </w:r>
          <w:r w:rsidR="00B14F20" w:rsidRPr="000E08DB">
            <w:rPr>
              <w:sz w:val="24"/>
              <w:szCs w:val="24"/>
            </w:rPr>
            <w:t xml:space="preserve"> with this </w:t>
          </w:r>
          <w:r w:rsidR="00A11A0F" w:rsidRPr="000E08DB">
            <w:rPr>
              <w:sz w:val="24"/>
              <w:szCs w:val="24"/>
            </w:rPr>
            <w:t>r</w:t>
          </w:r>
          <w:r w:rsidR="00B14F20" w:rsidRPr="000E08DB">
            <w:rPr>
              <w:sz w:val="24"/>
              <w:szCs w:val="24"/>
            </w:rPr>
            <w:t>ecommendation.</w:t>
          </w:r>
        </w:p>
        <w:p w14:paraId="4CF08B6E" w14:textId="01CB7C64" w:rsidR="00AE2198" w:rsidRPr="000E08DB" w:rsidRDefault="00E01A35" w:rsidP="00755613">
          <w:pPr>
            <w:jc w:val="both"/>
            <w:rPr>
              <w:rFonts w:cstheme="minorHAnsi"/>
              <w:sz w:val="24"/>
              <w:szCs w:val="24"/>
            </w:rPr>
          </w:pPr>
          <w:r w:rsidRPr="000E08DB">
            <w:rPr>
              <w:sz w:val="24"/>
              <w:szCs w:val="24"/>
            </w:rPr>
            <w:t xml:space="preserve">As </w:t>
          </w:r>
          <w:r w:rsidR="00F63913" w:rsidRPr="000E08DB">
            <w:rPr>
              <w:sz w:val="24"/>
              <w:szCs w:val="24"/>
            </w:rPr>
            <w:t>noted</w:t>
          </w:r>
          <w:r w:rsidRPr="000E08DB">
            <w:rPr>
              <w:sz w:val="24"/>
              <w:szCs w:val="24"/>
            </w:rPr>
            <w:t xml:space="preserve"> in recommendation 21, </w:t>
          </w:r>
          <w:r w:rsidR="001C3B07" w:rsidRPr="000E08DB">
            <w:rPr>
              <w:sz w:val="24"/>
              <w:szCs w:val="24"/>
            </w:rPr>
            <w:t>the Government is committed to implementing the</w:t>
          </w:r>
          <w:r w:rsidR="007164A8" w:rsidRPr="000E08DB">
            <w:rPr>
              <w:sz w:val="24"/>
              <w:szCs w:val="24"/>
            </w:rPr>
            <w:t xml:space="preserve"> </w:t>
          </w:r>
          <w:r w:rsidR="007164A8" w:rsidRPr="000E08DB">
            <w:rPr>
              <w:rStyle w:val="normaltextrun"/>
              <w:sz w:val="24"/>
              <w:szCs w:val="24"/>
            </w:rPr>
            <w:t>ban on agent commissions for onshore transfers</w:t>
          </w:r>
          <w:r w:rsidR="001C3B07" w:rsidRPr="000E08DB">
            <w:rPr>
              <w:sz w:val="24"/>
              <w:szCs w:val="24"/>
            </w:rPr>
            <w:t xml:space="preserve"> </w:t>
          </w:r>
          <w:r w:rsidR="00F53CCC" w:rsidRPr="000E08DB">
            <w:rPr>
              <w:sz w:val="24"/>
              <w:szCs w:val="24"/>
            </w:rPr>
            <w:t xml:space="preserve">and will ensure that </w:t>
          </w:r>
          <w:r w:rsidR="00557D07" w:rsidRPr="000E08DB">
            <w:rPr>
              <w:sz w:val="24"/>
              <w:szCs w:val="24"/>
            </w:rPr>
            <w:t>all relevant persons, entities and payment types are captured</w:t>
          </w:r>
          <w:r w:rsidR="00844795" w:rsidRPr="000E08DB">
            <w:rPr>
              <w:sz w:val="24"/>
              <w:szCs w:val="24"/>
            </w:rPr>
            <w:t xml:space="preserve"> </w:t>
          </w:r>
          <w:r w:rsidR="00A77321" w:rsidRPr="000E08DB">
            <w:rPr>
              <w:sz w:val="24"/>
              <w:szCs w:val="24"/>
            </w:rPr>
            <w:t xml:space="preserve">by the change. </w:t>
          </w:r>
        </w:p>
        <w:p w14:paraId="474E3437" w14:textId="13DFE976" w:rsidR="009D64EE" w:rsidRPr="000E08DB" w:rsidRDefault="005865C6" w:rsidP="009D64EE">
          <w:pPr>
            <w:jc w:val="both"/>
            <w:rPr>
              <w:rFonts w:cstheme="minorHAnsi"/>
              <w:sz w:val="24"/>
              <w:szCs w:val="24"/>
            </w:rPr>
          </w:pPr>
          <w:r w:rsidRPr="000E08DB">
            <w:rPr>
              <w:sz w:val="24"/>
              <w:szCs w:val="24"/>
            </w:rPr>
            <w:t>T</w:t>
          </w:r>
          <w:r w:rsidR="002020C0" w:rsidRPr="000E08DB">
            <w:rPr>
              <w:sz w:val="24"/>
              <w:szCs w:val="24"/>
            </w:rPr>
            <w:t xml:space="preserve">he </w:t>
          </w:r>
          <w:r w:rsidR="006308BD" w:rsidRPr="000E08DB">
            <w:rPr>
              <w:sz w:val="24"/>
              <w:szCs w:val="24"/>
            </w:rPr>
            <w:t xml:space="preserve">ELA </w:t>
          </w:r>
          <w:r w:rsidR="007354EB" w:rsidRPr="000E08DB">
            <w:rPr>
              <w:sz w:val="24"/>
              <w:szCs w:val="24"/>
            </w:rPr>
            <w:t>Act</w:t>
          </w:r>
          <w:r w:rsidR="002020C0" w:rsidRPr="000E08DB">
            <w:rPr>
              <w:sz w:val="24"/>
              <w:szCs w:val="24"/>
            </w:rPr>
            <w:t xml:space="preserve"> i</w:t>
          </w:r>
          <w:r w:rsidRPr="000E08DB">
            <w:rPr>
              <w:sz w:val="24"/>
              <w:szCs w:val="24"/>
            </w:rPr>
            <w:t>ncludes</w:t>
          </w:r>
          <w:r w:rsidR="002020C0" w:rsidRPr="000E08DB">
            <w:rPr>
              <w:sz w:val="24"/>
              <w:szCs w:val="24"/>
            </w:rPr>
            <w:t xml:space="preserve"> a </w:t>
          </w:r>
          <w:r w:rsidR="0056513F" w:rsidRPr="000E08DB">
            <w:rPr>
              <w:rFonts w:cstheme="minorHAnsi"/>
              <w:sz w:val="24"/>
              <w:szCs w:val="24"/>
            </w:rPr>
            <w:t>new definition of ‘education agent’ in the</w:t>
          </w:r>
          <w:r w:rsidR="001563E5">
            <w:rPr>
              <w:rFonts w:cstheme="minorHAnsi"/>
              <w:sz w:val="24"/>
              <w:szCs w:val="24"/>
            </w:rPr>
            <w:t xml:space="preserve"> ESOS Act </w:t>
          </w:r>
          <w:r w:rsidR="0056513F" w:rsidRPr="000E08DB">
            <w:rPr>
              <w:rFonts w:cstheme="minorHAnsi"/>
              <w:sz w:val="24"/>
              <w:szCs w:val="24"/>
            </w:rPr>
            <w:t>a</w:t>
          </w:r>
          <w:r w:rsidRPr="000E08DB">
            <w:rPr>
              <w:rFonts w:cstheme="minorHAnsi"/>
              <w:sz w:val="24"/>
              <w:szCs w:val="24"/>
            </w:rPr>
            <w:t>s well as</w:t>
          </w:r>
          <w:r w:rsidR="0056513F" w:rsidRPr="000E08DB">
            <w:rPr>
              <w:rFonts w:cstheme="minorHAnsi"/>
              <w:sz w:val="24"/>
              <w:szCs w:val="24"/>
            </w:rPr>
            <w:t xml:space="preserve"> complementary changes to the </w:t>
          </w:r>
          <w:r w:rsidR="0056513F" w:rsidRPr="000E08DB">
            <w:rPr>
              <w:rFonts w:cstheme="minorHAnsi"/>
              <w:i/>
              <w:iCs/>
              <w:sz w:val="24"/>
              <w:szCs w:val="24"/>
            </w:rPr>
            <w:t>Education Services for Overseas Students Regulations 201</w:t>
          </w:r>
          <w:r w:rsidR="00E50759" w:rsidRPr="000E08DB">
            <w:rPr>
              <w:rFonts w:cstheme="minorHAnsi"/>
              <w:i/>
              <w:iCs/>
              <w:sz w:val="24"/>
              <w:szCs w:val="24"/>
            </w:rPr>
            <w:t>9</w:t>
          </w:r>
          <w:r w:rsidRPr="000E08DB">
            <w:rPr>
              <w:rFonts w:cstheme="minorHAnsi"/>
              <w:i/>
              <w:iCs/>
              <w:sz w:val="24"/>
              <w:szCs w:val="24"/>
            </w:rPr>
            <w:t xml:space="preserve">. </w:t>
          </w:r>
          <w:r w:rsidRPr="000E08DB">
            <w:rPr>
              <w:rFonts w:cstheme="minorHAnsi"/>
              <w:sz w:val="24"/>
              <w:szCs w:val="24"/>
            </w:rPr>
            <w:t>These</w:t>
          </w:r>
          <w:r w:rsidR="0056513F" w:rsidRPr="000E08DB">
            <w:rPr>
              <w:rFonts w:cstheme="minorHAnsi"/>
              <w:sz w:val="24"/>
              <w:szCs w:val="24"/>
            </w:rPr>
            <w:t xml:space="preserve"> provide an activity-based approach to persons or entities considered to be education agents, in order to capture persons or entities who may not have formal agreements or relationships to providers. </w:t>
          </w:r>
        </w:p>
        <w:p w14:paraId="1E360B7C" w14:textId="46ED546F" w:rsidR="009D64EE" w:rsidRPr="000E08DB" w:rsidRDefault="009D64EE" w:rsidP="009D64EE">
          <w:pPr>
            <w:jc w:val="both"/>
            <w:rPr>
              <w:sz w:val="24"/>
              <w:szCs w:val="24"/>
            </w:rPr>
          </w:pPr>
          <w:r w:rsidRPr="000E08DB">
            <w:rPr>
              <w:sz w:val="24"/>
              <w:szCs w:val="24"/>
            </w:rPr>
            <w:t xml:space="preserve">Similarly, the new definition of ‘education agent commission’ includes both monetary and non-monetary considerations or benefits given by a provider to an education agent or associate in connection with the recruitment of overseas students or any other activity involved in being an education agent under the new definition. </w:t>
          </w:r>
        </w:p>
        <w:p w14:paraId="53F43890" w14:textId="2EF93790" w:rsidR="009D64EE" w:rsidRPr="000E08DB" w:rsidRDefault="009D64EE" w:rsidP="00197ABD">
          <w:pPr>
            <w:jc w:val="both"/>
            <w:rPr>
              <w:rFonts w:cstheme="minorHAnsi"/>
              <w:sz w:val="24"/>
              <w:szCs w:val="24"/>
            </w:rPr>
          </w:pPr>
          <w:r w:rsidRPr="000E08DB">
            <w:rPr>
              <w:sz w:val="24"/>
              <w:szCs w:val="24"/>
            </w:rPr>
            <w:t>These changes ensure that, in implementing the banning of agent commission payments for onshore transfers, all relevant persons, entities and payments are captured.</w:t>
          </w:r>
        </w:p>
        <w:p w14:paraId="6ADBC426" w14:textId="77777777" w:rsidR="00F035DA" w:rsidRPr="000E08DB" w:rsidRDefault="00F035DA" w:rsidP="00755613">
          <w:pPr>
            <w:jc w:val="both"/>
            <w:rPr>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047B470B" w14:textId="77777777">
            <w:tc>
              <w:tcPr>
                <w:tcW w:w="9016" w:type="dxa"/>
                <w:shd w:val="clear" w:color="auto" w:fill="E7E6E6" w:themeFill="background2"/>
              </w:tcPr>
              <w:p w14:paraId="4F27BC24" w14:textId="22CDD9DA" w:rsidR="00B14F20" w:rsidRPr="000E08DB" w:rsidRDefault="00B14F20" w:rsidP="00755613">
                <w:pPr>
                  <w:pStyle w:val="Heading2"/>
                  <w:jc w:val="both"/>
                  <w:rPr>
                    <w:rFonts w:asciiTheme="minorHAnsi" w:hAnsiTheme="minorHAnsi" w:cstheme="minorBidi"/>
                    <w:sz w:val="24"/>
                    <w:szCs w:val="24"/>
                  </w:rPr>
                </w:pPr>
                <w:bookmarkStart w:id="34" w:name="_Toc207627817"/>
                <w:r w:rsidRPr="000E08DB">
                  <w:rPr>
                    <w:rFonts w:asciiTheme="minorHAnsi" w:hAnsiTheme="minorHAnsi" w:cstheme="minorBidi"/>
                    <w:sz w:val="24"/>
                    <w:szCs w:val="24"/>
                  </w:rPr>
                  <w:lastRenderedPageBreak/>
                  <w:t>Recommendation 28</w:t>
                </w:r>
                <w:bookmarkEnd w:id="34"/>
              </w:p>
              <w:p w14:paraId="4269A1C5" w14:textId="77777777" w:rsidR="00B14F20" w:rsidRPr="000E08DB" w:rsidRDefault="00B14F20" w:rsidP="00755613">
                <w:pPr>
                  <w:jc w:val="both"/>
                  <w:rPr>
                    <w:rFonts w:cstheme="minorHAnsi"/>
                    <w:sz w:val="24"/>
                    <w:szCs w:val="24"/>
                  </w:rPr>
                </w:pPr>
                <w:r w:rsidRPr="000E08DB">
                  <w:rPr>
                    <w:rFonts w:cstheme="minorHAnsi"/>
                    <w:sz w:val="24"/>
                    <w:szCs w:val="24"/>
                  </w:rPr>
                  <w:t>The Committee recommends the Government accept that regulation of education agents is essential and long overdue, and that a model must be determined and implemented. Government should consider the most effective way of ensuring scrutiny of education agents given their key role in providing temporary migration advice and dealing with often vulnerable consumers. Any model will need to ensure compliance with a single Code of Ethical Practice for Education Agents setting expected standards for all education agents who work with Australian education providers. Any scheme should be industry funded through cost recovery mechanisms and have adequate resourcing for compliance and enforcement.</w:t>
                </w:r>
              </w:p>
              <w:p w14:paraId="696FE399" w14:textId="77777777" w:rsidR="00B14F20" w:rsidRPr="000E08DB" w:rsidRDefault="00B14F20" w:rsidP="00755613">
                <w:pPr>
                  <w:jc w:val="both"/>
                  <w:rPr>
                    <w:rFonts w:cstheme="minorHAnsi"/>
                    <w:sz w:val="24"/>
                    <w:szCs w:val="24"/>
                  </w:rPr>
                </w:pPr>
              </w:p>
            </w:tc>
          </w:tr>
        </w:tbl>
        <w:p w14:paraId="0861180A" w14:textId="77777777" w:rsidR="00B14F20" w:rsidRPr="000E08DB" w:rsidRDefault="00B14F20" w:rsidP="00755613">
          <w:pPr>
            <w:jc w:val="both"/>
            <w:rPr>
              <w:rFonts w:cstheme="minorHAnsi"/>
              <w:sz w:val="24"/>
              <w:szCs w:val="24"/>
            </w:rPr>
          </w:pPr>
        </w:p>
        <w:p w14:paraId="0FE3DD1A" w14:textId="391C3DEB" w:rsidR="00B14F20" w:rsidRPr="000E08DB" w:rsidRDefault="00E2764F" w:rsidP="00755613">
          <w:pPr>
            <w:jc w:val="both"/>
            <w:rPr>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C73EAE" w:rsidRPr="000E08DB">
            <w:rPr>
              <w:b/>
              <w:sz w:val="24"/>
              <w:szCs w:val="24"/>
            </w:rPr>
            <w:t>agrees in-principle</w:t>
          </w:r>
          <w:r w:rsidR="00C73EAE" w:rsidRPr="000E08DB">
            <w:rPr>
              <w:sz w:val="24"/>
              <w:szCs w:val="24"/>
            </w:rPr>
            <w:t xml:space="preserve"> </w:t>
          </w:r>
          <w:r w:rsidR="00B14F20" w:rsidRPr="000E08DB">
            <w:rPr>
              <w:sz w:val="24"/>
              <w:szCs w:val="24"/>
            </w:rPr>
            <w:t xml:space="preserve">with this </w:t>
          </w:r>
          <w:r w:rsidR="00A11A0F" w:rsidRPr="000E08DB">
            <w:rPr>
              <w:sz w:val="24"/>
              <w:szCs w:val="24"/>
            </w:rPr>
            <w:t>r</w:t>
          </w:r>
          <w:r w:rsidR="00B14F20" w:rsidRPr="000E08DB">
            <w:rPr>
              <w:sz w:val="24"/>
              <w:szCs w:val="24"/>
            </w:rPr>
            <w:t>ecommendation.</w:t>
          </w:r>
        </w:p>
        <w:p w14:paraId="33A5DB07" w14:textId="40EA9EB9" w:rsidR="00B14F20" w:rsidRPr="000E08DB" w:rsidRDefault="00261F2B" w:rsidP="00755613">
          <w:pPr>
            <w:jc w:val="both"/>
            <w:rPr>
              <w:rStyle w:val="normaltextrun"/>
              <w:i/>
              <w:iCs/>
              <w:sz w:val="24"/>
              <w:szCs w:val="24"/>
            </w:rPr>
          </w:pPr>
          <w:r w:rsidRPr="000E08DB">
            <w:rPr>
              <w:rStyle w:val="normaltextrun"/>
              <w:sz w:val="24"/>
              <w:szCs w:val="24"/>
            </w:rPr>
            <w:t xml:space="preserve">The </w:t>
          </w:r>
          <w:r w:rsidR="00B14F20" w:rsidRPr="000E08DB">
            <w:rPr>
              <w:rStyle w:val="normaltextrun"/>
              <w:sz w:val="24"/>
              <w:szCs w:val="24"/>
            </w:rPr>
            <w:t>Government is currently undertaking work to bring effect to this recommendation in line with previous recommendations from the</w:t>
          </w:r>
          <w:r w:rsidR="00E3140B" w:rsidRPr="000E08DB">
            <w:rPr>
              <w:rStyle w:val="normaltextrun"/>
              <w:sz w:val="24"/>
              <w:szCs w:val="24"/>
            </w:rPr>
            <w:t xml:space="preserve"> Nixon </w:t>
          </w:r>
          <w:r w:rsidR="00AC2B0E" w:rsidRPr="000E08DB">
            <w:rPr>
              <w:rStyle w:val="normaltextrun"/>
              <w:sz w:val="24"/>
              <w:szCs w:val="24"/>
            </w:rPr>
            <w:t>R</w:t>
          </w:r>
          <w:r w:rsidR="00E3140B" w:rsidRPr="000E08DB">
            <w:rPr>
              <w:rStyle w:val="normaltextrun"/>
              <w:sz w:val="24"/>
              <w:szCs w:val="24"/>
            </w:rPr>
            <w:t>eview</w:t>
          </w:r>
          <w:r w:rsidR="00B14F20" w:rsidRPr="000E08DB">
            <w:rPr>
              <w:rStyle w:val="normaltextrun"/>
              <w:sz w:val="24"/>
              <w:szCs w:val="24"/>
            </w:rPr>
            <w:t xml:space="preserve"> and the</w:t>
          </w:r>
          <w:r w:rsidR="00B14F20" w:rsidRPr="000E08DB">
            <w:rPr>
              <w:rStyle w:val="normaltextrun"/>
              <w:i/>
              <w:iCs/>
              <w:sz w:val="24"/>
              <w:szCs w:val="24"/>
            </w:rPr>
            <w:t xml:space="preserve"> </w:t>
          </w:r>
          <w:r w:rsidR="00B14F20" w:rsidRPr="000E08DB">
            <w:rPr>
              <w:rStyle w:val="normaltextrun"/>
              <w:sz w:val="24"/>
              <w:szCs w:val="24"/>
            </w:rPr>
            <w:t>Migration Strategy</w:t>
          </w:r>
          <w:r w:rsidR="00F44F1B">
            <w:rPr>
              <w:rStyle w:val="normaltextrun"/>
              <w:sz w:val="24"/>
              <w:szCs w:val="24"/>
            </w:rPr>
            <w:t>,</w:t>
          </w:r>
          <w:r w:rsidR="00C64504" w:rsidRPr="000E08DB">
            <w:rPr>
              <w:rStyle w:val="normaltextrun"/>
              <w:i/>
              <w:iCs/>
              <w:sz w:val="24"/>
              <w:szCs w:val="24"/>
            </w:rPr>
            <w:t xml:space="preserve"> </w:t>
          </w:r>
          <w:r w:rsidR="00C64504" w:rsidRPr="000E08DB">
            <w:rPr>
              <w:rStyle w:val="normaltextrun"/>
              <w:sz w:val="24"/>
              <w:szCs w:val="24"/>
            </w:rPr>
            <w:t xml:space="preserve">and may consider further measures should this </w:t>
          </w:r>
          <w:r w:rsidR="00BB358C" w:rsidRPr="000E08DB">
            <w:rPr>
              <w:rStyle w:val="normaltextrun"/>
              <w:sz w:val="24"/>
              <w:szCs w:val="24"/>
            </w:rPr>
            <w:t>be required</w:t>
          </w:r>
          <w:r w:rsidR="00B14F20" w:rsidRPr="000E08DB">
            <w:rPr>
              <w:rStyle w:val="normaltextrun"/>
              <w:i/>
              <w:iCs/>
              <w:sz w:val="24"/>
              <w:szCs w:val="24"/>
            </w:rPr>
            <w:t>.</w:t>
          </w:r>
        </w:p>
        <w:p w14:paraId="7CD0784D" w14:textId="5CC85637" w:rsidR="00B14F20" w:rsidRPr="000E08DB" w:rsidRDefault="00261F2B" w:rsidP="00755613">
          <w:pPr>
            <w:jc w:val="both"/>
            <w:rPr>
              <w:rStyle w:val="normaltextrun"/>
              <w:sz w:val="24"/>
              <w:szCs w:val="24"/>
            </w:rPr>
          </w:pPr>
          <w:r w:rsidRPr="000E08DB">
            <w:rPr>
              <w:rStyle w:val="normaltextrun"/>
              <w:sz w:val="24"/>
              <w:szCs w:val="24"/>
            </w:rPr>
            <w:t xml:space="preserve">The </w:t>
          </w:r>
          <w:r w:rsidR="00B14F20" w:rsidRPr="000E08DB">
            <w:rPr>
              <w:rStyle w:val="normaltextrun"/>
              <w:sz w:val="24"/>
              <w:szCs w:val="24"/>
            </w:rPr>
            <w:t xml:space="preserve">Government recognises the importance of ensuring Australian immigration advice is provided by lawful providers of immigration assistance. </w:t>
          </w:r>
        </w:p>
        <w:p w14:paraId="64A41D3A" w14:textId="77777777" w:rsidR="00B14F20" w:rsidRPr="000E08DB" w:rsidRDefault="00B14F20" w:rsidP="00755613">
          <w:pPr>
            <w:jc w:val="both"/>
            <w:rPr>
              <w:color w:val="000000" w:themeColor="text1"/>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B14F20" w:rsidRPr="000E08DB" w14:paraId="36091A5C" w14:textId="77777777">
            <w:tc>
              <w:tcPr>
                <w:tcW w:w="9016" w:type="dxa"/>
                <w:shd w:val="clear" w:color="auto" w:fill="E7E6E6" w:themeFill="background2"/>
              </w:tcPr>
              <w:p w14:paraId="070232A2" w14:textId="154C3A65" w:rsidR="00B14F20" w:rsidRPr="000E08DB" w:rsidRDefault="00B14F20" w:rsidP="00755613">
                <w:pPr>
                  <w:pStyle w:val="Heading2"/>
                  <w:jc w:val="both"/>
                  <w:rPr>
                    <w:rFonts w:asciiTheme="minorHAnsi" w:hAnsiTheme="minorHAnsi" w:cstheme="minorBidi"/>
                    <w:sz w:val="24"/>
                    <w:szCs w:val="24"/>
                  </w:rPr>
                </w:pPr>
                <w:bookmarkStart w:id="35" w:name="_Toc207627818"/>
                <w:r w:rsidRPr="000E08DB">
                  <w:rPr>
                    <w:rFonts w:asciiTheme="minorHAnsi" w:hAnsiTheme="minorHAnsi" w:cstheme="minorBidi"/>
                    <w:sz w:val="24"/>
                    <w:szCs w:val="24"/>
                  </w:rPr>
                  <w:t>Recommendation 29</w:t>
                </w:r>
                <w:bookmarkEnd w:id="35"/>
              </w:p>
              <w:p w14:paraId="7A5D2E4A" w14:textId="77777777" w:rsidR="00B14F20" w:rsidRPr="000E08DB" w:rsidRDefault="00B14F20" w:rsidP="00755613">
                <w:pPr>
                  <w:jc w:val="both"/>
                  <w:rPr>
                    <w:sz w:val="24"/>
                    <w:szCs w:val="24"/>
                  </w:rPr>
                </w:pPr>
                <w:r w:rsidRPr="000E08DB">
                  <w:rPr>
                    <w:sz w:val="24"/>
                    <w:szCs w:val="24"/>
                  </w:rPr>
                  <w:t xml:space="preserve">The Committee recommends the Department of </w:t>
                </w:r>
                <w:bookmarkStart w:id="36" w:name="_Int_ixHWxkhF"/>
                <w:r w:rsidRPr="000E08DB">
                  <w:rPr>
                    <w:sz w:val="24"/>
                    <w:szCs w:val="24"/>
                  </w:rPr>
                  <w:t>Education</w:t>
                </w:r>
                <w:bookmarkEnd w:id="36"/>
                <w:r w:rsidRPr="000E08DB">
                  <w:rPr>
                    <w:sz w:val="24"/>
                    <w:szCs w:val="24"/>
                  </w:rPr>
                  <w:t xml:space="preserve"> and the Department of Employment and Workplace Relations are each empowered to take a lead approach as policy owners for International Education with respect to their relevant policy portfolios. The Minister for Education and the Minister for Skills and Training, and relevant departments, should ensure the ongoing coordination of policy development and implementation. The Departments should also ensure that appropriate and holistic measures are included in their annual performance statements.</w:t>
                </w:r>
              </w:p>
              <w:p w14:paraId="63C5CAFC" w14:textId="77777777" w:rsidR="00B14F20" w:rsidRPr="000E08DB" w:rsidRDefault="00B14F20" w:rsidP="00755613">
                <w:pPr>
                  <w:jc w:val="both"/>
                  <w:rPr>
                    <w:rFonts w:cstheme="minorHAnsi"/>
                    <w:sz w:val="24"/>
                    <w:szCs w:val="24"/>
                  </w:rPr>
                </w:pPr>
              </w:p>
            </w:tc>
          </w:tr>
        </w:tbl>
        <w:p w14:paraId="16451C15" w14:textId="77777777" w:rsidR="00B14F20" w:rsidRPr="000E08DB" w:rsidRDefault="00B14F20" w:rsidP="00755613">
          <w:pPr>
            <w:jc w:val="both"/>
            <w:rPr>
              <w:rFonts w:cstheme="minorHAnsi"/>
              <w:sz w:val="24"/>
              <w:szCs w:val="24"/>
            </w:rPr>
          </w:pPr>
        </w:p>
        <w:p w14:paraId="7453113D" w14:textId="6D693702" w:rsidR="00B14F20" w:rsidRPr="000E08DB" w:rsidRDefault="00E2764F" w:rsidP="00755613">
          <w:pPr>
            <w:jc w:val="both"/>
            <w:rPr>
              <w:rFonts w:cstheme="minorHAnsi"/>
              <w:sz w:val="24"/>
              <w:szCs w:val="24"/>
            </w:rPr>
          </w:pPr>
          <w:r w:rsidRPr="000E08DB">
            <w:rPr>
              <w:rFonts w:ascii="Calibri" w:eastAsia="Calibri" w:hAnsi="Calibri" w:cs="Calibri"/>
              <w:sz w:val="24"/>
              <w:szCs w:val="24"/>
            </w:rPr>
            <w:t>The Australian Government</w:t>
          </w:r>
          <w:r w:rsidRPr="000E08DB">
            <w:rPr>
              <w:rFonts w:ascii="Calibri" w:eastAsia="Calibri" w:hAnsi="Calibri" w:cs="Calibri"/>
            </w:rPr>
            <w:t xml:space="preserve"> </w:t>
          </w:r>
          <w:r w:rsidR="00C73EAE" w:rsidRPr="000E08DB">
            <w:rPr>
              <w:b/>
              <w:sz w:val="24"/>
              <w:szCs w:val="24"/>
            </w:rPr>
            <w:t xml:space="preserve">agrees </w:t>
          </w:r>
          <w:r w:rsidR="00DE56DC" w:rsidRPr="000E08DB">
            <w:rPr>
              <w:bCs/>
              <w:sz w:val="24"/>
              <w:szCs w:val="24"/>
            </w:rPr>
            <w:t>with</w:t>
          </w:r>
          <w:r w:rsidR="00B14F20" w:rsidRPr="000E08DB">
            <w:rPr>
              <w:sz w:val="24"/>
              <w:szCs w:val="24"/>
            </w:rPr>
            <w:t xml:space="preserve"> this </w:t>
          </w:r>
          <w:r w:rsidR="00A11A0F" w:rsidRPr="000E08DB">
            <w:rPr>
              <w:sz w:val="24"/>
              <w:szCs w:val="24"/>
            </w:rPr>
            <w:t>r</w:t>
          </w:r>
          <w:r w:rsidR="00B14F20" w:rsidRPr="000E08DB">
            <w:rPr>
              <w:sz w:val="24"/>
              <w:szCs w:val="24"/>
            </w:rPr>
            <w:t>ecommendation.</w:t>
          </w:r>
        </w:p>
        <w:p w14:paraId="31C95988" w14:textId="7E55C3B1" w:rsidR="00B14F20" w:rsidRPr="000E08DB" w:rsidRDefault="00B14F20" w:rsidP="00755613">
          <w:pPr>
            <w:jc w:val="both"/>
            <w:rPr>
              <w:sz w:val="24"/>
              <w:szCs w:val="24"/>
            </w:rPr>
          </w:pPr>
          <w:r w:rsidRPr="000E08DB">
            <w:rPr>
              <w:sz w:val="24"/>
              <w:szCs w:val="24"/>
            </w:rPr>
            <w:t>The Department of Education, the Department of Employment and Workplace Relations, and other relevant agencies continue to build strong working relationships to coordinate policy development and implementation with meetings at the working and executive level</w:t>
          </w:r>
          <w:r w:rsidR="005761C0" w:rsidRPr="000E08DB">
            <w:rPr>
              <w:sz w:val="24"/>
              <w:szCs w:val="24"/>
            </w:rPr>
            <w:t xml:space="preserve">. </w:t>
          </w:r>
          <w:r w:rsidRPr="000E08DB">
            <w:rPr>
              <w:sz w:val="24"/>
              <w:szCs w:val="24"/>
            </w:rPr>
            <w:t xml:space="preserve">The departments also work closely with the sector to ensure providers comply with the requirements of </w:t>
          </w:r>
          <w:r w:rsidR="00740495" w:rsidRPr="000E08DB">
            <w:rPr>
              <w:sz w:val="24"/>
              <w:szCs w:val="24"/>
            </w:rPr>
            <w:t>the</w:t>
          </w:r>
          <w:r w:rsidR="00F44F1B">
            <w:rPr>
              <w:sz w:val="24"/>
              <w:szCs w:val="24"/>
            </w:rPr>
            <w:t xml:space="preserve"> ESOS Act. </w:t>
          </w:r>
          <w:r w:rsidR="00740495" w:rsidRPr="000E08DB">
            <w:rPr>
              <w:sz w:val="24"/>
              <w:szCs w:val="24"/>
            </w:rPr>
            <w:t xml:space="preserve"> </w:t>
          </w:r>
        </w:p>
        <w:p w14:paraId="5E5787A5" w14:textId="51D1A0E6" w:rsidR="00DA4663" w:rsidRPr="00F55921" w:rsidRDefault="00B14F20" w:rsidP="00755613">
          <w:pPr>
            <w:jc w:val="both"/>
            <w:rPr>
              <w:sz w:val="24"/>
              <w:szCs w:val="24"/>
            </w:rPr>
          </w:pPr>
          <w:r w:rsidRPr="000E08DB">
            <w:rPr>
              <w:sz w:val="24"/>
              <w:szCs w:val="24"/>
            </w:rPr>
            <w:t xml:space="preserve">The Council </w:t>
          </w:r>
          <w:r w:rsidR="00134C53" w:rsidRPr="000E08DB">
            <w:rPr>
              <w:sz w:val="24"/>
              <w:szCs w:val="24"/>
            </w:rPr>
            <w:t>for</w:t>
          </w:r>
          <w:r w:rsidRPr="000E08DB">
            <w:rPr>
              <w:sz w:val="24"/>
              <w:szCs w:val="24"/>
            </w:rPr>
            <w:t xml:space="preserve"> International Education which includes as its members </w:t>
          </w:r>
          <w:r w:rsidR="004571C1" w:rsidRPr="000E08DB">
            <w:rPr>
              <w:sz w:val="24"/>
              <w:szCs w:val="24"/>
            </w:rPr>
            <w:t xml:space="preserve">the Minister for Education, </w:t>
          </w:r>
          <w:r w:rsidR="004A51CD" w:rsidRPr="000E08DB">
            <w:rPr>
              <w:sz w:val="24"/>
              <w:szCs w:val="24"/>
            </w:rPr>
            <w:t xml:space="preserve">the </w:t>
          </w:r>
          <w:r w:rsidR="004571C1" w:rsidRPr="000E08DB">
            <w:rPr>
              <w:sz w:val="24"/>
              <w:szCs w:val="24"/>
            </w:rPr>
            <w:t xml:space="preserve">Minister for Trade and Tourism, </w:t>
          </w:r>
          <w:r w:rsidR="004A51CD" w:rsidRPr="000E08DB">
            <w:rPr>
              <w:sz w:val="24"/>
              <w:szCs w:val="24"/>
            </w:rPr>
            <w:t xml:space="preserve">the </w:t>
          </w:r>
          <w:r w:rsidR="004571C1" w:rsidRPr="000E08DB">
            <w:rPr>
              <w:sz w:val="24"/>
              <w:szCs w:val="24"/>
            </w:rPr>
            <w:t xml:space="preserve">Minister for Skills and Training, </w:t>
          </w:r>
          <w:r w:rsidR="004A51CD" w:rsidRPr="000E08DB">
            <w:rPr>
              <w:sz w:val="24"/>
              <w:szCs w:val="24"/>
            </w:rPr>
            <w:t xml:space="preserve">the </w:t>
          </w:r>
          <w:r w:rsidR="004571C1" w:rsidRPr="000E08DB">
            <w:rPr>
              <w:sz w:val="24"/>
              <w:szCs w:val="24"/>
            </w:rPr>
            <w:t>Minister for Home Affairs</w:t>
          </w:r>
          <w:r w:rsidR="00E363D8" w:rsidRPr="000E08DB">
            <w:rPr>
              <w:sz w:val="24"/>
              <w:szCs w:val="24"/>
            </w:rPr>
            <w:t xml:space="preserve"> and Minister for Immigration and </w:t>
          </w:r>
          <w:r w:rsidR="00E01868" w:rsidRPr="000E08DB">
            <w:rPr>
              <w:sz w:val="24"/>
              <w:szCs w:val="24"/>
            </w:rPr>
            <w:t>Citizenship</w:t>
          </w:r>
          <w:r w:rsidR="00E363D8" w:rsidRPr="000E08DB">
            <w:rPr>
              <w:sz w:val="24"/>
              <w:szCs w:val="24"/>
            </w:rPr>
            <w:t xml:space="preserve">, </w:t>
          </w:r>
          <w:r w:rsidR="004A51CD" w:rsidRPr="000E08DB">
            <w:rPr>
              <w:sz w:val="24"/>
              <w:szCs w:val="24"/>
            </w:rPr>
            <w:t xml:space="preserve">the </w:t>
          </w:r>
          <w:r w:rsidR="00E363D8" w:rsidRPr="000E08DB">
            <w:rPr>
              <w:sz w:val="24"/>
              <w:szCs w:val="24"/>
            </w:rPr>
            <w:t>Assistant Minister for International Education and</w:t>
          </w:r>
          <w:r w:rsidR="004571C1" w:rsidRPr="000E08DB">
            <w:rPr>
              <w:sz w:val="24"/>
              <w:szCs w:val="24"/>
            </w:rPr>
            <w:t xml:space="preserve"> </w:t>
          </w:r>
          <w:r w:rsidR="004A51CD" w:rsidRPr="000E08DB">
            <w:rPr>
              <w:sz w:val="24"/>
              <w:szCs w:val="24"/>
            </w:rPr>
            <w:t xml:space="preserve">the </w:t>
          </w:r>
          <w:r w:rsidR="004571C1" w:rsidRPr="000E08DB">
            <w:rPr>
              <w:sz w:val="24"/>
              <w:szCs w:val="24"/>
            </w:rPr>
            <w:t>Assistant Minister for Foreign Affairs</w:t>
          </w:r>
          <w:r w:rsidRPr="000E08DB">
            <w:rPr>
              <w:sz w:val="24"/>
              <w:szCs w:val="24"/>
            </w:rPr>
            <w:t>, provides the framework to ensure whole</w:t>
          </w:r>
          <w:r w:rsidR="00740495" w:rsidRPr="000E08DB">
            <w:rPr>
              <w:sz w:val="24"/>
              <w:szCs w:val="24"/>
            </w:rPr>
            <w:t>-</w:t>
          </w:r>
          <w:r w:rsidRPr="000E08DB">
            <w:rPr>
              <w:sz w:val="24"/>
              <w:szCs w:val="24"/>
            </w:rPr>
            <w:t>of</w:t>
          </w:r>
          <w:r w:rsidR="00740495" w:rsidRPr="000E08DB">
            <w:rPr>
              <w:sz w:val="24"/>
              <w:szCs w:val="24"/>
            </w:rPr>
            <w:t>-</w:t>
          </w:r>
          <w:r w:rsidRPr="000E08DB">
            <w:rPr>
              <w:sz w:val="24"/>
              <w:szCs w:val="24"/>
            </w:rPr>
            <w:t xml:space="preserve"> government strategic thinking</w:t>
          </w:r>
          <w:r w:rsidR="009447E9" w:rsidRPr="000E08DB">
            <w:rPr>
              <w:sz w:val="24"/>
              <w:szCs w:val="24"/>
            </w:rPr>
            <w:t>,</w:t>
          </w:r>
          <w:r w:rsidRPr="000E08DB">
            <w:rPr>
              <w:sz w:val="24"/>
              <w:szCs w:val="24"/>
            </w:rPr>
            <w:t xml:space="preserve"> informed by input from the Expert Members</w:t>
          </w:r>
          <w:r w:rsidR="000C42CF" w:rsidRPr="000E08DB">
            <w:rPr>
              <w:sz w:val="24"/>
              <w:szCs w:val="24"/>
            </w:rPr>
            <w:t xml:space="preserve"> of the Council</w:t>
          </w:r>
          <w:r w:rsidRPr="000E08DB">
            <w:rPr>
              <w:sz w:val="24"/>
              <w:szCs w:val="24"/>
            </w:rPr>
            <w:t>.</w:t>
          </w:r>
        </w:p>
      </w:sdtContent>
    </w:sdt>
    <w:sectPr w:rsidR="00DA4663" w:rsidRPr="00F55921" w:rsidSect="001A01CD">
      <w:foot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22AF" w14:textId="77777777" w:rsidR="00CF5261" w:rsidRPr="000E08DB" w:rsidRDefault="00CF5261" w:rsidP="00715DF7">
      <w:pPr>
        <w:spacing w:after="0" w:line="240" w:lineRule="auto"/>
      </w:pPr>
      <w:r w:rsidRPr="000E08DB">
        <w:separator/>
      </w:r>
    </w:p>
  </w:endnote>
  <w:endnote w:type="continuationSeparator" w:id="0">
    <w:p w14:paraId="3D761A5F" w14:textId="77777777" w:rsidR="00CF5261" w:rsidRPr="000E08DB" w:rsidRDefault="00CF5261" w:rsidP="00715DF7">
      <w:pPr>
        <w:spacing w:after="0" w:line="240" w:lineRule="auto"/>
      </w:pPr>
      <w:r w:rsidRPr="000E08DB">
        <w:continuationSeparator/>
      </w:r>
    </w:p>
  </w:endnote>
  <w:endnote w:type="continuationNotice" w:id="1">
    <w:p w14:paraId="51D139FD" w14:textId="77777777" w:rsidR="00CF5261" w:rsidRPr="000E08DB" w:rsidRDefault="00CF5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323333"/>
      <w:docPartObj>
        <w:docPartGallery w:val="Page Numbers (Bottom of Page)"/>
        <w:docPartUnique/>
      </w:docPartObj>
    </w:sdtPr>
    <w:sdtEndPr/>
    <w:sdtContent>
      <w:p w14:paraId="3CF0B945" w14:textId="69ED10E9" w:rsidR="00715DF7" w:rsidRPr="000E08DB" w:rsidRDefault="00715DF7">
        <w:pPr>
          <w:pStyle w:val="Footer"/>
          <w:jc w:val="right"/>
        </w:pPr>
        <w:r w:rsidRPr="000E08DB">
          <w:fldChar w:fldCharType="begin"/>
        </w:r>
        <w:r w:rsidRPr="000E08DB">
          <w:instrText xml:space="preserve"> PAGE   \* MERGEFORMAT </w:instrText>
        </w:r>
        <w:r w:rsidRPr="000E08DB">
          <w:fldChar w:fldCharType="separate"/>
        </w:r>
        <w:r w:rsidRPr="000E08DB">
          <w:t>2</w:t>
        </w:r>
        <w:r w:rsidRPr="000E08DB">
          <w:fldChar w:fldCharType="end"/>
        </w:r>
      </w:p>
    </w:sdtContent>
  </w:sdt>
  <w:p w14:paraId="7491D677" w14:textId="77777777" w:rsidR="00715DF7" w:rsidRPr="000E08DB" w:rsidRDefault="0071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332E" w14:textId="77777777" w:rsidR="00CF5261" w:rsidRPr="000E08DB" w:rsidRDefault="00CF5261" w:rsidP="00715DF7">
      <w:pPr>
        <w:spacing w:after="0" w:line="240" w:lineRule="auto"/>
      </w:pPr>
      <w:r w:rsidRPr="000E08DB">
        <w:separator/>
      </w:r>
    </w:p>
  </w:footnote>
  <w:footnote w:type="continuationSeparator" w:id="0">
    <w:p w14:paraId="0C49D73E" w14:textId="77777777" w:rsidR="00CF5261" w:rsidRPr="000E08DB" w:rsidRDefault="00CF5261" w:rsidP="00715DF7">
      <w:pPr>
        <w:spacing w:after="0" w:line="240" w:lineRule="auto"/>
      </w:pPr>
      <w:r w:rsidRPr="000E08DB">
        <w:continuationSeparator/>
      </w:r>
    </w:p>
  </w:footnote>
  <w:footnote w:type="continuationNotice" w:id="1">
    <w:p w14:paraId="46595EDB" w14:textId="77777777" w:rsidR="00CF5261" w:rsidRPr="000E08DB" w:rsidRDefault="00CF5261">
      <w:pPr>
        <w:spacing w:after="0" w:line="240" w:lineRule="auto"/>
      </w:pPr>
    </w:p>
  </w:footnote>
  <w:footnote w:id="2">
    <w:p w14:paraId="791DB693" w14:textId="77777777" w:rsidR="00881A50" w:rsidRPr="001C0345" w:rsidRDefault="00881A50" w:rsidP="00881A50">
      <w:pPr>
        <w:pStyle w:val="FootnoteText"/>
      </w:pPr>
      <w:r w:rsidRPr="000E08DB">
        <w:rPr>
          <w:rStyle w:val="FootnoteReference"/>
        </w:rPr>
        <w:footnoteRef/>
      </w:r>
      <w:r w:rsidRPr="000E08DB">
        <w:t xml:space="preserve"> </w:t>
      </w:r>
      <w:hyperlink r:id="rId1" w:history="1">
        <w:r w:rsidRPr="000E08DB">
          <w:rPr>
            <w:rStyle w:val="Hyperlink"/>
          </w:rPr>
          <w:t>Education export income - Financial Year - Department of Education, Australian Government</w:t>
        </w:r>
      </w:hyperlink>
    </w:p>
  </w:footnote>
</w:footnotes>
</file>

<file path=word/intelligence2.xml><?xml version="1.0" encoding="utf-8"?>
<int2:intelligence xmlns:int2="http://schemas.microsoft.com/office/intelligence/2020/intelligence" xmlns:oel="http://schemas.microsoft.com/office/2019/extlst">
  <int2:observations>
    <int2:bookmark int2:bookmarkName="_Int_XB8PPDBK" int2:invalidationBookmarkName="" int2:hashCode="Y8N0hQMA31CfIV" int2:id="SUu2xDO9">
      <int2:state int2:value="Rejected" int2:type="AugLoop_Text_Critique"/>
    </int2:bookmark>
    <int2:bookmark int2:bookmarkName="_Int_ixHWxkhF" int2:invalidationBookmarkName="" int2:hashCode="qvh/5Xrm0yPbVJ" int2:id="jnkbykQ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CD"/>
    <w:multiLevelType w:val="hybridMultilevel"/>
    <w:tmpl w:val="251868AC"/>
    <w:lvl w:ilvl="0" w:tplc="0DF6E8DE">
      <w:numFmt w:val="bullet"/>
      <w:lvlText w:val="•"/>
      <w:lvlJc w:val="left"/>
      <w:pPr>
        <w:ind w:left="720" w:hanging="72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490E4D"/>
    <w:multiLevelType w:val="hybridMultilevel"/>
    <w:tmpl w:val="9ED25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41728"/>
    <w:multiLevelType w:val="hybridMultilevel"/>
    <w:tmpl w:val="0BFC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B0382C"/>
    <w:multiLevelType w:val="hybridMultilevel"/>
    <w:tmpl w:val="50703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692D3A"/>
    <w:multiLevelType w:val="hybridMultilevel"/>
    <w:tmpl w:val="6A50FCD8"/>
    <w:lvl w:ilvl="0" w:tplc="FFFFFFFF">
      <w:numFmt w:val="bullet"/>
      <w:lvlText w:val="•"/>
      <w:lvlJc w:val="left"/>
      <w:pPr>
        <w:ind w:left="72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872DF"/>
    <w:multiLevelType w:val="hybridMultilevel"/>
    <w:tmpl w:val="6B7CD1F2"/>
    <w:lvl w:ilvl="0" w:tplc="FFFFFFFF">
      <w:numFmt w:val="bullet"/>
      <w:lvlText w:val="•"/>
      <w:lvlJc w:val="left"/>
      <w:pPr>
        <w:ind w:left="72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179B9"/>
    <w:multiLevelType w:val="hybridMultilevel"/>
    <w:tmpl w:val="19F2A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B8E6EC"/>
    <w:multiLevelType w:val="hybridMultilevel"/>
    <w:tmpl w:val="FFFFFFFF"/>
    <w:lvl w:ilvl="0" w:tplc="09A09F2A">
      <w:start w:val="1"/>
      <w:numFmt w:val="bullet"/>
      <w:lvlText w:val=""/>
      <w:lvlJc w:val="left"/>
      <w:pPr>
        <w:ind w:left="720" w:hanging="360"/>
      </w:pPr>
      <w:rPr>
        <w:rFonts w:ascii="Symbol" w:hAnsi="Symbol" w:hint="default"/>
      </w:rPr>
    </w:lvl>
    <w:lvl w:ilvl="1" w:tplc="7BEEF6BA">
      <w:start w:val="1"/>
      <w:numFmt w:val="bullet"/>
      <w:lvlText w:val="o"/>
      <w:lvlJc w:val="left"/>
      <w:pPr>
        <w:ind w:left="1440" w:hanging="360"/>
      </w:pPr>
      <w:rPr>
        <w:rFonts w:ascii="&quot;Courier New&quot;" w:hAnsi="&quot;Courier New&quot;" w:hint="default"/>
      </w:rPr>
    </w:lvl>
    <w:lvl w:ilvl="2" w:tplc="E99C8D98">
      <w:start w:val="1"/>
      <w:numFmt w:val="bullet"/>
      <w:lvlText w:val=""/>
      <w:lvlJc w:val="left"/>
      <w:pPr>
        <w:ind w:left="2160" w:hanging="360"/>
      </w:pPr>
      <w:rPr>
        <w:rFonts w:ascii="Wingdings" w:hAnsi="Wingdings" w:hint="default"/>
      </w:rPr>
    </w:lvl>
    <w:lvl w:ilvl="3" w:tplc="8E549ECA">
      <w:start w:val="1"/>
      <w:numFmt w:val="bullet"/>
      <w:lvlText w:val=""/>
      <w:lvlJc w:val="left"/>
      <w:pPr>
        <w:ind w:left="2880" w:hanging="360"/>
      </w:pPr>
      <w:rPr>
        <w:rFonts w:ascii="Symbol" w:hAnsi="Symbol" w:hint="default"/>
      </w:rPr>
    </w:lvl>
    <w:lvl w:ilvl="4" w:tplc="283624CE">
      <w:start w:val="1"/>
      <w:numFmt w:val="bullet"/>
      <w:lvlText w:val="o"/>
      <w:lvlJc w:val="left"/>
      <w:pPr>
        <w:ind w:left="3600" w:hanging="360"/>
      </w:pPr>
      <w:rPr>
        <w:rFonts w:ascii="Courier New" w:hAnsi="Courier New" w:hint="default"/>
      </w:rPr>
    </w:lvl>
    <w:lvl w:ilvl="5" w:tplc="344EEF60">
      <w:start w:val="1"/>
      <w:numFmt w:val="bullet"/>
      <w:lvlText w:val=""/>
      <w:lvlJc w:val="left"/>
      <w:pPr>
        <w:ind w:left="4320" w:hanging="360"/>
      </w:pPr>
      <w:rPr>
        <w:rFonts w:ascii="Wingdings" w:hAnsi="Wingdings" w:hint="default"/>
      </w:rPr>
    </w:lvl>
    <w:lvl w:ilvl="6" w:tplc="B5843816">
      <w:start w:val="1"/>
      <w:numFmt w:val="bullet"/>
      <w:lvlText w:val=""/>
      <w:lvlJc w:val="left"/>
      <w:pPr>
        <w:ind w:left="5040" w:hanging="360"/>
      </w:pPr>
      <w:rPr>
        <w:rFonts w:ascii="Symbol" w:hAnsi="Symbol" w:hint="default"/>
      </w:rPr>
    </w:lvl>
    <w:lvl w:ilvl="7" w:tplc="F4AC1ED2">
      <w:start w:val="1"/>
      <w:numFmt w:val="bullet"/>
      <w:lvlText w:val="o"/>
      <w:lvlJc w:val="left"/>
      <w:pPr>
        <w:ind w:left="5760" w:hanging="360"/>
      </w:pPr>
      <w:rPr>
        <w:rFonts w:ascii="Courier New" w:hAnsi="Courier New" w:hint="default"/>
      </w:rPr>
    </w:lvl>
    <w:lvl w:ilvl="8" w:tplc="AC5490E6">
      <w:start w:val="1"/>
      <w:numFmt w:val="bullet"/>
      <w:lvlText w:val=""/>
      <w:lvlJc w:val="left"/>
      <w:pPr>
        <w:ind w:left="6480" w:hanging="360"/>
      </w:pPr>
      <w:rPr>
        <w:rFonts w:ascii="Wingdings" w:hAnsi="Wingdings" w:hint="default"/>
      </w:rPr>
    </w:lvl>
  </w:abstractNum>
  <w:abstractNum w:abstractNumId="8" w15:restartNumberingAfterBreak="0">
    <w:nsid w:val="11744DA3"/>
    <w:multiLevelType w:val="hybridMultilevel"/>
    <w:tmpl w:val="7474E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625184"/>
    <w:multiLevelType w:val="hybridMultilevel"/>
    <w:tmpl w:val="01464B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2131C0"/>
    <w:multiLevelType w:val="hybridMultilevel"/>
    <w:tmpl w:val="7C50A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090EFB"/>
    <w:multiLevelType w:val="hybridMultilevel"/>
    <w:tmpl w:val="D1F2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CD3C1F"/>
    <w:multiLevelType w:val="hybridMultilevel"/>
    <w:tmpl w:val="5CE67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234AE8"/>
    <w:multiLevelType w:val="hybridMultilevel"/>
    <w:tmpl w:val="C87CB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44F3E"/>
    <w:multiLevelType w:val="hybridMultilevel"/>
    <w:tmpl w:val="F2040F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476222"/>
    <w:multiLevelType w:val="hybridMultilevel"/>
    <w:tmpl w:val="EAE6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F42E6"/>
    <w:multiLevelType w:val="hybridMultilevel"/>
    <w:tmpl w:val="FFFFFFFF"/>
    <w:lvl w:ilvl="0" w:tplc="CD8AB414">
      <w:start w:val="1"/>
      <w:numFmt w:val="bullet"/>
      <w:lvlText w:val="-"/>
      <w:lvlJc w:val="left"/>
      <w:pPr>
        <w:ind w:left="720" w:hanging="360"/>
      </w:pPr>
      <w:rPr>
        <w:rFonts w:ascii="Calibri" w:hAnsi="Calibri" w:hint="default"/>
      </w:rPr>
    </w:lvl>
    <w:lvl w:ilvl="1" w:tplc="E808F84A">
      <w:start w:val="1"/>
      <w:numFmt w:val="bullet"/>
      <w:lvlText w:val="o"/>
      <w:lvlJc w:val="left"/>
      <w:pPr>
        <w:ind w:left="1440" w:hanging="360"/>
      </w:pPr>
      <w:rPr>
        <w:rFonts w:ascii="Courier New" w:hAnsi="Courier New" w:hint="default"/>
      </w:rPr>
    </w:lvl>
    <w:lvl w:ilvl="2" w:tplc="F1F02A60">
      <w:start w:val="1"/>
      <w:numFmt w:val="bullet"/>
      <w:lvlText w:val=""/>
      <w:lvlJc w:val="left"/>
      <w:pPr>
        <w:ind w:left="2160" w:hanging="360"/>
      </w:pPr>
      <w:rPr>
        <w:rFonts w:ascii="Wingdings" w:hAnsi="Wingdings" w:hint="default"/>
      </w:rPr>
    </w:lvl>
    <w:lvl w:ilvl="3" w:tplc="E91A2F0E">
      <w:start w:val="1"/>
      <w:numFmt w:val="bullet"/>
      <w:lvlText w:val=""/>
      <w:lvlJc w:val="left"/>
      <w:pPr>
        <w:ind w:left="2880" w:hanging="360"/>
      </w:pPr>
      <w:rPr>
        <w:rFonts w:ascii="Symbol" w:hAnsi="Symbol" w:hint="default"/>
      </w:rPr>
    </w:lvl>
    <w:lvl w:ilvl="4" w:tplc="B100BD88">
      <w:start w:val="1"/>
      <w:numFmt w:val="bullet"/>
      <w:lvlText w:val="o"/>
      <w:lvlJc w:val="left"/>
      <w:pPr>
        <w:ind w:left="3600" w:hanging="360"/>
      </w:pPr>
      <w:rPr>
        <w:rFonts w:ascii="Courier New" w:hAnsi="Courier New" w:hint="default"/>
      </w:rPr>
    </w:lvl>
    <w:lvl w:ilvl="5" w:tplc="B0540998">
      <w:start w:val="1"/>
      <w:numFmt w:val="bullet"/>
      <w:lvlText w:val=""/>
      <w:lvlJc w:val="left"/>
      <w:pPr>
        <w:ind w:left="4320" w:hanging="360"/>
      </w:pPr>
      <w:rPr>
        <w:rFonts w:ascii="Wingdings" w:hAnsi="Wingdings" w:hint="default"/>
      </w:rPr>
    </w:lvl>
    <w:lvl w:ilvl="6" w:tplc="65A02B02">
      <w:start w:val="1"/>
      <w:numFmt w:val="bullet"/>
      <w:lvlText w:val=""/>
      <w:lvlJc w:val="left"/>
      <w:pPr>
        <w:ind w:left="5040" w:hanging="360"/>
      </w:pPr>
      <w:rPr>
        <w:rFonts w:ascii="Symbol" w:hAnsi="Symbol" w:hint="default"/>
      </w:rPr>
    </w:lvl>
    <w:lvl w:ilvl="7" w:tplc="560221D0">
      <w:start w:val="1"/>
      <w:numFmt w:val="bullet"/>
      <w:lvlText w:val="o"/>
      <w:lvlJc w:val="left"/>
      <w:pPr>
        <w:ind w:left="5760" w:hanging="360"/>
      </w:pPr>
      <w:rPr>
        <w:rFonts w:ascii="Courier New" w:hAnsi="Courier New" w:hint="default"/>
      </w:rPr>
    </w:lvl>
    <w:lvl w:ilvl="8" w:tplc="98D80036">
      <w:start w:val="1"/>
      <w:numFmt w:val="bullet"/>
      <w:lvlText w:val=""/>
      <w:lvlJc w:val="left"/>
      <w:pPr>
        <w:ind w:left="6480" w:hanging="360"/>
      </w:pPr>
      <w:rPr>
        <w:rFonts w:ascii="Wingdings" w:hAnsi="Wingdings" w:hint="default"/>
      </w:rPr>
    </w:lvl>
  </w:abstractNum>
  <w:abstractNum w:abstractNumId="17" w15:restartNumberingAfterBreak="0">
    <w:nsid w:val="2D7E6BC2"/>
    <w:multiLevelType w:val="hybridMultilevel"/>
    <w:tmpl w:val="59E05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106E1"/>
    <w:multiLevelType w:val="hybridMultilevel"/>
    <w:tmpl w:val="45FC5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062957"/>
    <w:multiLevelType w:val="hybridMultilevel"/>
    <w:tmpl w:val="FFFFFFFF"/>
    <w:lvl w:ilvl="0" w:tplc="BCFEEB96">
      <w:start w:val="1"/>
      <w:numFmt w:val="bullet"/>
      <w:lvlText w:val="·"/>
      <w:lvlJc w:val="left"/>
      <w:pPr>
        <w:ind w:left="720" w:hanging="360"/>
      </w:pPr>
      <w:rPr>
        <w:rFonts w:ascii="Symbol" w:hAnsi="Symbol" w:hint="default"/>
      </w:rPr>
    </w:lvl>
    <w:lvl w:ilvl="1" w:tplc="72A0034A">
      <w:start w:val="1"/>
      <w:numFmt w:val="bullet"/>
      <w:lvlText w:val="o"/>
      <w:lvlJc w:val="left"/>
      <w:pPr>
        <w:ind w:left="1440" w:hanging="360"/>
      </w:pPr>
      <w:rPr>
        <w:rFonts w:ascii="Courier New" w:hAnsi="Courier New" w:hint="default"/>
      </w:rPr>
    </w:lvl>
    <w:lvl w:ilvl="2" w:tplc="A00EAE96">
      <w:start w:val="1"/>
      <w:numFmt w:val="bullet"/>
      <w:lvlText w:val=""/>
      <w:lvlJc w:val="left"/>
      <w:pPr>
        <w:ind w:left="2160" w:hanging="360"/>
      </w:pPr>
      <w:rPr>
        <w:rFonts w:ascii="Wingdings" w:hAnsi="Wingdings" w:hint="default"/>
      </w:rPr>
    </w:lvl>
    <w:lvl w:ilvl="3" w:tplc="50BED780">
      <w:start w:val="1"/>
      <w:numFmt w:val="bullet"/>
      <w:lvlText w:val=""/>
      <w:lvlJc w:val="left"/>
      <w:pPr>
        <w:ind w:left="2880" w:hanging="360"/>
      </w:pPr>
      <w:rPr>
        <w:rFonts w:ascii="Symbol" w:hAnsi="Symbol" w:hint="default"/>
      </w:rPr>
    </w:lvl>
    <w:lvl w:ilvl="4" w:tplc="C9B6F1A0">
      <w:start w:val="1"/>
      <w:numFmt w:val="bullet"/>
      <w:lvlText w:val="o"/>
      <w:lvlJc w:val="left"/>
      <w:pPr>
        <w:ind w:left="3600" w:hanging="360"/>
      </w:pPr>
      <w:rPr>
        <w:rFonts w:ascii="Courier New" w:hAnsi="Courier New" w:hint="default"/>
      </w:rPr>
    </w:lvl>
    <w:lvl w:ilvl="5" w:tplc="0D3C0ED6">
      <w:start w:val="1"/>
      <w:numFmt w:val="bullet"/>
      <w:lvlText w:val=""/>
      <w:lvlJc w:val="left"/>
      <w:pPr>
        <w:ind w:left="4320" w:hanging="360"/>
      </w:pPr>
      <w:rPr>
        <w:rFonts w:ascii="Wingdings" w:hAnsi="Wingdings" w:hint="default"/>
      </w:rPr>
    </w:lvl>
    <w:lvl w:ilvl="6" w:tplc="9BB2A4AA">
      <w:start w:val="1"/>
      <w:numFmt w:val="bullet"/>
      <w:lvlText w:val=""/>
      <w:lvlJc w:val="left"/>
      <w:pPr>
        <w:ind w:left="5040" w:hanging="360"/>
      </w:pPr>
      <w:rPr>
        <w:rFonts w:ascii="Symbol" w:hAnsi="Symbol" w:hint="default"/>
      </w:rPr>
    </w:lvl>
    <w:lvl w:ilvl="7" w:tplc="8C984D6E">
      <w:start w:val="1"/>
      <w:numFmt w:val="bullet"/>
      <w:lvlText w:val="o"/>
      <w:lvlJc w:val="left"/>
      <w:pPr>
        <w:ind w:left="5760" w:hanging="360"/>
      </w:pPr>
      <w:rPr>
        <w:rFonts w:ascii="Courier New" w:hAnsi="Courier New" w:hint="default"/>
      </w:rPr>
    </w:lvl>
    <w:lvl w:ilvl="8" w:tplc="C6A2F136">
      <w:start w:val="1"/>
      <w:numFmt w:val="bullet"/>
      <w:lvlText w:val=""/>
      <w:lvlJc w:val="left"/>
      <w:pPr>
        <w:ind w:left="6480" w:hanging="360"/>
      </w:pPr>
      <w:rPr>
        <w:rFonts w:ascii="Wingdings" w:hAnsi="Wingdings" w:hint="default"/>
      </w:rPr>
    </w:lvl>
  </w:abstractNum>
  <w:abstractNum w:abstractNumId="20" w15:restartNumberingAfterBreak="0">
    <w:nsid w:val="359727C9"/>
    <w:multiLevelType w:val="hybridMultilevel"/>
    <w:tmpl w:val="04463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093931"/>
    <w:multiLevelType w:val="hybridMultilevel"/>
    <w:tmpl w:val="A1A23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E639B4"/>
    <w:multiLevelType w:val="hybridMultilevel"/>
    <w:tmpl w:val="57D63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F01BC1"/>
    <w:multiLevelType w:val="hybridMultilevel"/>
    <w:tmpl w:val="E52C5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925C2E"/>
    <w:multiLevelType w:val="hybridMultilevel"/>
    <w:tmpl w:val="58264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0B0BBC"/>
    <w:multiLevelType w:val="hybridMultilevel"/>
    <w:tmpl w:val="A0D82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F181ADD"/>
    <w:multiLevelType w:val="hybridMultilevel"/>
    <w:tmpl w:val="76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AE6A88"/>
    <w:multiLevelType w:val="hybridMultilevel"/>
    <w:tmpl w:val="4782BDE8"/>
    <w:lvl w:ilvl="0" w:tplc="FFFFFFFF">
      <w:numFmt w:val="bullet"/>
      <w:lvlText w:val="•"/>
      <w:lvlJc w:val="left"/>
      <w:pPr>
        <w:ind w:left="72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462967"/>
    <w:multiLevelType w:val="hybridMultilevel"/>
    <w:tmpl w:val="430A6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893189"/>
    <w:multiLevelType w:val="hybridMultilevel"/>
    <w:tmpl w:val="0B621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9F627F"/>
    <w:multiLevelType w:val="hybridMultilevel"/>
    <w:tmpl w:val="DFAC8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D5845"/>
    <w:multiLevelType w:val="hybridMultilevel"/>
    <w:tmpl w:val="23DE8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D0274E"/>
    <w:multiLevelType w:val="hybridMultilevel"/>
    <w:tmpl w:val="FFFFFFFF"/>
    <w:lvl w:ilvl="0" w:tplc="9E9AE2E6">
      <w:start w:val="1"/>
      <w:numFmt w:val="bullet"/>
      <w:lvlText w:val="-"/>
      <w:lvlJc w:val="left"/>
      <w:pPr>
        <w:ind w:left="720" w:hanging="360"/>
      </w:pPr>
      <w:rPr>
        <w:rFonts w:ascii="Calibri" w:hAnsi="Calibri" w:hint="default"/>
      </w:rPr>
    </w:lvl>
    <w:lvl w:ilvl="1" w:tplc="1D4E8708">
      <w:start w:val="1"/>
      <w:numFmt w:val="bullet"/>
      <w:lvlText w:val="o"/>
      <w:lvlJc w:val="left"/>
      <w:pPr>
        <w:ind w:left="1440" w:hanging="360"/>
      </w:pPr>
      <w:rPr>
        <w:rFonts w:ascii="Courier New" w:hAnsi="Courier New" w:hint="default"/>
      </w:rPr>
    </w:lvl>
    <w:lvl w:ilvl="2" w:tplc="D390F464">
      <w:start w:val="1"/>
      <w:numFmt w:val="bullet"/>
      <w:lvlText w:val=""/>
      <w:lvlJc w:val="left"/>
      <w:pPr>
        <w:ind w:left="2160" w:hanging="360"/>
      </w:pPr>
      <w:rPr>
        <w:rFonts w:ascii="Wingdings" w:hAnsi="Wingdings" w:hint="default"/>
      </w:rPr>
    </w:lvl>
    <w:lvl w:ilvl="3" w:tplc="41466F0C">
      <w:start w:val="1"/>
      <w:numFmt w:val="bullet"/>
      <w:lvlText w:val=""/>
      <w:lvlJc w:val="left"/>
      <w:pPr>
        <w:ind w:left="2880" w:hanging="360"/>
      </w:pPr>
      <w:rPr>
        <w:rFonts w:ascii="Symbol" w:hAnsi="Symbol" w:hint="default"/>
      </w:rPr>
    </w:lvl>
    <w:lvl w:ilvl="4" w:tplc="BC40913E">
      <w:start w:val="1"/>
      <w:numFmt w:val="bullet"/>
      <w:lvlText w:val="o"/>
      <w:lvlJc w:val="left"/>
      <w:pPr>
        <w:ind w:left="3600" w:hanging="360"/>
      </w:pPr>
      <w:rPr>
        <w:rFonts w:ascii="Courier New" w:hAnsi="Courier New" w:hint="default"/>
      </w:rPr>
    </w:lvl>
    <w:lvl w:ilvl="5" w:tplc="5D38BD0C">
      <w:start w:val="1"/>
      <w:numFmt w:val="bullet"/>
      <w:lvlText w:val=""/>
      <w:lvlJc w:val="left"/>
      <w:pPr>
        <w:ind w:left="4320" w:hanging="360"/>
      </w:pPr>
      <w:rPr>
        <w:rFonts w:ascii="Wingdings" w:hAnsi="Wingdings" w:hint="default"/>
      </w:rPr>
    </w:lvl>
    <w:lvl w:ilvl="6" w:tplc="08307C8A">
      <w:start w:val="1"/>
      <w:numFmt w:val="bullet"/>
      <w:lvlText w:val=""/>
      <w:lvlJc w:val="left"/>
      <w:pPr>
        <w:ind w:left="5040" w:hanging="360"/>
      </w:pPr>
      <w:rPr>
        <w:rFonts w:ascii="Symbol" w:hAnsi="Symbol" w:hint="default"/>
      </w:rPr>
    </w:lvl>
    <w:lvl w:ilvl="7" w:tplc="344A5EEC">
      <w:start w:val="1"/>
      <w:numFmt w:val="bullet"/>
      <w:lvlText w:val="o"/>
      <w:lvlJc w:val="left"/>
      <w:pPr>
        <w:ind w:left="5760" w:hanging="360"/>
      </w:pPr>
      <w:rPr>
        <w:rFonts w:ascii="Courier New" w:hAnsi="Courier New" w:hint="default"/>
      </w:rPr>
    </w:lvl>
    <w:lvl w:ilvl="8" w:tplc="1E46BFF6">
      <w:start w:val="1"/>
      <w:numFmt w:val="bullet"/>
      <w:lvlText w:val=""/>
      <w:lvlJc w:val="left"/>
      <w:pPr>
        <w:ind w:left="6480" w:hanging="360"/>
      </w:pPr>
      <w:rPr>
        <w:rFonts w:ascii="Wingdings" w:hAnsi="Wingdings" w:hint="default"/>
      </w:rPr>
    </w:lvl>
  </w:abstractNum>
  <w:abstractNum w:abstractNumId="33" w15:restartNumberingAfterBreak="0">
    <w:nsid w:val="563A3E19"/>
    <w:multiLevelType w:val="hybridMultilevel"/>
    <w:tmpl w:val="1D0A7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5576CC"/>
    <w:multiLevelType w:val="hybridMultilevel"/>
    <w:tmpl w:val="9AF2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976E17"/>
    <w:multiLevelType w:val="hybridMultilevel"/>
    <w:tmpl w:val="54384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DF28A3"/>
    <w:multiLevelType w:val="hybridMultilevel"/>
    <w:tmpl w:val="3D6CD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761076"/>
    <w:multiLevelType w:val="hybridMultilevel"/>
    <w:tmpl w:val="5ABE8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181B30"/>
    <w:multiLevelType w:val="hybridMultilevel"/>
    <w:tmpl w:val="882A1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CB0E34"/>
    <w:multiLevelType w:val="hybridMultilevel"/>
    <w:tmpl w:val="B67C32E6"/>
    <w:lvl w:ilvl="0" w:tplc="38465B16">
      <w:start w:val="2"/>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90F2398"/>
    <w:multiLevelType w:val="hybridMultilevel"/>
    <w:tmpl w:val="6D68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003A2B"/>
    <w:multiLevelType w:val="hybridMultilevel"/>
    <w:tmpl w:val="6E32D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0377A3"/>
    <w:multiLevelType w:val="hybridMultilevel"/>
    <w:tmpl w:val="0B5E5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835FC0"/>
    <w:multiLevelType w:val="hybridMultilevel"/>
    <w:tmpl w:val="43E2C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0A19A9"/>
    <w:multiLevelType w:val="hybridMultilevel"/>
    <w:tmpl w:val="49604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4069A2"/>
    <w:multiLevelType w:val="hybridMultilevel"/>
    <w:tmpl w:val="7966B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9B1DEF"/>
    <w:multiLevelType w:val="hybridMultilevel"/>
    <w:tmpl w:val="09788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8B101A0"/>
    <w:multiLevelType w:val="hybridMultilevel"/>
    <w:tmpl w:val="DBEEE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E960F3A"/>
    <w:multiLevelType w:val="hybridMultilevel"/>
    <w:tmpl w:val="B7AA9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1BC8B2"/>
    <w:multiLevelType w:val="hybridMultilevel"/>
    <w:tmpl w:val="FFFFFFFF"/>
    <w:lvl w:ilvl="0" w:tplc="B8588E98">
      <w:start w:val="1"/>
      <w:numFmt w:val="bullet"/>
      <w:lvlText w:val="-"/>
      <w:lvlJc w:val="left"/>
      <w:pPr>
        <w:ind w:left="720" w:hanging="360"/>
      </w:pPr>
      <w:rPr>
        <w:rFonts w:ascii="Calibri" w:hAnsi="Calibri" w:hint="default"/>
      </w:rPr>
    </w:lvl>
    <w:lvl w:ilvl="1" w:tplc="F29261E8">
      <w:start w:val="1"/>
      <w:numFmt w:val="bullet"/>
      <w:lvlText w:val="o"/>
      <w:lvlJc w:val="left"/>
      <w:pPr>
        <w:ind w:left="1440" w:hanging="360"/>
      </w:pPr>
      <w:rPr>
        <w:rFonts w:ascii="Courier New" w:hAnsi="Courier New" w:hint="default"/>
      </w:rPr>
    </w:lvl>
    <w:lvl w:ilvl="2" w:tplc="78ACFB76">
      <w:start w:val="1"/>
      <w:numFmt w:val="bullet"/>
      <w:lvlText w:val=""/>
      <w:lvlJc w:val="left"/>
      <w:pPr>
        <w:ind w:left="2160" w:hanging="360"/>
      </w:pPr>
      <w:rPr>
        <w:rFonts w:ascii="Wingdings" w:hAnsi="Wingdings" w:hint="default"/>
      </w:rPr>
    </w:lvl>
    <w:lvl w:ilvl="3" w:tplc="92FC4E62">
      <w:start w:val="1"/>
      <w:numFmt w:val="bullet"/>
      <w:lvlText w:val=""/>
      <w:lvlJc w:val="left"/>
      <w:pPr>
        <w:ind w:left="2880" w:hanging="360"/>
      </w:pPr>
      <w:rPr>
        <w:rFonts w:ascii="Symbol" w:hAnsi="Symbol" w:hint="default"/>
      </w:rPr>
    </w:lvl>
    <w:lvl w:ilvl="4" w:tplc="8496E5F4">
      <w:start w:val="1"/>
      <w:numFmt w:val="bullet"/>
      <w:lvlText w:val="o"/>
      <w:lvlJc w:val="left"/>
      <w:pPr>
        <w:ind w:left="3600" w:hanging="360"/>
      </w:pPr>
      <w:rPr>
        <w:rFonts w:ascii="Courier New" w:hAnsi="Courier New" w:hint="default"/>
      </w:rPr>
    </w:lvl>
    <w:lvl w:ilvl="5" w:tplc="7AB6F3CA">
      <w:start w:val="1"/>
      <w:numFmt w:val="bullet"/>
      <w:lvlText w:val=""/>
      <w:lvlJc w:val="left"/>
      <w:pPr>
        <w:ind w:left="4320" w:hanging="360"/>
      </w:pPr>
      <w:rPr>
        <w:rFonts w:ascii="Wingdings" w:hAnsi="Wingdings" w:hint="default"/>
      </w:rPr>
    </w:lvl>
    <w:lvl w:ilvl="6" w:tplc="26CE3312">
      <w:start w:val="1"/>
      <w:numFmt w:val="bullet"/>
      <w:lvlText w:val=""/>
      <w:lvlJc w:val="left"/>
      <w:pPr>
        <w:ind w:left="5040" w:hanging="360"/>
      </w:pPr>
      <w:rPr>
        <w:rFonts w:ascii="Symbol" w:hAnsi="Symbol" w:hint="default"/>
      </w:rPr>
    </w:lvl>
    <w:lvl w:ilvl="7" w:tplc="B6FA15A6">
      <w:start w:val="1"/>
      <w:numFmt w:val="bullet"/>
      <w:lvlText w:val="o"/>
      <w:lvlJc w:val="left"/>
      <w:pPr>
        <w:ind w:left="5760" w:hanging="360"/>
      </w:pPr>
      <w:rPr>
        <w:rFonts w:ascii="Courier New" w:hAnsi="Courier New" w:hint="default"/>
      </w:rPr>
    </w:lvl>
    <w:lvl w:ilvl="8" w:tplc="03A0942C">
      <w:start w:val="1"/>
      <w:numFmt w:val="bullet"/>
      <w:lvlText w:val=""/>
      <w:lvlJc w:val="left"/>
      <w:pPr>
        <w:ind w:left="6480" w:hanging="360"/>
      </w:pPr>
      <w:rPr>
        <w:rFonts w:ascii="Wingdings" w:hAnsi="Wingdings" w:hint="default"/>
      </w:rPr>
    </w:lvl>
  </w:abstractNum>
  <w:num w:numId="1" w16cid:durableId="1533766040">
    <w:abstractNumId w:val="30"/>
  </w:num>
  <w:num w:numId="2" w16cid:durableId="861936605">
    <w:abstractNumId w:val="37"/>
  </w:num>
  <w:num w:numId="3" w16cid:durableId="1887834202">
    <w:abstractNumId w:val="45"/>
  </w:num>
  <w:num w:numId="4" w16cid:durableId="372996964">
    <w:abstractNumId w:val="1"/>
  </w:num>
  <w:num w:numId="5" w16cid:durableId="336200892">
    <w:abstractNumId w:val="34"/>
  </w:num>
  <w:num w:numId="6" w16cid:durableId="173347230">
    <w:abstractNumId w:val="2"/>
  </w:num>
  <w:num w:numId="7" w16cid:durableId="1109087247">
    <w:abstractNumId w:val="6"/>
  </w:num>
  <w:num w:numId="8" w16cid:durableId="272516648">
    <w:abstractNumId w:val="13"/>
  </w:num>
  <w:num w:numId="9" w16cid:durableId="2124224949">
    <w:abstractNumId w:val="44"/>
  </w:num>
  <w:num w:numId="10" w16cid:durableId="527253025">
    <w:abstractNumId w:val="24"/>
  </w:num>
  <w:num w:numId="11" w16cid:durableId="953370849">
    <w:abstractNumId w:val="21"/>
  </w:num>
  <w:num w:numId="12" w16cid:durableId="1480733590">
    <w:abstractNumId w:val="26"/>
  </w:num>
  <w:num w:numId="13" w16cid:durableId="694813368">
    <w:abstractNumId w:val="40"/>
  </w:num>
  <w:num w:numId="14" w16cid:durableId="2015447739">
    <w:abstractNumId w:val="17"/>
  </w:num>
  <w:num w:numId="15" w16cid:durableId="790322913">
    <w:abstractNumId w:val="15"/>
  </w:num>
  <w:num w:numId="16" w16cid:durableId="2046638569">
    <w:abstractNumId w:val="33"/>
  </w:num>
  <w:num w:numId="17" w16cid:durableId="2017460322">
    <w:abstractNumId w:val="36"/>
  </w:num>
  <w:num w:numId="18" w16cid:durableId="1026323851">
    <w:abstractNumId w:val="12"/>
  </w:num>
  <w:num w:numId="19" w16cid:durableId="1420760525">
    <w:abstractNumId w:val="48"/>
  </w:num>
  <w:num w:numId="20" w16cid:durableId="652371123">
    <w:abstractNumId w:val="46"/>
  </w:num>
  <w:num w:numId="21" w16cid:durableId="81028890">
    <w:abstractNumId w:val="10"/>
  </w:num>
  <w:num w:numId="22" w16cid:durableId="16271101">
    <w:abstractNumId w:val="11"/>
  </w:num>
  <w:num w:numId="23" w16cid:durableId="2143116397">
    <w:abstractNumId w:val="47"/>
  </w:num>
  <w:num w:numId="24" w16cid:durableId="2033919068">
    <w:abstractNumId w:val="9"/>
  </w:num>
  <w:num w:numId="25" w16cid:durableId="630483562">
    <w:abstractNumId w:val="25"/>
  </w:num>
  <w:num w:numId="26" w16cid:durableId="963004465">
    <w:abstractNumId w:val="28"/>
  </w:num>
  <w:num w:numId="27" w16cid:durableId="1276450925">
    <w:abstractNumId w:val="31"/>
  </w:num>
  <w:num w:numId="28" w16cid:durableId="1331367748">
    <w:abstractNumId w:val="38"/>
  </w:num>
  <w:num w:numId="29" w16cid:durableId="617614308">
    <w:abstractNumId w:val="35"/>
  </w:num>
  <w:num w:numId="30" w16cid:durableId="274488242">
    <w:abstractNumId w:val="3"/>
  </w:num>
  <w:num w:numId="31" w16cid:durableId="2096245033">
    <w:abstractNumId w:val="23"/>
  </w:num>
  <w:num w:numId="32" w16cid:durableId="570700640">
    <w:abstractNumId w:val="22"/>
  </w:num>
  <w:num w:numId="33" w16cid:durableId="211310451">
    <w:abstractNumId w:val="8"/>
  </w:num>
  <w:num w:numId="34" w16cid:durableId="1825199150">
    <w:abstractNumId w:val="18"/>
  </w:num>
  <w:num w:numId="35" w16cid:durableId="383259439">
    <w:abstractNumId w:val="14"/>
  </w:num>
  <w:num w:numId="36" w16cid:durableId="973019187">
    <w:abstractNumId w:val="49"/>
  </w:num>
  <w:num w:numId="37" w16cid:durableId="543753367">
    <w:abstractNumId w:val="32"/>
  </w:num>
  <w:num w:numId="38" w16cid:durableId="106200851">
    <w:abstractNumId w:val="16"/>
  </w:num>
  <w:num w:numId="39" w16cid:durableId="2106926089">
    <w:abstractNumId w:val="7"/>
  </w:num>
  <w:num w:numId="40" w16cid:durableId="410741908">
    <w:abstractNumId w:val="19"/>
  </w:num>
  <w:num w:numId="41" w16cid:durableId="729229958">
    <w:abstractNumId w:val="5"/>
  </w:num>
  <w:num w:numId="42" w16cid:durableId="2088109612">
    <w:abstractNumId w:val="4"/>
  </w:num>
  <w:num w:numId="43" w16cid:durableId="668942465">
    <w:abstractNumId w:val="27"/>
  </w:num>
  <w:num w:numId="44" w16cid:durableId="1908222684">
    <w:abstractNumId w:val="0"/>
  </w:num>
  <w:num w:numId="45" w16cid:durableId="2102867476">
    <w:abstractNumId w:val="29"/>
  </w:num>
  <w:num w:numId="46" w16cid:durableId="1494377070">
    <w:abstractNumId w:val="39"/>
  </w:num>
  <w:num w:numId="47" w16cid:durableId="496893996">
    <w:abstractNumId w:val="20"/>
  </w:num>
  <w:num w:numId="48" w16cid:durableId="268439258">
    <w:abstractNumId w:val="43"/>
  </w:num>
  <w:num w:numId="49" w16cid:durableId="1152327681">
    <w:abstractNumId w:val="42"/>
  </w:num>
  <w:num w:numId="50" w16cid:durableId="23319849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BA14BF-B39F-4235-9FD5-5AA44D495AA3}"/>
    <w:docVar w:name="dgnword-eventsink" w:val="2706653320304"/>
    <w:docVar w:name="dgnword-lastRevisionsView" w:val="0"/>
  </w:docVars>
  <w:rsids>
    <w:rsidRoot w:val="4251A1DF"/>
    <w:rsid w:val="00000D63"/>
    <w:rsid w:val="000020BF"/>
    <w:rsid w:val="00002ACD"/>
    <w:rsid w:val="00002DDF"/>
    <w:rsid w:val="000041F3"/>
    <w:rsid w:val="000055C2"/>
    <w:rsid w:val="00006860"/>
    <w:rsid w:val="00006967"/>
    <w:rsid w:val="00010190"/>
    <w:rsid w:val="00010CC1"/>
    <w:rsid w:val="0001186D"/>
    <w:rsid w:val="0001350A"/>
    <w:rsid w:val="000137FC"/>
    <w:rsid w:val="0001537B"/>
    <w:rsid w:val="00015BA3"/>
    <w:rsid w:val="0001650A"/>
    <w:rsid w:val="00016720"/>
    <w:rsid w:val="000167B4"/>
    <w:rsid w:val="0001740D"/>
    <w:rsid w:val="0002041A"/>
    <w:rsid w:val="00021D76"/>
    <w:rsid w:val="00022121"/>
    <w:rsid w:val="00024237"/>
    <w:rsid w:val="00024633"/>
    <w:rsid w:val="00025604"/>
    <w:rsid w:val="000266A8"/>
    <w:rsid w:val="0002677F"/>
    <w:rsid w:val="000272B9"/>
    <w:rsid w:val="000273E3"/>
    <w:rsid w:val="0003263A"/>
    <w:rsid w:val="00033587"/>
    <w:rsid w:val="00034D0A"/>
    <w:rsid w:val="00037B8B"/>
    <w:rsid w:val="00040276"/>
    <w:rsid w:val="00041500"/>
    <w:rsid w:val="00041712"/>
    <w:rsid w:val="00042142"/>
    <w:rsid w:val="00043307"/>
    <w:rsid w:val="0004331A"/>
    <w:rsid w:val="00043602"/>
    <w:rsid w:val="00044CEE"/>
    <w:rsid w:val="00044DE5"/>
    <w:rsid w:val="00044E54"/>
    <w:rsid w:val="00046257"/>
    <w:rsid w:val="00046457"/>
    <w:rsid w:val="00046A98"/>
    <w:rsid w:val="00046D37"/>
    <w:rsid w:val="0004718B"/>
    <w:rsid w:val="0004793A"/>
    <w:rsid w:val="0005017E"/>
    <w:rsid w:val="000527EC"/>
    <w:rsid w:val="00052F6A"/>
    <w:rsid w:val="00053171"/>
    <w:rsid w:val="0005341E"/>
    <w:rsid w:val="00054833"/>
    <w:rsid w:val="000558DC"/>
    <w:rsid w:val="00055A53"/>
    <w:rsid w:val="00056E0B"/>
    <w:rsid w:val="0005702C"/>
    <w:rsid w:val="000578EA"/>
    <w:rsid w:val="00061043"/>
    <w:rsid w:val="00062DA7"/>
    <w:rsid w:val="00063140"/>
    <w:rsid w:val="00065317"/>
    <w:rsid w:val="000664D2"/>
    <w:rsid w:val="000672EB"/>
    <w:rsid w:val="00067B71"/>
    <w:rsid w:val="00070D43"/>
    <w:rsid w:val="000713C3"/>
    <w:rsid w:val="00072988"/>
    <w:rsid w:val="00072ABC"/>
    <w:rsid w:val="000744FC"/>
    <w:rsid w:val="00080300"/>
    <w:rsid w:val="00080B90"/>
    <w:rsid w:val="000828BB"/>
    <w:rsid w:val="0008391C"/>
    <w:rsid w:val="00083DAE"/>
    <w:rsid w:val="00084C9C"/>
    <w:rsid w:val="000857A8"/>
    <w:rsid w:val="0008594A"/>
    <w:rsid w:val="00086C9B"/>
    <w:rsid w:val="0008708F"/>
    <w:rsid w:val="0009016F"/>
    <w:rsid w:val="00090293"/>
    <w:rsid w:val="00091AC9"/>
    <w:rsid w:val="00091EB8"/>
    <w:rsid w:val="00096B61"/>
    <w:rsid w:val="000A0FF7"/>
    <w:rsid w:val="000A1BF7"/>
    <w:rsid w:val="000A1EBC"/>
    <w:rsid w:val="000A20C8"/>
    <w:rsid w:val="000A30F3"/>
    <w:rsid w:val="000A45EB"/>
    <w:rsid w:val="000A4AF5"/>
    <w:rsid w:val="000A6CBE"/>
    <w:rsid w:val="000A72C8"/>
    <w:rsid w:val="000A7892"/>
    <w:rsid w:val="000A7D02"/>
    <w:rsid w:val="000B1150"/>
    <w:rsid w:val="000B3809"/>
    <w:rsid w:val="000B59A7"/>
    <w:rsid w:val="000B72C1"/>
    <w:rsid w:val="000C23A2"/>
    <w:rsid w:val="000C255D"/>
    <w:rsid w:val="000C281B"/>
    <w:rsid w:val="000C42CF"/>
    <w:rsid w:val="000C50D5"/>
    <w:rsid w:val="000C5845"/>
    <w:rsid w:val="000C69EA"/>
    <w:rsid w:val="000C6DB6"/>
    <w:rsid w:val="000C6E53"/>
    <w:rsid w:val="000C707A"/>
    <w:rsid w:val="000C7680"/>
    <w:rsid w:val="000C7F8B"/>
    <w:rsid w:val="000D0C6E"/>
    <w:rsid w:val="000D106A"/>
    <w:rsid w:val="000D2F29"/>
    <w:rsid w:val="000D3255"/>
    <w:rsid w:val="000D33F0"/>
    <w:rsid w:val="000D65A8"/>
    <w:rsid w:val="000D71FE"/>
    <w:rsid w:val="000D729D"/>
    <w:rsid w:val="000D7EF9"/>
    <w:rsid w:val="000E08DB"/>
    <w:rsid w:val="000E1D40"/>
    <w:rsid w:val="000E2928"/>
    <w:rsid w:val="000E33CC"/>
    <w:rsid w:val="000E38A5"/>
    <w:rsid w:val="000E44F7"/>
    <w:rsid w:val="000E5414"/>
    <w:rsid w:val="000E54A1"/>
    <w:rsid w:val="000E59F5"/>
    <w:rsid w:val="000E6662"/>
    <w:rsid w:val="000E680A"/>
    <w:rsid w:val="000E733C"/>
    <w:rsid w:val="000F01EC"/>
    <w:rsid w:val="000F0CF4"/>
    <w:rsid w:val="000F1070"/>
    <w:rsid w:val="000F2429"/>
    <w:rsid w:val="000F2B0E"/>
    <w:rsid w:val="000F3001"/>
    <w:rsid w:val="000F31A3"/>
    <w:rsid w:val="000F5746"/>
    <w:rsid w:val="000F5B00"/>
    <w:rsid w:val="000F7C6E"/>
    <w:rsid w:val="001016D8"/>
    <w:rsid w:val="00102D3B"/>
    <w:rsid w:val="001034DF"/>
    <w:rsid w:val="00104DA8"/>
    <w:rsid w:val="00106D22"/>
    <w:rsid w:val="00110C64"/>
    <w:rsid w:val="001117A0"/>
    <w:rsid w:val="00111BE1"/>
    <w:rsid w:val="00111C02"/>
    <w:rsid w:val="00112266"/>
    <w:rsid w:val="0011249A"/>
    <w:rsid w:val="001148AA"/>
    <w:rsid w:val="00114BE5"/>
    <w:rsid w:val="0011526C"/>
    <w:rsid w:val="00116364"/>
    <w:rsid w:val="00116831"/>
    <w:rsid w:val="001206E6"/>
    <w:rsid w:val="00121111"/>
    <w:rsid w:val="00121731"/>
    <w:rsid w:val="00121C74"/>
    <w:rsid w:val="00121C9C"/>
    <w:rsid w:val="00122601"/>
    <w:rsid w:val="00122EB6"/>
    <w:rsid w:val="00123646"/>
    <w:rsid w:val="001243EB"/>
    <w:rsid w:val="001251B6"/>
    <w:rsid w:val="00125799"/>
    <w:rsid w:val="00126584"/>
    <w:rsid w:val="001273AF"/>
    <w:rsid w:val="00131B70"/>
    <w:rsid w:val="001342ED"/>
    <w:rsid w:val="00134C53"/>
    <w:rsid w:val="00135608"/>
    <w:rsid w:val="00136544"/>
    <w:rsid w:val="00140A91"/>
    <w:rsid w:val="0014122B"/>
    <w:rsid w:val="00141E35"/>
    <w:rsid w:val="00142045"/>
    <w:rsid w:val="001455D2"/>
    <w:rsid w:val="00145B7B"/>
    <w:rsid w:val="00145D08"/>
    <w:rsid w:val="001469BE"/>
    <w:rsid w:val="001470D7"/>
    <w:rsid w:val="00147F2B"/>
    <w:rsid w:val="001502E4"/>
    <w:rsid w:val="00150AD9"/>
    <w:rsid w:val="00150D12"/>
    <w:rsid w:val="001519CC"/>
    <w:rsid w:val="001526CD"/>
    <w:rsid w:val="001526D7"/>
    <w:rsid w:val="001529E8"/>
    <w:rsid w:val="00152CDA"/>
    <w:rsid w:val="00152DF9"/>
    <w:rsid w:val="00153949"/>
    <w:rsid w:val="00153F6C"/>
    <w:rsid w:val="00154012"/>
    <w:rsid w:val="00154AA4"/>
    <w:rsid w:val="00155B80"/>
    <w:rsid w:val="001563E5"/>
    <w:rsid w:val="001568EF"/>
    <w:rsid w:val="0016058E"/>
    <w:rsid w:val="0016277A"/>
    <w:rsid w:val="00162CCA"/>
    <w:rsid w:val="001661C3"/>
    <w:rsid w:val="00166CA0"/>
    <w:rsid w:val="00166F74"/>
    <w:rsid w:val="001673FC"/>
    <w:rsid w:val="00167624"/>
    <w:rsid w:val="00170BEC"/>
    <w:rsid w:val="0017163F"/>
    <w:rsid w:val="0017204C"/>
    <w:rsid w:val="0017210E"/>
    <w:rsid w:val="001730BA"/>
    <w:rsid w:val="001743FB"/>
    <w:rsid w:val="00174442"/>
    <w:rsid w:val="00175CB6"/>
    <w:rsid w:val="00176735"/>
    <w:rsid w:val="00180A58"/>
    <w:rsid w:val="00181F6C"/>
    <w:rsid w:val="001824A6"/>
    <w:rsid w:val="00182566"/>
    <w:rsid w:val="00182D19"/>
    <w:rsid w:val="00182E9A"/>
    <w:rsid w:val="0018353E"/>
    <w:rsid w:val="00184C53"/>
    <w:rsid w:val="001857C6"/>
    <w:rsid w:val="00185A38"/>
    <w:rsid w:val="00186E97"/>
    <w:rsid w:val="00190F2C"/>
    <w:rsid w:val="0019264A"/>
    <w:rsid w:val="001928EA"/>
    <w:rsid w:val="001930E5"/>
    <w:rsid w:val="00193F61"/>
    <w:rsid w:val="00194C85"/>
    <w:rsid w:val="00194F8A"/>
    <w:rsid w:val="0019637B"/>
    <w:rsid w:val="00196BDA"/>
    <w:rsid w:val="00197ABD"/>
    <w:rsid w:val="00197D06"/>
    <w:rsid w:val="001A006A"/>
    <w:rsid w:val="001A01CD"/>
    <w:rsid w:val="001A38FC"/>
    <w:rsid w:val="001A3B6D"/>
    <w:rsid w:val="001A3C2A"/>
    <w:rsid w:val="001A63C3"/>
    <w:rsid w:val="001A65FD"/>
    <w:rsid w:val="001B0FEF"/>
    <w:rsid w:val="001B14B1"/>
    <w:rsid w:val="001B1B19"/>
    <w:rsid w:val="001B2DF1"/>
    <w:rsid w:val="001B344A"/>
    <w:rsid w:val="001B48DC"/>
    <w:rsid w:val="001B512C"/>
    <w:rsid w:val="001B5C9F"/>
    <w:rsid w:val="001B63CA"/>
    <w:rsid w:val="001B67A6"/>
    <w:rsid w:val="001B71D8"/>
    <w:rsid w:val="001B7B4D"/>
    <w:rsid w:val="001B7B97"/>
    <w:rsid w:val="001C0345"/>
    <w:rsid w:val="001C1354"/>
    <w:rsid w:val="001C1B8A"/>
    <w:rsid w:val="001C212E"/>
    <w:rsid w:val="001C217D"/>
    <w:rsid w:val="001C267B"/>
    <w:rsid w:val="001C33CD"/>
    <w:rsid w:val="001C3794"/>
    <w:rsid w:val="001C381F"/>
    <w:rsid w:val="001C3B07"/>
    <w:rsid w:val="001C3C0E"/>
    <w:rsid w:val="001C4E0A"/>
    <w:rsid w:val="001C5016"/>
    <w:rsid w:val="001C50AD"/>
    <w:rsid w:val="001C5919"/>
    <w:rsid w:val="001C5BD7"/>
    <w:rsid w:val="001C7DE9"/>
    <w:rsid w:val="001D134F"/>
    <w:rsid w:val="001D1354"/>
    <w:rsid w:val="001D2C93"/>
    <w:rsid w:val="001D2DF3"/>
    <w:rsid w:val="001D2E71"/>
    <w:rsid w:val="001D395D"/>
    <w:rsid w:val="001D427A"/>
    <w:rsid w:val="001D468F"/>
    <w:rsid w:val="001D52BF"/>
    <w:rsid w:val="001D6384"/>
    <w:rsid w:val="001D6B3D"/>
    <w:rsid w:val="001D7008"/>
    <w:rsid w:val="001D72B7"/>
    <w:rsid w:val="001D75FD"/>
    <w:rsid w:val="001E169C"/>
    <w:rsid w:val="001E1776"/>
    <w:rsid w:val="001E1956"/>
    <w:rsid w:val="001E24FB"/>
    <w:rsid w:val="001E4421"/>
    <w:rsid w:val="001E45B6"/>
    <w:rsid w:val="001E4870"/>
    <w:rsid w:val="001E495F"/>
    <w:rsid w:val="001E582A"/>
    <w:rsid w:val="001E59BF"/>
    <w:rsid w:val="001E6659"/>
    <w:rsid w:val="001E6979"/>
    <w:rsid w:val="001F0CC8"/>
    <w:rsid w:val="001F1FA1"/>
    <w:rsid w:val="001F222D"/>
    <w:rsid w:val="001F2668"/>
    <w:rsid w:val="001F377B"/>
    <w:rsid w:val="001F390E"/>
    <w:rsid w:val="001F52FC"/>
    <w:rsid w:val="001F59B5"/>
    <w:rsid w:val="001F71C3"/>
    <w:rsid w:val="001F76C3"/>
    <w:rsid w:val="002000EC"/>
    <w:rsid w:val="002009EC"/>
    <w:rsid w:val="002020C0"/>
    <w:rsid w:val="00203FDE"/>
    <w:rsid w:val="0020424B"/>
    <w:rsid w:val="002046CE"/>
    <w:rsid w:val="00204D9A"/>
    <w:rsid w:val="00205227"/>
    <w:rsid w:val="002073B5"/>
    <w:rsid w:val="002107CF"/>
    <w:rsid w:val="00210B56"/>
    <w:rsid w:val="00211B2D"/>
    <w:rsid w:val="00213241"/>
    <w:rsid w:val="00213AA5"/>
    <w:rsid w:val="00213F74"/>
    <w:rsid w:val="002142C3"/>
    <w:rsid w:val="00216DBF"/>
    <w:rsid w:val="00222B83"/>
    <w:rsid w:val="002232B6"/>
    <w:rsid w:val="00224C6B"/>
    <w:rsid w:val="00225F5A"/>
    <w:rsid w:val="00226101"/>
    <w:rsid w:val="00226ECD"/>
    <w:rsid w:val="00227611"/>
    <w:rsid w:val="002318FB"/>
    <w:rsid w:val="00231B4E"/>
    <w:rsid w:val="00233775"/>
    <w:rsid w:val="002338D5"/>
    <w:rsid w:val="00234855"/>
    <w:rsid w:val="00236CC8"/>
    <w:rsid w:val="00236EF6"/>
    <w:rsid w:val="0023737E"/>
    <w:rsid w:val="0023751D"/>
    <w:rsid w:val="00237C5B"/>
    <w:rsid w:val="00241E71"/>
    <w:rsid w:val="0024360B"/>
    <w:rsid w:val="002437E7"/>
    <w:rsid w:val="00244CEA"/>
    <w:rsid w:val="0024517A"/>
    <w:rsid w:val="00246818"/>
    <w:rsid w:val="00246BE7"/>
    <w:rsid w:val="00247188"/>
    <w:rsid w:val="00250112"/>
    <w:rsid w:val="0025082B"/>
    <w:rsid w:val="00251DEB"/>
    <w:rsid w:val="00251DF8"/>
    <w:rsid w:val="002526D4"/>
    <w:rsid w:val="00252769"/>
    <w:rsid w:val="0025303F"/>
    <w:rsid w:val="00253046"/>
    <w:rsid w:val="0025364C"/>
    <w:rsid w:val="00253B06"/>
    <w:rsid w:val="002544F4"/>
    <w:rsid w:val="0025536E"/>
    <w:rsid w:val="0025597E"/>
    <w:rsid w:val="00255DE3"/>
    <w:rsid w:val="00255E6F"/>
    <w:rsid w:val="00256C6B"/>
    <w:rsid w:val="00257081"/>
    <w:rsid w:val="0025757E"/>
    <w:rsid w:val="0025781B"/>
    <w:rsid w:val="002579F2"/>
    <w:rsid w:val="00257D03"/>
    <w:rsid w:val="00260564"/>
    <w:rsid w:val="00260FEC"/>
    <w:rsid w:val="00261620"/>
    <w:rsid w:val="002616CA"/>
    <w:rsid w:val="00261F2B"/>
    <w:rsid w:val="0026348F"/>
    <w:rsid w:val="0026408B"/>
    <w:rsid w:val="0026429F"/>
    <w:rsid w:val="0026452D"/>
    <w:rsid w:val="00266A50"/>
    <w:rsid w:val="00267AE4"/>
    <w:rsid w:val="0027021A"/>
    <w:rsid w:val="0027098D"/>
    <w:rsid w:val="00270E8D"/>
    <w:rsid w:val="00271D74"/>
    <w:rsid w:val="00272C4B"/>
    <w:rsid w:val="0027322A"/>
    <w:rsid w:val="0027351D"/>
    <w:rsid w:val="00275BE8"/>
    <w:rsid w:val="00276721"/>
    <w:rsid w:val="00277289"/>
    <w:rsid w:val="002773C2"/>
    <w:rsid w:val="00277B6E"/>
    <w:rsid w:val="00280180"/>
    <w:rsid w:val="002803E2"/>
    <w:rsid w:val="00281205"/>
    <w:rsid w:val="00281EAB"/>
    <w:rsid w:val="0028321A"/>
    <w:rsid w:val="002837AE"/>
    <w:rsid w:val="00283D98"/>
    <w:rsid w:val="00284C4B"/>
    <w:rsid w:val="00286158"/>
    <w:rsid w:val="00286321"/>
    <w:rsid w:val="0028693A"/>
    <w:rsid w:val="00286EF6"/>
    <w:rsid w:val="00287808"/>
    <w:rsid w:val="00290F8F"/>
    <w:rsid w:val="00292E59"/>
    <w:rsid w:val="0029339F"/>
    <w:rsid w:val="002942CB"/>
    <w:rsid w:val="00296787"/>
    <w:rsid w:val="00296CFC"/>
    <w:rsid w:val="002A35F3"/>
    <w:rsid w:val="002A385D"/>
    <w:rsid w:val="002A559A"/>
    <w:rsid w:val="002A5A5C"/>
    <w:rsid w:val="002A5BA5"/>
    <w:rsid w:val="002A6E73"/>
    <w:rsid w:val="002A7582"/>
    <w:rsid w:val="002A7760"/>
    <w:rsid w:val="002A78F3"/>
    <w:rsid w:val="002A7EA8"/>
    <w:rsid w:val="002B1863"/>
    <w:rsid w:val="002B31A5"/>
    <w:rsid w:val="002B3272"/>
    <w:rsid w:val="002B6295"/>
    <w:rsid w:val="002B6D30"/>
    <w:rsid w:val="002B7383"/>
    <w:rsid w:val="002C0CD6"/>
    <w:rsid w:val="002C3A83"/>
    <w:rsid w:val="002C4CC5"/>
    <w:rsid w:val="002C5215"/>
    <w:rsid w:val="002C67F3"/>
    <w:rsid w:val="002C6E51"/>
    <w:rsid w:val="002C6FA0"/>
    <w:rsid w:val="002C73FD"/>
    <w:rsid w:val="002C7AE6"/>
    <w:rsid w:val="002D0A97"/>
    <w:rsid w:val="002D0EC7"/>
    <w:rsid w:val="002D2369"/>
    <w:rsid w:val="002D3A91"/>
    <w:rsid w:val="002D4C73"/>
    <w:rsid w:val="002D51F4"/>
    <w:rsid w:val="002D532E"/>
    <w:rsid w:val="002D53DE"/>
    <w:rsid w:val="002D591A"/>
    <w:rsid w:val="002D5E99"/>
    <w:rsid w:val="002D6DC8"/>
    <w:rsid w:val="002D76BD"/>
    <w:rsid w:val="002E0331"/>
    <w:rsid w:val="002E180F"/>
    <w:rsid w:val="002E1EF2"/>
    <w:rsid w:val="002E27CD"/>
    <w:rsid w:val="002E2D45"/>
    <w:rsid w:val="002E3CA0"/>
    <w:rsid w:val="002E43DE"/>
    <w:rsid w:val="002E45F5"/>
    <w:rsid w:val="002E527B"/>
    <w:rsid w:val="002E58AD"/>
    <w:rsid w:val="002E5C2F"/>
    <w:rsid w:val="002E655E"/>
    <w:rsid w:val="002E695C"/>
    <w:rsid w:val="002E6AF1"/>
    <w:rsid w:val="002E7E64"/>
    <w:rsid w:val="002E7E91"/>
    <w:rsid w:val="002F1CFC"/>
    <w:rsid w:val="002F3691"/>
    <w:rsid w:val="002F3CA8"/>
    <w:rsid w:val="002F511E"/>
    <w:rsid w:val="002F58EC"/>
    <w:rsid w:val="002F5C4F"/>
    <w:rsid w:val="002F6157"/>
    <w:rsid w:val="002F7B76"/>
    <w:rsid w:val="003012C4"/>
    <w:rsid w:val="00301BF9"/>
    <w:rsid w:val="00301DDD"/>
    <w:rsid w:val="00302D22"/>
    <w:rsid w:val="00304E57"/>
    <w:rsid w:val="00305689"/>
    <w:rsid w:val="003066C3"/>
    <w:rsid w:val="00306862"/>
    <w:rsid w:val="00307E92"/>
    <w:rsid w:val="00310F6B"/>
    <w:rsid w:val="00315480"/>
    <w:rsid w:val="003168FB"/>
    <w:rsid w:val="00316936"/>
    <w:rsid w:val="00317413"/>
    <w:rsid w:val="00320936"/>
    <w:rsid w:val="00321017"/>
    <w:rsid w:val="0032110A"/>
    <w:rsid w:val="003218F5"/>
    <w:rsid w:val="003245F3"/>
    <w:rsid w:val="00324902"/>
    <w:rsid w:val="00326311"/>
    <w:rsid w:val="00326E68"/>
    <w:rsid w:val="00327904"/>
    <w:rsid w:val="00331160"/>
    <w:rsid w:val="003312E0"/>
    <w:rsid w:val="00335895"/>
    <w:rsid w:val="00336E08"/>
    <w:rsid w:val="0033792F"/>
    <w:rsid w:val="00337B3E"/>
    <w:rsid w:val="003425BE"/>
    <w:rsid w:val="00342D89"/>
    <w:rsid w:val="003433DE"/>
    <w:rsid w:val="00343E80"/>
    <w:rsid w:val="00344B15"/>
    <w:rsid w:val="003450EA"/>
    <w:rsid w:val="00345CBB"/>
    <w:rsid w:val="003465FE"/>
    <w:rsid w:val="003507F2"/>
    <w:rsid w:val="003512B6"/>
    <w:rsid w:val="00353880"/>
    <w:rsid w:val="003553BD"/>
    <w:rsid w:val="00357CB7"/>
    <w:rsid w:val="00357CF9"/>
    <w:rsid w:val="003604E5"/>
    <w:rsid w:val="003611BD"/>
    <w:rsid w:val="003618D5"/>
    <w:rsid w:val="0036217F"/>
    <w:rsid w:val="0036452A"/>
    <w:rsid w:val="003661F4"/>
    <w:rsid w:val="00366C3F"/>
    <w:rsid w:val="00366E17"/>
    <w:rsid w:val="00367F87"/>
    <w:rsid w:val="003700AD"/>
    <w:rsid w:val="0037277C"/>
    <w:rsid w:val="00372A90"/>
    <w:rsid w:val="0037310F"/>
    <w:rsid w:val="003732A7"/>
    <w:rsid w:val="00373EA3"/>
    <w:rsid w:val="003764F8"/>
    <w:rsid w:val="0037726A"/>
    <w:rsid w:val="00377B49"/>
    <w:rsid w:val="00377C3F"/>
    <w:rsid w:val="003801D9"/>
    <w:rsid w:val="00381109"/>
    <w:rsid w:val="00381D7D"/>
    <w:rsid w:val="00382005"/>
    <w:rsid w:val="0038237C"/>
    <w:rsid w:val="003833D2"/>
    <w:rsid w:val="00383AEE"/>
    <w:rsid w:val="00383B21"/>
    <w:rsid w:val="00384108"/>
    <w:rsid w:val="0038421F"/>
    <w:rsid w:val="0038435A"/>
    <w:rsid w:val="00384420"/>
    <w:rsid w:val="00386848"/>
    <w:rsid w:val="0038688D"/>
    <w:rsid w:val="00390B88"/>
    <w:rsid w:val="00391CED"/>
    <w:rsid w:val="00391E3E"/>
    <w:rsid w:val="00394C72"/>
    <w:rsid w:val="00394D74"/>
    <w:rsid w:val="00395AC8"/>
    <w:rsid w:val="0039634F"/>
    <w:rsid w:val="00396ACD"/>
    <w:rsid w:val="00396E6D"/>
    <w:rsid w:val="00396EBD"/>
    <w:rsid w:val="003A2523"/>
    <w:rsid w:val="003A2A95"/>
    <w:rsid w:val="003A2AD3"/>
    <w:rsid w:val="003A3189"/>
    <w:rsid w:val="003A39DC"/>
    <w:rsid w:val="003A3CBE"/>
    <w:rsid w:val="003A48E9"/>
    <w:rsid w:val="003A4C65"/>
    <w:rsid w:val="003A5433"/>
    <w:rsid w:val="003A6687"/>
    <w:rsid w:val="003B0138"/>
    <w:rsid w:val="003B0F8B"/>
    <w:rsid w:val="003B12EB"/>
    <w:rsid w:val="003B13D0"/>
    <w:rsid w:val="003B1780"/>
    <w:rsid w:val="003B305B"/>
    <w:rsid w:val="003B3D54"/>
    <w:rsid w:val="003B5692"/>
    <w:rsid w:val="003B7050"/>
    <w:rsid w:val="003C18FE"/>
    <w:rsid w:val="003C1B2A"/>
    <w:rsid w:val="003C24AA"/>
    <w:rsid w:val="003C2BAC"/>
    <w:rsid w:val="003C3725"/>
    <w:rsid w:val="003C43A1"/>
    <w:rsid w:val="003C46C7"/>
    <w:rsid w:val="003C63D1"/>
    <w:rsid w:val="003C6743"/>
    <w:rsid w:val="003C6A71"/>
    <w:rsid w:val="003C6FCE"/>
    <w:rsid w:val="003C7489"/>
    <w:rsid w:val="003D21E4"/>
    <w:rsid w:val="003D22D0"/>
    <w:rsid w:val="003D41F7"/>
    <w:rsid w:val="003D4DF9"/>
    <w:rsid w:val="003D50BC"/>
    <w:rsid w:val="003D532D"/>
    <w:rsid w:val="003D536A"/>
    <w:rsid w:val="003D5433"/>
    <w:rsid w:val="003D581C"/>
    <w:rsid w:val="003D5BBB"/>
    <w:rsid w:val="003D5FAC"/>
    <w:rsid w:val="003D6BCA"/>
    <w:rsid w:val="003E1CD4"/>
    <w:rsid w:val="003E1DBD"/>
    <w:rsid w:val="003E2026"/>
    <w:rsid w:val="003E2378"/>
    <w:rsid w:val="003E349E"/>
    <w:rsid w:val="003E382C"/>
    <w:rsid w:val="003E3F68"/>
    <w:rsid w:val="003E4C30"/>
    <w:rsid w:val="003E5753"/>
    <w:rsid w:val="003E6198"/>
    <w:rsid w:val="003E7274"/>
    <w:rsid w:val="003F1D0B"/>
    <w:rsid w:val="003F336A"/>
    <w:rsid w:val="003F3688"/>
    <w:rsid w:val="003F441E"/>
    <w:rsid w:val="003F582C"/>
    <w:rsid w:val="003F5DAC"/>
    <w:rsid w:val="00400E82"/>
    <w:rsid w:val="0040142D"/>
    <w:rsid w:val="00401802"/>
    <w:rsid w:val="00402A39"/>
    <w:rsid w:val="00403DB1"/>
    <w:rsid w:val="00403EDB"/>
    <w:rsid w:val="00404CDD"/>
    <w:rsid w:val="004051C3"/>
    <w:rsid w:val="00405822"/>
    <w:rsid w:val="00405A9D"/>
    <w:rsid w:val="004077FC"/>
    <w:rsid w:val="004077FE"/>
    <w:rsid w:val="00411DE8"/>
    <w:rsid w:val="004137C5"/>
    <w:rsid w:val="00414009"/>
    <w:rsid w:val="0041444C"/>
    <w:rsid w:val="00414A71"/>
    <w:rsid w:val="00414FB9"/>
    <w:rsid w:val="00415199"/>
    <w:rsid w:val="00415CC5"/>
    <w:rsid w:val="00416074"/>
    <w:rsid w:val="004169DF"/>
    <w:rsid w:val="004175ED"/>
    <w:rsid w:val="0041783C"/>
    <w:rsid w:val="00417C96"/>
    <w:rsid w:val="00423807"/>
    <w:rsid w:val="00425FB1"/>
    <w:rsid w:val="00427EF5"/>
    <w:rsid w:val="00430685"/>
    <w:rsid w:val="00430F52"/>
    <w:rsid w:val="00431541"/>
    <w:rsid w:val="00431BF4"/>
    <w:rsid w:val="00432780"/>
    <w:rsid w:val="00432EF5"/>
    <w:rsid w:val="00434A5A"/>
    <w:rsid w:val="00434B64"/>
    <w:rsid w:val="00434ECA"/>
    <w:rsid w:val="00435434"/>
    <w:rsid w:val="00435A77"/>
    <w:rsid w:val="00437394"/>
    <w:rsid w:val="004378D2"/>
    <w:rsid w:val="004405FD"/>
    <w:rsid w:val="00440F9E"/>
    <w:rsid w:val="00442BC5"/>
    <w:rsid w:val="00444BEC"/>
    <w:rsid w:val="0044772F"/>
    <w:rsid w:val="004538EF"/>
    <w:rsid w:val="00456E1E"/>
    <w:rsid w:val="00456FC3"/>
    <w:rsid w:val="004571C1"/>
    <w:rsid w:val="0045723C"/>
    <w:rsid w:val="004578CB"/>
    <w:rsid w:val="00457942"/>
    <w:rsid w:val="00457E78"/>
    <w:rsid w:val="004604A9"/>
    <w:rsid w:val="00460A81"/>
    <w:rsid w:val="0046310D"/>
    <w:rsid w:val="0046314B"/>
    <w:rsid w:val="004679C3"/>
    <w:rsid w:val="00470250"/>
    <w:rsid w:val="00470909"/>
    <w:rsid w:val="004719FD"/>
    <w:rsid w:val="00472371"/>
    <w:rsid w:val="00472505"/>
    <w:rsid w:val="00472E0A"/>
    <w:rsid w:val="00473370"/>
    <w:rsid w:val="0047390F"/>
    <w:rsid w:val="00473A1D"/>
    <w:rsid w:val="004748A9"/>
    <w:rsid w:val="00475E07"/>
    <w:rsid w:val="004810AC"/>
    <w:rsid w:val="0048118F"/>
    <w:rsid w:val="00481C61"/>
    <w:rsid w:val="004820B9"/>
    <w:rsid w:val="00483530"/>
    <w:rsid w:val="00483B50"/>
    <w:rsid w:val="004848A4"/>
    <w:rsid w:val="00484CDC"/>
    <w:rsid w:val="004850CD"/>
    <w:rsid w:val="0048552C"/>
    <w:rsid w:val="00485BC1"/>
    <w:rsid w:val="00485BF3"/>
    <w:rsid w:val="00490BFB"/>
    <w:rsid w:val="00490E94"/>
    <w:rsid w:val="00491559"/>
    <w:rsid w:val="00492B4C"/>
    <w:rsid w:val="00492EA4"/>
    <w:rsid w:val="0049304A"/>
    <w:rsid w:val="0049471C"/>
    <w:rsid w:val="00494897"/>
    <w:rsid w:val="00495144"/>
    <w:rsid w:val="004951FD"/>
    <w:rsid w:val="0049540E"/>
    <w:rsid w:val="00496744"/>
    <w:rsid w:val="004A0667"/>
    <w:rsid w:val="004A0CF7"/>
    <w:rsid w:val="004A1E0D"/>
    <w:rsid w:val="004A29BD"/>
    <w:rsid w:val="004A2AF0"/>
    <w:rsid w:val="004A41D5"/>
    <w:rsid w:val="004A43A6"/>
    <w:rsid w:val="004A4586"/>
    <w:rsid w:val="004A4C1F"/>
    <w:rsid w:val="004A4EE4"/>
    <w:rsid w:val="004A51CD"/>
    <w:rsid w:val="004A5EBE"/>
    <w:rsid w:val="004A5EF2"/>
    <w:rsid w:val="004A6394"/>
    <w:rsid w:val="004A6698"/>
    <w:rsid w:val="004B11B7"/>
    <w:rsid w:val="004B2152"/>
    <w:rsid w:val="004B35BF"/>
    <w:rsid w:val="004B3F5D"/>
    <w:rsid w:val="004B420D"/>
    <w:rsid w:val="004B49EF"/>
    <w:rsid w:val="004B68C6"/>
    <w:rsid w:val="004B69A5"/>
    <w:rsid w:val="004B71B8"/>
    <w:rsid w:val="004C0CC2"/>
    <w:rsid w:val="004C0F56"/>
    <w:rsid w:val="004C4305"/>
    <w:rsid w:val="004C5DA7"/>
    <w:rsid w:val="004C652A"/>
    <w:rsid w:val="004C7EC8"/>
    <w:rsid w:val="004D1E94"/>
    <w:rsid w:val="004D62F1"/>
    <w:rsid w:val="004D7054"/>
    <w:rsid w:val="004D7AEB"/>
    <w:rsid w:val="004E0085"/>
    <w:rsid w:val="004E0EE7"/>
    <w:rsid w:val="004E126C"/>
    <w:rsid w:val="004E41B6"/>
    <w:rsid w:val="004E449F"/>
    <w:rsid w:val="004E47AF"/>
    <w:rsid w:val="004E4CEF"/>
    <w:rsid w:val="004E7302"/>
    <w:rsid w:val="004E75BA"/>
    <w:rsid w:val="004F02C6"/>
    <w:rsid w:val="004F1D71"/>
    <w:rsid w:val="004F2102"/>
    <w:rsid w:val="004F3169"/>
    <w:rsid w:val="004F3715"/>
    <w:rsid w:val="004F3E3C"/>
    <w:rsid w:val="004F5824"/>
    <w:rsid w:val="004F7570"/>
    <w:rsid w:val="00501290"/>
    <w:rsid w:val="00501A37"/>
    <w:rsid w:val="005022D8"/>
    <w:rsid w:val="005029E8"/>
    <w:rsid w:val="00503D93"/>
    <w:rsid w:val="00504593"/>
    <w:rsid w:val="00504AB9"/>
    <w:rsid w:val="00506469"/>
    <w:rsid w:val="00506705"/>
    <w:rsid w:val="00510D1C"/>
    <w:rsid w:val="00511AA9"/>
    <w:rsid w:val="005124D9"/>
    <w:rsid w:val="00513AFC"/>
    <w:rsid w:val="00514290"/>
    <w:rsid w:val="00514C8D"/>
    <w:rsid w:val="00515D06"/>
    <w:rsid w:val="00515ED6"/>
    <w:rsid w:val="0051719D"/>
    <w:rsid w:val="0051761D"/>
    <w:rsid w:val="00517AEE"/>
    <w:rsid w:val="00521972"/>
    <w:rsid w:val="00523D84"/>
    <w:rsid w:val="00524199"/>
    <w:rsid w:val="0052534E"/>
    <w:rsid w:val="00525794"/>
    <w:rsid w:val="005269A7"/>
    <w:rsid w:val="0052734F"/>
    <w:rsid w:val="00531233"/>
    <w:rsid w:val="0053164F"/>
    <w:rsid w:val="00532339"/>
    <w:rsid w:val="00532B88"/>
    <w:rsid w:val="00532CE3"/>
    <w:rsid w:val="0053384A"/>
    <w:rsid w:val="00535C76"/>
    <w:rsid w:val="00536384"/>
    <w:rsid w:val="005368F2"/>
    <w:rsid w:val="00536A98"/>
    <w:rsid w:val="00540618"/>
    <w:rsid w:val="00540B26"/>
    <w:rsid w:val="00541FF2"/>
    <w:rsid w:val="005441C9"/>
    <w:rsid w:val="005451C0"/>
    <w:rsid w:val="005456BE"/>
    <w:rsid w:val="00545D96"/>
    <w:rsid w:val="00546948"/>
    <w:rsid w:val="00547029"/>
    <w:rsid w:val="00547E5F"/>
    <w:rsid w:val="005507F5"/>
    <w:rsid w:val="00550849"/>
    <w:rsid w:val="0055102E"/>
    <w:rsid w:val="00551391"/>
    <w:rsid w:val="005513EE"/>
    <w:rsid w:val="00551573"/>
    <w:rsid w:val="00551BE8"/>
    <w:rsid w:val="00551E57"/>
    <w:rsid w:val="00553847"/>
    <w:rsid w:val="00553D06"/>
    <w:rsid w:val="00553FE7"/>
    <w:rsid w:val="00555E1E"/>
    <w:rsid w:val="00556AB8"/>
    <w:rsid w:val="0055790C"/>
    <w:rsid w:val="00557D07"/>
    <w:rsid w:val="0056000A"/>
    <w:rsid w:val="0056015C"/>
    <w:rsid w:val="0056053A"/>
    <w:rsid w:val="00560C27"/>
    <w:rsid w:val="005626FE"/>
    <w:rsid w:val="0056421D"/>
    <w:rsid w:val="0056513F"/>
    <w:rsid w:val="005664AD"/>
    <w:rsid w:val="00570918"/>
    <w:rsid w:val="00572F3E"/>
    <w:rsid w:val="0057446E"/>
    <w:rsid w:val="00574D64"/>
    <w:rsid w:val="00575281"/>
    <w:rsid w:val="005761C0"/>
    <w:rsid w:val="00576F4C"/>
    <w:rsid w:val="00580605"/>
    <w:rsid w:val="00582567"/>
    <w:rsid w:val="00582F24"/>
    <w:rsid w:val="0058380C"/>
    <w:rsid w:val="005840AC"/>
    <w:rsid w:val="005841EE"/>
    <w:rsid w:val="005865C6"/>
    <w:rsid w:val="0058744B"/>
    <w:rsid w:val="00587761"/>
    <w:rsid w:val="00587D48"/>
    <w:rsid w:val="00591321"/>
    <w:rsid w:val="00592637"/>
    <w:rsid w:val="00592BFA"/>
    <w:rsid w:val="005939D9"/>
    <w:rsid w:val="00596443"/>
    <w:rsid w:val="00596D62"/>
    <w:rsid w:val="005971D6"/>
    <w:rsid w:val="005A1858"/>
    <w:rsid w:val="005A1A44"/>
    <w:rsid w:val="005A24FD"/>
    <w:rsid w:val="005A290B"/>
    <w:rsid w:val="005A294E"/>
    <w:rsid w:val="005A455C"/>
    <w:rsid w:val="005A4912"/>
    <w:rsid w:val="005A4996"/>
    <w:rsid w:val="005A53C3"/>
    <w:rsid w:val="005A5A82"/>
    <w:rsid w:val="005B05A6"/>
    <w:rsid w:val="005B22FD"/>
    <w:rsid w:val="005B276E"/>
    <w:rsid w:val="005B28D1"/>
    <w:rsid w:val="005B3B62"/>
    <w:rsid w:val="005B3DBD"/>
    <w:rsid w:val="005B460C"/>
    <w:rsid w:val="005B4667"/>
    <w:rsid w:val="005B49D4"/>
    <w:rsid w:val="005B59E3"/>
    <w:rsid w:val="005B6A7A"/>
    <w:rsid w:val="005B7226"/>
    <w:rsid w:val="005C1840"/>
    <w:rsid w:val="005C1F3F"/>
    <w:rsid w:val="005C238B"/>
    <w:rsid w:val="005C4249"/>
    <w:rsid w:val="005C49EB"/>
    <w:rsid w:val="005C55B2"/>
    <w:rsid w:val="005C5E70"/>
    <w:rsid w:val="005C7A4F"/>
    <w:rsid w:val="005C7EE2"/>
    <w:rsid w:val="005D018C"/>
    <w:rsid w:val="005D0D85"/>
    <w:rsid w:val="005D20AC"/>
    <w:rsid w:val="005D2C36"/>
    <w:rsid w:val="005D2D30"/>
    <w:rsid w:val="005D37A4"/>
    <w:rsid w:val="005D3D61"/>
    <w:rsid w:val="005D47D0"/>
    <w:rsid w:val="005D6B86"/>
    <w:rsid w:val="005D70DC"/>
    <w:rsid w:val="005D72DF"/>
    <w:rsid w:val="005D7CEB"/>
    <w:rsid w:val="005E086C"/>
    <w:rsid w:val="005E4346"/>
    <w:rsid w:val="005E4548"/>
    <w:rsid w:val="005E4CB0"/>
    <w:rsid w:val="005E4D82"/>
    <w:rsid w:val="005E5200"/>
    <w:rsid w:val="005E5F70"/>
    <w:rsid w:val="005E6087"/>
    <w:rsid w:val="005E60D4"/>
    <w:rsid w:val="005E6332"/>
    <w:rsid w:val="005E713D"/>
    <w:rsid w:val="005E7ACF"/>
    <w:rsid w:val="005F06C0"/>
    <w:rsid w:val="005F1E58"/>
    <w:rsid w:val="005F2B27"/>
    <w:rsid w:val="005F4E11"/>
    <w:rsid w:val="005F61AC"/>
    <w:rsid w:val="005F66B8"/>
    <w:rsid w:val="005F68D1"/>
    <w:rsid w:val="005F6A60"/>
    <w:rsid w:val="005F6FB8"/>
    <w:rsid w:val="00600378"/>
    <w:rsid w:val="006017D8"/>
    <w:rsid w:val="00602EFB"/>
    <w:rsid w:val="006036F9"/>
    <w:rsid w:val="006042B4"/>
    <w:rsid w:val="00604FAB"/>
    <w:rsid w:val="006062CE"/>
    <w:rsid w:val="0060651C"/>
    <w:rsid w:val="00606918"/>
    <w:rsid w:val="0060693A"/>
    <w:rsid w:val="006070F8"/>
    <w:rsid w:val="0061014B"/>
    <w:rsid w:val="00611C26"/>
    <w:rsid w:val="00612BBF"/>
    <w:rsid w:val="006139E5"/>
    <w:rsid w:val="00614E10"/>
    <w:rsid w:val="00617449"/>
    <w:rsid w:val="006210C1"/>
    <w:rsid w:val="00622EFF"/>
    <w:rsid w:val="00625D33"/>
    <w:rsid w:val="00625EDE"/>
    <w:rsid w:val="006274FD"/>
    <w:rsid w:val="006308BD"/>
    <w:rsid w:val="00630AD9"/>
    <w:rsid w:val="0063169F"/>
    <w:rsid w:val="00631C96"/>
    <w:rsid w:val="00631F4B"/>
    <w:rsid w:val="006333D4"/>
    <w:rsid w:val="006335A3"/>
    <w:rsid w:val="00633A00"/>
    <w:rsid w:val="00633FA6"/>
    <w:rsid w:val="006353C1"/>
    <w:rsid w:val="006356F4"/>
    <w:rsid w:val="00637DA8"/>
    <w:rsid w:val="00640F08"/>
    <w:rsid w:val="006419DC"/>
    <w:rsid w:val="00642827"/>
    <w:rsid w:val="00642DD0"/>
    <w:rsid w:val="00642DD8"/>
    <w:rsid w:val="00643C74"/>
    <w:rsid w:val="006465AA"/>
    <w:rsid w:val="006471DC"/>
    <w:rsid w:val="0064789B"/>
    <w:rsid w:val="00650079"/>
    <w:rsid w:val="00650098"/>
    <w:rsid w:val="00652146"/>
    <w:rsid w:val="00653808"/>
    <w:rsid w:val="00655049"/>
    <w:rsid w:val="00655436"/>
    <w:rsid w:val="0065578B"/>
    <w:rsid w:val="006576D3"/>
    <w:rsid w:val="00661E0D"/>
    <w:rsid w:val="006624C6"/>
    <w:rsid w:val="00662714"/>
    <w:rsid w:val="006640F8"/>
    <w:rsid w:val="00664298"/>
    <w:rsid w:val="0066471F"/>
    <w:rsid w:val="00666D67"/>
    <w:rsid w:val="00670917"/>
    <w:rsid w:val="00671F08"/>
    <w:rsid w:val="006728F1"/>
    <w:rsid w:val="00672A3E"/>
    <w:rsid w:val="00672F90"/>
    <w:rsid w:val="00675A54"/>
    <w:rsid w:val="00675D5B"/>
    <w:rsid w:val="006778CB"/>
    <w:rsid w:val="006807A0"/>
    <w:rsid w:val="0068136E"/>
    <w:rsid w:val="006814EA"/>
    <w:rsid w:val="00682E08"/>
    <w:rsid w:val="00683604"/>
    <w:rsid w:val="00683AC4"/>
    <w:rsid w:val="0068482F"/>
    <w:rsid w:val="00685512"/>
    <w:rsid w:val="006907D7"/>
    <w:rsid w:val="00690B2D"/>
    <w:rsid w:val="006913D3"/>
    <w:rsid w:val="00691FBE"/>
    <w:rsid w:val="00692CA8"/>
    <w:rsid w:val="006933A2"/>
    <w:rsid w:val="00694688"/>
    <w:rsid w:val="00694DA2"/>
    <w:rsid w:val="006951CA"/>
    <w:rsid w:val="00695470"/>
    <w:rsid w:val="00696EAA"/>
    <w:rsid w:val="00696FB3"/>
    <w:rsid w:val="00697CBE"/>
    <w:rsid w:val="00697D8E"/>
    <w:rsid w:val="006A009B"/>
    <w:rsid w:val="006A1BA1"/>
    <w:rsid w:val="006A3D88"/>
    <w:rsid w:val="006A452A"/>
    <w:rsid w:val="006A464D"/>
    <w:rsid w:val="006A5970"/>
    <w:rsid w:val="006A5BF8"/>
    <w:rsid w:val="006A686C"/>
    <w:rsid w:val="006A714A"/>
    <w:rsid w:val="006B0B56"/>
    <w:rsid w:val="006B12F4"/>
    <w:rsid w:val="006B216D"/>
    <w:rsid w:val="006B22E9"/>
    <w:rsid w:val="006B25B4"/>
    <w:rsid w:val="006B2802"/>
    <w:rsid w:val="006B4705"/>
    <w:rsid w:val="006B4DD8"/>
    <w:rsid w:val="006B5F2A"/>
    <w:rsid w:val="006B6F18"/>
    <w:rsid w:val="006C0403"/>
    <w:rsid w:val="006C0595"/>
    <w:rsid w:val="006C1DE6"/>
    <w:rsid w:val="006C2B4A"/>
    <w:rsid w:val="006C2FD8"/>
    <w:rsid w:val="006C4E40"/>
    <w:rsid w:val="006C5DB8"/>
    <w:rsid w:val="006C65AE"/>
    <w:rsid w:val="006C6E0F"/>
    <w:rsid w:val="006C6E71"/>
    <w:rsid w:val="006C7C2B"/>
    <w:rsid w:val="006D051C"/>
    <w:rsid w:val="006D09FD"/>
    <w:rsid w:val="006D1AA5"/>
    <w:rsid w:val="006D263E"/>
    <w:rsid w:val="006D2FCE"/>
    <w:rsid w:val="006D6555"/>
    <w:rsid w:val="006D797C"/>
    <w:rsid w:val="006E0816"/>
    <w:rsid w:val="006E1088"/>
    <w:rsid w:val="006E1781"/>
    <w:rsid w:val="006E3B3E"/>
    <w:rsid w:val="006E4BDB"/>
    <w:rsid w:val="006E508B"/>
    <w:rsid w:val="006E6B8B"/>
    <w:rsid w:val="006E6E31"/>
    <w:rsid w:val="006F13DE"/>
    <w:rsid w:val="006F4ACB"/>
    <w:rsid w:val="006F51E8"/>
    <w:rsid w:val="006F5B19"/>
    <w:rsid w:val="006F5EC6"/>
    <w:rsid w:val="006F6EAC"/>
    <w:rsid w:val="006F722F"/>
    <w:rsid w:val="006F76B9"/>
    <w:rsid w:val="0070122B"/>
    <w:rsid w:val="00701C8E"/>
    <w:rsid w:val="00701CDB"/>
    <w:rsid w:val="00701E31"/>
    <w:rsid w:val="00701EC0"/>
    <w:rsid w:val="00701F88"/>
    <w:rsid w:val="0070287F"/>
    <w:rsid w:val="00704434"/>
    <w:rsid w:val="00704490"/>
    <w:rsid w:val="00704961"/>
    <w:rsid w:val="00706549"/>
    <w:rsid w:val="007105D9"/>
    <w:rsid w:val="00710B09"/>
    <w:rsid w:val="00710C72"/>
    <w:rsid w:val="00710F8C"/>
    <w:rsid w:val="00711A34"/>
    <w:rsid w:val="00711B22"/>
    <w:rsid w:val="00711F9B"/>
    <w:rsid w:val="007122E9"/>
    <w:rsid w:val="0071266B"/>
    <w:rsid w:val="00712670"/>
    <w:rsid w:val="00712AE8"/>
    <w:rsid w:val="00712BF5"/>
    <w:rsid w:val="00713EA5"/>
    <w:rsid w:val="00713F4C"/>
    <w:rsid w:val="00715DF7"/>
    <w:rsid w:val="007164A8"/>
    <w:rsid w:val="00716931"/>
    <w:rsid w:val="00716E74"/>
    <w:rsid w:val="0071760E"/>
    <w:rsid w:val="00720EE5"/>
    <w:rsid w:val="00721D13"/>
    <w:rsid w:val="00722DB5"/>
    <w:rsid w:val="00723836"/>
    <w:rsid w:val="00723D31"/>
    <w:rsid w:val="00724C6A"/>
    <w:rsid w:val="00725329"/>
    <w:rsid w:val="007256DA"/>
    <w:rsid w:val="007256FA"/>
    <w:rsid w:val="007259AB"/>
    <w:rsid w:val="0072605D"/>
    <w:rsid w:val="00726EE2"/>
    <w:rsid w:val="00730FA1"/>
    <w:rsid w:val="00732FBD"/>
    <w:rsid w:val="0073325F"/>
    <w:rsid w:val="00733ED9"/>
    <w:rsid w:val="00733EE4"/>
    <w:rsid w:val="007354B0"/>
    <w:rsid w:val="007354EB"/>
    <w:rsid w:val="007359E4"/>
    <w:rsid w:val="007372EE"/>
    <w:rsid w:val="0073761C"/>
    <w:rsid w:val="00737DC5"/>
    <w:rsid w:val="0074015B"/>
    <w:rsid w:val="00740495"/>
    <w:rsid w:val="0074168B"/>
    <w:rsid w:val="00741E73"/>
    <w:rsid w:val="00742426"/>
    <w:rsid w:val="00742705"/>
    <w:rsid w:val="00744A5B"/>
    <w:rsid w:val="00744AC4"/>
    <w:rsid w:val="00745D08"/>
    <w:rsid w:val="00745E30"/>
    <w:rsid w:val="00746AD2"/>
    <w:rsid w:val="007470E4"/>
    <w:rsid w:val="00747EBB"/>
    <w:rsid w:val="0075017A"/>
    <w:rsid w:val="00752001"/>
    <w:rsid w:val="0075206E"/>
    <w:rsid w:val="007523A5"/>
    <w:rsid w:val="007527F9"/>
    <w:rsid w:val="00753016"/>
    <w:rsid w:val="007545C8"/>
    <w:rsid w:val="00755613"/>
    <w:rsid w:val="00756B18"/>
    <w:rsid w:val="00756EB7"/>
    <w:rsid w:val="007577F2"/>
    <w:rsid w:val="00757989"/>
    <w:rsid w:val="007603AF"/>
    <w:rsid w:val="00761A12"/>
    <w:rsid w:val="00761AC1"/>
    <w:rsid w:val="007634A8"/>
    <w:rsid w:val="00763D5C"/>
    <w:rsid w:val="007643EA"/>
    <w:rsid w:val="0076460F"/>
    <w:rsid w:val="007651FB"/>
    <w:rsid w:val="00765CF9"/>
    <w:rsid w:val="00767AE0"/>
    <w:rsid w:val="007705A0"/>
    <w:rsid w:val="00770A9D"/>
    <w:rsid w:val="007710F6"/>
    <w:rsid w:val="00771674"/>
    <w:rsid w:val="0077281C"/>
    <w:rsid w:val="00773D6E"/>
    <w:rsid w:val="00774532"/>
    <w:rsid w:val="0077565B"/>
    <w:rsid w:val="0077677B"/>
    <w:rsid w:val="00776AF8"/>
    <w:rsid w:val="00776EAB"/>
    <w:rsid w:val="00777B43"/>
    <w:rsid w:val="00780A0F"/>
    <w:rsid w:val="00780E28"/>
    <w:rsid w:val="00780F58"/>
    <w:rsid w:val="007834EA"/>
    <w:rsid w:val="00783FD9"/>
    <w:rsid w:val="007849A7"/>
    <w:rsid w:val="00784B10"/>
    <w:rsid w:val="007850F9"/>
    <w:rsid w:val="00785305"/>
    <w:rsid w:val="00785C8A"/>
    <w:rsid w:val="00786534"/>
    <w:rsid w:val="00787E5C"/>
    <w:rsid w:val="00790118"/>
    <w:rsid w:val="007903D8"/>
    <w:rsid w:val="00790790"/>
    <w:rsid w:val="00790FD4"/>
    <w:rsid w:val="0079175F"/>
    <w:rsid w:val="007923B0"/>
    <w:rsid w:val="007927A8"/>
    <w:rsid w:val="00792A58"/>
    <w:rsid w:val="00792C19"/>
    <w:rsid w:val="00793ED6"/>
    <w:rsid w:val="007954E3"/>
    <w:rsid w:val="00797146"/>
    <w:rsid w:val="007974AD"/>
    <w:rsid w:val="007A2842"/>
    <w:rsid w:val="007A3885"/>
    <w:rsid w:val="007A4E28"/>
    <w:rsid w:val="007A691C"/>
    <w:rsid w:val="007A73D7"/>
    <w:rsid w:val="007A768D"/>
    <w:rsid w:val="007A7A66"/>
    <w:rsid w:val="007A7F06"/>
    <w:rsid w:val="007B19F4"/>
    <w:rsid w:val="007B1BCD"/>
    <w:rsid w:val="007B1C23"/>
    <w:rsid w:val="007B4199"/>
    <w:rsid w:val="007B4433"/>
    <w:rsid w:val="007B49F1"/>
    <w:rsid w:val="007B6175"/>
    <w:rsid w:val="007B61B2"/>
    <w:rsid w:val="007B62D9"/>
    <w:rsid w:val="007B6EFA"/>
    <w:rsid w:val="007C1599"/>
    <w:rsid w:val="007C19BC"/>
    <w:rsid w:val="007C2785"/>
    <w:rsid w:val="007C28D7"/>
    <w:rsid w:val="007C3D5A"/>
    <w:rsid w:val="007C5166"/>
    <w:rsid w:val="007C547B"/>
    <w:rsid w:val="007C55F0"/>
    <w:rsid w:val="007C6684"/>
    <w:rsid w:val="007C707E"/>
    <w:rsid w:val="007C74A7"/>
    <w:rsid w:val="007D087B"/>
    <w:rsid w:val="007D096E"/>
    <w:rsid w:val="007D10A4"/>
    <w:rsid w:val="007D133F"/>
    <w:rsid w:val="007D1456"/>
    <w:rsid w:val="007D1D57"/>
    <w:rsid w:val="007D28ED"/>
    <w:rsid w:val="007D29D4"/>
    <w:rsid w:val="007D2ABC"/>
    <w:rsid w:val="007D3DCE"/>
    <w:rsid w:val="007D40CB"/>
    <w:rsid w:val="007D55FB"/>
    <w:rsid w:val="007D6515"/>
    <w:rsid w:val="007D670C"/>
    <w:rsid w:val="007D7527"/>
    <w:rsid w:val="007E1C57"/>
    <w:rsid w:val="007E3688"/>
    <w:rsid w:val="007E47C3"/>
    <w:rsid w:val="007E4DD9"/>
    <w:rsid w:val="007E52D5"/>
    <w:rsid w:val="007E5DC6"/>
    <w:rsid w:val="007E70D4"/>
    <w:rsid w:val="007E718B"/>
    <w:rsid w:val="007F0556"/>
    <w:rsid w:val="007F10AC"/>
    <w:rsid w:val="007F23E3"/>
    <w:rsid w:val="007F37C6"/>
    <w:rsid w:val="007F3B3C"/>
    <w:rsid w:val="007F3DDA"/>
    <w:rsid w:val="007F57AD"/>
    <w:rsid w:val="00800690"/>
    <w:rsid w:val="00800CD3"/>
    <w:rsid w:val="0080123F"/>
    <w:rsid w:val="00802EDE"/>
    <w:rsid w:val="008030EC"/>
    <w:rsid w:val="00804844"/>
    <w:rsid w:val="00804EE8"/>
    <w:rsid w:val="0080664A"/>
    <w:rsid w:val="008076E3"/>
    <w:rsid w:val="00807773"/>
    <w:rsid w:val="0081120E"/>
    <w:rsid w:val="008113B5"/>
    <w:rsid w:val="00813D2D"/>
    <w:rsid w:val="0081494E"/>
    <w:rsid w:val="00815284"/>
    <w:rsid w:val="00815EE5"/>
    <w:rsid w:val="0081625D"/>
    <w:rsid w:val="0081651F"/>
    <w:rsid w:val="00816606"/>
    <w:rsid w:val="0081665D"/>
    <w:rsid w:val="0081731A"/>
    <w:rsid w:val="008203E0"/>
    <w:rsid w:val="008204FE"/>
    <w:rsid w:val="00820EC4"/>
    <w:rsid w:val="00821648"/>
    <w:rsid w:val="00823935"/>
    <w:rsid w:val="00823AB6"/>
    <w:rsid w:val="0082459D"/>
    <w:rsid w:val="00825E6F"/>
    <w:rsid w:val="00831AB0"/>
    <w:rsid w:val="00832A47"/>
    <w:rsid w:val="00833020"/>
    <w:rsid w:val="00835D55"/>
    <w:rsid w:val="008369E2"/>
    <w:rsid w:val="008371C9"/>
    <w:rsid w:val="0084169D"/>
    <w:rsid w:val="00844795"/>
    <w:rsid w:val="00846096"/>
    <w:rsid w:val="0084700B"/>
    <w:rsid w:val="00847E2E"/>
    <w:rsid w:val="00850A49"/>
    <w:rsid w:val="00851788"/>
    <w:rsid w:val="0085206A"/>
    <w:rsid w:val="008528FA"/>
    <w:rsid w:val="008529F7"/>
    <w:rsid w:val="0085427F"/>
    <w:rsid w:val="00854A28"/>
    <w:rsid w:val="00857850"/>
    <w:rsid w:val="008604A5"/>
    <w:rsid w:val="008611FB"/>
    <w:rsid w:val="008617B4"/>
    <w:rsid w:val="00861862"/>
    <w:rsid w:val="00862974"/>
    <w:rsid w:val="00863451"/>
    <w:rsid w:val="00863A28"/>
    <w:rsid w:val="00863C90"/>
    <w:rsid w:val="00864246"/>
    <w:rsid w:val="00864654"/>
    <w:rsid w:val="00865EC2"/>
    <w:rsid w:val="0086605C"/>
    <w:rsid w:val="00866558"/>
    <w:rsid w:val="00866D19"/>
    <w:rsid w:val="00866F99"/>
    <w:rsid w:val="00867C73"/>
    <w:rsid w:val="00870966"/>
    <w:rsid w:val="00872E1C"/>
    <w:rsid w:val="00872F65"/>
    <w:rsid w:val="00873142"/>
    <w:rsid w:val="00874AE2"/>
    <w:rsid w:val="008755D6"/>
    <w:rsid w:val="00880391"/>
    <w:rsid w:val="00880CF8"/>
    <w:rsid w:val="008814A3"/>
    <w:rsid w:val="00881823"/>
    <w:rsid w:val="00881A50"/>
    <w:rsid w:val="00884068"/>
    <w:rsid w:val="008847A2"/>
    <w:rsid w:val="0088520D"/>
    <w:rsid w:val="00886609"/>
    <w:rsid w:val="0088688D"/>
    <w:rsid w:val="00886D2D"/>
    <w:rsid w:val="00887BEF"/>
    <w:rsid w:val="0089121F"/>
    <w:rsid w:val="00891316"/>
    <w:rsid w:val="00891560"/>
    <w:rsid w:val="008921F0"/>
    <w:rsid w:val="0089261F"/>
    <w:rsid w:val="0089296D"/>
    <w:rsid w:val="008932C3"/>
    <w:rsid w:val="00893839"/>
    <w:rsid w:val="00894CD9"/>
    <w:rsid w:val="00894F15"/>
    <w:rsid w:val="0089561B"/>
    <w:rsid w:val="008957D7"/>
    <w:rsid w:val="0089660B"/>
    <w:rsid w:val="00897F0C"/>
    <w:rsid w:val="008A004F"/>
    <w:rsid w:val="008A0A4C"/>
    <w:rsid w:val="008A0AF1"/>
    <w:rsid w:val="008A132C"/>
    <w:rsid w:val="008A1786"/>
    <w:rsid w:val="008A2AE1"/>
    <w:rsid w:val="008A2C4D"/>
    <w:rsid w:val="008A37E6"/>
    <w:rsid w:val="008A457A"/>
    <w:rsid w:val="008A4B97"/>
    <w:rsid w:val="008B09C4"/>
    <w:rsid w:val="008B0BAC"/>
    <w:rsid w:val="008B0C11"/>
    <w:rsid w:val="008B1720"/>
    <w:rsid w:val="008B28E4"/>
    <w:rsid w:val="008B3CD2"/>
    <w:rsid w:val="008B3D7C"/>
    <w:rsid w:val="008B5C63"/>
    <w:rsid w:val="008B7571"/>
    <w:rsid w:val="008B7CCA"/>
    <w:rsid w:val="008C0A20"/>
    <w:rsid w:val="008C0AAA"/>
    <w:rsid w:val="008C1F5D"/>
    <w:rsid w:val="008C2B67"/>
    <w:rsid w:val="008C41D8"/>
    <w:rsid w:val="008C4595"/>
    <w:rsid w:val="008C45BD"/>
    <w:rsid w:val="008C4625"/>
    <w:rsid w:val="008C57E7"/>
    <w:rsid w:val="008C793C"/>
    <w:rsid w:val="008D0C41"/>
    <w:rsid w:val="008D13B0"/>
    <w:rsid w:val="008D2E45"/>
    <w:rsid w:val="008D466C"/>
    <w:rsid w:val="008D5863"/>
    <w:rsid w:val="008D613D"/>
    <w:rsid w:val="008D6329"/>
    <w:rsid w:val="008D6800"/>
    <w:rsid w:val="008D722A"/>
    <w:rsid w:val="008D7AAB"/>
    <w:rsid w:val="008E01C2"/>
    <w:rsid w:val="008E0B94"/>
    <w:rsid w:val="008E1298"/>
    <w:rsid w:val="008E1556"/>
    <w:rsid w:val="008E19E4"/>
    <w:rsid w:val="008E2587"/>
    <w:rsid w:val="008E3006"/>
    <w:rsid w:val="008E3EBA"/>
    <w:rsid w:val="008E4359"/>
    <w:rsid w:val="008E5BB3"/>
    <w:rsid w:val="008E5F4B"/>
    <w:rsid w:val="008E6AAD"/>
    <w:rsid w:val="008E7584"/>
    <w:rsid w:val="008E7A6E"/>
    <w:rsid w:val="008F0E56"/>
    <w:rsid w:val="008F17AA"/>
    <w:rsid w:val="008F3855"/>
    <w:rsid w:val="008F3893"/>
    <w:rsid w:val="008F4E6C"/>
    <w:rsid w:val="008F5DF9"/>
    <w:rsid w:val="008F5E51"/>
    <w:rsid w:val="008F6E71"/>
    <w:rsid w:val="008F6FAD"/>
    <w:rsid w:val="0090004B"/>
    <w:rsid w:val="009010D9"/>
    <w:rsid w:val="0090486F"/>
    <w:rsid w:val="009067AC"/>
    <w:rsid w:val="00906A3E"/>
    <w:rsid w:val="00907140"/>
    <w:rsid w:val="00907E67"/>
    <w:rsid w:val="009100C8"/>
    <w:rsid w:val="009117BF"/>
    <w:rsid w:val="0092114D"/>
    <w:rsid w:val="00921459"/>
    <w:rsid w:val="00922ED9"/>
    <w:rsid w:val="00922F80"/>
    <w:rsid w:val="009234A1"/>
    <w:rsid w:val="00923776"/>
    <w:rsid w:val="009240D6"/>
    <w:rsid w:val="009247DA"/>
    <w:rsid w:val="00925239"/>
    <w:rsid w:val="009257AD"/>
    <w:rsid w:val="00927B02"/>
    <w:rsid w:val="00927E30"/>
    <w:rsid w:val="0093067F"/>
    <w:rsid w:val="00932219"/>
    <w:rsid w:val="00932C3F"/>
    <w:rsid w:val="0093478F"/>
    <w:rsid w:val="00934B07"/>
    <w:rsid w:val="009376B8"/>
    <w:rsid w:val="009378B4"/>
    <w:rsid w:val="009400D5"/>
    <w:rsid w:val="009426A6"/>
    <w:rsid w:val="00943383"/>
    <w:rsid w:val="00943558"/>
    <w:rsid w:val="009447E9"/>
    <w:rsid w:val="00944C3E"/>
    <w:rsid w:val="00944C7B"/>
    <w:rsid w:val="00944FBF"/>
    <w:rsid w:val="0094503B"/>
    <w:rsid w:val="0094656D"/>
    <w:rsid w:val="00951AA2"/>
    <w:rsid w:val="00951AB2"/>
    <w:rsid w:val="00952D03"/>
    <w:rsid w:val="00953836"/>
    <w:rsid w:val="00953D85"/>
    <w:rsid w:val="00955223"/>
    <w:rsid w:val="00956680"/>
    <w:rsid w:val="00956D1E"/>
    <w:rsid w:val="00961412"/>
    <w:rsid w:val="00961CDF"/>
    <w:rsid w:val="009622B5"/>
    <w:rsid w:val="009634D3"/>
    <w:rsid w:val="00964BA5"/>
    <w:rsid w:val="00964CBE"/>
    <w:rsid w:val="00965AEE"/>
    <w:rsid w:val="00966C97"/>
    <w:rsid w:val="00966F48"/>
    <w:rsid w:val="009709BA"/>
    <w:rsid w:val="00970E8A"/>
    <w:rsid w:val="0097100A"/>
    <w:rsid w:val="009722AF"/>
    <w:rsid w:val="00972EF2"/>
    <w:rsid w:val="0097317A"/>
    <w:rsid w:val="00973F98"/>
    <w:rsid w:val="00974525"/>
    <w:rsid w:val="00974B2B"/>
    <w:rsid w:val="00976E88"/>
    <w:rsid w:val="00977965"/>
    <w:rsid w:val="009802AF"/>
    <w:rsid w:val="009802E5"/>
    <w:rsid w:val="00980586"/>
    <w:rsid w:val="0098084F"/>
    <w:rsid w:val="009808EF"/>
    <w:rsid w:val="00981619"/>
    <w:rsid w:val="00981AB4"/>
    <w:rsid w:val="00981AFA"/>
    <w:rsid w:val="00981F8D"/>
    <w:rsid w:val="009833A5"/>
    <w:rsid w:val="00983B19"/>
    <w:rsid w:val="00984115"/>
    <w:rsid w:val="00984DAF"/>
    <w:rsid w:val="00984EC8"/>
    <w:rsid w:val="009856F3"/>
    <w:rsid w:val="00985CFD"/>
    <w:rsid w:val="00986323"/>
    <w:rsid w:val="00986A6C"/>
    <w:rsid w:val="00991FA8"/>
    <w:rsid w:val="009949F9"/>
    <w:rsid w:val="00994CCC"/>
    <w:rsid w:val="009961A2"/>
    <w:rsid w:val="00996899"/>
    <w:rsid w:val="00996F44"/>
    <w:rsid w:val="009972DB"/>
    <w:rsid w:val="009A03F9"/>
    <w:rsid w:val="009A2E17"/>
    <w:rsid w:val="009A36A9"/>
    <w:rsid w:val="009A3B5D"/>
    <w:rsid w:val="009A3E72"/>
    <w:rsid w:val="009A4C16"/>
    <w:rsid w:val="009A5216"/>
    <w:rsid w:val="009A6760"/>
    <w:rsid w:val="009A70F3"/>
    <w:rsid w:val="009B00A2"/>
    <w:rsid w:val="009B01A8"/>
    <w:rsid w:val="009B0A31"/>
    <w:rsid w:val="009B0BB7"/>
    <w:rsid w:val="009B1387"/>
    <w:rsid w:val="009B1F84"/>
    <w:rsid w:val="009B48D3"/>
    <w:rsid w:val="009B5818"/>
    <w:rsid w:val="009B5C64"/>
    <w:rsid w:val="009C1763"/>
    <w:rsid w:val="009C2DC2"/>
    <w:rsid w:val="009C58F4"/>
    <w:rsid w:val="009C5C9D"/>
    <w:rsid w:val="009D1648"/>
    <w:rsid w:val="009D3095"/>
    <w:rsid w:val="009D3C95"/>
    <w:rsid w:val="009D4795"/>
    <w:rsid w:val="009D52C4"/>
    <w:rsid w:val="009D56A7"/>
    <w:rsid w:val="009D5D2E"/>
    <w:rsid w:val="009D64DC"/>
    <w:rsid w:val="009D64EE"/>
    <w:rsid w:val="009D6F8B"/>
    <w:rsid w:val="009D7852"/>
    <w:rsid w:val="009E020C"/>
    <w:rsid w:val="009E063D"/>
    <w:rsid w:val="009E1797"/>
    <w:rsid w:val="009E1D42"/>
    <w:rsid w:val="009E23BC"/>
    <w:rsid w:val="009E2BA3"/>
    <w:rsid w:val="009E2FCA"/>
    <w:rsid w:val="009E30FA"/>
    <w:rsid w:val="009E5E85"/>
    <w:rsid w:val="009E6E82"/>
    <w:rsid w:val="009F1AEB"/>
    <w:rsid w:val="009F1BC1"/>
    <w:rsid w:val="009F2279"/>
    <w:rsid w:val="009F25DB"/>
    <w:rsid w:val="009F29E5"/>
    <w:rsid w:val="009F2AE2"/>
    <w:rsid w:val="009F2B3A"/>
    <w:rsid w:val="009F2F07"/>
    <w:rsid w:val="009F3C58"/>
    <w:rsid w:val="009F3CC9"/>
    <w:rsid w:val="009F417B"/>
    <w:rsid w:val="009F586D"/>
    <w:rsid w:val="009F65FB"/>
    <w:rsid w:val="009F699B"/>
    <w:rsid w:val="009F71AE"/>
    <w:rsid w:val="009F76C1"/>
    <w:rsid w:val="00A00E12"/>
    <w:rsid w:val="00A058B5"/>
    <w:rsid w:val="00A0697F"/>
    <w:rsid w:val="00A06F85"/>
    <w:rsid w:val="00A06F94"/>
    <w:rsid w:val="00A07525"/>
    <w:rsid w:val="00A10D78"/>
    <w:rsid w:val="00A1157E"/>
    <w:rsid w:val="00A11A0F"/>
    <w:rsid w:val="00A12BC6"/>
    <w:rsid w:val="00A12D8A"/>
    <w:rsid w:val="00A130A9"/>
    <w:rsid w:val="00A13A9F"/>
    <w:rsid w:val="00A13FF5"/>
    <w:rsid w:val="00A143D9"/>
    <w:rsid w:val="00A17026"/>
    <w:rsid w:val="00A17AD0"/>
    <w:rsid w:val="00A20E4F"/>
    <w:rsid w:val="00A22E7E"/>
    <w:rsid w:val="00A24D0F"/>
    <w:rsid w:val="00A2537A"/>
    <w:rsid w:val="00A25787"/>
    <w:rsid w:val="00A26174"/>
    <w:rsid w:val="00A26650"/>
    <w:rsid w:val="00A26FA7"/>
    <w:rsid w:val="00A27676"/>
    <w:rsid w:val="00A302F3"/>
    <w:rsid w:val="00A3045D"/>
    <w:rsid w:val="00A30CB2"/>
    <w:rsid w:val="00A31455"/>
    <w:rsid w:val="00A31F0A"/>
    <w:rsid w:val="00A32F8B"/>
    <w:rsid w:val="00A33135"/>
    <w:rsid w:val="00A33706"/>
    <w:rsid w:val="00A346C8"/>
    <w:rsid w:val="00A34807"/>
    <w:rsid w:val="00A34993"/>
    <w:rsid w:val="00A34D8F"/>
    <w:rsid w:val="00A36AEA"/>
    <w:rsid w:val="00A41EE3"/>
    <w:rsid w:val="00A43385"/>
    <w:rsid w:val="00A43476"/>
    <w:rsid w:val="00A434CA"/>
    <w:rsid w:val="00A44221"/>
    <w:rsid w:val="00A4443A"/>
    <w:rsid w:val="00A445D1"/>
    <w:rsid w:val="00A44A18"/>
    <w:rsid w:val="00A44AF8"/>
    <w:rsid w:val="00A44DAD"/>
    <w:rsid w:val="00A452F5"/>
    <w:rsid w:val="00A45875"/>
    <w:rsid w:val="00A458CF"/>
    <w:rsid w:val="00A45E40"/>
    <w:rsid w:val="00A4685A"/>
    <w:rsid w:val="00A471F9"/>
    <w:rsid w:val="00A51A80"/>
    <w:rsid w:val="00A51E23"/>
    <w:rsid w:val="00A51EDB"/>
    <w:rsid w:val="00A53221"/>
    <w:rsid w:val="00A560DA"/>
    <w:rsid w:val="00A5702A"/>
    <w:rsid w:val="00A57B09"/>
    <w:rsid w:val="00A617D1"/>
    <w:rsid w:val="00A63392"/>
    <w:rsid w:val="00A64DAB"/>
    <w:rsid w:val="00A66692"/>
    <w:rsid w:val="00A67622"/>
    <w:rsid w:val="00A67B6A"/>
    <w:rsid w:val="00A67D0A"/>
    <w:rsid w:val="00A70B32"/>
    <w:rsid w:val="00A70CD8"/>
    <w:rsid w:val="00A711BE"/>
    <w:rsid w:val="00A7191F"/>
    <w:rsid w:val="00A722D4"/>
    <w:rsid w:val="00A73713"/>
    <w:rsid w:val="00A74119"/>
    <w:rsid w:val="00A74A2A"/>
    <w:rsid w:val="00A75BD3"/>
    <w:rsid w:val="00A7713D"/>
    <w:rsid w:val="00A77321"/>
    <w:rsid w:val="00A779AB"/>
    <w:rsid w:val="00A81D76"/>
    <w:rsid w:val="00A81DB5"/>
    <w:rsid w:val="00A82477"/>
    <w:rsid w:val="00A82C34"/>
    <w:rsid w:val="00A8477F"/>
    <w:rsid w:val="00A84915"/>
    <w:rsid w:val="00A849E2"/>
    <w:rsid w:val="00A8665E"/>
    <w:rsid w:val="00A87644"/>
    <w:rsid w:val="00A87FD2"/>
    <w:rsid w:val="00A91F4B"/>
    <w:rsid w:val="00A923B5"/>
    <w:rsid w:val="00A92BF0"/>
    <w:rsid w:val="00A942E9"/>
    <w:rsid w:val="00A9431B"/>
    <w:rsid w:val="00A946AC"/>
    <w:rsid w:val="00A9490A"/>
    <w:rsid w:val="00A95EFC"/>
    <w:rsid w:val="00A96392"/>
    <w:rsid w:val="00A96588"/>
    <w:rsid w:val="00A96C9C"/>
    <w:rsid w:val="00AA0BAD"/>
    <w:rsid w:val="00AA27DE"/>
    <w:rsid w:val="00AA375E"/>
    <w:rsid w:val="00AA3E72"/>
    <w:rsid w:val="00AA3F52"/>
    <w:rsid w:val="00AA434A"/>
    <w:rsid w:val="00AA60D3"/>
    <w:rsid w:val="00AB01AC"/>
    <w:rsid w:val="00AB0CAC"/>
    <w:rsid w:val="00AB0E7C"/>
    <w:rsid w:val="00AB2165"/>
    <w:rsid w:val="00AB2194"/>
    <w:rsid w:val="00AB22C4"/>
    <w:rsid w:val="00AB3313"/>
    <w:rsid w:val="00AB389A"/>
    <w:rsid w:val="00AB3999"/>
    <w:rsid w:val="00AB4960"/>
    <w:rsid w:val="00AB5194"/>
    <w:rsid w:val="00AC0ED3"/>
    <w:rsid w:val="00AC29A7"/>
    <w:rsid w:val="00AC2B0E"/>
    <w:rsid w:val="00AC3555"/>
    <w:rsid w:val="00AC4092"/>
    <w:rsid w:val="00AC6304"/>
    <w:rsid w:val="00AC6D20"/>
    <w:rsid w:val="00AC74AB"/>
    <w:rsid w:val="00AD0ADA"/>
    <w:rsid w:val="00AD0EFF"/>
    <w:rsid w:val="00AD2535"/>
    <w:rsid w:val="00AD26C5"/>
    <w:rsid w:val="00AD2EAF"/>
    <w:rsid w:val="00AD3058"/>
    <w:rsid w:val="00AD6217"/>
    <w:rsid w:val="00AD62D1"/>
    <w:rsid w:val="00AD6826"/>
    <w:rsid w:val="00AD77F0"/>
    <w:rsid w:val="00AD7B2E"/>
    <w:rsid w:val="00AE02C4"/>
    <w:rsid w:val="00AE051A"/>
    <w:rsid w:val="00AE1045"/>
    <w:rsid w:val="00AE1153"/>
    <w:rsid w:val="00AE1FCA"/>
    <w:rsid w:val="00AE2198"/>
    <w:rsid w:val="00AE3A31"/>
    <w:rsid w:val="00AE4126"/>
    <w:rsid w:val="00AE6039"/>
    <w:rsid w:val="00AE6180"/>
    <w:rsid w:val="00AE6D8C"/>
    <w:rsid w:val="00AE7185"/>
    <w:rsid w:val="00AF0CE6"/>
    <w:rsid w:val="00AF2757"/>
    <w:rsid w:val="00AF37A5"/>
    <w:rsid w:val="00AF52E2"/>
    <w:rsid w:val="00AF5A52"/>
    <w:rsid w:val="00AF6482"/>
    <w:rsid w:val="00AF6F7C"/>
    <w:rsid w:val="00AF77A0"/>
    <w:rsid w:val="00B00ED1"/>
    <w:rsid w:val="00B01009"/>
    <w:rsid w:val="00B01EE7"/>
    <w:rsid w:val="00B0277B"/>
    <w:rsid w:val="00B02DAC"/>
    <w:rsid w:val="00B037CD"/>
    <w:rsid w:val="00B03C63"/>
    <w:rsid w:val="00B05AFD"/>
    <w:rsid w:val="00B0711F"/>
    <w:rsid w:val="00B0721F"/>
    <w:rsid w:val="00B10698"/>
    <w:rsid w:val="00B10D84"/>
    <w:rsid w:val="00B117E4"/>
    <w:rsid w:val="00B139EB"/>
    <w:rsid w:val="00B13C46"/>
    <w:rsid w:val="00B14F20"/>
    <w:rsid w:val="00B2010E"/>
    <w:rsid w:val="00B206B2"/>
    <w:rsid w:val="00B208CC"/>
    <w:rsid w:val="00B21219"/>
    <w:rsid w:val="00B217E9"/>
    <w:rsid w:val="00B22056"/>
    <w:rsid w:val="00B22BA6"/>
    <w:rsid w:val="00B22CA3"/>
    <w:rsid w:val="00B233D9"/>
    <w:rsid w:val="00B24358"/>
    <w:rsid w:val="00B26F8C"/>
    <w:rsid w:val="00B27024"/>
    <w:rsid w:val="00B27134"/>
    <w:rsid w:val="00B2725B"/>
    <w:rsid w:val="00B27718"/>
    <w:rsid w:val="00B27A90"/>
    <w:rsid w:val="00B30386"/>
    <w:rsid w:val="00B304ED"/>
    <w:rsid w:val="00B3113C"/>
    <w:rsid w:val="00B3258B"/>
    <w:rsid w:val="00B33536"/>
    <w:rsid w:val="00B3369D"/>
    <w:rsid w:val="00B33B27"/>
    <w:rsid w:val="00B36E87"/>
    <w:rsid w:val="00B373FA"/>
    <w:rsid w:val="00B42639"/>
    <w:rsid w:val="00B444D3"/>
    <w:rsid w:val="00B448B7"/>
    <w:rsid w:val="00B45780"/>
    <w:rsid w:val="00B47CC6"/>
    <w:rsid w:val="00B51B7F"/>
    <w:rsid w:val="00B5217F"/>
    <w:rsid w:val="00B52AE9"/>
    <w:rsid w:val="00B52C31"/>
    <w:rsid w:val="00B57242"/>
    <w:rsid w:val="00B608C0"/>
    <w:rsid w:val="00B626A1"/>
    <w:rsid w:val="00B62C33"/>
    <w:rsid w:val="00B636FF"/>
    <w:rsid w:val="00B64F9E"/>
    <w:rsid w:val="00B65CBF"/>
    <w:rsid w:val="00B65D44"/>
    <w:rsid w:val="00B65D48"/>
    <w:rsid w:val="00B67224"/>
    <w:rsid w:val="00B703B4"/>
    <w:rsid w:val="00B72992"/>
    <w:rsid w:val="00B73259"/>
    <w:rsid w:val="00B74EF6"/>
    <w:rsid w:val="00B76E29"/>
    <w:rsid w:val="00B80066"/>
    <w:rsid w:val="00B81135"/>
    <w:rsid w:val="00B81F77"/>
    <w:rsid w:val="00B839C2"/>
    <w:rsid w:val="00B86785"/>
    <w:rsid w:val="00B87B6E"/>
    <w:rsid w:val="00B91FC2"/>
    <w:rsid w:val="00B9263A"/>
    <w:rsid w:val="00B93A21"/>
    <w:rsid w:val="00B93BBB"/>
    <w:rsid w:val="00B94F6C"/>
    <w:rsid w:val="00B95DEA"/>
    <w:rsid w:val="00B967AA"/>
    <w:rsid w:val="00B96CF0"/>
    <w:rsid w:val="00B96DD8"/>
    <w:rsid w:val="00B97706"/>
    <w:rsid w:val="00BA024F"/>
    <w:rsid w:val="00BA0EA9"/>
    <w:rsid w:val="00BA136A"/>
    <w:rsid w:val="00BA19A1"/>
    <w:rsid w:val="00BA33C4"/>
    <w:rsid w:val="00BA347C"/>
    <w:rsid w:val="00BA380C"/>
    <w:rsid w:val="00BA3BE6"/>
    <w:rsid w:val="00BA4C26"/>
    <w:rsid w:val="00BA6322"/>
    <w:rsid w:val="00BA6A8D"/>
    <w:rsid w:val="00BA6E8B"/>
    <w:rsid w:val="00BB010D"/>
    <w:rsid w:val="00BB0C5B"/>
    <w:rsid w:val="00BB0E8A"/>
    <w:rsid w:val="00BB307D"/>
    <w:rsid w:val="00BB358C"/>
    <w:rsid w:val="00BB5EB8"/>
    <w:rsid w:val="00BB7731"/>
    <w:rsid w:val="00BC1A16"/>
    <w:rsid w:val="00BC2967"/>
    <w:rsid w:val="00BC3639"/>
    <w:rsid w:val="00BC4A65"/>
    <w:rsid w:val="00BC5AD6"/>
    <w:rsid w:val="00BC603C"/>
    <w:rsid w:val="00BC645C"/>
    <w:rsid w:val="00BC7E71"/>
    <w:rsid w:val="00BC7EE3"/>
    <w:rsid w:val="00BC7FFE"/>
    <w:rsid w:val="00BD11CD"/>
    <w:rsid w:val="00BD24E9"/>
    <w:rsid w:val="00BD2A20"/>
    <w:rsid w:val="00BD3078"/>
    <w:rsid w:val="00BD36C5"/>
    <w:rsid w:val="00BD4597"/>
    <w:rsid w:val="00BD619A"/>
    <w:rsid w:val="00BD68A9"/>
    <w:rsid w:val="00BE25AB"/>
    <w:rsid w:val="00BE465E"/>
    <w:rsid w:val="00BE5F79"/>
    <w:rsid w:val="00BE61A4"/>
    <w:rsid w:val="00BE7348"/>
    <w:rsid w:val="00BE743E"/>
    <w:rsid w:val="00BE77C3"/>
    <w:rsid w:val="00BE7CA7"/>
    <w:rsid w:val="00BF08CD"/>
    <w:rsid w:val="00BF0A2F"/>
    <w:rsid w:val="00BF0BDF"/>
    <w:rsid w:val="00BF4411"/>
    <w:rsid w:val="00BF5CE4"/>
    <w:rsid w:val="00BF6732"/>
    <w:rsid w:val="00BF7648"/>
    <w:rsid w:val="00C008E5"/>
    <w:rsid w:val="00C00C53"/>
    <w:rsid w:val="00C019CA"/>
    <w:rsid w:val="00C041F6"/>
    <w:rsid w:val="00C05705"/>
    <w:rsid w:val="00C05892"/>
    <w:rsid w:val="00C05CFA"/>
    <w:rsid w:val="00C07EEB"/>
    <w:rsid w:val="00C1212E"/>
    <w:rsid w:val="00C125A0"/>
    <w:rsid w:val="00C12B0C"/>
    <w:rsid w:val="00C12FE6"/>
    <w:rsid w:val="00C137FE"/>
    <w:rsid w:val="00C13BBA"/>
    <w:rsid w:val="00C145BC"/>
    <w:rsid w:val="00C1497A"/>
    <w:rsid w:val="00C15219"/>
    <w:rsid w:val="00C15A24"/>
    <w:rsid w:val="00C17073"/>
    <w:rsid w:val="00C171C3"/>
    <w:rsid w:val="00C17A8B"/>
    <w:rsid w:val="00C216B0"/>
    <w:rsid w:val="00C224CB"/>
    <w:rsid w:val="00C227D5"/>
    <w:rsid w:val="00C2317F"/>
    <w:rsid w:val="00C23F6A"/>
    <w:rsid w:val="00C2404A"/>
    <w:rsid w:val="00C26245"/>
    <w:rsid w:val="00C268BF"/>
    <w:rsid w:val="00C2721D"/>
    <w:rsid w:val="00C305A3"/>
    <w:rsid w:val="00C30C3B"/>
    <w:rsid w:val="00C313F7"/>
    <w:rsid w:val="00C32246"/>
    <w:rsid w:val="00C3240E"/>
    <w:rsid w:val="00C33F58"/>
    <w:rsid w:val="00C3400A"/>
    <w:rsid w:val="00C34981"/>
    <w:rsid w:val="00C355C6"/>
    <w:rsid w:val="00C35EB3"/>
    <w:rsid w:val="00C36670"/>
    <w:rsid w:val="00C36B94"/>
    <w:rsid w:val="00C37605"/>
    <w:rsid w:val="00C42EB4"/>
    <w:rsid w:val="00C453AF"/>
    <w:rsid w:val="00C456F1"/>
    <w:rsid w:val="00C45BF7"/>
    <w:rsid w:val="00C47A02"/>
    <w:rsid w:val="00C50CF4"/>
    <w:rsid w:val="00C526D6"/>
    <w:rsid w:val="00C52940"/>
    <w:rsid w:val="00C5598B"/>
    <w:rsid w:val="00C5745B"/>
    <w:rsid w:val="00C601EE"/>
    <w:rsid w:val="00C61B77"/>
    <w:rsid w:val="00C64084"/>
    <w:rsid w:val="00C64504"/>
    <w:rsid w:val="00C646B5"/>
    <w:rsid w:val="00C65C12"/>
    <w:rsid w:val="00C65C59"/>
    <w:rsid w:val="00C66230"/>
    <w:rsid w:val="00C66A5E"/>
    <w:rsid w:val="00C70306"/>
    <w:rsid w:val="00C71CF9"/>
    <w:rsid w:val="00C73EAE"/>
    <w:rsid w:val="00C74474"/>
    <w:rsid w:val="00C74A45"/>
    <w:rsid w:val="00C75347"/>
    <w:rsid w:val="00C7599F"/>
    <w:rsid w:val="00C76465"/>
    <w:rsid w:val="00C77058"/>
    <w:rsid w:val="00C803A1"/>
    <w:rsid w:val="00C80D87"/>
    <w:rsid w:val="00C832E9"/>
    <w:rsid w:val="00C83A61"/>
    <w:rsid w:val="00C83D05"/>
    <w:rsid w:val="00C8458C"/>
    <w:rsid w:val="00C851E1"/>
    <w:rsid w:val="00C854F3"/>
    <w:rsid w:val="00C85F07"/>
    <w:rsid w:val="00C90A00"/>
    <w:rsid w:val="00C9133F"/>
    <w:rsid w:val="00C92DCA"/>
    <w:rsid w:val="00C94243"/>
    <w:rsid w:val="00C9695F"/>
    <w:rsid w:val="00CA192E"/>
    <w:rsid w:val="00CA1B7F"/>
    <w:rsid w:val="00CA30D2"/>
    <w:rsid w:val="00CA349F"/>
    <w:rsid w:val="00CA34CC"/>
    <w:rsid w:val="00CA371E"/>
    <w:rsid w:val="00CA5838"/>
    <w:rsid w:val="00CA5B16"/>
    <w:rsid w:val="00CA5EC9"/>
    <w:rsid w:val="00CB0224"/>
    <w:rsid w:val="00CB02AE"/>
    <w:rsid w:val="00CB0336"/>
    <w:rsid w:val="00CB0FC0"/>
    <w:rsid w:val="00CB21E9"/>
    <w:rsid w:val="00CB2DEB"/>
    <w:rsid w:val="00CB45A9"/>
    <w:rsid w:val="00CB5EC7"/>
    <w:rsid w:val="00CB78A9"/>
    <w:rsid w:val="00CB7D40"/>
    <w:rsid w:val="00CC3ED4"/>
    <w:rsid w:val="00CC401D"/>
    <w:rsid w:val="00CC46F4"/>
    <w:rsid w:val="00CC48F7"/>
    <w:rsid w:val="00CC4F42"/>
    <w:rsid w:val="00CC6203"/>
    <w:rsid w:val="00CC6318"/>
    <w:rsid w:val="00CC7574"/>
    <w:rsid w:val="00CC77F6"/>
    <w:rsid w:val="00CC7F8A"/>
    <w:rsid w:val="00CD12A5"/>
    <w:rsid w:val="00CD1942"/>
    <w:rsid w:val="00CD285D"/>
    <w:rsid w:val="00CD479E"/>
    <w:rsid w:val="00CD595B"/>
    <w:rsid w:val="00CD6192"/>
    <w:rsid w:val="00CD6AFB"/>
    <w:rsid w:val="00CD7D2C"/>
    <w:rsid w:val="00CE0152"/>
    <w:rsid w:val="00CE2181"/>
    <w:rsid w:val="00CE2A50"/>
    <w:rsid w:val="00CE2D8D"/>
    <w:rsid w:val="00CE315D"/>
    <w:rsid w:val="00CE33E4"/>
    <w:rsid w:val="00CE36B5"/>
    <w:rsid w:val="00CE42B1"/>
    <w:rsid w:val="00CE555E"/>
    <w:rsid w:val="00CE6ACB"/>
    <w:rsid w:val="00CE6B84"/>
    <w:rsid w:val="00CE6B90"/>
    <w:rsid w:val="00CF01F2"/>
    <w:rsid w:val="00CF117F"/>
    <w:rsid w:val="00CF14CB"/>
    <w:rsid w:val="00CF15FA"/>
    <w:rsid w:val="00CF487D"/>
    <w:rsid w:val="00CF5261"/>
    <w:rsid w:val="00CF54EC"/>
    <w:rsid w:val="00CF5522"/>
    <w:rsid w:val="00CF570C"/>
    <w:rsid w:val="00CF666B"/>
    <w:rsid w:val="00D008F6"/>
    <w:rsid w:val="00D00AF3"/>
    <w:rsid w:val="00D01184"/>
    <w:rsid w:val="00D031FD"/>
    <w:rsid w:val="00D033AD"/>
    <w:rsid w:val="00D042CD"/>
    <w:rsid w:val="00D04B04"/>
    <w:rsid w:val="00D06370"/>
    <w:rsid w:val="00D0638D"/>
    <w:rsid w:val="00D066F6"/>
    <w:rsid w:val="00D10101"/>
    <w:rsid w:val="00D10881"/>
    <w:rsid w:val="00D10DCB"/>
    <w:rsid w:val="00D12B49"/>
    <w:rsid w:val="00D12BA7"/>
    <w:rsid w:val="00D12E2D"/>
    <w:rsid w:val="00D158F0"/>
    <w:rsid w:val="00D159ED"/>
    <w:rsid w:val="00D1623D"/>
    <w:rsid w:val="00D16559"/>
    <w:rsid w:val="00D16653"/>
    <w:rsid w:val="00D16BC5"/>
    <w:rsid w:val="00D16F1F"/>
    <w:rsid w:val="00D2034F"/>
    <w:rsid w:val="00D210BD"/>
    <w:rsid w:val="00D211AB"/>
    <w:rsid w:val="00D24E94"/>
    <w:rsid w:val="00D24E95"/>
    <w:rsid w:val="00D25E67"/>
    <w:rsid w:val="00D261E6"/>
    <w:rsid w:val="00D26BFD"/>
    <w:rsid w:val="00D303F2"/>
    <w:rsid w:val="00D3109E"/>
    <w:rsid w:val="00D31AFB"/>
    <w:rsid w:val="00D32FF9"/>
    <w:rsid w:val="00D3338F"/>
    <w:rsid w:val="00D33A20"/>
    <w:rsid w:val="00D340B0"/>
    <w:rsid w:val="00D35949"/>
    <w:rsid w:val="00D40860"/>
    <w:rsid w:val="00D440A4"/>
    <w:rsid w:val="00D441D1"/>
    <w:rsid w:val="00D44EA7"/>
    <w:rsid w:val="00D45BA7"/>
    <w:rsid w:val="00D45CD7"/>
    <w:rsid w:val="00D46A8A"/>
    <w:rsid w:val="00D47B04"/>
    <w:rsid w:val="00D47C21"/>
    <w:rsid w:val="00D5286B"/>
    <w:rsid w:val="00D52F07"/>
    <w:rsid w:val="00D5377A"/>
    <w:rsid w:val="00D53A0B"/>
    <w:rsid w:val="00D53B09"/>
    <w:rsid w:val="00D53BE2"/>
    <w:rsid w:val="00D54AE6"/>
    <w:rsid w:val="00D56B1A"/>
    <w:rsid w:val="00D57546"/>
    <w:rsid w:val="00D57D75"/>
    <w:rsid w:val="00D57F38"/>
    <w:rsid w:val="00D6058A"/>
    <w:rsid w:val="00D62435"/>
    <w:rsid w:val="00D62A6B"/>
    <w:rsid w:val="00D64517"/>
    <w:rsid w:val="00D666A4"/>
    <w:rsid w:val="00D66714"/>
    <w:rsid w:val="00D66F95"/>
    <w:rsid w:val="00D70E0D"/>
    <w:rsid w:val="00D733CA"/>
    <w:rsid w:val="00D74509"/>
    <w:rsid w:val="00D74582"/>
    <w:rsid w:val="00D74A33"/>
    <w:rsid w:val="00D74B9F"/>
    <w:rsid w:val="00D75BC0"/>
    <w:rsid w:val="00D75E09"/>
    <w:rsid w:val="00D7643F"/>
    <w:rsid w:val="00D7697B"/>
    <w:rsid w:val="00D779D3"/>
    <w:rsid w:val="00D77D02"/>
    <w:rsid w:val="00D8083C"/>
    <w:rsid w:val="00D80A7B"/>
    <w:rsid w:val="00D80C4A"/>
    <w:rsid w:val="00D80DD2"/>
    <w:rsid w:val="00D80FF9"/>
    <w:rsid w:val="00D82D29"/>
    <w:rsid w:val="00D84335"/>
    <w:rsid w:val="00D84A3F"/>
    <w:rsid w:val="00D84BC2"/>
    <w:rsid w:val="00D87260"/>
    <w:rsid w:val="00D910B2"/>
    <w:rsid w:val="00D918B8"/>
    <w:rsid w:val="00D91FD2"/>
    <w:rsid w:val="00D92779"/>
    <w:rsid w:val="00D92A05"/>
    <w:rsid w:val="00D938CF"/>
    <w:rsid w:val="00D94D14"/>
    <w:rsid w:val="00D9508B"/>
    <w:rsid w:val="00D95BA8"/>
    <w:rsid w:val="00D9605B"/>
    <w:rsid w:val="00DA182D"/>
    <w:rsid w:val="00DA1F5C"/>
    <w:rsid w:val="00DA2174"/>
    <w:rsid w:val="00DA424E"/>
    <w:rsid w:val="00DA4663"/>
    <w:rsid w:val="00DA4CBD"/>
    <w:rsid w:val="00DA5225"/>
    <w:rsid w:val="00DA6006"/>
    <w:rsid w:val="00DA701E"/>
    <w:rsid w:val="00DA75EB"/>
    <w:rsid w:val="00DA77CB"/>
    <w:rsid w:val="00DB5D60"/>
    <w:rsid w:val="00DB630F"/>
    <w:rsid w:val="00DC0858"/>
    <w:rsid w:val="00DC24EE"/>
    <w:rsid w:val="00DC2CA1"/>
    <w:rsid w:val="00DC406B"/>
    <w:rsid w:val="00DC4169"/>
    <w:rsid w:val="00DC468E"/>
    <w:rsid w:val="00DC4BAC"/>
    <w:rsid w:val="00DC591E"/>
    <w:rsid w:val="00DC5B13"/>
    <w:rsid w:val="00DC66D0"/>
    <w:rsid w:val="00DC6790"/>
    <w:rsid w:val="00DC6DBD"/>
    <w:rsid w:val="00DD0BC7"/>
    <w:rsid w:val="00DD0E82"/>
    <w:rsid w:val="00DD13F0"/>
    <w:rsid w:val="00DD1D35"/>
    <w:rsid w:val="00DD24A3"/>
    <w:rsid w:val="00DD368D"/>
    <w:rsid w:val="00DD44E3"/>
    <w:rsid w:val="00DD5CE5"/>
    <w:rsid w:val="00DD7D80"/>
    <w:rsid w:val="00DE2703"/>
    <w:rsid w:val="00DE2AB9"/>
    <w:rsid w:val="00DE333A"/>
    <w:rsid w:val="00DE33ED"/>
    <w:rsid w:val="00DE34AF"/>
    <w:rsid w:val="00DE41C7"/>
    <w:rsid w:val="00DE435A"/>
    <w:rsid w:val="00DE5217"/>
    <w:rsid w:val="00DE56DC"/>
    <w:rsid w:val="00DE69B6"/>
    <w:rsid w:val="00DE6D10"/>
    <w:rsid w:val="00DE7D88"/>
    <w:rsid w:val="00DF044D"/>
    <w:rsid w:val="00DF18CE"/>
    <w:rsid w:val="00DF1DD7"/>
    <w:rsid w:val="00DF2930"/>
    <w:rsid w:val="00DF29B7"/>
    <w:rsid w:val="00DF3244"/>
    <w:rsid w:val="00DF3EB8"/>
    <w:rsid w:val="00DF4B82"/>
    <w:rsid w:val="00DF4DEA"/>
    <w:rsid w:val="00DF4E2C"/>
    <w:rsid w:val="00DF59C4"/>
    <w:rsid w:val="00DF6259"/>
    <w:rsid w:val="00DF68ED"/>
    <w:rsid w:val="00DF707E"/>
    <w:rsid w:val="00E01868"/>
    <w:rsid w:val="00E01A35"/>
    <w:rsid w:val="00E0225E"/>
    <w:rsid w:val="00E02690"/>
    <w:rsid w:val="00E030B3"/>
    <w:rsid w:val="00E0356E"/>
    <w:rsid w:val="00E039F8"/>
    <w:rsid w:val="00E04A57"/>
    <w:rsid w:val="00E0506E"/>
    <w:rsid w:val="00E05E6D"/>
    <w:rsid w:val="00E066EE"/>
    <w:rsid w:val="00E07329"/>
    <w:rsid w:val="00E074BF"/>
    <w:rsid w:val="00E0792E"/>
    <w:rsid w:val="00E07E38"/>
    <w:rsid w:val="00E07ECD"/>
    <w:rsid w:val="00E10140"/>
    <w:rsid w:val="00E10C90"/>
    <w:rsid w:val="00E11913"/>
    <w:rsid w:val="00E13C08"/>
    <w:rsid w:val="00E14265"/>
    <w:rsid w:val="00E15072"/>
    <w:rsid w:val="00E15280"/>
    <w:rsid w:val="00E16598"/>
    <w:rsid w:val="00E20158"/>
    <w:rsid w:val="00E2088B"/>
    <w:rsid w:val="00E20FAF"/>
    <w:rsid w:val="00E212E2"/>
    <w:rsid w:val="00E21731"/>
    <w:rsid w:val="00E2484F"/>
    <w:rsid w:val="00E25D37"/>
    <w:rsid w:val="00E25EDC"/>
    <w:rsid w:val="00E26104"/>
    <w:rsid w:val="00E263D3"/>
    <w:rsid w:val="00E26554"/>
    <w:rsid w:val="00E2764F"/>
    <w:rsid w:val="00E27FAA"/>
    <w:rsid w:val="00E30099"/>
    <w:rsid w:val="00E30784"/>
    <w:rsid w:val="00E30DE6"/>
    <w:rsid w:val="00E3140B"/>
    <w:rsid w:val="00E325E8"/>
    <w:rsid w:val="00E329D8"/>
    <w:rsid w:val="00E363D8"/>
    <w:rsid w:val="00E36B8B"/>
    <w:rsid w:val="00E37444"/>
    <w:rsid w:val="00E402A5"/>
    <w:rsid w:val="00E41180"/>
    <w:rsid w:val="00E41FC4"/>
    <w:rsid w:val="00E41FD4"/>
    <w:rsid w:val="00E4263F"/>
    <w:rsid w:val="00E428C9"/>
    <w:rsid w:val="00E4345B"/>
    <w:rsid w:val="00E44705"/>
    <w:rsid w:val="00E45DDC"/>
    <w:rsid w:val="00E462FA"/>
    <w:rsid w:val="00E464F6"/>
    <w:rsid w:val="00E46C71"/>
    <w:rsid w:val="00E47A8D"/>
    <w:rsid w:val="00E50179"/>
    <w:rsid w:val="00E506F3"/>
    <w:rsid w:val="00E50759"/>
    <w:rsid w:val="00E52B67"/>
    <w:rsid w:val="00E5312C"/>
    <w:rsid w:val="00E53403"/>
    <w:rsid w:val="00E557C1"/>
    <w:rsid w:val="00E55EE0"/>
    <w:rsid w:val="00E5781B"/>
    <w:rsid w:val="00E579DC"/>
    <w:rsid w:val="00E57C56"/>
    <w:rsid w:val="00E61B6D"/>
    <w:rsid w:val="00E621CE"/>
    <w:rsid w:val="00E626CF"/>
    <w:rsid w:val="00E62875"/>
    <w:rsid w:val="00E62D9C"/>
    <w:rsid w:val="00E634C5"/>
    <w:rsid w:val="00E643D7"/>
    <w:rsid w:val="00E644A4"/>
    <w:rsid w:val="00E6538A"/>
    <w:rsid w:val="00E654FE"/>
    <w:rsid w:val="00E6597D"/>
    <w:rsid w:val="00E66492"/>
    <w:rsid w:val="00E6741E"/>
    <w:rsid w:val="00E67AB4"/>
    <w:rsid w:val="00E702A0"/>
    <w:rsid w:val="00E707B2"/>
    <w:rsid w:val="00E71A60"/>
    <w:rsid w:val="00E71BB2"/>
    <w:rsid w:val="00E72C08"/>
    <w:rsid w:val="00E732E4"/>
    <w:rsid w:val="00E75108"/>
    <w:rsid w:val="00E75937"/>
    <w:rsid w:val="00E76BE8"/>
    <w:rsid w:val="00E77620"/>
    <w:rsid w:val="00E77E48"/>
    <w:rsid w:val="00E80560"/>
    <w:rsid w:val="00E81257"/>
    <w:rsid w:val="00E81452"/>
    <w:rsid w:val="00E81936"/>
    <w:rsid w:val="00E81F2D"/>
    <w:rsid w:val="00E8223B"/>
    <w:rsid w:val="00E83047"/>
    <w:rsid w:val="00E834FC"/>
    <w:rsid w:val="00E84696"/>
    <w:rsid w:val="00E8530A"/>
    <w:rsid w:val="00E85FBE"/>
    <w:rsid w:val="00E90215"/>
    <w:rsid w:val="00E92D48"/>
    <w:rsid w:val="00E93015"/>
    <w:rsid w:val="00E934DF"/>
    <w:rsid w:val="00E9492A"/>
    <w:rsid w:val="00E960F5"/>
    <w:rsid w:val="00E96275"/>
    <w:rsid w:val="00E96A16"/>
    <w:rsid w:val="00E972FA"/>
    <w:rsid w:val="00EA2C62"/>
    <w:rsid w:val="00EA4875"/>
    <w:rsid w:val="00EA4AB8"/>
    <w:rsid w:val="00EA503D"/>
    <w:rsid w:val="00EA5772"/>
    <w:rsid w:val="00EA6238"/>
    <w:rsid w:val="00EB013B"/>
    <w:rsid w:val="00EB1A0D"/>
    <w:rsid w:val="00EB1C0C"/>
    <w:rsid w:val="00EB202F"/>
    <w:rsid w:val="00EB2B6E"/>
    <w:rsid w:val="00EB3272"/>
    <w:rsid w:val="00EB354A"/>
    <w:rsid w:val="00EB3CC8"/>
    <w:rsid w:val="00EB418E"/>
    <w:rsid w:val="00EB4BEB"/>
    <w:rsid w:val="00EB5133"/>
    <w:rsid w:val="00EB557D"/>
    <w:rsid w:val="00EB6618"/>
    <w:rsid w:val="00EB695F"/>
    <w:rsid w:val="00EB79EA"/>
    <w:rsid w:val="00EC0621"/>
    <w:rsid w:val="00EC0C1B"/>
    <w:rsid w:val="00EC2D34"/>
    <w:rsid w:val="00EC336C"/>
    <w:rsid w:val="00EC3A21"/>
    <w:rsid w:val="00EC3D3A"/>
    <w:rsid w:val="00EC4AF8"/>
    <w:rsid w:val="00EC5740"/>
    <w:rsid w:val="00EC7966"/>
    <w:rsid w:val="00EC7D39"/>
    <w:rsid w:val="00ED0B9A"/>
    <w:rsid w:val="00ED0BB8"/>
    <w:rsid w:val="00ED2937"/>
    <w:rsid w:val="00ED38D8"/>
    <w:rsid w:val="00ED38F0"/>
    <w:rsid w:val="00ED3B27"/>
    <w:rsid w:val="00ED45F2"/>
    <w:rsid w:val="00ED4D7D"/>
    <w:rsid w:val="00ED5356"/>
    <w:rsid w:val="00ED7549"/>
    <w:rsid w:val="00ED7EDC"/>
    <w:rsid w:val="00EE0600"/>
    <w:rsid w:val="00EE5D53"/>
    <w:rsid w:val="00EE69D5"/>
    <w:rsid w:val="00EE6CA5"/>
    <w:rsid w:val="00EE6FCA"/>
    <w:rsid w:val="00EF0445"/>
    <w:rsid w:val="00EF0E25"/>
    <w:rsid w:val="00EF0E4D"/>
    <w:rsid w:val="00EF1763"/>
    <w:rsid w:val="00EF1D42"/>
    <w:rsid w:val="00EF4092"/>
    <w:rsid w:val="00EF4672"/>
    <w:rsid w:val="00EF5644"/>
    <w:rsid w:val="00EF5AA7"/>
    <w:rsid w:val="00EF6BFB"/>
    <w:rsid w:val="00EF7604"/>
    <w:rsid w:val="00EF7ED1"/>
    <w:rsid w:val="00F0075B"/>
    <w:rsid w:val="00F00918"/>
    <w:rsid w:val="00F0092F"/>
    <w:rsid w:val="00F011BB"/>
    <w:rsid w:val="00F02299"/>
    <w:rsid w:val="00F02D20"/>
    <w:rsid w:val="00F035DA"/>
    <w:rsid w:val="00F0564B"/>
    <w:rsid w:val="00F06100"/>
    <w:rsid w:val="00F06834"/>
    <w:rsid w:val="00F06A8C"/>
    <w:rsid w:val="00F075B7"/>
    <w:rsid w:val="00F079C8"/>
    <w:rsid w:val="00F07ED3"/>
    <w:rsid w:val="00F1026A"/>
    <w:rsid w:val="00F108B8"/>
    <w:rsid w:val="00F1181B"/>
    <w:rsid w:val="00F13E84"/>
    <w:rsid w:val="00F1468B"/>
    <w:rsid w:val="00F147CE"/>
    <w:rsid w:val="00F14C7B"/>
    <w:rsid w:val="00F14D73"/>
    <w:rsid w:val="00F15AFE"/>
    <w:rsid w:val="00F1799F"/>
    <w:rsid w:val="00F20620"/>
    <w:rsid w:val="00F22819"/>
    <w:rsid w:val="00F238FA"/>
    <w:rsid w:val="00F23C8A"/>
    <w:rsid w:val="00F246BF"/>
    <w:rsid w:val="00F26D16"/>
    <w:rsid w:val="00F27C8E"/>
    <w:rsid w:val="00F3189A"/>
    <w:rsid w:val="00F31B09"/>
    <w:rsid w:val="00F31E7F"/>
    <w:rsid w:val="00F32469"/>
    <w:rsid w:val="00F34581"/>
    <w:rsid w:val="00F36F4D"/>
    <w:rsid w:val="00F37DF6"/>
    <w:rsid w:val="00F41D2F"/>
    <w:rsid w:val="00F42663"/>
    <w:rsid w:val="00F43240"/>
    <w:rsid w:val="00F442BC"/>
    <w:rsid w:val="00F44424"/>
    <w:rsid w:val="00F447DE"/>
    <w:rsid w:val="00F44A13"/>
    <w:rsid w:val="00F44D7E"/>
    <w:rsid w:val="00F44F1B"/>
    <w:rsid w:val="00F455F8"/>
    <w:rsid w:val="00F45AAD"/>
    <w:rsid w:val="00F47CC4"/>
    <w:rsid w:val="00F47E38"/>
    <w:rsid w:val="00F50C1D"/>
    <w:rsid w:val="00F51131"/>
    <w:rsid w:val="00F531C2"/>
    <w:rsid w:val="00F53B82"/>
    <w:rsid w:val="00F53CCC"/>
    <w:rsid w:val="00F5488A"/>
    <w:rsid w:val="00F55921"/>
    <w:rsid w:val="00F55F54"/>
    <w:rsid w:val="00F56084"/>
    <w:rsid w:val="00F573C8"/>
    <w:rsid w:val="00F60674"/>
    <w:rsid w:val="00F60999"/>
    <w:rsid w:val="00F6106A"/>
    <w:rsid w:val="00F6328B"/>
    <w:rsid w:val="00F63913"/>
    <w:rsid w:val="00F6402F"/>
    <w:rsid w:val="00F662D8"/>
    <w:rsid w:val="00F672D1"/>
    <w:rsid w:val="00F7009C"/>
    <w:rsid w:val="00F71141"/>
    <w:rsid w:val="00F71D2D"/>
    <w:rsid w:val="00F72069"/>
    <w:rsid w:val="00F72288"/>
    <w:rsid w:val="00F72454"/>
    <w:rsid w:val="00F725EB"/>
    <w:rsid w:val="00F73E17"/>
    <w:rsid w:val="00F76C97"/>
    <w:rsid w:val="00F76ED8"/>
    <w:rsid w:val="00F772CA"/>
    <w:rsid w:val="00F778F9"/>
    <w:rsid w:val="00F8004F"/>
    <w:rsid w:val="00F80534"/>
    <w:rsid w:val="00F81A4C"/>
    <w:rsid w:val="00F82216"/>
    <w:rsid w:val="00F840CA"/>
    <w:rsid w:val="00F877AD"/>
    <w:rsid w:val="00F87E8D"/>
    <w:rsid w:val="00F90C7C"/>
    <w:rsid w:val="00F91176"/>
    <w:rsid w:val="00F94D44"/>
    <w:rsid w:val="00F95FFA"/>
    <w:rsid w:val="00F96D9B"/>
    <w:rsid w:val="00FA0630"/>
    <w:rsid w:val="00FA1606"/>
    <w:rsid w:val="00FA32F5"/>
    <w:rsid w:val="00FA54D7"/>
    <w:rsid w:val="00FA6007"/>
    <w:rsid w:val="00FB1274"/>
    <w:rsid w:val="00FB1541"/>
    <w:rsid w:val="00FB2A5C"/>
    <w:rsid w:val="00FB31E6"/>
    <w:rsid w:val="00FB3F99"/>
    <w:rsid w:val="00FB51BE"/>
    <w:rsid w:val="00FB5A5E"/>
    <w:rsid w:val="00FB6AA8"/>
    <w:rsid w:val="00FB7964"/>
    <w:rsid w:val="00FB7BD3"/>
    <w:rsid w:val="00FB7D94"/>
    <w:rsid w:val="00FC00CC"/>
    <w:rsid w:val="00FC032D"/>
    <w:rsid w:val="00FC0D80"/>
    <w:rsid w:val="00FC1316"/>
    <w:rsid w:val="00FC2225"/>
    <w:rsid w:val="00FC2680"/>
    <w:rsid w:val="00FC33B2"/>
    <w:rsid w:val="00FC3E1B"/>
    <w:rsid w:val="00FC6C96"/>
    <w:rsid w:val="00FD1839"/>
    <w:rsid w:val="00FD1974"/>
    <w:rsid w:val="00FD235D"/>
    <w:rsid w:val="00FD2EB0"/>
    <w:rsid w:val="00FD3185"/>
    <w:rsid w:val="00FD46C3"/>
    <w:rsid w:val="00FD5C17"/>
    <w:rsid w:val="00FD7F63"/>
    <w:rsid w:val="00FE0828"/>
    <w:rsid w:val="00FE15E1"/>
    <w:rsid w:val="00FE190F"/>
    <w:rsid w:val="00FE288A"/>
    <w:rsid w:val="00FE34AA"/>
    <w:rsid w:val="00FE3629"/>
    <w:rsid w:val="00FE398E"/>
    <w:rsid w:val="00FE4EC2"/>
    <w:rsid w:val="00FE6462"/>
    <w:rsid w:val="00FE712A"/>
    <w:rsid w:val="00FE7C3B"/>
    <w:rsid w:val="00FF016A"/>
    <w:rsid w:val="00FF1329"/>
    <w:rsid w:val="00FF1B3A"/>
    <w:rsid w:val="00FF2107"/>
    <w:rsid w:val="00FF2912"/>
    <w:rsid w:val="00FF2982"/>
    <w:rsid w:val="00FF36EC"/>
    <w:rsid w:val="00FF3A0B"/>
    <w:rsid w:val="00FF4B01"/>
    <w:rsid w:val="00FF4BAB"/>
    <w:rsid w:val="00FF4D64"/>
    <w:rsid w:val="00FF6215"/>
    <w:rsid w:val="00FF62C2"/>
    <w:rsid w:val="00FF65E4"/>
    <w:rsid w:val="00FF6B54"/>
    <w:rsid w:val="00FF6D10"/>
    <w:rsid w:val="00FF79F8"/>
    <w:rsid w:val="0514A428"/>
    <w:rsid w:val="06A2D01F"/>
    <w:rsid w:val="06C7AE45"/>
    <w:rsid w:val="074F91F4"/>
    <w:rsid w:val="07EC6031"/>
    <w:rsid w:val="09EFA7C7"/>
    <w:rsid w:val="0AAA7E16"/>
    <w:rsid w:val="0D189D68"/>
    <w:rsid w:val="0E3F500C"/>
    <w:rsid w:val="0EEC5C28"/>
    <w:rsid w:val="0F35A529"/>
    <w:rsid w:val="10546177"/>
    <w:rsid w:val="10ACFBB5"/>
    <w:rsid w:val="1112D4BB"/>
    <w:rsid w:val="117BC3D1"/>
    <w:rsid w:val="132D7F41"/>
    <w:rsid w:val="13DD4764"/>
    <w:rsid w:val="14E4703D"/>
    <w:rsid w:val="14E496AF"/>
    <w:rsid w:val="185E773D"/>
    <w:rsid w:val="19A6F9F8"/>
    <w:rsid w:val="1C8C0601"/>
    <w:rsid w:val="1D5CB362"/>
    <w:rsid w:val="1D8398D4"/>
    <w:rsid w:val="1DD56DDA"/>
    <w:rsid w:val="1EB8E77D"/>
    <w:rsid w:val="2017B812"/>
    <w:rsid w:val="211204AC"/>
    <w:rsid w:val="211AB306"/>
    <w:rsid w:val="223F3CB9"/>
    <w:rsid w:val="229A33DC"/>
    <w:rsid w:val="24C5570E"/>
    <w:rsid w:val="250D0F08"/>
    <w:rsid w:val="28DC77DE"/>
    <w:rsid w:val="2CE2FD6D"/>
    <w:rsid w:val="2D286FFB"/>
    <w:rsid w:val="2D6B34FB"/>
    <w:rsid w:val="2F90E67C"/>
    <w:rsid w:val="30E3290D"/>
    <w:rsid w:val="315EA0C7"/>
    <w:rsid w:val="331DEB61"/>
    <w:rsid w:val="35371333"/>
    <w:rsid w:val="35D1C563"/>
    <w:rsid w:val="375D5DAE"/>
    <w:rsid w:val="3878E427"/>
    <w:rsid w:val="3B445B4A"/>
    <w:rsid w:val="3C8DB88B"/>
    <w:rsid w:val="3CE99C83"/>
    <w:rsid w:val="3FC58B23"/>
    <w:rsid w:val="404F58BE"/>
    <w:rsid w:val="405278F1"/>
    <w:rsid w:val="4171D4BF"/>
    <w:rsid w:val="4251A1DF"/>
    <w:rsid w:val="429DDEA4"/>
    <w:rsid w:val="42E49BFB"/>
    <w:rsid w:val="43D00CC1"/>
    <w:rsid w:val="454FB5D0"/>
    <w:rsid w:val="45E1A6B1"/>
    <w:rsid w:val="46629CEC"/>
    <w:rsid w:val="46B4E688"/>
    <w:rsid w:val="47EDFBC4"/>
    <w:rsid w:val="5069CBAB"/>
    <w:rsid w:val="507CD32B"/>
    <w:rsid w:val="5189DBB4"/>
    <w:rsid w:val="52FEF5C8"/>
    <w:rsid w:val="5434A79C"/>
    <w:rsid w:val="55BF6FF7"/>
    <w:rsid w:val="57134E14"/>
    <w:rsid w:val="57F5D9B3"/>
    <w:rsid w:val="58C0C4EB"/>
    <w:rsid w:val="58E2ADB9"/>
    <w:rsid w:val="5B29B3B1"/>
    <w:rsid w:val="5C1DDB4B"/>
    <w:rsid w:val="5D787363"/>
    <w:rsid w:val="5E659C75"/>
    <w:rsid w:val="5F3CB0E6"/>
    <w:rsid w:val="5F5D9B69"/>
    <w:rsid w:val="5FF56A1F"/>
    <w:rsid w:val="60D4BF7A"/>
    <w:rsid w:val="638CF2C1"/>
    <w:rsid w:val="658ED66A"/>
    <w:rsid w:val="69825ABA"/>
    <w:rsid w:val="69DBB3AE"/>
    <w:rsid w:val="6AED3A04"/>
    <w:rsid w:val="6F96CF80"/>
    <w:rsid w:val="70E213EC"/>
    <w:rsid w:val="7153783B"/>
    <w:rsid w:val="718F9E50"/>
    <w:rsid w:val="71E2A246"/>
    <w:rsid w:val="72CD4152"/>
    <w:rsid w:val="73D0AB85"/>
    <w:rsid w:val="7444338D"/>
    <w:rsid w:val="74A22779"/>
    <w:rsid w:val="75AABCAB"/>
    <w:rsid w:val="7604BFCD"/>
    <w:rsid w:val="7674E7FD"/>
    <w:rsid w:val="76AE9304"/>
    <w:rsid w:val="799CD4A2"/>
    <w:rsid w:val="7B695AE4"/>
    <w:rsid w:val="7D3167EC"/>
    <w:rsid w:val="7D8E3984"/>
    <w:rsid w:val="7DBFEEA4"/>
    <w:rsid w:val="7F1B18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A1DF"/>
  <w15:chartTrackingRefBased/>
  <w15:docId w15:val="{BBF84D9D-941B-47CF-8391-F6A8A9B5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B14F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F20"/>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4F20"/>
    <w:rPr>
      <w:rFonts w:asciiTheme="majorHAnsi" w:eastAsiaTheme="majorEastAsia" w:hAnsiTheme="majorHAnsi" w:cstheme="majorBidi"/>
      <w:b/>
      <w:sz w:val="26"/>
      <w:szCs w:val="26"/>
    </w:rPr>
  </w:style>
  <w:style w:type="table" w:styleId="TableGrid">
    <w:name w:val="Table Grid"/>
    <w:basedOn w:val="TableNormal"/>
    <w:uiPriority w:val="39"/>
    <w:rsid w:val="00B1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F20"/>
    <w:pPr>
      <w:ind w:left="720"/>
      <w:contextualSpacing/>
    </w:pPr>
    <w:rPr>
      <w:kern w:val="2"/>
      <w14:ligatures w14:val="standardContextual"/>
    </w:rPr>
  </w:style>
  <w:style w:type="paragraph" w:styleId="NoSpacing">
    <w:name w:val="No Spacing"/>
    <w:link w:val="NoSpacingChar"/>
    <w:uiPriority w:val="1"/>
    <w:qFormat/>
    <w:rsid w:val="00B14F2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4F20"/>
    <w:rPr>
      <w:rFonts w:eastAsiaTheme="minorEastAsia"/>
      <w:lang w:val="en-US"/>
    </w:rPr>
  </w:style>
  <w:style w:type="paragraph" w:styleId="Title">
    <w:name w:val="Title"/>
    <w:basedOn w:val="Normal"/>
    <w:next w:val="Normal"/>
    <w:link w:val="TitleChar"/>
    <w:uiPriority w:val="10"/>
    <w:qFormat/>
    <w:rsid w:val="00B14F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2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B14F20"/>
    <w:pPr>
      <w:outlineLvl w:val="9"/>
    </w:pPr>
    <w:rPr>
      <w:lang w:val="en-US"/>
    </w:rPr>
  </w:style>
  <w:style w:type="paragraph" w:styleId="TOC1">
    <w:name w:val="toc 1"/>
    <w:basedOn w:val="Normal"/>
    <w:next w:val="Normal"/>
    <w:autoRedefine/>
    <w:uiPriority w:val="39"/>
    <w:unhideWhenUsed/>
    <w:rsid w:val="00255E6F"/>
    <w:pPr>
      <w:tabs>
        <w:tab w:val="right" w:leader="dot" w:pos="9016"/>
      </w:tabs>
      <w:spacing w:after="100"/>
    </w:pPr>
  </w:style>
  <w:style w:type="paragraph" w:styleId="TOC2">
    <w:name w:val="toc 2"/>
    <w:basedOn w:val="Normal"/>
    <w:next w:val="Normal"/>
    <w:autoRedefine/>
    <w:uiPriority w:val="39"/>
    <w:unhideWhenUsed/>
    <w:rsid w:val="003168FB"/>
    <w:pPr>
      <w:tabs>
        <w:tab w:val="right" w:leader="dot" w:pos="9016"/>
      </w:tabs>
      <w:spacing w:after="100"/>
      <w:ind w:left="220"/>
    </w:pPr>
  </w:style>
  <w:style w:type="character" w:styleId="Hyperlink">
    <w:name w:val="Hyperlink"/>
    <w:basedOn w:val="DefaultParagraphFont"/>
    <w:uiPriority w:val="99"/>
    <w:unhideWhenUsed/>
    <w:rsid w:val="00B14F20"/>
    <w:rPr>
      <w:color w:val="0563C1" w:themeColor="hyperlink"/>
      <w:u w:val="single"/>
    </w:rPr>
  </w:style>
  <w:style w:type="paragraph" w:styleId="Header">
    <w:name w:val="header"/>
    <w:basedOn w:val="Normal"/>
    <w:link w:val="HeaderChar"/>
    <w:uiPriority w:val="99"/>
    <w:unhideWhenUsed/>
    <w:rsid w:val="00B14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F20"/>
  </w:style>
  <w:style w:type="paragraph" w:styleId="Footer">
    <w:name w:val="footer"/>
    <w:basedOn w:val="Normal"/>
    <w:link w:val="FooterChar"/>
    <w:uiPriority w:val="99"/>
    <w:unhideWhenUsed/>
    <w:rsid w:val="00B14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F20"/>
  </w:style>
  <w:style w:type="character" w:styleId="CommentReference">
    <w:name w:val="annotation reference"/>
    <w:basedOn w:val="DefaultParagraphFont"/>
    <w:uiPriority w:val="99"/>
    <w:semiHidden/>
    <w:unhideWhenUsed/>
    <w:rsid w:val="00B14F20"/>
    <w:rPr>
      <w:sz w:val="16"/>
      <w:szCs w:val="16"/>
    </w:rPr>
  </w:style>
  <w:style w:type="paragraph" w:styleId="CommentText">
    <w:name w:val="annotation text"/>
    <w:basedOn w:val="Normal"/>
    <w:link w:val="CommentTextChar"/>
    <w:uiPriority w:val="99"/>
    <w:unhideWhenUsed/>
    <w:rsid w:val="00B14F20"/>
    <w:pPr>
      <w:spacing w:line="240" w:lineRule="auto"/>
    </w:pPr>
    <w:rPr>
      <w:sz w:val="20"/>
      <w:szCs w:val="20"/>
    </w:rPr>
  </w:style>
  <w:style w:type="character" w:customStyle="1" w:styleId="CommentTextChar">
    <w:name w:val="Comment Text Char"/>
    <w:basedOn w:val="DefaultParagraphFont"/>
    <w:link w:val="CommentText"/>
    <w:uiPriority w:val="99"/>
    <w:rsid w:val="00B14F20"/>
    <w:rPr>
      <w:sz w:val="20"/>
      <w:szCs w:val="20"/>
    </w:rPr>
  </w:style>
  <w:style w:type="paragraph" w:styleId="CommentSubject">
    <w:name w:val="annotation subject"/>
    <w:basedOn w:val="CommentText"/>
    <w:next w:val="CommentText"/>
    <w:link w:val="CommentSubjectChar"/>
    <w:uiPriority w:val="99"/>
    <w:semiHidden/>
    <w:unhideWhenUsed/>
    <w:rsid w:val="00B14F20"/>
    <w:rPr>
      <w:b/>
      <w:bCs/>
    </w:rPr>
  </w:style>
  <w:style w:type="character" w:customStyle="1" w:styleId="CommentSubjectChar">
    <w:name w:val="Comment Subject Char"/>
    <w:basedOn w:val="CommentTextChar"/>
    <w:link w:val="CommentSubject"/>
    <w:uiPriority w:val="99"/>
    <w:semiHidden/>
    <w:rsid w:val="00B14F20"/>
    <w:rPr>
      <w:b/>
      <w:bCs/>
      <w:sz w:val="20"/>
      <w:szCs w:val="20"/>
    </w:rPr>
  </w:style>
  <w:style w:type="paragraph" w:styleId="Revision">
    <w:name w:val="Revision"/>
    <w:hidden/>
    <w:uiPriority w:val="99"/>
    <w:semiHidden/>
    <w:rsid w:val="00B14F20"/>
    <w:pPr>
      <w:spacing w:after="0" w:line="240" w:lineRule="auto"/>
    </w:pPr>
  </w:style>
  <w:style w:type="paragraph" w:customStyle="1" w:styleId="paragraph">
    <w:name w:val="paragraph"/>
    <w:basedOn w:val="Normal"/>
    <w:rsid w:val="00B14F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14F20"/>
  </w:style>
  <w:style w:type="character" w:customStyle="1" w:styleId="eop">
    <w:name w:val="eop"/>
    <w:basedOn w:val="DefaultParagraphFont"/>
    <w:rsid w:val="00B14F20"/>
  </w:style>
  <w:style w:type="character" w:styleId="Mention">
    <w:name w:val="Mention"/>
    <w:basedOn w:val="DefaultParagraphFont"/>
    <w:uiPriority w:val="99"/>
    <w:unhideWhenUsed/>
    <w:rsid w:val="00B14F20"/>
    <w:rPr>
      <w:color w:val="2B579A"/>
      <w:shd w:val="clear" w:color="auto" w:fill="E6E6E6"/>
    </w:rPr>
  </w:style>
  <w:style w:type="paragraph" w:customStyle="1" w:styleId="pf0">
    <w:name w:val="pf0"/>
    <w:basedOn w:val="Normal"/>
    <w:rsid w:val="00B14F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sonormal">
    <w:name w:val="x_msonormal"/>
    <w:basedOn w:val="Normal"/>
    <w:rsid w:val="00B14F20"/>
    <w:pPr>
      <w:spacing w:after="0" w:line="240" w:lineRule="auto"/>
    </w:pPr>
    <w:rPr>
      <w:rFonts w:ascii="Calibri" w:hAnsi="Calibri" w:cs="Calibri"/>
      <w:lang w:eastAsia="en-AU"/>
    </w:rPr>
  </w:style>
  <w:style w:type="character" w:styleId="UnresolvedMention">
    <w:name w:val="Unresolved Mention"/>
    <w:basedOn w:val="DefaultParagraphFont"/>
    <w:uiPriority w:val="99"/>
    <w:semiHidden/>
    <w:unhideWhenUsed/>
    <w:rsid w:val="000A1EBC"/>
    <w:rPr>
      <w:color w:val="605E5C"/>
      <w:shd w:val="clear" w:color="auto" w:fill="E1DFDD"/>
    </w:rPr>
  </w:style>
  <w:style w:type="paragraph" w:styleId="FootnoteText">
    <w:name w:val="footnote text"/>
    <w:basedOn w:val="Normal"/>
    <w:link w:val="FootnoteTextChar"/>
    <w:uiPriority w:val="99"/>
    <w:semiHidden/>
    <w:unhideWhenUsed/>
    <w:rsid w:val="00122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EB6"/>
    <w:rPr>
      <w:sz w:val="20"/>
      <w:szCs w:val="20"/>
    </w:rPr>
  </w:style>
  <w:style w:type="character" w:styleId="FootnoteReference">
    <w:name w:val="footnote reference"/>
    <w:basedOn w:val="DefaultParagraphFont"/>
    <w:uiPriority w:val="99"/>
    <w:semiHidden/>
    <w:unhideWhenUsed/>
    <w:rsid w:val="00122EB6"/>
    <w:rPr>
      <w:vertAlign w:val="superscript"/>
    </w:rPr>
  </w:style>
  <w:style w:type="character" w:styleId="FollowedHyperlink">
    <w:name w:val="FollowedHyperlink"/>
    <w:basedOn w:val="DefaultParagraphFont"/>
    <w:uiPriority w:val="99"/>
    <w:semiHidden/>
    <w:unhideWhenUsed/>
    <w:rsid w:val="009816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4392">
      <w:bodyDiv w:val="1"/>
      <w:marLeft w:val="0"/>
      <w:marRight w:val="0"/>
      <w:marTop w:val="0"/>
      <w:marBottom w:val="0"/>
      <w:divBdr>
        <w:top w:val="none" w:sz="0" w:space="0" w:color="auto"/>
        <w:left w:val="none" w:sz="0" w:space="0" w:color="auto"/>
        <w:bottom w:val="none" w:sz="0" w:space="0" w:color="auto"/>
        <w:right w:val="none" w:sz="0" w:space="0" w:color="auto"/>
      </w:divBdr>
    </w:div>
    <w:div w:id="223763110">
      <w:bodyDiv w:val="1"/>
      <w:marLeft w:val="0"/>
      <w:marRight w:val="0"/>
      <w:marTop w:val="0"/>
      <w:marBottom w:val="0"/>
      <w:divBdr>
        <w:top w:val="none" w:sz="0" w:space="0" w:color="auto"/>
        <w:left w:val="none" w:sz="0" w:space="0" w:color="auto"/>
        <w:bottom w:val="none" w:sz="0" w:space="0" w:color="auto"/>
        <w:right w:val="none" w:sz="0" w:space="0" w:color="auto"/>
      </w:divBdr>
    </w:div>
    <w:div w:id="345325805">
      <w:bodyDiv w:val="1"/>
      <w:marLeft w:val="0"/>
      <w:marRight w:val="0"/>
      <w:marTop w:val="0"/>
      <w:marBottom w:val="0"/>
      <w:divBdr>
        <w:top w:val="none" w:sz="0" w:space="0" w:color="auto"/>
        <w:left w:val="none" w:sz="0" w:space="0" w:color="auto"/>
        <w:bottom w:val="none" w:sz="0" w:space="0" w:color="auto"/>
        <w:right w:val="none" w:sz="0" w:space="0" w:color="auto"/>
      </w:divBdr>
    </w:div>
    <w:div w:id="673191335">
      <w:bodyDiv w:val="1"/>
      <w:marLeft w:val="0"/>
      <w:marRight w:val="0"/>
      <w:marTop w:val="0"/>
      <w:marBottom w:val="0"/>
      <w:divBdr>
        <w:top w:val="none" w:sz="0" w:space="0" w:color="auto"/>
        <w:left w:val="none" w:sz="0" w:space="0" w:color="auto"/>
        <w:bottom w:val="none" w:sz="0" w:space="0" w:color="auto"/>
        <w:right w:val="none" w:sz="0" w:space="0" w:color="auto"/>
      </w:divBdr>
    </w:div>
    <w:div w:id="772941748">
      <w:bodyDiv w:val="1"/>
      <w:marLeft w:val="0"/>
      <w:marRight w:val="0"/>
      <w:marTop w:val="0"/>
      <w:marBottom w:val="0"/>
      <w:divBdr>
        <w:top w:val="none" w:sz="0" w:space="0" w:color="auto"/>
        <w:left w:val="none" w:sz="0" w:space="0" w:color="auto"/>
        <w:bottom w:val="none" w:sz="0" w:space="0" w:color="auto"/>
        <w:right w:val="none" w:sz="0" w:space="0" w:color="auto"/>
      </w:divBdr>
    </w:div>
    <w:div w:id="773986266">
      <w:bodyDiv w:val="1"/>
      <w:marLeft w:val="0"/>
      <w:marRight w:val="0"/>
      <w:marTop w:val="0"/>
      <w:marBottom w:val="0"/>
      <w:divBdr>
        <w:top w:val="none" w:sz="0" w:space="0" w:color="auto"/>
        <w:left w:val="none" w:sz="0" w:space="0" w:color="auto"/>
        <w:bottom w:val="none" w:sz="0" w:space="0" w:color="auto"/>
        <w:right w:val="none" w:sz="0" w:space="0" w:color="auto"/>
      </w:divBdr>
    </w:div>
    <w:div w:id="1523015110">
      <w:bodyDiv w:val="1"/>
      <w:marLeft w:val="0"/>
      <w:marRight w:val="0"/>
      <w:marTop w:val="0"/>
      <w:marBottom w:val="0"/>
      <w:divBdr>
        <w:top w:val="none" w:sz="0" w:space="0" w:color="auto"/>
        <w:left w:val="none" w:sz="0" w:space="0" w:color="auto"/>
        <w:bottom w:val="none" w:sz="0" w:space="0" w:color="auto"/>
        <w:right w:val="none" w:sz="0" w:space="0" w:color="auto"/>
      </w:divBdr>
    </w:div>
    <w:div w:id="1599488760">
      <w:bodyDiv w:val="1"/>
      <w:marLeft w:val="0"/>
      <w:marRight w:val="0"/>
      <w:marTop w:val="0"/>
      <w:marBottom w:val="0"/>
      <w:divBdr>
        <w:top w:val="none" w:sz="0" w:space="0" w:color="auto"/>
        <w:left w:val="none" w:sz="0" w:space="0" w:color="auto"/>
        <w:bottom w:val="none" w:sz="0" w:space="0" w:color="auto"/>
        <w:right w:val="none" w:sz="0" w:space="0" w:color="auto"/>
      </w:divBdr>
    </w:div>
    <w:div w:id="1991252631">
      <w:bodyDiv w:val="1"/>
      <w:marLeft w:val="0"/>
      <w:marRight w:val="0"/>
      <w:marTop w:val="0"/>
      <w:marBottom w:val="0"/>
      <w:divBdr>
        <w:top w:val="none" w:sz="0" w:space="0" w:color="auto"/>
        <w:left w:val="none" w:sz="0" w:space="0" w:color="auto"/>
        <w:bottom w:val="none" w:sz="0" w:space="0" w:color="auto"/>
        <w:right w:val="none" w:sz="0" w:space="0" w:color="auto"/>
      </w:divBdr>
    </w:div>
    <w:div w:id="20486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gov.au/Parliamentary_Business/Committees/Joint/Foreign_Affairs_Defence_and_Trade/Tourismandeducation/Terms_of_Referenc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international-education-data-and-research/education-export-income-financial-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1830e5-db94-4a7a-b7d9-9c5853ac3636">
      <Terms xmlns="http://schemas.microsoft.com/office/infopath/2007/PartnerControls"/>
    </lcf76f155ced4ddcb4097134ff3c332f>
    <TaxCatchAll xmlns="ecfff5c6-60b4-483f-96e6-cb5590c1ae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B422B828109A4EA52723A3120B59E8" ma:contentTypeVersion="15" ma:contentTypeDescription="Create a new document." ma:contentTypeScope="" ma:versionID="323ee92c615a10b79e60e0945f1aa153">
  <xsd:schema xmlns:xsd="http://www.w3.org/2001/XMLSchema" xmlns:xs="http://www.w3.org/2001/XMLSchema" xmlns:p="http://schemas.microsoft.com/office/2006/metadata/properties" xmlns:ns2="ecfff5c6-60b4-483f-96e6-cb5590c1aef4" xmlns:ns3="461830e5-db94-4a7a-b7d9-9c5853ac3636" targetNamespace="http://schemas.microsoft.com/office/2006/metadata/properties" ma:root="true" ma:fieldsID="8513f0ceb3dc7041ba5405113ce0f512" ns2:_="" ns3:_="">
    <xsd:import namespace="ecfff5c6-60b4-483f-96e6-cb5590c1aef4"/>
    <xsd:import namespace="461830e5-db94-4a7a-b7d9-9c5853ac3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DateTake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f5c6-60b4-483f-96e6-cb5590c1ae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38c9b9-1298-440e-8d88-dd1f9ffd2bfb}" ma:internalName="TaxCatchAll" ma:showField="CatchAllData" ma:web="ecfff5c6-60b4-483f-96e6-cb5590c1a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1830e5-db94-4a7a-b7d9-9c5853ac3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34FDE-2308-40EE-9DA9-505C3019863F}">
  <ds:schemaRefs>
    <ds:schemaRef ds:uri="http://schemas.microsoft.com/sharepoint/v3/contenttype/forms"/>
  </ds:schemaRefs>
</ds:datastoreItem>
</file>

<file path=customXml/itemProps2.xml><?xml version="1.0" encoding="utf-8"?>
<ds:datastoreItem xmlns:ds="http://schemas.openxmlformats.org/officeDocument/2006/customXml" ds:itemID="{B4A9AF3A-7B90-46AC-BDAB-1A33528FD86C}">
  <ds:schemaRefs>
    <ds:schemaRef ds:uri="http://schemas.openxmlformats.org/officeDocument/2006/bibliography"/>
  </ds:schemaRefs>
</ds:datastoreItem>
</file>

<file path=customXml/itemProps3.xml><?xml version="1.0" encoding="utf-8"?>
<ds:datastoreItem xmlns:ds="http://schemas.openxmlformats.org/officeDocument/2006/customXml" ds:itemID="{809AE8DA-46D5-417A-9DB2-8F0C864C1D14}">
  <ds:schemaRefs>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ecfff5c6-60b4-483f-96e6-cb5590c1aef4"/>
    <ds:schemaRef ds:uri="http://purl.org/dc/dcmitype/"/>
    <ds:schemaRef ds:uri="461830e5-db94-4a7a-b7d9-9c5853ac3636"/>
  </ds:schemaRefs>
</ds:datastoreItem>
</file>

<file path=customXml/itemProps4.xml><?xml version="1.0" encoding="utf-8"?>
<ds:datastoreItem xmlns:ds="http://schemas.openxmlformats.org/officeDocument/2006/customXml" ds:itemID="{6B1BAE84-D1BB-4C5D-B41E-871B8DB8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f5c6-60b4-483f-96e6-cb5590c1aef4"/>
    <ds:schemaRef ds:uri="461830e5-db94-4a7a-b7d9-9c5853ac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10749</Words>
  <Characters>61272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71878</CharactersWithSpaces>
  <SharedDoc>false</SharedDoc>
  <HLinks>
    <vt:vector size="198" baseType="variant">
      <vt:variant>
        <vt:i4>4849782</vt:i4>
      </vt:variant>
      <vt:variant>
        <vt:i4>189</vt:i4>
      </vt:variant>
      <vt:variant>
        <vt:i4>0</vt:i4>
      </vt:variant>
      <vt:variant>
        <vt:i4>5</vt:i4>
      </vt:variant>
      <vt:variant>
        <vt:lpwstr>https://www.aph.gov.au/Parliamentary_Business/Committees/Joint/Foreign_Affairs_Defence_and_Trade/Tourismandeducation/Terms_of_Reference</vt:lpwstr>
      </vt:variant>
      <vt:variant>
        <vt:lpwstr/>
      </vt:variant>
      <vt:variant>
        <vt:i4>1507391</vt:i4>
      </vt:variant>
      <vt:variant>
        <vt:i4>182</vt:i4>
      </vt:variant>
      <vt:variant>
        <vt:i4>0</vt:i4>
      </vt:variant>
      <vt:variant>
        <vt:i4>5</vt:i4>
      </vt:variant>
      <vt:variant>
        <vt:lpwstr/>
      </vt:variant>
      <vt:variant>
        <vt:lpwstr>_Toc207627818</vt:lpwstr>
      </vt:variant>
      <vt:variant>
        <vt:i4>1507391</vt:i4>
      </vt:variant>
      <vt:variant>
        <vt:i4>176</vt:i4>
      </vt:variant>
      <vt:variant>
        <vt:i4>0</vt:i4>
      </vt:variant>
      <vt:variant>
        <vt:i4>5</vt:i4>
      </vt:variant>
      <vt:variant>
        <vt:lpwstr/>
      </vt:variant>
      <vt:variant>
        <vt:lpwstr>_Toc207627817</vt:lpwstr>
      </vt:variant>
      <vt:variant>
        <vt:i4>1507391</vt:i4>
      </vt:variant>
      <vt:variant>
        <vt:i4>170</vt:i4>
      </vt:variant>
      <vt:variant>
        <vt:i4>0</vt:i4>
      </vt:variant>
      <vt:variant>
        <vt:i4>5</vt:i4>
      </vt:variant>
      <vt:variant>
        <vt:lpwstr/>
      </vt:variant>
      <vt:variant>
        <vt:lpwstr>_Toc207627816</vt:lpwstr>
      </vt:variant>
      <vt:variant>
        <vt:i4>1507391</vt:i4>
      </vt:variant>
      <vt:variant>
        <vt:i4>164</vt:i4>
      </vt:variant>
      <vt:variant>
        <vt:i4>0</vt:i4>
      </vt:variant>
      <vt:variant>
        <vt:i4>5</vt:i4>
      </vt:variant>
      <vt:variant>
        <vt:lpwstr/>
      </vt:variant>
      <vt:variant>
        <vt:lpwstr>_Toc207627815</vt:lpwstr>
      </vt:variant>
      <vt:variant>
        <vt:i4>1507391</vt:i4>
      </vt:variant>
      <vt:variant>
        <vt:i4>158</vt:i4>
      </vt:variant>
      <vt:variant>
        <vt:i4>0</vt:i4>
      </vt:variant>
      <vt:variant>
        <vt:i4>5</vt:i4>
      </vt:variant>
      <vt:variant>
        <vt:lpwstr/>
      </vt:variant>
      <vt:variant>
        <vt:lpwstr>_Toc207627814</vt:lpwstr>
      </vt:variant>
      <vt:variant>
        <vt:i4>1507391</vt:i4>
      </vt:variant>
      <vt:variant>
        <vt:i4>152</vt:i4>
      </vt:variant>
      <vt:variant>
        <vt:i4>0</vt:i4>
      </vt:variant>
      <vt:variant>
        <vt:i4>5</vt:i4>
      </vt:variant>
      <vt:variant>
        <vt:lpwstr/>
      </vt:variant>
      <vt:variant>
        <vt:lpwstr>_Toc207627813</vt:lpwstr>
      </vt:variant>
      <vt:variant>
        <vt:i4>1507391</vt:i4>
      </vt:variant>
      <vt:variant>
        <vt:i4>146</vt:i4>
      </vt:variant>
      <vt:variant>
        <vt:i4>0</vt:i4>
      </vt:variant>
      <vt:variant>
        <vt:i4>5</vt:i4>
      </vt:variant>
      <vt:variant>
        <vt:lpwstr/>
      </vt:variant>
      <vt:variant>
        <vt:lpwstr>_Toc207627812</vt:lpwstr>
      </vt:variant>
      <vt:variant>
        <vt:i4>1507391</vt:i4>
      </vt:variant>
      <vt:variant>
        <vt:i4>140</vt:i4>
      </vt:variant>
      <vt:variant>
        <vt:i4>0</vt:i4>
      </vt:variant>
      <vt:variant>
        <vt:i4>5</vt:i4>
      </vt:variant>
      <vt:variant>
        <vt:lpwstr/>
      </vt:variant>
      <vt:variant>
        <vt:lpwstr>_Toc207627811</vt:lpwstr>
      </vt:variant>
      <vt:variant>
        <vt:i4>1507391</vt:i4>
      </vt:variant>
      <vt:variant>
        <vt:i4>134</vt:i4>
      </vt:variant>
      <vt:variant>
        <vt:i4>0</vt:i4>
      </vt:variant>
      <vt:variant>
        <vt:i4>5</vt:i4>
      </vt:variant>
      <vt:variant>
        <vt:lpwstr/>
      </vt:variant>
      <vt:variant>
        <vt:lpwstr>_Toc207627810</vt:lpwstr>
      </vt:variant>
      <vt:variant>
        <vt:i4>1441855</vt:i4>
      </vt:variant>
      <vt:variant>
        <vt:i4>128</vt:i4>
      </vt:variant>
      <vt:variant>
        <vt:i4>0</vt:i4>
      </vt:variant>
      <vt:variant>
        <vt:i4>5</vt:i4>
      </vt:variant>
      <vt:variant>
        <vt:lpwstr/>
      </vt:variant>
      <vt:variant>
        <vt:lpwstr>_Toc207627809</vt:lpwstr>
      </vt:variant>
      <vt:variant>
        <vt:i4>1441855</vt:i4>
      </vt:variant>
      <vt:variant>
        <vt:i4>122</vt:i4>
      </vt:variant>
      <vt:variant>
        <vt:i4>0</vt:i4>
      </vt:variant>
      <vt:variant>
        <vt:i4>5</vt:i4>
      </vt:variant>
      <vt:variant>
        <vt:lpwstr/>
      </vt:variant>
      <vt:variant>
        <vt:lpwstr>_Toc207627808</vt:lpwstr>
      </vt:variant>
      <vt:variant>
        <vt:i4>1441855</vt:i4>
      </vt:variant>
      <vt:variant>
        <vt:i4>116</vt:i4>
      </vt:variant>
      <vt:variant>
        <vt:i4>0</vt:i4>
      </vt:variant>
      <vt:variant>
        <vt:i4>5</vt:i4>
      </vt:variant>
      <vt:variant>
        <vt:lpwstr/>
      </vt:variant>
      <vt:variant>
        <vt:lpwstr>_Toc207627807</vt:lpwstr>
      </vt:variant>
      <vt:variant>
        <vt:i4>1441855</vt:i4>
      </vt:variant>
      <vt:variant>
        <vt:i4>110</vt:i4>
      </vt:variant>
      <vt:variant>
        <vt:i4>0</vt:i4>
      </vt:variant>
      <vt:variant>
        <vt:i4>5</vt:i4>
      </vt:variant>
      <vt:variant>
        <vt:lpwstr/>
      </vt:variant>
      <vt:variant>
        <vt:lpwstr>_Toc207627806</vt:lpwstr>
      </vt:variant>
      <vt:variant>
        <vt:i4>1441855</vt:i4>
      </vt:variant>
      <vt:variant>
        <vt:i4>104</vt:i4>
      </vt:variant>
      <vt:variant>
        <vt:i4>0</vt:i4>
      </vt:variant>
      <vt:variant>
        <vt:i4>5</vt:i4>
      </vt:variant>
      <vt:variant>
        <vt:lpwstr/>
      </vt:variant>
      <vt:variant>
        <vt:lpwstr>_Toc207627805</vt:lpwstr>
      </vt:variant>
      <vt:variant>
        <vt:i4>1441855</vt:i4>
      </vt:variant>
      <vt:variant>
        <vt:i4>98</vt:i4>
      </vt:variant>
      <vt:variant>
        <vt:i4>0</vt:i4>
      </vt:variant>
      <vt:variant>
        <vt:i4>5</vt:i4>
      </vt:variant>
      <vt:variant>
        <vt:lpwstr/>
      </vt:variant>
      <vt:variant>
        <vt:lpwstr>_Toc207627804</vt:lpwstr>
      </vt:variant>
      <vt:variant>
        <vt:i4>1441855</vt:i4>
      </vt:variant>
      <vt:variant>
        <vt:i4>92</vt:i4>
      </vt:variant>
      <vt:variant>
        <vt:i4>0</vt:i4>
      </vt:variant>
      <vt:variant>
        <vt:i4>5</vt:i4>
      </vt:variant>
      <vt:variant>
        <vt:lpwstr/>
      </vt:variant>
      <vt:variant>
        <vt:lpwstr>_Toc207627803</vt:lpwstr>
      </vt:variant>
      <vt:variant>
        <vt:i4>1441855</vt:i4>
      </vt:variant>
      <vt:variant>
        <vt:i4>86</vt:i4>
      </vt:variant>
      <vt:variant>
        <vt:i4>0</vt:i4>
      </vt:variant>
      <vt:variant>
        <vt:i4>5</vt:i4>
      </vt:variant>
      <vt:variant>
        <vt:lpwstr/>
      </vt:variant>
      <vt:variant>
        <vt:lpwstr>_Toc207627802</vt:lpwstr>
      </vt:variant>
      <vt:variant>
        <vt:i4>1441855</vt:i4>
      </vt:variant>
      <vt:variant>
        <vt:i4>80</vt:i4>
      </vt:variant>
      <vt:variant>
        <vt:i4>0</vt:i4>
      </vt:variant>
      <vt:variant>
        <vt:i4>5</vt:i4>
      </vt:variant>
      <vt:variant>
        <vt:lpwstr/>
      </vt:variant>
      <vt:variant>
        <vt:lpwstr>_Toc207627801</vt:lpwstr>
      </vt:variant>
      <vt:variant>
        <vt:i4>1441855</vt:i4>
      </vt:variant>
      <vt:variant>
        <vt:i4>74</vt:i4>
      </vt:variant>
      <vt:variant>
        <vt:i4>0</vt:i4>
      </vt:variant>
      <vt:variant>
        <vt:i4>5</vt:i4>
      </vt:variant>
      <vt:variant>
        <vt:lpwstr/>
      </vt:variant>
      <vt:variant>
        <vt:lpwstr>_Toc207627800</vt:lpwstr>
      </vt:variant>
      <vt:variant>
        <vt:i4>2031664</vt:i4>
      </vt:variant>
      <vt:variant>
        <vt:i4>68</vt:i4>
      </vt:variant>
      <vt:variant>
        <vt:i4>0</vt:i4>
      </vt:variant>
      <vt:variant>
        <vt:i4>5</vt:i4>
      </vt:variant>
      <vt:variant>
        <vt:lpwstr/>
      </vt:variant>
      <vt:variant>
        <vt:lpwstr>_Toc207627799</vt:lpwstr>
      </vt:variant>
      <vt:variant>
        <vt:i4>2031664</vt:i4>
      </vt:variant>
      <vt:variant>
        <vt:i4>62</vt:i4>
      </vt:variant>
      <vt:variant>
        <vt:i4>0</vt:i4>
      </vt:variant>
      <vt:variant>
        <vt:i4>5</vt:i4>
      </vt:variant>
      <vt:variant>
        <vt:lpwstr/>
      </vt:variant>
      <vt:variant>
        <vt:lpwstr>_Toc207627798</vt:lpwstr>
      </vt:variant>
      <vt:variant>
        <vt:i4>2031664</vt:i4>
      </vt:variant>
      <vt:variant>
        <vt:i4>56</vt:i4>
      </vt:variant>
      <vt:variant>
        <vt:i4>0</vt:i4>
      </vt:variant>
      <vt:variant>
        <vt:i4>5</vt:i4>
      </vt:variant>
      <vt:variant>
        <vt:lpwstr/>
      </vt:variant>
      <vt:variant>
        <vt:lpwstr>_Toc207627797</vt:lpwstr>
      </vt:variant>
      <vt:variant>
        <vt:i4>2031664</vt:i4>
      </vt:variant>
      <vt:variant>
        <vt:i4>50</vt:i4>
      </vt:variant>
      <vt:variant>
        <vt:i4>0</vt:i4>
      </vt:variant>
      <vt:variant>
        <vt:i4>5</vt:i4>
      </vt:variant>
      <vt:variant>
        <vt:lpwstr/>
      </vt:variant>
      <vt:variant>
        <vt:lpwstr>_Toc207627796</vt:lpwstr>
      </vt:variant>
      <vt:variant>
        <vt:i4>2031664</vt:i4>
      </vt:variant>
      <vt:variant>
        <vt:i4>44</vt:i4>
      </vt:variant>
      <vt:variant>
        <vt:i4>0</vt:i4>
      </vt:variant>
      <vt:variant>
        <vt:i4>5</vt:i4>
      </vt:variant>
      <vt:variant>
        <vt:lpwstr/>
      </vt:variant>
      <vt:variant>
        <vt:lpwstr>_Toc207627795</vt:lpwstr>
      </vt:variant>
      <vt:variant>
        <vt:i4>2031664</vt:i4>
      </vt:variant>
      <vt:variant>
        <vt:i4>38</vt:i4>
      </vt:variant>
      <vt:variant>
        <vt:i4>0</vt:i4>
      </vt:variant>
      <vt:variant>
        <vt:i4>5</vt:i4>
      </vt:variant>
      <vt:variant>
        <vt:lpwstr/>
      </vt:variant>
      <vt:variant>
        <vt:lpwstr>_Toc207627794</vt:lpwstr>
      </vt:variant>
      <vt:variant>
        <vt:i4>2031664</vt:i4>
      </vt:variant>
      <vt:variant>
        <vt:i4>32</vt:i4>
      </vt:variant>
      <vt:variant>
        <vt:i4>0</vt:i4>
      </vt:variant>
      <vt:variant>
        <vt:i4>5</vt:i4>
      </vt:variant>
      <vt:variant>
        <vt:lpwstr/>
      </vt:variant>
      <vt:variant>
        <vt:lpwstr>_Toc207627793</vt:lpwstr>
      </vt:variant>
      <vt:variant>
        <vt:i4>2031664</vt:i4>
      </vt:variant>
      <vt:variant>
        <vt:i4>26</vt:i4>
      </vt:variant>
      <vt:variant>
        <vt:i4>0</vt:i4>
      </vt:variant>
      <vt:variant>
        <vt:i4>5</vt:i4>
      </vt:variant>
      <vt:variant>
        <vt:lpwstr/>
      </vt:variant>
      <vt:variant>
        <vt:lpwstr>_Toc207627792</vt:lpwstr>
      </vt:variant>
      <vt:variant>
        <vt:i4>2031664</vt:i4>
      </vt:variant>
      <vt:variant>
        <vt:i4>20</vt:i4>
      </vt:variant>
      <vt:variant>
        <vt:i4>0</vt:i4>
      </vt:variant>
      <vt:variant>
        <vt:i4>5</vt:i4>
      </vt:variant>
      <vt:variant>
        <vt:lpwstr/>
      </vt:variant>
      <vt:variant>
        <vt:lpwstr>_Toc207627791</vt:lpwstr>
      </vt:variant>
      <vt:variant>
        <vt:i4>2031664</vt:i4>
      </vt:variant>
      <vt:variant>
        <vt:i4>14</vt:i4>
      </vt:variant>
      <vt:variant>
        <vt:i4>0</vt:i4>
      </vt:variant>
      <vt:variant>
        <vt:i4>5</vt:i4>
      </vt:variant>
      <vt:variant>
        <vt:lpwstr/>
      </vt:variant>
      <vt:variant>
        <vt:lpwstr>_Toc207627790</vt:lpwstr>
      </vt:variant>
      <vt:variant>
        <vt:i4>1966128</vt:i4>
      </vt:variant>
      <vt:variant>
        <vt:i4>8</vt:i4>
      </vt:variant>
      <vt:variant>
        <vt:i4>0</vt:i4>
      </vt:variant>
      <vt:variant>
        <vt:i4>5</vt:i4>
      </vt:variant>
      <vt:variant>
        <vt:lpwstr/>
      </vt:variant>
      <vt:variant>
        <vt:lpwstr>_Toc207627789</vt:lpwstr>
      </vt:variant>
      <vt:variant>
        <vt:i4>1966128</vt:i4>
      </vt:variant>
      <vt:variant>
        <vt:i4>2</vt:i4>
      </vt:variant>
      <vt:variant>
        <vt:i4>0</vt:i4>
      </vt:variant>
      <vt:variant>
        <vt:i4>5</vt:i4>
      </vt:variant>
      <vt:variant>
        <vt:lpwstr/>
      </vt:variant>
      <vt:variant>
        <vt:lpwstr>_Toc207627788</vt:lpwstr>
      </vt:variant>
      <vt:variant>
        <vt:i4>1703961</vt:i4>
      </vt:variant>
      <vt:variant>
        <vt:i4>0</vt:i4>
      </vt:variant>
      <vt:variant>
        <vt:i4>0</vt:i4>
      </vt:variant>
      <vt:variant>
        <vt:i4>5</vt:i4>
      </vt:variant>
      <vt:variant>
        <vt:lpwstr>https://www.education.gov.au/international-education-data-and-research/education-export-income-financial-year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HOGARTH,Matthew</dc:creator>
  <cp:keywords/>
  <dc:description/>
  <cp:lastModifiedBy>RICHARDSON,Georgina</cp:lastModifiedBy>
  <cp:revision>2</cp:revision>
  <cp:lastPrinted>2024-11-10T23:08:00Z</cp:lastPrinted>
  <dcterms:created xsi:type="dcterms:W3CDTF">2026-03-25T23:56:00Z</dcterms:created>
  <dcterms:modified xsi:type="dcterms:W3CDTF">2026-03-25T23:56:00Z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0x010100FEB422B828109A4EA52723A3120B59E8</vt:lpwstr>
  </property>
  <property fmtid="{D5CDD505-2E9C-101B-9397-08002B2CF9AE}" pid="3" name="MSIP_Label_79d889eb-932f-4752-8739-64d25806ef64_Enabled">
    <vt:lpwstr>true</vt:lpwstr>
  </property>
  <property fmtid="{D5CDD505-2E9C-101B-9397-08002B2CF9AE}" pid="4" name="MSIP_Label_79d889eb-932f-4752-8739-64d25806ef64_SetDate">
    <vt:lpwstr>2023-12-20T06:29:57Z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4582b5f0-3cda-494c-81d5-f294031e333f</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QuestionSubmittedBy">
    <vt:lpwstr/>
  </property>
  <property fmtid="{D5CDD505-2E9C-101B-9397-08002B2CF9AE}" pid="12" name="ClearanceDueDate">
    <vt:lpwstr/>
  </property>
  <property fmtid="{D5CDD505-2E9C-101B-9397-08002B2CF9AE}" pid="13" name="Electorates">
    <vt:lpwstr> </vt:lpwstr>
  </property>
  <property fmtid="{D5CDD505-2E9C-101B-9397-08002B2CF9AE}" pid="14" name="InitiatorTitle">
    <vt:lpwstr/>
  </property>
  <property fmtid="{D5CDD505-2E9C-101B-9397-08002B2CF9AE}" pid="15" name="ContactOfficer">
    <vt:lpwstr/>
  </property>
  <property fmtid="{D5CDD505-2E9C-101B-9397-08002B2CF9AE}" pid="16" name="ContributingAgency">
    <vt:lpwstr/>
  </property>
  <property fmtid="{D5CDD505-2E9C-101B-9397-08002B2CF9AE}" pid="17" name="HearingType">
    <vt:lpwstr/>
  </property>
  <property fmtid="{D5CDD505-2E9C-101B-9397-08002B2CF9AE}" pid="18" name="InitiatorOrganisationWebsite">
    <vt:lpwstr/>
  </property>
  <property fmtid="{D5CDD505-2E9C-101B-9397-08002B2CF9AE}" pid="19" name="InitiatorSuburbOrCity">
    <vt:lpwstr/>
  </property>
  <property fmtid="{D5CDD505-2E9C-101B-9397-08002B2CF9AE}" pid="20" name="ReasonForSensitivity">
    <vt:lpwstr/>
  </property>
  <property fmtid="{D5CDD505-2E9C-101B-9397-08002B2CF9AE}" pid="21" name="ReportingDate">
    <vt:lpwstr/>
  </property>
  <property fmtid="{D5CDD505-2E9C-101B-9397-08002B2CF9AE}" pid="22" name="ReportTabledDate">
    <vt:lpwstr>19 October 2023</vt:lpwstr>
  </property>
  <property fmtid="{D5CDD505-2E9C-101B-9397-08002B2CF9AE}" pid="23" name="InquiryType">
    <vt:lpwstr>Inquiry</vt:lpwstr>
  </property>
  <property fmtid="{D5CDD505-2E9C-101B-9397-08002B2CF9AE}" pid="24" name="Witnesses">
    <vt:lpwstr/>
  </property>
  <property fmtid="{D5CDD505-2E9C-101B-9397-08002B2CF9AE}" pid="25" name="CriticalDate">
    <vt:lpwstr/>
  </property>
  <property fmtid="{D5CDD505-2E9C-101B-9397-08002B2CF9AE}" pid="26" name="DateFirstSentToMO">
    <vt:lpwstr/>
  </property>
  <property fmtid="{D5CDD505-2E9C-101B-9397-08002B2CF9AE}" pid="27" name="InitiatorOnBehalfVia">
    <vt:lpwstr/>
  </property>
  <property fmtid="{D5CDD505-2E9C-101B-9397-08002B2CF9AE}" pid="28" name="QoNNumber">
    <vt:lpwstr/>
  </property>
  <property fmtid="{D5CDD505-2E9C-101B-9397-08002B2CF9AE}" pid="29" name="TabledDate">
    <vt:lpwstr/>
  </property>
  <property fmtid="{D5CDD505-2E9C-101B-9397-08002B2CF9AE}" pid="30" name="DateSentToCommittee">
    <vt:lpwstr/>
  </property>
  <property fmtid="{D5CDD505-2E9C-101B-9397-08002B2CF9AE}" pid="31" name="ImplementationDetails">
    <vt:lpwstr/>
  </property>
  <property fmtid="{D5CDD505-2E9C-101B-9397-08002B2CF9AE}" pid="32" name="InitiatorAddressLine1">
    <vt:lpwstr/>
  </property>
  <property fmtid="{D5CDD505-2E9C-101B-9397-08002B2CF9AE}" pid="33" name="Ministers">
    <vt:lpwstr>Jason Clare</vt:lpwstr>
  </property>
  <property fmtid="{D5CDD505-2E9C-101B-9397-08002B2CF9AE}" pid="34" name="SignedDate">
    <vt:lpwstr/>
  </property>
  <property fmtid="{D5CDD505-2E9C-101B-9397-08002B2CF9AE}" pid="35" name="InitiatorName">
    <vt:lpwstr/>
  </property>
  <property fmtid="{D5CDD505-2E9C-101B-9397-08002B2CF9AE}" pid="36" name="InitiatorPhone">
    <vt:lpwstr/>
  </property>
  <property fmtid="{D5CDD505-2E9C-101B-9397-08002B2CF9AE}" pid="37" name="InquiryName">
    <vt:lpwstr>Inquiry into Australia’s tourism and international education sectors</vt:lpwstr>
  </property>
  <property fmtid="{D5CDD505-2E9C-101B-9397-08002B2CF9AE}" pid="38" name="SubmissionProvidedBy">
    <vt:lpwstr/>
  </property>
  <property fmtid="{D5CDD505-2E9C-101B-9397-08002B2CF9AE}" pid="39" name="InitiatorOrganisationType">
    <vt:lpwstr/>
  </property>
  <property fmtid="{D5CDD505-2E9C-101B-9397-08002B2CF9AE}" pid="40" name="MOActionActualDate">
    <vt:lpwstr/>
  </property>
  <property fmtid="{D5CDD505-2E9C-101B-9397-08002B2CF9AE}" pid="41" name="QuestionFormat">
    <vt:lpwstr/>
  </property>
  <property fmtid="{D5CDD505-2E9C-101B-9397-08002B2CF9AE}" pid="42" name="InitiatorState">
    <vt:lpwstr/>
  </property>
  <property fmtid="{D5CDD505-2E9C-101B-9397-08002B2CF9AE}" pid="43" name="PdrId">
    <vt:lpwstr>GR23-000030</vt:lpwstr>
  </property>
  <property fmtid="{D5CDD505-2E9C-101B-9397-08002B2CF9AE}" pid="44" name="InitiatorContactDate">
    <vt:lpwstr/>
  </property>
  <property fmtid="{D5CDD505-2E9C-101B-9397-08002B2CF9AE}" pid="45" name="InitiatorFormalTitle">
    <vt:lpwstr/>
  </property>
  <property fmtid="{D5CDD505-2E9C-101B-9397-08002B2CF9AE}" pid="46" name="ReportTitle">
    <vt:lpwstr>'Quality and Integrity - the Quest for Sustainable Growth': Interim Report into International Education</vt:lpwstr>
  </property>
  <property fmtid="{D5CDD505-2E9C-101B-9397-08002B2CF9AE}" pid="47" name="DateSentToMO">
    <vt:lpwstr/>
  </property>
  <property fmtid="{D5CDD505-2E9C-101B-9397-08002B2CF9AE}" pid="48" name="HandlingProtocol">
    <vt:lpwstr>Standard</vt:lpwstr>
  </property>
  <property fmtid="{D5CDD505-2E9C-101B-9397-08002B2CF9AE}" pid="49" name="InitiatorAddressLine1And2">
    <vt:lpwstr/>
  </property>
  <property fmtid="{D5CDD505-2E9C-101B-9397-08002B2CF9AE}" pid="50" name="GroupResponsible">
    <vt:lpwstr>| HERI | International</vt:lpwstr>
  </property>
  <property fmtid="{D5CDD505-2E9C-101B-9397-08002B2CF9AE}" pid="51" name="HansardPage">
    <vt:lpwstr/>
  </property>
  <property fmtid="{D5CDD505-2E9C-101B-9397-08002B2CF9AE}" pid="52" name="InitiatorAddressLine2">
    <vt:lpwstr/>
  </property>
  <property fmtid="{D5CDD505-2E9C-101B-9397-08002B2CF9AE}" pid="53" name="InitiatorMPState">
    <vt:lpwstr/>
  </property>
  <property fmtid="{D5CDD505-2E9C-101B-9397-08002B2CF9AE}" pid="54" name="TemplateType">
    <vt:lpwstr>Information Submission</vt:lpwstr>
  </property>
  <property fmtid="{D5CDD505-2E9C-101B-9397-08002B2CF9AE}" pid="55" name="AdditionalSecurityInformation">
    <vt:lpwstr/>
  </property>
  <property fmtid="{D5CDD505-2E9C-101B-9397-08002B2CF9AE}" pid="56" name="AgencyResponsibility">
    <vt:lpwstr>Lead</vt:lpwstr>
  </property>
  <property fmtid="{D5CDD505-2E9C-101B-9397-08002B2CF9AE}" pid="57" name="ImplementationStatus">
    <vt:lpwstr/>
  </property>
  <property fmtid="{D5CDD505-2E9C-101B-9397-08002B2CF9AE}" pid="58" name="InitiatorPostNominal">
    <vt:lpwstr/>
  </property>
  <property fmtid="{D5CDD505-2E9C-101B-9397-08002B2CF9AE}" pid="59" name="ParliamentaryCommitteeNumber">
    <vt:lpwstr>PC22-000025</vt:lpwstr>
  </property>
  <property fmtid="{D5CDD505-2E9C-101B-9397-08002B2CF9AE}" pid="60" name="RequestedAction">
    <vt:lpwstr/>
  </property>
  <property fmtid="{D5CDD505-2E9C-101B-9397-08002B2CF9AE}" pid="61" name="DateReferred">
    <vt:lpwstr/>
  </property>
  <property fmtid="{D5CDD505-2E9C-101B-9397-08002B2CF9AE}" pid="62" name="ReportType">
    <vt:lpwstr>Interim</vt:lpwstr>
  </property>
  <property fmtid="{D5CDD505-2E9C-101B-9397-08002B2CF9AE}" pid="63" name="InitiatorFirstName">
    <vt:lpwstr/>
  </property>
  <property fmtid="{D5CDD505-2E9C-101B-9397-08002B2CF9AE}" pid="64" name="InitiatorMPElectorate">
    <vt:lpwstr/>
  </property>
  <property fmtid="{D5CDD505-2E9C-101B-9397-08002B2CF9AE}" pid="65" name="InitiatorOrganisation">
    <vt:lpwstr/>
  </property>
  <property fmtid="{D5CDD505-2E9C-101B-9397-08002B2CF9AE}" pid="66" name="ResponseDueDate">
    <vt:lpwstr>19 January 2024</vt:lpwstr>
  </property>
  <property fmtid="{D5CDD505-2E9C-101B-9397-08002B2CF9AE}" pid="67" name="ContactOfficerPhone">
    <vt:lpwstr/>
  </property>
  <property fmtid="{D5CDD505-2E9C-101B-9397-08002B2CF9AE}" pid="68" name="InitiatorParliamentaryTitle">
    <vt:lpwstr/>
  </property>
  <property fmtid="{D5CDD505-2E9C-101B-9397-08002B2CF9AE}" pid="69" name="InitiatorPostCode">
    <vt:lpwstr/>
  </property>
  <property fmtid="{D5CDD505-2E9C-101B-9397-08002B2CF9AE}" pid="70" name="InitiatorTitledFullName">
    <vt:lpwstr/>
  </property>
  <property fmtid="{D5CDD505-2E9C-101B-9397-08002B2CF9AE}" pid="71" name="CommitteeType">
    <vt:lpwstr>Joint</vt:lpwstr>
  </property>
  <property fmtid="{D5CDD505-2E9C-101B-9397-08002B2CF9AE}" pid="72" name="InitiatorEmail">
    <vt:lpwstr/>
  </property>
  <property fmtid="{D5CDD505-2E9C-101B-9397-08002B2CF9AE}" pid="73" name="InitiatorMobile">
    <vt:lpwstr/>
  </property>
  <property fmtid="{D5CDD505-2E9C-101B-9397-08002B2CF9AE}" pid="74" name="RecommendationText">
    <vt:lpwstr/>
  </property>
  <property fmtid="{D5CDD505-2E9C-101B-9397-08002B2CF9AE}" pid="75" name="FinalReportTitle">
    <vt:lpwstr/>
  </property>
  <property fmtid="{D5CDD505-2E9C-101B-9397-08002B2CF9AE}" pid="76" name="QuestionText">
    <vt:lpwstr/>
  </property>
  <property fmtid="{D5CDD505-2E9C-101B-9397-08002B2CF9AE}" pid="77" name="SubmissionType">
    <vt:lpwstr/>
  </property>
  <property fmtid="{D5CDD505-2E9C-101B-9397-08002B2CF9AE}" pid="78" name="TrustedGroups">
    <vt:lpwstr>Business Administrator, DLO, Limited Distribution PC, Ministerial Staff - Labor 2022, Parliamentary Coordinator PC</vt:lpwstr>
  </property>
  <property fmtid="{D5CDD505-2E9C-101B-9397-08002B2CF9AE}" pid="79" name="Executives">
    <vt:lpwstr/>
  </property>
  <property fmtid="{D5CDD505-2E9C-101B-9397-08002B2CF9AE}" pid="80" name="RegisteredDate">
    <vt:lpwstr>02 November 2023</vt:lpwstr>
  </property>
  <property fmtid="{D5CDD505-2E9C-101B-9397-08002B2CF9AE}" pid="81" name="CommitteeName">
    <vt:lpwstr>Standing Committee on Foreign Affairs, Defence and Trade</vt:lpwstr>
  </property>
  <property fmtid="{D5CDD505-2E9C-101B-9397-08002B2CF9AE}" pid="82" name="InitiatorLastName">
    <vt:lpwstr/>
  </property>
  <property fmtid="{D5CDD505-2E9C-101B-9397-08002B2CF9AE}" pid="83" name="PMApprovalDate">
    <vt:lpwstr/>
  </property>
  <property fmtid="{D5CDD505-2E9C-101B-9397-08002B2CF9AE}" pid="84" name="AgencyAttending">
    <vt:lpwstr/>
  </property>
  <property fmtid="{D5CDD505-2E9C-101B-9397-08002B2CF9AE}" pid="85" name="HearingDate">
    <vt:lpwstr/>
  </property>
  <property fmtid="{D5CDD505-2E9C-101B-9397-08002B2CF9AE}" pid="86" name="InitiatorCountry">
    <vt:lpwstr/>
  </property>
  <property fmtid="{D5CDD505-2E9C-101B-9397-08002B2CF9AE}" pid="87" name="InitiatorFax">
    <vt:lpwstr/>
  </property>
  <property fmtid="{D5CDD505-2E9C-101B-9397-08002B2CF9AE}" pid="88" name="InitiatorOrganisationContactInformation">
    <vt:lpwstr/>
  </property>
  <property fmtid="{D5CDD505-2E9C-101B-9397-08002B2CF9AE}" pid="89" name="CommitteeDueDate">
    <vt:lpwstr/>
  </property>
  <property fmtid="{D5CDD505-2E9C-101B-9397-08002B2CF9AE}" pid="90" name="CriticalDateReason">
    <vt:lpwstr/>
  </property>
  <property fmtid="{D5CDD505-2E9C-101B-9397-08002B2CF9AE}" pid="91" name="InquiryStatus">
    <vt:lpwstr>Open for Submission</vt:lpwstr>
  </property>
  <property fmtid="{D5CDD505-2E9C-101B-9397-08002B2CF9AE}" pid="92" name="Location">
    <vt:lpwstr/>
  </property>
  <property fmtid="{D5CDD505-2E9C-101B-9397-08002B2CF9AE}" pid="93" name="ResponsibleExecutive">
    <vt:lpwstr> </vt:lpwstr>
  </property>
  <property fmtid="{D5CDD505-2E9C-101B-9397-08002B2CF9AE}" pid="94" name="FinancialYear">
    <vt:lpwstr>2022 - 2023</vt:lpwstr>
  </property>
  <property fmtid="{D5CDD505-2E9C-101B-9397-08002B2CF9AE}" pid="95" name="InitiatorAddressBlock">
    <vt:lpwstr/>
  </property>
  <property fmtid="{D5CDD505-2E9C-101B-9397-08002B2CF9AE}" pid="96" name="MOActionDueDate">
    <vt:lpwstr/>
  </property>
  <property fmtid="{D5CDD505-2E9C-101B-9397-08002B2CF9AE}" pid="97" name="PositionOnPage">
    <vt:lpwstr/>
  </property>
  <property fmtid="{D5CDD505-2E9C-101B-9397-08002B2CF9AE}" pid="98" name="TemplateSubType">
    <vt:lpwstr>Standard</vt:lpwstr>
  </property>
  <property fmtid="{D5CDD505-2E9C-101B-9397-08002B2CF9AE}" pid="99" name="Principal">
    <vt:lpwstr>Minister Clare</vt:lpwstr>
  </property>
  <property fmtid="{D5CDD505-2E9C-101B-9397-08002B2CF9AE}" pid="100" name="QualityCheckActualDate">
    <vt:lpwstr/>
  </property>
  <property fmtid="{D5CDD505-2E9C-101B-9397-08002B2CF9AE}" pid="101" name="SubmissionClosingDate">
    <vt:lpwstr>12 December 2022</vt:lpwstr>
  </property>
  <property fmtid="{D5CDD505-2E9C-101B-9397-08002B2CF9AE}" pid="102" name="InitiatorContactName">
    <vt:lpwstr/>
  </property>
  <property fmtid="{D5CDD505-2E9C-101B-9397-08002B2CF9AE}" pid="103" name="InitiatorContactPosition">
    <vt:lpwstr/>
  </property>
  <property fmtid="{D5CDD505-2E9C-101B-9397-08002B2CF9AE}" pid="104" name="QualityCheckDueDate">
    <vt:lpwstr/>
  </property>
  <property fmtid="{D5CDD505-2E9C-101B-9397-08002B2CF9AE}" pid="105" name="InformationExecutive">
    <vt:lpwstr> </vt:lpwstr>
  </property>
  <property fmtid="{D5CDD505-2E9C-101B-9397-08002B2CF9AE}" pid="106" name="InitiatorSuburbStatePostcode">
    <vt:lpwstr/>
  </property>
  <property fmtid="{D5CDD505-2E9C-101B-9397-08002B2CF9AE}" pid="107" name="TaskSeqNo">
    <vt:lpwstr>0</vt:lpwstr>
  </property>
  <property fmtid="{D5CDD505-2E9C-101B-9397-08002B2CF9AE}" pid="108" name="QuestionDate">
    <vt:lpwstr/>
  </property>
  <property fmtid="{D5CDD505-2E9C-101B-9397-08002B2CF9AE}" pid="109" name="AgencyPosition">
    <vt:lpwstr/>
  </property>
  <property fmtid="{D5CDD505-2E9C-101B-9397-08002B2CF9AE}" pid="110" name="InformationMinister">
    <vt:lpwstr> </vt:lpwstr>
  </property>
  <property fmtid="{D5CDD505-2E9C-101B-9397-08002B2CF9AE}" pid="111" name="InitiatorFullName">
    <vt:lpwstr/>
  </property>
  <property fmtid="{D5CDD505-2E9C-101B-9397-08002B2CF9AE}" pid="112" name="ResponseDetails">
    <vt:lpwstr/>
  </property>
  <property fmtid="{D5CDD505-2E9C-101B-9397-08002B2CF9AE}" pid="113" name="PlannedDate">
    <vt:lpwstr/>
  </property>
  <property fmtid="{D5CDD505-2E9C-101B-9397-08002B2CF9AE}" pid="114" name="ResponseStatus">
    <vt:lpwstr/>
  </property>
  <property fmtid="{D5CDD505-2E9C-101B-9397-08002B2CF9AE}" pid="115" name="ResponsibleMinister">
    <vt:lpwstr>Jason Clare</vt:lpwstr>
  </property>
  <property fmtid="{D5CDD505-2E9C-101B-9397-08002B2CF9AE}" pid="116" name="docLang">
    <vt:lpwstr>en</vt:lpwstr>
  </property>
</Properties>
</file>